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8EE549">
      <w:pPr>
        <w:spacing w:line="360" w:lineRule="auto"/>
        <w:jc w:val="center"/>
        <w:rPr>
          <w:rFonts w:hint="eastAsia" w:ascii="宋体" w:hAnsi="宋体" w:cs="宋体"/>
          <w:color w:val="auto"/>
          <w:sz w:val="52"/>
          <w:szCs w:val="52"/>
          <w:highlight w:val="none"/>
        </w:rPr>
      </w:pPr>
    </w:p>
    <w:p w14:paraId="5DA5182B">
      <w:pPr>
        <w:spacing w:line="360" w:lineRule="auto"/>
        <w:jc w:val="center"/>
        <w:rPr>
          <w:rFonts w:hint="eastAsia" w:ascii="宋体" w:hAnsi="宋体" w:cs="宋体"/>
          <w:color w:val="auto"/>
          <w:sz w:val="52"/>
          <w:szCs w:val="52"/>
          <w:highlight w:val="none"/>
        </w:rPr>
      </w:pPr>
    </w:p>
    <w:p w14:paraId="64735C87">
      <w:pPr>
        <w:spacing w:line="360" w:lineRule="auto"/>
        <w:jc w:val="center"/>
        <w:rPr>
          <w:rFonts w:hint="eastAsia" w:ascii="宋体" w:hAnsi="宋体" w:cs="宋体"/>
          <w:color w:val="auto"/>
          <w:sz w:val="52"/>
          <w:szCs w:val="52"/>
          <w:highlight w:val="none"/>
        </w:rPr>
      </w:pPr>
      <w:r>
        <w:rPr>
          <w:rFonts w:hint="eastAsia" w:ascii="宋体" w:hAnsi="宋体" w:cs="宋体"/>
          <w:color w:val="auto"/>
          <w:sz w:val="52"/>
          <w:szCs w:val="52"/>
          <w:highlight w:val="none"/>
        </w:rPr>
        <w:t>云之龙咨询集团有限公司</w:t>
      </w:r>
    </w:p>
    <w:p w14:paraId="44FB0F57">
      <w:pPr>
        <w:spacing w:line="360" w:lineRule="auto"/>
        <w:rPr>
          <w:rFonts w:hint="eastAsia" w:ascii="宋体" w:hAnsi="宋体" w:cs="宋体"/>
          <w:b/>
          <w:color w:val="auto"/>
          <w:sz w:val="44"/>
          <w:szCs w:val="44"/>
          <w:highlight w:val="none"/>
        </w:rPr>
      </w:pPr>
    </w:p>
    <w:p w14:paraId="59A18E96">
      <w:pPr>
        <w:spacing w:before="156" w:line="360" w:lineRule="auto"/>
        <w:jc w:val="center"/>
        <w:rPr>
          <w:rFonts w:hint="eastAsia" w:ascii="宋体" w:hAnsi="宋体" w:cs="宋体"/>
          <w:color w:val="auto"/>
          <w:sz w:val="120"/>
          <w:szCs w:val="120"/>
          <w:highlight w:val="none"/>
        </w:rPr>
      </w:pPr>
      <w:r>
        <w:rPr>
          <w:rFonts w:hint="eastAsia" w:ascii="宋体" w:hAnsi="宋体" w:cs="宋体"/>
          <w:color w:val="auto"/>
          <w:sz w:val="120"/>
          <w:szCs w:val="120"/>
          <w:highlight w:val="none"/>
        </w:rPr>
        <w:t>竞争性磋商文件</w:t>
      </w:r>
    </w:p>
    <w:p w14:paraId="5BAD5030">
      <w:pPr>
        <w:spacing w:before="156" w:line="360" w:lineRule="auto"/>
        <w:jc w:val="center"/>
        <w:rPr>
          <w:rFonts w:hint="eastAsia" w:ascii="宋体" w:hAnsi="宋体" w:cs="宋体"/>
          <w:b/>
          <w:color w:val="auto"/>
          <w:sz w:val="30"/>
          <w:szCs w:val="72"/>
          <w:highlight w:val="none"/>
        </w:rPr>
      </w:pPr>
      <w:r>
        <w:rPr>
          <w:rFonts w:hint="eastAsia" w:ascii="宋体" w:hAnsi="宋体" w:cs="宋体"/>
          <w:b/>
          <w:color w:val="auto"/>
          <w:sz w:val="48"/>
          <w:szCs w:val="48"/>
          <w:highlight w:val="none"/>
        </w:rPr>
        <w:t>（全流程电子化采购-远程异地评标）</w:t>
      </w:r>
    </w:p>
    <w:p w14:paraId="3A6F7192">
      <w:pPr>
        <w:spacing w:line="360" w:lineRule="auto"/>
        <w:rPr>
          <w:rFonts w:hint="eastAsia" w:ascii="宋体" w:hAnsi="宋体" w:cs="宋体"/>
          <w:color w:val="auto"/>
          <w:sz w:val="30"/>
          <w:szCs w:val="72"/>
          <w:highlight w:val="none"/>
        </w:rPr>
      </w:pPr>
    </w:p>
    <w:p w14:paraId="1DF96754">
      <w:pPr>
        <w:pStyle w:val="226"/>
        <w:spacing w:line="360" w:lineRule="auto"/>
        <w:ind w:firstLine="843"/>
        <w:rPr>
          <w:rFonts w:hint="eastAsia" w:hAnsi="宋体" w:eastAsia="宋体" w:cs="宋体"/>
          <w:b/>
          <w:bCs/>
          <w:color w:val="auto"/>
          <w:sz w:val="30"/>
          <w:szCs w:val="30"/>
          <w:highlight w:val="none"/>
          <w:lang w:eastAsia="zh-CN"/>
        </w:rPr>
      </w:pPr>
      <w:r>
        <w:rPr>
          <w:rFonts w:hint="eastAsia" w:hAnsi="宋体" w:cs="宋体"/>
          <w:b/>
          <w:bCs/>
          <w:color w:val="auto"/>
          <w:sz w:val="30"/>
          <w:szCs w:val="30"/>
          <w:highlight w:val="none"/>
        </w:rPr>
        <w:t>项目名称：</w:t>
      </w:r>
      <w:r>
        <w:rPr>
          <w:rFonts w:hint="eastAsia" w:hAnsi="宋体" w:cs="宋体"/>
          <w:b/>
          <w:bCs/>
          <w:color w:val="auto"/>
          <w:sz w:val="30"/>
          <w:szCs w:val="30"/>
          <w:highlight w:val="none"/>
          <w:lang w:eastAsia="zh-CN"/>
        </w:rPr>
        <w:t>筋竹镇中围村高山脚至石</w:t>
      </w:r>
      <w:bookmarkStart w:id="434" w:name="_GoBack"/>
      <w:bookmarkEnd w:id="434"/>
      <w:r>
        <w:rPr>
          <w:rFonts w:hint="eastAsia" w:hAnsi="宋体" w:cs="宋体"/>
          <w:b/>
          <w:bCs/>
          <w:color w:val="auto"/>
          <w:sz w:val="30"/>
          <w:szCs w:val="30"/>
          <w:highlight w:val="none"/>
          <w:lang w:eastAsia="zh-CN"/>
        </w:rPr>
        <w:t>龙村掘坑道路硬化项目</w:t>
      </w:r>
    </w:p>
    <w:p w14:paraId="7F2530EC">
      <w:pPr>
        <w:spacing w:line="360" w:lineRule="auto"/>
        <w:ind w:firstLine="859"/>
        <w:rPr>
          <w:rFonts w:hint="eastAsia" w:ascii="宋体" w:hAnsi="宋体" w:cs="宋体"/>
          <w:color w:val="auto"/>
          <w:sz w:val="30"/>
          <w:szCs w:val="72"/>
          <w:highlight w:val="none"/>
        </w:rPr>
      </w:pPr>
      <w:r>
        <w:rPr>
          <w:rFonts w:hint="eastAsia" w:ascii="宋体" w:hAnsi="宋体" w:cs="宋体"/>
          <w:b/>
          <w:bCs/>
          <w:color w:val="auto"/>
          <w:sz w:val="30"/>
          <w:szCs w:val="30"/>
          <w:highlight w:val="none"/>
        </w:rPr>
        <w:t>项目编号：WZZC2026-C2-810056-YZLZ</w:t>
      </w:r>
    </w:p>
    <w:p w14:paraId="4D1A0E53">
      <w:pPr>
        <w:pStyle w:val="226"/>
        <w:spacing w:line="360" w:lineRule="auto"/>
        <w:ind w:firstLine="859"/>
        <w:rPr>
          <w:rFonts w:hint="eastAsia" w:hAnsi="宋体" w:cs="宋体"/>
          <w:b/>
          <w:bCs/>
          <w:color w:val="auto"/>
          <w:sz w:val="30"/>
          <w:szCs w:val="30"/>
          <w:highlight w:val="none"/>
        </w:rPr>
      </w:pPr>
      <w:r>
        <w:rPr>
          <w:rFonts w:hint="eastAsia" w:hAnsi="宋体" w:cs="宋体"/>
          <w:b/>
          <w:bCs/>
          <w:color w:val="auto"/>
          <w:sz w:val="30"/>
          <w:szCs w:val="30"/>
          <w:highlight w:val="none"/>
        </w:rPr>
        <w:t>采 购 人：</w:t>
      </w:r>
      <w:r>
        <w:rPr>
          <w:rFonts w:hint="eastAsia" w:hAnsi="宋体" w:cs="宋体"/>
          <w:b/>
          <w:bCs/>
          <w:color w:val="auto"/>
          <w:sz w:val="30"/>
          <w:szCs w:val="30"/>
          <w:highlight w:val="none"/>
          <w:lang w:eastAsia="zh-CN"/>
        </w:rPr>
        <w:t>岑溪市筋竹镇人民政府</w:t>
      </w:r>
      <w:r>
        <w:rPr>
          <w:rFonts w:hint="eastAsia" w:hAnsi="宋体" w:cs="宋体"/>
          <w:b/>
          <w:bCs/>
          <w:color w:val="auto"/>
          <w:sz w:val="30"/>
          <w:szCs w:val="30"/>
          <w:highlight w:val="none"/>
        </w:rPr>
        <w:t xml:space="preserve">  </w:t>
      </w:r>
    </w:p>
    <w:p w14:paraId="488A4177">
      <w:pPr>
        <w:pStyle w:val="226"/>
        <w:spacing w:line="360" w:lineRule="auto"/>
        <w:ind w:firstLine="859"/>
        <w:rPr>
          <w:rFonts w:hint="eastAsia" w:hAnsi="宋体" w:cs="宋体"/>
          <w:b/>
          <w:bCs/>
          <w:color w:val="auto"/>
          <w:sz w:val="30"/>
          <w:szCs w:val="30"/>
          <w:highlight w:val="none"/>
        </w:rPr>
      </w:pPr>
      <w:r>
        <w:rPr>
          <w:rFonts w:hint="eastAsia" w:hAnsi="宋体" w:cs="宋体"/>
          <w:b/>
          <w:bCs/>
          <w:color w:val="auto"/>
          <w:sz w:val="30"/>
          <w:szCs w:val="30"/>
          <w:highlight w:val="none"/>
        </w:rPr>
        <w:t>采购代理机构：云之龙咨询集团有限公司</w:t>
      </w:r>
    </w:p>
    <w:p w14:paraId="7E5251F1">
      <w:pPr>
        <w:pStyle w:val="226"/>
        <w:spacing w:line="360" w:lineRule="auto"/>
        <w:ind w:firstLine="1125"/>
        <w:rPr>
          <w:rFonts w:hint="eastAsia" w:hAnsi="宋体" w:cs="宋体"/>
          <w:b/>
          <w:bCs/>
          <w:color w:val="auto"/>
          <w:sz w:val="30"/>
          <w:szCs w:val="30"/>
          <w:highlight w:val="none"/>
        </w:rPr>
      </w:pPr>
    </w:p>
    <w:p w14:paraId="426A4262">
      <w:pPr>
        <w:pStyle w:val="226"/>
        <w:spacing w:line="360" w:lineRule="auto"/>
        <w:ind w:firstLine="1125"/>
        <w:rPr>
          <w:rFonts w:hint="eastAsia" w:hAnsi="宋体" w:cs="宋体"/>
          <w:b/>
          <w:bCs/>
          <w:color w:val="auto"/>
          <w:sz w:val="30"/>
          <w:szCs w:val="30"/>
          <w:highlight w:val="none"/>
        </w:rPr>
      </w:pPr>
    </w:p>
    <w:p w14:paraId="3057E0DA">
      <w:pPr>
        <w:pStyle w:val="226"/>
        <w:spacing w:line="360" w:lineRule="auto"/>
        <w:ind w:left="420" w:firstLine="841"/>
        <w:rPr>
          <w:rFonts w:hint="eastAsia" w:hAnsi="宋体" w:cs="宋体"/>
          <w:color w:val="auto"/>
          <w:szCs w:val="20"/>
          <w:highlight w:val="none"/>
        </w:rPr>
      </w:pPr>
      <w:r>
        <w:rPr>
          <w:rFonts w:hint="eastAsia" w:hAnsi="宋体" w:cs="宋体"/>
          <w:b/>
          <w:bCs/>
          <w:color w:val="auto"/>
          <w:sz w:val="30"/>
          <w:szCs w:val="30"/>
          <w:highlight w:val="none"/>
        </w:rPr>
        <w:t xml:space="preserve">               2026年</w:t>
      </w:r>
      <w:r>
        <w:rPr>
          <w:rFonts w:hint="eastAsia" w:hAnsi="宋体" w:cs="宋体"/>
          <w:b/>
          <w:bCs/>
          <w:color w:val="auto"/>
          <w:sz w:val="30"/>
          <w:szCs w:val="30"/>
          <w:highlight w:val="none"/>
          <w:lang w:val="en-US" w:eastAsia="zh-CN"/>
        </w:rPr>
        <w:t>5</w:t>
      </w:r>
      <w:r>
        <w:rPr>
          <w:rFonts w:hint="eastAsia" w:hAnsi="宋体" w:cs="宋体"/>
          <w:b/>
          <w:bCs/>
          <w:color w:val="auto"/>
          <w:sz w:val="30"/>
          <w:szCs w:val="30"/>
          <w:highlight w:val="none"/>
        </w:rPr>
        <w:t>月</w:t>
      </w:r>
    </w:p>
    <w:p w14:paraId="78753197">
      <w:pPr>
        <w:spacing w:line="360" w:lineRule="auto"/>
        <w:jc w:val="center"/>
        <w:rPr>
          <w:rFonts w:hint="eastAsia" w:ascii="宋体" w:hAnsi="宋体" w:cs="宋体"/>
          <w:b/>
          <w:bCs/>
          <w:color w:val="auto"/>
          <w:sz w:val="32"/>
          <w:szCs w:val="32"/>
          <w:highlight w:val="none"/>
        </w:rPr>
      </w:pPr>
    </w:p>
    <w:p w14:paraId="0AFCB3FA">
      <w:pPr>
        <w:spacing w:line="360" w:lineRule="auto"/>
        <w:jc w:val="center"/>
        <w:rPr>
          <w:rFonts w:hint="eastAsia" w:ascii="宋体" w:hAnsi="宋体" w:cs="宋体"/>
          <w:b/>
          <w:color w:val="auto"/>
          <w:sz w:val="44"/>
          <w:szCs w:val="44"/>
          <w:highlight w:val="none"/>
        </w:rPr>
      </w:pPr>
      <w:r>
        <w:rPr>
          <w:rFonts w:hint="eastAsia" w:ascii="宋体" w:hAnsi="宋体" w:cs="宋体"/>
          <w:b/>
          <w:bCs/>
          <w:color w:val="auto"/>
          <w:sz w:val="32"/>
          <w:szCs w:val="32"/>
          <w:highlight w:val="none"/>
        </w:rPr>
        <w:br w:type="page" w:clear="all"/>
      </w:r>
    </w:p>
    <w:p w14:paraId="3D41800B">
      <w:pPr>
        <w:spacing w:line="360" w:lineRule="auto"/>
        <w:jc w:val="center"/>
        <w:rPr>
          <w:rFonts w:hint="eastAsia" w:ascii="宋体" w:hAnsi="宋体" w:cs="宋体"/>
          <w:b/>
          <w:color w:val="auto"/>
          <w:sz w:val="44"/>
          <w:szCs w:val="44"/>
          <w:highlight w:val="none"/>
        </w:rPr>
      </w:pPr>
    </w:p>
    <w:p w14:paraId="0B8FC1AC">
      <w:pPr>
        <w:spacing w:line="360" w:lineRule="auto"/>
        <w:jc w:val="center"/>
        <w:rPr>
          <w:rFonts w:hint="eastAsia" w:ascii="宋体" w:hAnsi="宋体" w:cs="宋体"/>
          <w:b/>
          <w:color w:val="auto"/>
          <w:sz w:val="44"/>
          <w:szCs w:val="44"/>
          <w:highlight w:val="none"/>
        </w:rPr>
      </w:pPr>
      <w:r>
        <w:rPr>
          <w:rFonts w:hint="eastAsia" w:ascii="宋体" w:hAnsi="宋体" w:cs="宋体"/>
          <w:b/>
          <w:color w:val="auto"/>
          <w:sz w:val="44"/>
          <w:szCs w:val="44"/>
          <w:highlight w:val="none"/>
        </w:rPr>
        <w:t>目  录</w:t>
      </w:r>
    </w:p>
    <w:p w14:paraId="07279F48">
      <w:pPr>
        <w:spacing w:line="400" w:lineRule="exact"/>
        <w:jc w:val="center"/>
        <w:rPr>
          <w:rFonts w:hint="eastAsia" w:ascii="宋体" w:hAnsi="宋体" w:cs="宋体"/>
          <w:b/>
          <w:color w:val="auto"/>
          <w:sz w:val="44"/>
          <w:szCs w:val="44"/>
          <w:highlight w:val="none"/>
        </w:rPr>
      </w:pPr>
    </w:p>
    <w:p w14:paraId="471FA67A">
      <w:pPr>
        <w:pStyle w:val="239"/>
        <w:tabs>
          <w:tab w:val="right" w:leader="dot" w:pos="8869"/>
        </w:tabs>
        <w:spacing w:line="360" w:lineRule="auto"/>
        <w:rPr>
          <w:rFonts w:hint="eastAsia" w:ascii="宋体" w:hAnsi="宋体" w:cs="宋体"/>
          <w:b/>
          <w:color w:val="auto"/>
          <w:sz w:val="24"/>
          <w:highlight w:val="none"/>
        </w:rPr>
      </w:pPr>
      <w:r>
        <w:rPr>
          <w:rFonts w:hint="eastAsia" w:ascii="宋体" w:hAnsi="宋体" w:cs="宋体"/>
          <w:b/>
          <w:color w:val="auto"/>
          <w:sz w:val="24"/>
          <w:highlight w:val="none"/>
        </w:rPr>
        <w:fldChar w:fldCharType="begin"/>
      </w:r>
      <w:r>
        <w:rPr>
          <w:rFonts w:hint="eastAsia" w:ascii="宋体" w:hAnsi="宋体" w:cs="宋体"/>
          <w:b/>
          <w:color w:val="auto"/>
          <w:sz w:val="24"/>
          <w:highlight w:val="none"/>
        </w:rPr>
        <w:instrText xml:space="preserve"> TOC \o "1-3" \h \z \u </w:instrText>
      </w:r>
      <w:r>
        <w:rPr>
          <w:rFonts w:hint="eastAsia" w:ascii="宋体" w:hAnsi="宋体" w:cs="宋体"/>
          <w:b/>
          <w:color w:val="auto"/>
          <w:sz w:val="24"/>
          <w:highlight w:val="none"/>
        </w:rPr>
        <w:fldChar w:fldCharType="separate"/>
      </w:r>
      <w:r>
        <w:rPr>
          <w:color w:val="auto"/>
          <w:highlight w:val="none"/>
        </w:rPr>
        <w:fldChar w:fldCharType="begin"/>
      </w:r>
      <w:r>
        <w:rPr>
          <w:color w:val="auto"/>
          <w:highlight w:val="none"/>
        </w:rPr>
        <w:instrText xml:space="preserve"> HYPERLINK \l "_Toc122424244" </w:instrText>
      </w:r>
      <w:r>
        <w:rPr>
          <w:color w:val="auto"/>
          <w:highlight w:val="none"/>
        </w:rPr>
        <w:fldChar w:fldCharType="separate"/>
      </w:r>
      <w:r>
        <w:rPr>
          <w:rStyle w:val="262"/>
          <w:rFonts w:hint="eastAsia" w:ascii="宋体" w:hAnsi="宋体" w:cs="宋体"/>
          <w:b/>
          <w:color w:val="auto"/>
          <w:sz w:val="24"/>
          <w:highlight w:val="none"/>
        </w:rPr>
        <w:t>第一章 竞争性磋</w:t>
      </w:r>
      <w:bookmarkStart w:id="0" w:name="_Hlt128868353"/>
      <w:r>
        <w:rPr>
          <w:rStyle w:val="262"/>
          <w:rFonts w:hint="eastAsia" w:ascii="宋体" w:hAnsi="宋体" w:cs="宋体"/>
          <w:b/>
          <w:color w:val="auto"/>
          <w:sz w:val="24"/>
          <w:highlight w:val="none"/>
        </w:rPr>
        <w:t>商</w:t>
      </w:r>
      <w:bookmarkEnd w:id="0"/>
      <w:bookmarkStart w:id="1" w:name="_Hlt128869401"/>
      <w:bookmarkStart w:id="2" w:name="_Hlt128869402"/>
      <w:r>
        <w:rPr>
          <w:rStyle w:val="262"/>
          <w:rFonts w:hint="eastAsia" w:ascii="宋体" w:hAnsi="宋体" w:cs="宋体"/>
          <w:b/>
          <w:color w:val="auto"/>
          <w:sz w:val="24"/>
          <w:highlight w:val="none"/>
        </w:rPr>
        <w:t>公</w:t>
      </w:r>
      <w:bookmarkEnd w:id="1"/>
      <w:bookmarkEnd w:id="2"/>
      <w:r>
        <w:rPr>
          <w:rStyle w:val="262"/>
          <w:rFonts w:hint="eastAsia" w:ascii="宋体" w:hAnsi="宋体" w:cs="宋体"/>
          <w:b/>
          <w:color w:val="auto"/>
          <w:sz w:val="24"/>
          <w:highlight w:val="none"/>
        </w:rPr>
        <w:t>告</w:t>
      </w:r>
      <w:r>
        <w:rPr>
          <w:rFonts w:hint="eastAsia" w:ascii="宋体" w:hAnsi="宋体" w:cs="宋体"/>
          <w:b/>
          <w:color w:val="auto"/>
          <w:sz w:val="24"/>
          <w:highlight w:val="none"/>
        </w:rPr>
        <w:tab/>
      </w:r>
      <w:r>
        <w:rPr>
          <w:rFonts w:hint="eastAsia" w:ascii="宋体" w:hAnsi="宋体" w:cs="宋体"/>
          <w:b/>
          <w:color w:val="auto"/>
          <w:sz w:val="24"/>
          <w:highlight w:val="none"/>
        </w:rPr>
        <w:fldChar w:fldCharType="begin"/>
      </w:r>
      <w:r>
        <w:rPr>
          <w:rFonts w:hint="eastAsia" w:ascii="宋体" w:hAnsi="宋体" w:cs="宋体"/>
          <w:b/>
          <w:color w:val="auto"/>
          <w:sz w:val="24"/>
          <w:highlight w:val="none"/>
        </w:rPr>
        <w:instrText xml:space="preserve"> PAGEREF _Toc122424244 \h </w:instrText>
      </w:r>
      <w:r>
        <w:rPr>
          <w:rFonts w:hint="eastAsia" w:ascii="宋体" w:hAnsi="宋体" w:cs="宋体"/>
          <w:b/>
          <w:color w:val="auto"/>
          <w:sz w:val="24"/>
          <w:highlight w:val="none"/>
        </w:rPr>
        <w:fldChar w:fldCharType="separate"/>
      </w:r>
      <w:r>
        <w:rPr>
          <w:rFonts w:hint="eastAsia" w:ascii="宋体" w:hAnsi="宋体" w:cs="宋体"/>
          <w:b/>
          <w:color w:val="auto"/>
          <w:sz w:val="24"/>
          <w:highlight w:val="none"/>
        </w:rPr>
        <w:t>3</w:t>
      </w:r>
      <w:r>
        <w:rPr>
          <w:rFonts w:hint="eastAsia" w:ascii="宋体" w:hAnsi="宋体" w:cs="宋体"/>
          <w:b/>
          <w:color w:val="auto"/>
          <w:sz w:val="24"/>
          <w:highlight w:val="none"/>
        </w:rPr>
        <w:fldChar w:fldCharType="end"/>
      </w:r>
      <w:r>
        <w:rPr>
          <w:rFonts w:hint="eastAsia" w:ascii="宋体" w:hAnsi="宋体" w:cs="宋体"/>
          <w:b/>
          <w:color w:val="auto"/>
          <w:sz w:val="24"/>
          <w:highlight w:val="none"/>
        </w:rPr>
        <w:fldChar w:fldCharType="end"/>
      </w:r>
    </w:p>
    <w:p w14:paraId="0162FC08">
      <w:pPr>
        <w:pStyle w:val="239"/>
        <w:tabs>
          <w:tab w:val="right" w:leader="dot" w:pos="8869"/>
        </w:tabs>
        <w:spacing w:line="360" w:lineRule="auto"/>
        <w:rPr>
          <w:rFonts w:hint="eastAsia" w:ascii="宋体" w:hAnsi="宋体" w:cs="宋体"/>
          <w:b/>
          <w:color w:val="auto"/>
          <w:sz w:val="24"/>
          <w:highlight w:val="none"/>
        </w:rPr>
      </w:pPr>
      <w:r>
        <w:rPr>
          <w:color w:val="auto"/>
          <w:highlight w:val="none"/>
        </w:rPr>
        <w:fldChar w:fldCharType="begin"/>
      </w:r>
      <w:r>
        <w:rPr>
          <w:color w:val="auto"/>
          <w:highlight w:val="none"/>
        </w:rPr>
        <w:instrText xml:space="preserve"> HYPERLINK \l "_Toc122424245" </w:instrText>
      </w:r>
      <w:r>
        <w:rPr>
          <w:color w:val="auto"/>
          <w:highlight w:val="none"/>
        </w:rPr>
        <w:fldChar w:fldCharType="separate"/>
      </w:r>
      <w:r>
        <w:rPr>
          <w:rStyle w:val="262"/>
          <w:rFonts w:hint="eastAsia" w:ascii="宋体" w:hAnsi="宋体" w:cs="宋体"/>
          <w:b/>
          <w:color w:val="auto"/>
          <w:sz w:val="24"/>
          <w:highlight w:val="none"/>
        </w:rPr>
        <w:t>第二章 供应商须知</w:t>
      </w:r>
      <w:r>
        <w:rPr>
          <w:rFonts w:hint="eastAsia" w:ascii="宋体" w:hAnsi="宋体" w:cs="宋体"/>
          <w:b/>
          <w:color w:val="auto"/>
          <w:sz w:val="24"/>
          <w:highlight w:val="none"/>
        </w:rPr>
        <w:tab/>
      </w:r>
      <w:bookmarkStart w:id="3" w:name="_Hlt128867613"/>
      <w:bookmarkStart w:id="4" w:name="_Hlt128867612"/>
      <w:r>
        <w:rPr>
          <w:rFonts w:hint="eastAsia" w:ascii="宋体" w:hAnsi="宋体" w:cs="宋体"/>
          <w:b/>
          <w:color w:val="auto"/>
          <w:sz w:val="24"/>
          <w:highlight w:val="none"/>
        </w:rPr>
        <w:fldChar w:fldCharType="begin"/>
      </w:r>
      <w:r>
        <w:rPr>
          <w:rFonts w:hint="eastAsia" w:ascii="宋体" w:hAnsi="宋体" w:cs="宋体"/>
          <w:b/>
          <w:color w:val="auto"/>
          <w:sz w:val="24"/>
          <w:highlight w:val="none"/>
        </w:rPr>
        <w:instrText xml:space="preserve"> PAGEREF _Toc122424245 \h </w:instrText>
      </w:r>
      <w:r>
        <w:rPr>
          <w:rFonts w:hint="eastAsia" w:ascii="宋体" w:hAnsi="宋体" w:cs="宋体"/>
          <w:b/>
          <w:color w:val="auto"/>
          <w:sz w:val="24"/>
          <w:highlight w:val="none"/>
        </w:rPr>
        <w:fldChar w:fldCharType="separate"/>
      </w:r>
      <w:r>
        <w:rPr>
          <w:rFonts w:hint="eastAsia" w:ascii="宋体" w:hAnsi="宋体" w:cs="宋体"/>
          <w:b/>
          <w:color w:val="auto"/>
          <w:sz w:val="24"/>
          <w:highlight w:val="none"/>
        </w:rPr>
        <w:t>7</w:t>
      </w:r>
      <w:r>
        <w:rPr>
          <w:rFonts w:hint="eastAsia" w:ascii="宋体" w:hAnsi="宋体" w:cs="宋体"/>
          <w:b/>
          <w:color w:val="auto"/>
          <w:sz w:val="24"/>
          <w:highlight w:val="none"/>
        </w:rPr>
        <w:fldChar w:fldCharType="end"/>
      </w:r>
      <w:bookmarkEnd w:id="3"/>
      <w:bookmarkEnd w:id="4"/>
      <w:r>
        <w:rPr>
          <w:rFonts w:hint="eastAsia" w:ascii="宋体" w:hAnsi="宋体" w:cs="宋体"/>
          <w:b/>
          <w:color w:val="auto"/>
          <w:sz w:val="24"/>
          <w:highlight w:val="none"/>
        </w:rPr>
        <w:fldChar w:fldCharType="end"/>
      </w:r>
    </w:p>
    <w:p w14:paraId="785A8DF7">
      <w:pPr>
        <w:pStyle w:val="239"/>
        <w:tabs>
          <w:tab w:val="right" w:leader="dot" w:pos="8869"/>
        </w:tabs>
        <w:spacing w:line="360" w:lineRule="auto"/>
        <w:rPr>
          <w:rFonts w:hint="eastAsia" w:ascii="宋体" w:hAnsi="宋体" w:cs="宋体"/>
          <w:b/>
          <w:color w:val="auto"/>
          <w:sz w:val="24"/>
          <w:highlight w:val="none"/>
        </w:rPr>
      </w:pPr>
      <w:r>
        <w:rPr>
          <w:color w:val="auto"/>
          <w:highlight w:val="none"/>
        </w:rPr>
        <w:fldChar w:fldCharType="begin"/>
      </w:r>
      <w:r>
        <w:rPr>
          <w:color w:val="auto"/>
          <w:highlight w:val="none"/>
        </w:rPr>
        <w:instrText xml:space="preserve"> HYPERLINK \l "_Toc122424246" </w:instrText>
      </w:r>
      <w:r>
        <w:rPr>
          <w:color w:val="auto"/>
          <w:highlight w:val="none"/>
        </w:rPr>
        <w:fldChar w:fldCharType="separate"/>
      </w:r>
      <w:r>
        <w:rPr>
          <w:rStyle w:val="262"/>
          <w:rFonts w:hint="eastAsia" w:ascii="宋体" w:hAnsi="宋体" w:cs="宋体"/>
          <w:b/>
          <w:color w:val="auto"/>
          <w:sz w:val="24"/>
          <w:highlight w:val="none"/>
        </w:rPr>
        <w:t>第三章 采购需求</w:t>
      </w:r>
      <w:r>
        <w:rPr>
          <w:rFonts w:hint="eastAsia" w:ascii="宋体" w:hAnsi="宋体" w:cs="宋体"/>
          <w:b/>
          <w:color w:val="auto"/>
          <w:sz w:val="24"/>
          <w:highlight w:val="none"/>
        </w:rPr>
        <w:tab/>
      </w:r>
      <w:r>
        <w:rPr>
          <w:rFonts w:hint="eastAsia" w:ascii="宋体" w:hAnsi="宋体" w:cs="宋体"/>
          <w:b/>
          <w:color w:val="auto"/>
          <w:sz w:val="24"/>
          <w:highlight w:val="none"/>
        </w:rPr>
        <w:fldChar w:fldCharType="begin"/>
      </w:r>
      <w:r>
        <w:rPr>
          <w:rFonts w:hint="eastAsia" w:ascii="宋体" w:hAnsi="宋体" w:cs="宋体"/>
          <w:b/>
          <w:color w:val="auto"/>
          <w:sz w:val="24"/>
          <w:highlight w:val="none"/>
        </w:rPr>
        <w:instrText xml:space="preserve"> PAGEREF _Toc122424246 \h </w:instrText>
      </w:r>
      <w:r>
        <w:rPr>
          <w:rFonts w:hint="eastAsia" w:ascii="宋体" w:hAnsi="宋体" w:cs="宋体"/>
          <w:b/>
          <w:color w:val="auto"/>
          <w:sz w:val="24"/>
          <w:highlight w:val="none"/>
        </w:rPr>
        <w:fldChar w:fldCharType="separate"/>
      </w:r>
      <w:r>
        <w:rPr>
          <w:rFonts w:hint="eastAsia" w:ascii="宋体" w:hAnsi="宋体" w:cs="宋体"/>
          <w:b/>
          <w:color w:val="auto"/>
          <w:sz w:val="24"/>
          <w:highlight w:val="none"/>
        </w:rPr>
        <w:t>24</w:t>
      </w:r>
      <w:r>
        <w:rPr>
          <w:rFonts w:hint="eastAsia" w:ascii="宋体" w:hAnsi="宋体" w:cs="宋体"/>
          <w:b/>
          <w:color w:val="auto"/>
          <w:sz w:val="24"/>
          <w:highlight w:val="none"/>
        </w:rPr>
        <w:fldChar w:fldCharType="end"/>
      </w:r>
      <w:r>
        <w:rPr>
          <w:rFonts w:hint="eastAsia" w:ascii="宋体" w:hAnsi="宋体" w:cs="宋体"/>
          <w:b/>
          <w:color w:val="auto"/>
          <w:sz w:val="24"/>
          <w:highlight w:val="none"/>
        </w:rPr>
        <w:fldChar w:fldCharType="end"/>
      </w:r>
    </w:p>
    <w:p w14:paraId="7FEC9BB6">
      <w:pPr>
        <w:pStyle w:val="239"/>
        <w:tabs>
          <w:tab w:val="right" w:leader="dot" w:pos="8869"/>
        </w:tabs>
        <w:spacing w:line="360" w:lineRule="auto"/>
        <w:rPr>
          <w:rFonts w:hint="eastAsia" w:ascii="宋体" w:hAnsi="宋体" w:cs="宋体"/>
          <w:b/>
          <w:color w:val="auto"/>
          <w:sz w:val="24"/>
          <w:highlight w:val="none"/>
        </w:rPr>
      </w:pPr>
      <w:r>
        <w:rPr>
          <w:color w:val="auto"/>
          <w:highlight w:val="none"/>
        </w:rPr>
        <w:fldChar w:fldCharType="begin"/>
      </w:r>
      <w:r>
        <w:rPr>
          <w:color w:val="auto"/>
          <w:highlight w:val="none"/>
        </w:rPr>
        <w:instrText xml:space="preserve"> HYPERLINK \l "_Toc122424247" </w:instrText>
      </w:r>
      <w:r>
        <w:rPr>
          <w:color w:val="auto"/>
          <w:highlight w:val="none"/>
        </w:rPr>
        <w:fldChar w:fldCharType="separate"/>
      </w:r>
      <w:r>
        <w:rPr>
          <w:rStyle w:val="262"/>
          <w:rFonts w:hint="eastAsia" w:ascii="宋体" w:hAnsi="宋体" w:cs="宋体"/>
          <w:b/>
          <w:color w:val="auto"/>
          <w:sz w:val="24"/>
          <w:highlight w:val="none"/>
        </w:rPr>
        <w:t>第四章 评审程</w:t>
      </w:r>
      <w:bookmarkStart w:id="5" w:name="_Hlt136867100"/>
      <w:r>
        <w:rPr>
          <w:rStyle w:val="262"/>
          <w:rFonts w:hint="eastAsia" w:ascii="宋体" w:hAnsi="宋体" w:cs="宋体"/>
          <w:b/>
          <w:color w:val="auto"/>
          <w:sz w:val="24"/>
          <w:highlight w:val="none"/>
        </w:rPr>
        <w:t>序</w:t>
      </w:r>
      <w:bookmarkEnd w:id="5"/>
      <w:r>
        <w:rPr>
          <w:rStyle w:val="262"/>
          <w:rFonts w:hint="eastAsia" w:ascii="宋体" w:hAnsi="宋体" w:cs="宋体"/>
          <w:b/>
          <w:color w:val="auto"/>
          <w:sz w:val="24"/>
          <w:highlight w:val="none"/>
        </w:rPr>
        <w:t>、评审方法和评审标准</w:t>
      </w:r>
      <w:r>
        <w:rPr>
          <w:rFonts w:hint="eastAsia" w:ascii="宋体" w:hAnsi="宋体" w:cs="宋体"/>
          <w:b/>
          <w:color w:val="auto"/>
          <w:sz w:val="24"/>
          <w:highlight w:val="none"/>
        </w:rPr>
        <w:tab/>
      </w:r>
      <w:r>
        <w:rPr>
          <w:rFonts w:hint="eastAsia" w:ascii="宋体" w:hAnsi="宋体" w:cs="宋体"/>
          <w:b/>
          <w:color w:val="auto"/>
          <w:sz w:val="24"/>
          <w:highlight w:val="none"/>
        </w:rPr>
        <w:t>3</w:t>
      </w:r>
      <w:r>
        <w:rPr>
          <w:rFonts w:hint="eastAsia" w:ascii="宋体" w:hAnsi="宋体" w:cs="宋体"/>
          <w:b/>
          <w:color w:val="auto"/>
          <w:sz w:val="24"/>
          <w:highlight w:val="none"/>
        </w:rPr>
        <w:fldChar w:fldCharType="end"/>
      </w:r>
      <w:r>
        <w:rPr>
          <w:rFonts w:hint="eastAsia" w:ascii="宋体" w:hAnsi="宋体" w:cs="宋体"/>
          <w:b/>
          <w:color w:val="auto"/>
          <w:sz w:val="24"/>
          <w:highlight w:val="none"/>
        </w:rPr>
        <w:t>1</w:t>
      </w:r>
    </w:p>
    <w:p w14:paraId="191FEA43">
      <w:pPr>
        <w:pStyle w:val="239"/>
        <w:tabs>
          <w:tab w:val="right" w:leader="dot" w:pos="8869"/>
        </w:tabs>
        <w:spacing w:line="360" w:lineRule="auto"/>
        <w:rPr>
          <w:rFonts w:hint="eastAsia" w:ascii="宋体" w:hAnsi="宋体" w:cs="宋体"/>
          <w:b/>
          <w:color w:val="auto"/>
          <w:sz w:val="24"/>
          <w:highlight w:val="none"/>
        </w:rPr>
      </w:pPr>
      <w:r>
        <w:rPr>
          <w:color w:val="auto"/>
          <w:highlight w:val="none"/>
        </w:rPr>
        <w:fldChar w:fldCharType="begin"/>
      </w:r>
      <w:r>
        <w:rPr>
          <w:color w:val="auto"/>
          <w:highlight w:val="none"/>
        </w:rPr>
        <w:instrText xml:space="preserve"> HYPERLINK \l "_Toc122424248" </w:instrText>
      </w:r>
      <w:r>
        <w:rPr>
          <w:color w:val="auto"/>
          <w:highlight w:val="none"/>
        </w:rPr>
        <w:fldChar w:fldCharType="separate"/>
      </w:r>
      <w:r>
        <w:rPr>
          <w:rStyle w:val="262"/>
          <w:rFonts w:hint="eastAsia" w:ascii="宋体" w:hAnsi="宋体" w:cs="宋体"/>
          <w:b/>
          <w:color w:val="auto"/>
          <w:sz w:val="24"/>
          <w:highlight w:val="none"/>
        </w:rPr>
        <w:t>第五章 工程量清单及图纸</w:t>
      </w:r>
      <w:r>
        <w:rPr>
          <w:rFonts w:hint="eastAsia" w:ascii="宋体" w:hAnsi="宋体" w:cs="宋体"/>
          <w:b/>
          <w:color w:val="auto"/>
          <w:sz w:val="24"/>
          <w:highlight w:val="none"/>
        </w:rPr>
        <w:tab/>
      </w:r>
      <w:r>
        <w:rPr>
          <w:rFonts w:hint="eastAsia" w:ascii="宋体" w:hAnsi="宋体" w:cs="宋体"/>
          <w:b/>
          <w:color w:val="auto"/>
          <w:sz w:val="24"/>
          <w:highlight w:val="none"/>
        </w:rPr>
        <w:fldChar w:fldCharType="begin"/>
      </w:r>
      <w:r>
        <w:rPr>
          <w:rFonts w:hint="eastAsia" w:ascii="宋体" w:hAnsi="宋体" w:cs="宋体"/>
          <w:b/>
          <w:color w:val="auto"/>
          <w:sz w:val="24"/>
          <w:highlight w:val="none"/>
        </w:rPr>
        <w:instrText xml:space="preserve"> PAGEREF _Toc122424248 \h </w:instrText>
      </w:r>
      <w:r>
        <w:rPr>
          <w:rFonts w:hint="eastAsia" w:ascii="宋体" w:hAnsi="宋体" w:cs="宋体"/>
          <w:b/>
          <w:color w:val="auto"/>
          <w:sz w:val="24"/>
          <w:highlight w:val="none"/>
        </w:rPr>
        <w:fldChar w:fldCharType="separate"/>
      </w:r>
      <w:r>
        <w:rPr>
          <w:rFonts w:hint="eastAsia" w:ascii="宋体" w:hAnsi="宋体" w:cs="宋体"/>
          <w:b/>
          <w:color w:val="auto"/>
          <w:sz w:val="24"/>
          <w:highlight w:val="none"/>
        </w:rPr>
        <w:t>39</w:t>
      </w:r>
      <w:r>
        <w:rPr>
          <w:rFonts w:hint="eastAsia" w:ascii="宋体" w:hAnsi="宋体" w:cs="宋体"/>
          <w:b/>
          <w:color w:val="auto"/>
          <w:sz w:val="24"/>
          <w:highlight w:val="none"/>
        </w:rPr>
        <w:fldChar w:fldCharType="end"/>
      </w:r>
      <w:r>
        <w:rPr>
          <w:rFonts w:hint="eastAsia" w:ascii="宋体" w:hAnsi="宋体" w:cs="宋体"/>
          <w:b/>
          <w:color w:val="auto"/>
          <w:sz w:val="24"/>
          <w:highlight w:val="none"/>
        </w:rPr>
        <w:fldChar w:fldCharType="end"/>
      </w:r>
    </w:p>
    <w:p w14:paraId="12915AC3">
      <w:pPr>
        <w:pStyle w:val="239"/>
        <w:tabs>
          <w:tab w:val="right" w:leader="dot" w:pos="8869"/>
        </w:tabs>
        <w:spacing w:line="360" w:lineRule="auto"/>
        <w:rPr>
          <w:rFonts w:hint="eastAsia" w:ascii="宋体" w:hAnsi="宋体" w:cs="宋体"/>
          <w:b/>
          <w:color w:val="auto"/>
          <w:sz w:val="24"/>
          <w:highlight w:val="none"/>
        </w:rPr>
      </w:pPr>
      <w:r>
        <w:rPr>
          <w:color w:val="auto"/>
          <w:highlight w:val="none"/>
        </w:rPr>
        <w:fldChar w:fldCharType="begin"/>
      </w:r>
      <w:r>
        <w:rPr>
          <w:color w:val="auto"/>
          <w:highlight w:val="none"/>
        </w:rPr>
        <w:instrText xml:space="preserve"> HYPERLINK \l "_Toc122424265" </w:instrText>
      </w:r>
      <w:r>
        <w:rPr>
          <w:color w:val="auto"/>
          <w:highlight w:val="none"/>
        </w:rPr>
        <w:fldChar w:fldCharType="separate"/>
      </w:r>
      <w:r>
        <w:rPr>
          <w:rStyle w:val="262"/>
          <w:rFonts w:hint="eastAsia" w:ascii="宋体" w:hAnsi="宋体" w:cs="宋体"/>
          <w:b/>
          <w:color w:val="auto"/>
          <w:sz w:val="24"/>
          <w:highlight w:val="none"/>
        </w:rPr>
        <w:t>第六章 响应</w:t>
      </w:r>
      <w:bookmarkStart w:id="6" w:name="_Hlt128867654"/>
      <w:r>
        <w:rPr>
          <w:rStyle w:val="262"/>
          <w:rFonts w:hint="eastAsia" w:ascii="宋体" w:hAnsi="宋体" w:cs="宋体"/>
          <w:b/>
          <w:color w:val="auto"/>
          <w:sz w:val="24"/>
          <w:highlight w:val="none"/>
        </w:rPr>
        <w:t>文</w:t>
      </w:r>
      <w:bookmarkEnd w:id="6"/>
      <w:r>
        <w:rPr>
          <w:rStyle w:val="262"/>
          <w:rFonts w:hint="eastAsia" w:ascii="宋体" w:hAnsi="宋体" w:cs="宋体"/>
          <w:b/>
          <w:color w:val="auto"/>
          <w:sz w:val="24"/>
          <w:highlight w:val="none"/>
        </w:rPr>
        <w:t>件格式</w:t>
      </w:r>
      <w:r>
        <w:rPr>
          <w:rFonts w:hint="eastAsia" w:ascii="宋体" w:hAnsi="宋体" w:cs="宋体"/>
          <w:b/>
          <w:color w:val="auto"/>
          <w:sz w:val="24"/>
          <w:highlight w:val="none"/>
        </w:rPr>
        <w:tab/>
      </w:r>
      <w:r>
        <w:rPr>
          <w:rFonts w:hint="eastAsia" w:ascii="宋体" w:hAnsi="宋体" w:cs="宋体"/>
          <w:b/>
          <w:color w:val="auto"/>
          <w:sz w:val="24"/>
          <w:highlight w:val="none"/>
        </w:rPr>
        <w:fldChar w:fldCharType="begin"/>
      </w:r>
      <w:r>
        <w:rPr>
          <w:rFonts w:hint="eastAsia" w:ascii="宋体" w:hAnsi="宋体" w:cs="宋体"/>
          <w:b/>
          <w:color w:val="auto"/>
          <w:sz w:val="24"/>
          <w:highlight w:val="none"/>
        </w:rPr>
        <w:instrText xml:space="preserve"> PAGEREF _Toc122424265 \h </w:instrText>
      </w:r>
      <w:r>
        <w:rPr>
          <w:rFonts w:hint="eastAsia" w:ascii="宋体" w:hAnsi="宋体" w:cs="宋体"/>
          <w:b/>
          <w:color w:val="auto"/>
          <w:sz w:val="24"/>
          <w:highlight w:val="none"/>
        </w:rPr>
        <w:fldChar w:fldCharType="separate"/>
      </w:r>
      <w:r>
        <w:rPr>
          <w:rFonts w:hint="eastAsia" w:ascii="宋体" w:hAnsi="宋体" w:cs="宋体"/>
          <w:b/>
          <w:color w:val="auto"/>
          <w:sz w:val="24"/>
          <w:highlight w:val="none"/>
        </w:rPr>
        <w:t>43</w:t>
      </w:r>
      <w:r>
        <w:rPr>
          <w:rFonts w:hint="eastAsia" w:ascii="宋体" w:hAnsi="宋体" w:cs="宋体"/>
          <w:b/>
          <w:color w:val="auto"/>
          <w:sz w:val="24"/>
          <w:highlight w:val="none"/>
        </w:rPr>
        <w:fldChar w:fldCharType="end"/>
      </w:r>
      <w:r>
        <w:rPr>
          <w:rFonts w:hint="eastAsia" w:ascii="宋体" w:hAnsi="宋体" w:cs="宋体"/>
          <w:b/>
          <w:color w:val="auto"/>
          <w:sz w:val="24"/>
          <w:highlight w:val="none"/>
        </w:rPr>
        <w:fldChar w:fldCharType="end"/>
      </w:r>
    </w:p>
    <w:p w14:paraId="15A44D70">
      <w:pPr>
        <w:pStyle w:val="239"/>
        <w:tabs>
          <w:tab w:val="right" w:leader="dot" w:pos="8869"/>
        </w:tabs>
        <w:spacing w:line="360" w:lineRule="auto"/>
        <w:rPr>
          <w:rFonts w:hint="eastAsia" w:ascii="宋体" w:hAnsi="宋体" w:cs="宋体"/>
          <w:b/>
          <w:color w:val="auto"/>
          <w:sz w:val="24"/>
          <w:highlight w:val="none"/>
        </w:rPr>
      </w:pPr>
      <w:r>
        <w:rPr>
          <w:color w:val="auto"/>
          <w:highlight w:val="none"/>
        </w:rPr>
        <w:fldChar w:fldCharType="begin"/>
      </w:r>
      <w:r>
        <w:rPr>
          <w:color w:val="auto"/>
          <w:highlight w:val="none"/>
        </w:rPr>
        <w:instrText xml:space="preserve"> HYPERLINK \l "_Toc122424267" </w:instrText>
      </w:r>
      <w:r>
        <w:rPr>
          <w:color w:val="auto"/>
          <w:highlight w:val="none"/>
        </w:rPr>
        <w:fldChar w:fldCharType="separate"/>
      </w:r>
      <w:r>
        <w:rPr>
          <w:rStyle w:val="262"/>
          <w:rFonts w:hint="eastAsia" w:ascii="宋体" w:hAnsi="宋体" w:cs="宋体"/>
          <w:b/>
          <w:color w:val="auto"/>
          <w:sz w:val="24"/>
          <w:highlight w:val="none"/>
        </w:rPr>
        <w:t>第七章 合</w:t>
      </w:r>
      <w:bookmarkStart w:id="7" w:name="_Hlt128867661"/>
      <w:r>
        <w:rPr>
          <w:rStyle w:val="262"/>
          <w:rFonts w:hint="eastAsia" w:ascii="宋体" w:hAnsi="宋体" w:cs="宋体"/>
          <w:b/>
          <w:color w:val="auto"/>
          <w:sz w:val="24"/>
          <w:highlight w:val="none"/>
        </w:rPr>
        <w:t>同</w:t>
      </w:r>
      <w:bookmarkEnd w:id="7"/>
      <w:r>
        <w:rPr>
          <w:rStyle w:val="262"/>
          <w:rFonts w:hint="eastAsia" w:ascii="宋体" w:hAnsi="宋体" w:cs="宋体"/>
          <w:b/>
          <w:color w:val="auto"/>
          <w:sz w:val="24"/>
          <w:highlight w:val="none"/>
        </w:rPr>
        <w:t>文本</w:t>
      </w:r>
      <w:r>
        <w:rPr>
          <w:rFonts w:hint="eastAsia" w:ascii="宋体" w:hAnsi="宋体" w:cs="宋体"/>
          <w:b/>
          <w:color w:val="auto"/>
          <w:sz w:val="24"/>
          <w:highlight w:val="none"/>
        </w:rPr>
        <w:tab/>
      </w:r>
      <w:r>
        <w:rPr>
          <w:rFonts w:hint="eastAsia" w:ascii="宋体" w:hAnsi="宋体" w:cs="宋体"/>
          <w:b/>
          <w:color w:val="auto"/>
          <w:sz w:val="24"/>
          <w:highlight w:val="none"/>
        </w:rPr>
        <w:fldChar w:fldCharType="begin"/>
      </w:r>
      <w:r>
        <w:rPr>
          <w:rFonts w:hint="eastAsia" w:ascii="宋体" w:hAnsi="宋体" w:cs="宋体"/>
          <w:b/>
          <w:color w:val="auto"/>
          <w:sz w:val="24"/>
          <w:highlight w:val="none"/>
        </w:rPr>
        <w:instrText xml:space="preserve"> PAGEREF _Toc122424267 \h </w:instrText>
      </w:r>
      <w:r>
        <w:rPr>
          <w:rFonts w:hint="eastAsia" w:ascii="宋体" w:hAnsi="宋体" w:cs="宋体"/>
          <w:b/>
          <w:color w:val="auto"/>
          <w:sz w:val="24"/>
          <w:highlight w:val="none"/>
        </w:rPr>
        <w:fldChar w:fldCharType="separate"/>
      </w:r>
      <w:r>
        <w:rPr>
          <w:rFonts w:hint="eastAsia" w:ascii="宋体" w:hAnsi="宋体" w:cs="宋体"/>
          <w:b/>
          <w:color w:val="auto"/>
          <w:sz w:val="24"/>
          <w:highlight w:val="none"/>
        </w:rPr>
        <w:t>73</w:t>
      </w:r>
      <w:r>
        <w:rPr>
          <w:rFonts w:hint="eastAsia" w:ascii="宋体" w:hAnsi="宋体" w:cs="宋体"/>
          <w:b/>
          <w:color w:val="auto"/>
          <w:sz w:val="24"/>
          <w:highlight w:val="none"/>
        </w:rPr>
        <w:fldChar w:fldCharType="end"/>
      </w:r>
      <w:r>
        <w:rPr>
          <w:rFonts w:hint="eastAsia" w:ascii="宋体" w:hAnsi="宋体" w:cs="宋体"/>
          <w:b/>
          <w:color w:val="auto"/>
          <w:sz w:val="24"/>
          <w:highlight w:val="none"/>
        </w:rPr>
        <w:fldChar w:fldCharType="end"/>
      </w:r>
    </w:p>
    <w:p w14:paraId="74D42AE3">
      <w:pPr>
        <w:pStyle w:val="239"/>
        <w:tabs>
          <w:tab w:val="right" w:leader="dot" w:pos="8869"/>
        </w:tabs>
        <w:spacing w:line="360" w:lineRule="auto"/>
        <w:rPr>
          <w:rFonts w:hint="eastAsia" w:ascii="宋体" w:hAnsi="宋体" w:cs="宋体"/>
          <w:b/>
          <w:color w:val="auto"/>
          <w:sz w:val="24"/>
          <w:highlight w:val="none"/>
        </w:rPr>
      </w:pPr>
      <w:r>
        <w:rPr>
          <w:rFonts w:hint="eastAsia" w:ascii="宋体" w:hAnsi="宋体" w:cs="宋体"/>
          <w:b/>
          <w:color w:val="auto"/>
          <w:sz w:val="24"/>
          <w:highlight w:val="none"/>
        </w:rPr>
        <w:fldChar w:fldCharType="end"/>
      </w:r>
    </w:p>
    <w:p w14:paraId="676BA7AD">
      <w:pPr>
        <w:spacing w:line="360" w:lineRule="auto"/>
        <w:jc w:val="left"/>
        <w:rPr>
          <w:rFonts w:hint="eastAsia" w:ascii="宋体" w:hAnsi="宋体" w:cs="宋体"/>
          <w:b/>
          <w:color w:val="auto"/>
          <w:sz w:val="32"/>
          <w:szCs w:val="32"/>
          <w:highlight w:val="none"/>
        </w:rPr>
      </w:pPr>
    </w:p>
    <w:p w14:paraId="40442055">
      <w:pPr>
        <w:spacing w:line="400" w:lineRule="exact"/>
        <w:jc w:val="center"/>
        <w:rPr>
          <w:rFonts w:hint="eastAsia" w:ascii="宋体" w:hAnsi="宋体" w:cs="宋体"/>
          <w:b/>
          <w:color w:val="auto"/>
          <w:sz w:val="32"/>
          <w:szCs w:val="32"/>
          <w:highlight w:val="none"/>
        </w:rPr>
      </w:pPr>
    </w:p>
    <w:p w14:paraId="223B1B02">
      <w:pPr>
        <w:spacing w:line="400" w:lineRule="exact"/>
        <w:jc w:val="center"/>
        <w:rPr>
          <w:rFonts w:hint="eastAsia" w:ascii="宋体" w:hAnsi="宋体" w:cs="宋体"/>
          <w:b/>
          <w:color w:val="auto"/>
          <w:sz w:val="32"/>
          <w:szCs w:val="32"/>
          <w:highlight w:val="none"/>
        </w:rPr>
      </w:pPr>
    </w:p>
    <w:p w14:paraId="09C7C93B">
      <w:pPr>
        <w:spacing w:line="400" w:lineRule="exact"/>
        <w:jc w:val="center"/>
        <w:rPr>
          <w:rFonts w:hint="eastAsia" w:ascii="宋体" w:hAnsi="宋体" w:cs="宋体"/>
          <w:b/>
          <w:color w:val="auto"/>
          <w:sz w:val="32"/>
          <w:szCs w:val="32"/>
          <w:highlight w:val="none"/>
        </w:rPr>
      </w:pPr>
    </w:p>
    <w:p w14:paraId="35F62E3D">
      <w:pPr>
        <w:spacing w:line="400" w:lineRule="exact"/>
        <w:jc w:val="center"/>
        <w:rPr>
          <w:rFonts w:hint="eastAsia" w:ascii="宋体" w:hAnsi="宋体" w:cs="宋体"/>
          <w:b/>
          <w:color w:val="auto"/>
          <w:sz w:val="32"/>
          <w:szCs w:val="32"/>
          <w:highlight w:val="none"/>
        </w:rPr>
      </w:pPr>
    </w:p>
    <w:p w14:paraId="78166A1C">
      <w:pPr>
        <w:spacing w:line="400" w:lineRule="exact"/>
        <w:rPr>
          <w:rFonts w:hint="eastAsia" w:ascii="宋体" w:hAnsi="宋体" w:cs="宋体"/>
          <w:b/>
          <w:color w:val="auto"/>
          <w:sz w:val="32"/>
          <w:szCs w:val="32"/>
          <w:highlight w:val="none"/>
        </w:rPr>
        <w:sectPr>
          <w:headerReference r:id="rId5" w:type="first"/>
          <w:footerReference r:id="rId7" w:type="first"/>
          <w:headerReference r:id="rId4" w:type="default"/>
          <w:footerReference r:id="rId6" w:type="default"/>
          <w:pgSz w:w="11906" w:h="16838"/>
          <w:pgMar w:top="1440" w:right="1440" w:bottom="1440" w:left="1587" w:header="851" w:footer="992" w:gutter="0"/>
          <w:cols w:space="1701" w:num="1"/>
          <w:titlePg/>
        </w:sectPr>
      </w:pPr>
    </w:p>
    <w:p w14:paraId="32896A4A">
      <w:pPr>
        <w:pStyle w:val="187"/>
        <w:spacing w:after="340" w:line="360" w:lineRule="auto"/>
        <w:jc w:val="center"/>
        <w:rPr>
          <w:rFonts w:hint="eastAsia" w:ascii="宋体" w:hAnsi="宋体" w:cs="宋体"/>
          <w:color w:val="auto"/>
          <w:highlight w:val="none"/>
        </w:rPr>
      </w:pPr>
      <w:bookmarkStart w:id="8" w:name="_Toc122424244"/>
      <w:r>
        <w:rPr>
          <w:rFonts w:hint="eastAsia" w:ascii="宋体" w:hAnsi="宋体" w:cs="宋体"/>
          <w:color w:val="auto"/>
          <w:highlight w:val="none"/>
        </w:rPr>
        <w:t>第一章 竞争性磋商公告</w:t>
      </w:r>
      <w:bookmarkEnd w:id="8"/>
    </w:p>
    <w:p w14:paraId="00C16E9C">
      <w:pPr>
        <w:spacing w:line="460" w:lineRule="exact"/>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竞争性磋商公告（远程异地评标）</w:t>
      </w:r>
    </w:p>
    <w:p w14:paraId="0BDD87EE">
      <w:pPr>
        <w:spacing w:line="360" w:lineRule="auto"/>
        <w:rPr>
          <w:rFonts w:hint="eastAsia" w:ascii="宋体" w:hAnsi="宋体" w:cs="宋体"/>
          <w:color w:val="auto"/>
          <w:szCs w:val="21"/>
          <w:highlight w:val="none"/>
        </w:rPr>
      </w:pPr>
    </w:p>
    <w:p w14:paraId="67987546">
      <w:pPr>
        <w:pBdr>
          <w:top w:val="single" w:color="000000" w:sz="4" w:space="1"/>
          <w:left w:val="single" w:color="000000" w:sz="4" w:space="4"/>
          <w:bottom w:val="single" w:color="000000" w:sz="4" w:space="1"/>
          <w:right w:val="single" w:color="000000" w:sz="4" w:space="4"/>
        </w:pBdr>
        <w:spacing w:line="360" w:lineRule="auto"/>
        <w:ind w:firstLine="420"/>
        <w:rPr>
          <w:rFonts w:hint="eastAsia" w:ascii="宋体" w:hAnsi="宋体" w:cs="宋体"/>
          <w:color w:val="auto"/>
          <w:szCs w:val="21"/>
          <w:highlight w:val="none"/>
        </w:rPr>
      </w:pPr>
      <w:bookmarkStart w:id="9" w:name="_Hlk37430271"/>
      <w:r>
        <w:rPr>
          <w:rFonts w:hint="eastAsia" w:ascii="宋体" w:hAnsi="宋体" w:cs="宋体"/>
          <w:color w:val="auto"/>
          <w:szCs w:val="21"/>
          <w:highlight w:val="none"/>
        </w:rPr>
        <w:t>项目概况</w:t>
      </w:r>
    </w:p>
    <w:p w14:paraId="79C5722C">
      <w:pPr>
        <w:pBdr>
          <w:top w:val="single" w:color="000000" w:sz="4" w:space="1"/>
          <w:left w:val="single" w:color="000000" w:sz="4" w:space="4"/>
          <w:bottom w:val="single" w:color="000000" w:sz="4" w:space="1"/>
          <w:right w:val="single" w:color="000000" w:sz="4" w:space="4"/>
        </w:pBd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筋竹镇中围村高山脚至石龙村掘坑道路硬化项目</w:t>
      </w:r>
      <w:r>
        <w:rPr>
          <w:rFonts w:hint="eastAsia" w:ascii="宋体" w:hAnsi="宋体" w:cs="宋体"/>
          <w:color w:val="auto"/>
          <w:szCs w:val="21"/>
          <w:highlight w:val="none"/>
        </w:rPr>
        <w:t>的潜在供应商应在广西政府采购云平台（https://www.gcy.zfcg.gxzf.gov.cn/）获取（下载）竞争性磋商文件，并于</w:t>
      </w:r>
      <w:r>
        <w:rPr>
          <w:rFonts w:hint="eastAsia" w:ascii="宋体" w:hAnsi="宋体" w:cs="宋体"/>
          <w:bCs/>
          <w:color w:val="auto"/>
          <w:szCs w:val="21"/>
          <w:highlight w:val="none"/>
        </w:rPr>
        <w:t>2026年</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u w:val="single"/>
          <w:lang w:val="en-US" w:eastAsia="zh-CN"/>
        </w:rPr>
        <w:t>6</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月</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u w:val="single"/>
          <w:lang w:val="en-US" w:eastAsia="zh-CN"/>
        </w:rPr>
        <w:t>10</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日</w:t>
      </w:r>
      <w:r>
        <w:rPr>
          <w:rFonts w:hint="eastAsia" w:ascii="宋体" w:hAnsi="宋体" w:cs="宋体"/>
          <w:bCs/>
          <w:color w:val="auto"/>
          <w:szCs w:val="21"/>
          <w:highlight w:val="none"/>
          <w:u w:val="single"/>
        </w:rPr>
        <w:t xml:space="preserve"> 9 </w:t>
      </w:r>
      <w:r>
        <w:rPr>
          <w:rFonts w:hint="eastAsia" w:ascii="宋体" w:hAnsi="宋体" w:cs="宋体"/>
          <w:bCs/>
          <w:color w:val="auto"/>
          <w:szCs w:val="21"/>
          <w:highlight w:val="none"/>
        </w:rPr>
        <w:t>时</w:t>
      </w:r>
      <w:r>
        <w:rPr>
          <w:rFonts w:hint="eastAsia" w:ascii="宋体" w:hAnsi="宋体" w:cs="宋体"/>
          <w:bCs/>
          <w:color w:val="auto"/>
          <w:szCs w:val="21"/>
          <w:highlight w:val="none"/>
          <w:u w:val="single"/>
        </w:rPr>
        <w:t>00</w:t>
      </w:r>
      <w:r>
        <w:rPr>
          <w:rFonts w:hint="eastAsia" w:ascii="宋体" w:hAnsi="宋体" w:cs="宋体"/>
          <w:bCs/>
          <w:color w:val="auto"/>
          <w:szCs w:val="21"/>
          <w:highlight w:val="none"/>
        </w:rPr>
        <w:t>分（北京时间）前提交（上传）</w:t>
      </w:r>
      <w:r>
        <w:rPr>
          <w:rFonts w:hint="eastAsia" w:ascii="宋体" w:hAnsi="宋体" w:cs="宋体"/>
          <w:color w:val="auto"/>
          <w:szCs w:val="21"/>
          <w:highlight w:val="none"/>
        </w:rPr>
        <w:t>响应</w:t>
      </w:r>
      <w:r>
        <w:rPr>
          <w:rFonts w:hint="eastAsia" w:ascii="宋体" w:hAnsi="宋体" w:cs="宋体"/>
          <w:bCs/>
          <w:color w:val="auto"/>
          <w:szCs w:val="21"/>
          <w:highlight w:val="none"/>
        </w:rPr>
        <w:t>文件</w:t>
      </w:r>
      <w:r>
        <w:rPr>
          <w:rFonts w:hint="eastAsia" w:ascii="宋体" w:hAnsi="宋体" w:cs="宋体"/>
          <w:color w:val="auto"/>
          <w:szCs w:val="21"/>
          <w:highlight w:val="none"/>
        </w:rPr>
        <w:t>。</w:t>
      </w:r>
    </w:p>
    <w:p w14:paraId="607A92A1">
      <w:pPr>
        <w:spacing w:line="360" w:lineRule="auto"/>
        <w:ind w:firstLine="354"/>
        <w:rPr>
          <w:rFonts w:hint="eastAsia" w:ascii="宋体" w:hAnsi="宋体" w:cs="宋体"/>
          <w:b/>
          <w:color w:val="auto"/>
          <w:sz w:val="24"/>
          <w:highlight w:val="none"/>
        </w:rPr>
      </w:pPr>
      <w:bookmarkStart w:id="10" w:name="_Toc35393798"/>
      <w:bookmarkStart w:id="11" w:name="_Toc28359012"/>
      <w:bookmarkStart w:id="12" w:name="_Toc71365905"/>
      <w:bookmarkStart w:id="13" w:name="_Toc44229878"/>
      <w:bookmarkStart w:id="14" w:name="_Toc35393629"/>
      <w:bookmarkStart w:id="15" w:name="_Toc28359089"/>
      <w:r>
        <w:rPr>
          <w:rFonts w:hint="eastAsia" w:ascii="宋体" w:hAnsi="宋体" w:cs="宋体"/>
          <w:b/>
          <w:color w:val="auto"/>
          <w:sz w:val="24"/>
          <w:highlight w:val="none"/>
        </w:rPr>
        <w:t>一、项目基本情况</w:t>
      </w:r>
      <w:bookmarkEnd w:id="9"/>
      <w:bookmarkEnd w:id="10"/>
      <w:bookmarkEnd w:id="11"/>
      <w:bookmarkEnd w:id="12"/>
      <w:bookmarkEnd w:id="13"/>
      <w:bookmarkEnd w:id="14"/>
    </w:p>
    <w:p w14:paraId="621D9D80">
      <w:pPr>
        <w:spacing w:line="360" w:lineRule="auto"/>
        <w:ind w:firstLine="420"/>
        <w:rPr>
          <w:rFonts w:hint="eastAsia" w:ascii="宋体" w:hAnsi="宋体"/>
          <w:color w:val="auto"/>
          <w:szCs w:val="21"/>
          <w:highlight w:val="none"/>
        </w:rPr>
      </w:pPr>
      <w:bookmarkStart w:id="16" w:name="_Toc35393630"/>
      <w:bookmarkStart w:id="17" w:name="_Toc35393799"/>
      <w:bookmarkStart w:id="18" w:name="_Toc71365906"/>
      <w:bookmarkStart w:id="19" w:name="_Toc28359090"/>
      <w:bookmarkStart w:id="20" w:name="_Toc28359013"/>
      <w:bookmarkStart w:id="21" w:name="_Toc44229879"/>
      <w:r>
        <w:rPr>
          <w:rFonts w:hint="eastAsia" w:ascii="宋体" w:hAnsi="宋体"/>
          <w:color w:val="auto"/>
          <w:szCs w:val="21"/>
          <w:highlight w:val="none"/>
        </w:rPr>
        <w:t>项目编号：WZZC2026-C2-810056-YZLZ</w:t>
      </w:r>
    </w:p>
    <w:p w14:paraId="3DC5AFBB">
      <w:pPr>
        <w:spacing w:line="360" w:lineRule="auto"/>
        <w:ind w:firstLine="420"/>
        <w:rPr>
          <w:rFonts w:hint="eastAsia" w:ascii="宋体" w:hAnsi="宋体" w:eastAsia="宋体"/>
          <w:color w:val="auto"/>
          <w:szCs w:val="21"/>
          <w:highlight w:val="none"/>
          <w:lang w:eastAsia="zh-CN"/>
        </w:rPr>
      </w:pPr>
      <w:r>
        <w:rPr>
          <w:rFonts w:hint="eastAsia" w:ascii="宋体" w:hAnsi="宋体"/>
          <w:color w:val="auto"/>
          <w:szCs w:val="21"/>
          <w:highlight w:val="none"/>
        </w:rPr>
        <w:t>项目名称：</w:t>
      </w:r>
      <w:r>
        <w:rPr>
          <w:rFonts w:hint="eastAsia" w:ascii="宋体" w:hAnsi="宋体"/>
          <w:color w:val="auto"/>
          <w:szCs w:val="21"/>
          <w:highlight w:val="none"/>
          <w:lang w:eastAsia="zh-CN"/>
        </w:rPr>
        <w:t>筋竹镇中围村高山脚至石龙村掘坑道路硬化项目</w:t>
      </w:r>
    </w:p>
    <w:p w14:paraId="78745113">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采购方式：竞争性磋商</w:t>
      </w:r>
    </w:p>
    <w:p w14:paraId="31AEEEB0">
      <w:pPr>
        <w:spacing w:line="360" w:lineRule="auto"/>
        <w:ind w:firstLine="420"/>
        <w:rPr>
          <w:rFonts w:hint="eastAsia" w:ascii="宋体" w:hAnsi="宋体" w:eastAsia="宋体"/>
          <w:color w:val="auto"/>
          <w:szCs w:val="21"/>
          <w:highlight w:val="none"/>
          <w:lang w:eastAsia="zh-CN"/>
        </w:rPr>
      </w:pPr>
      <w:r>
        <w:rPr>
          <w:rFonts w:hint="eastAsia" w:ascii="宋体" w:hAnsi="宋体"/>
          <w:color w:val="auto"/>
          <w:szCs w:val="21"/>
          <w:highlight w:val="none"/>
        </w:rPr>
        <w:t>预算总金额（元）：</w:t>
      </w:r>
      <w:r>
        <w:rPr>
          <w:rFonts w:hint="eastAsia" w:ascii="宋体" w:hAnsi="宋体"/>
          <w:color w:val="auto"/>
          <w:szCs w:val="21"/>
          <w:highlight w:val="none"/>
          <w:lang w:eastAsia="zh-CN"/>
        </w:rPr>
        <w:t>843372.00</w:t>
      </w:r>
    </w:p>
    <w:p w14:paraId="024885C8">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采购需求：</w:t>
      </w:r>
    </w:p>
    <w:p w14:paraId="747BA939">
      <w:pPr>
        <w:spacing w:line="360" w:lineRule="auto"/>
        <w:ind w:firstLine="420"/>
        <w:rPr>
          <w:rFonts w:hint="eastAsia" w:ascii="宋体" w:hAnsi="宋体" w:eastAsia="宋体"/>
          <w:color w:val="auto"/>
          <w:szCs w:val="21"/>
          <w:highlight w:val="none"/>
          <w:lang w:eastAsia="zh-CN"/>
        </w:rPr>
      </w:pPr>
      <w:r>
        <w:rPr>
          <w:rFonts w:hint="eastAsia" w:ascii="宋体" w:hAnsi="宋体"/>
          <w:color w:val="auto"/>
          <w:szCs w:val="21"/>
          <w:highlight w:val="none"/>
        </w:rPr>
        <w:t>标项名称：</w:t>
      </w:r>
      <w:r>
        <w:rPr>
          <w:rFonts w:hint="eastAsia" w:ascii="宋体" w:hAnsi="宋体"/>
          <w:color w:val="auto"/>
          <w:szCs w:val="21"/>
          <w:highlight w:val="none"/>
          <w:lang w:eastAsia="zh-CN"/>
        </w:rPr>
        <w:t>筋竹镇中围村高山脚至石龙村掘坑道路硬化项目</w:t>
      </w:r>
    </w:p>
    <w:p w14:paraId="7634FF6E">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数量：1</w:t>
      </w:r>
    </w:p>
    <w:p w14:paraId="2CD10F4F">
      <w:pPr>
        <w:pStyle w:val="213"/>
        <w:spacing w:line="360" w:lineRule="auto"/>
        <w:ind w:firstLine="420"/>
        <w:rPr>
          <w:rFonts w:hint="eastAsia" w:ascii="宋体" w:hAnsi="宋体"/>
          <w:color w:val="auto"/>
          <w:szCs w:val="21"/>
          <w:highlight w:val="none"/>
        </w:rPr>
      </w:pPr>
      <w:r>
        <w:rPr>
          <w:rFonts w:hint="eastAsia" w:ascii="宋体" w:hAnsi="宋体"/>
          <w:color w:val="auto"/>
          <w:szCs w:val="21"/>
          <w:highlight w:val="none"/>
        </w:rPr>
        <w:t>简要规格描述或项目基本概况介绍、用途：硬化18cm厚C25混凝土道路长1.93公里，路面宽3.5米；碎石基层厚10cm,宽4米；路肩宽0.5米，安装DN600砼涵管25米，设错车道5个等内容，具体详见本项目工程量清单及图纸。</w:t>
      </w:r>
    </w:p>
    <w:p w14:paraId="0DCA6252">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最高限价（如有）：</w:t>
      </w:r>
      <w:r>
        <w:rPr>
          <w:rFonts w:hint="eastAsia" w:ascii="宋体" w:hAnsi="宋体"/>
          <w:color w:val="auto"/>
          <w:szCs w:val="21"/>
          <w:highlight w:val="none"/>
          <w:lang w:eastAsia="zh-CN"/>
        </w:rPr>
        <w:t>843372.00</w:t>
      </w:r>
      <w:r>
        <w:rPr>
          <w:rFonts w:hint="eastAsia" w:ascii="宋体" w:hAnsi="宋体"/>
          <w:color w:val="auto"/>
          <w:szCs w:val="21"/>
          <w:highlight w:val="none"/>
        </w:rPr>
        <w:t>元</w:t>
      </w:r>
    </w:p>
    <w:p w14:paraId="60239D1E">
      <w:pPr>
        <w:spacing w:line="360" w:lineRule="auto"/>
        <w:ind w:firstLine="420"/>
        <w:rPr>
          <w:rFonts w:hint="eastAsia" w:ascii="宋体" w:hAnsi="宋体"/>
          <w:color w:val="auto"/>
          <w:szCs w:val="21"/>
          <w:highlight w:val="none"/>
          <w:u w:val="single"/>
        </w:rPr>
      </w:pPr>
      <w:r>
        <w:rPr>
          <w:rFonts w:hint="eastAsia" w:ascii="宋体" w:hAnsi="宋体"/>
          <w:color w:val="auto"/>
          <w:szCs w:val="21"/>
          <w:highlight w:val="none"/>
        </w:rPr>
        <w:t>合同履行期限：</w:t>
      </w:r>
      <w:r>
        <w:rPr>
          <w:rFonts w:hint="eastAsia" w:ascii="宋体" w:hAnsi="宋体" w:cs="宋体"/>
          <w:color w:val="auto"/>
          <w:highlight w:val="none"/>
        </w:rPr>
        <w:t>自签订合同之日起90个日历日内完工。</w:t>
      </w:r>
    </w:p>
    <w:p w14:paraId="4F7509AD">
      <w:pPr>
        <w:spacing w:line="360" w:lineRule="auto"/>
        <w:ind w:firstLine="420"/>
        <w:rPr>
          <w:rFonts w:hint="eastAsia" w:ascii="宋体" w:hAnsi="宋体"/>
          <w:color w:val="auto"/>
          <w:szCs w:val="21"/>
          <w:highlight w:val="none"/>
        </w:rPr>
      </w:pPr>
      <w:r>
        <w:rPr>
          <w:rFonts w:ascii="宋体" w:hAnsi="宋体"/>
          <w:color w:val="auto"/>
          <w:szCs w:val="21"/>
          <w:highlight w:val="none"/>
        </w:rPr>
        <w:t>本标项（否</w:t>
      </w:r>
      <w:r>
        <w:rPr>
          <w:rFonts w:hint="eastAsia" w:ascii="宋体" w:hAnsi="宋体"/>
          <w:color w:val="auto"/>
          <w:szCs w:val="21"/>
          <w:highlight w:val="none"/>
        </w:rPr>
        <w:t>）接受联合体竞标。</w:t>
      </w:r>
    </w:p>
    <w:p w14:paraId="60731FAF">
      <w:pPr>
        <w:spacing w:line="360" w:lineRule="auto"/>
        <w:ind w:firstLine="354"/>
        <w:rPr>
          <w:rFonts w:hint="eastAsia" w:ascii="宋体" w:hAnsi="宋体" w:cs="宋体"/>
          <w:b/>
          <w:color w:val="auto"/>
          <w:sz w:val="24"/>
          <w:highlight w:val="none"/>
        </w:rPr>
      </w:pPr>
      <w:r>
        <w:rPr>
          <w:rFonts w:hint="eastAsia" w:ascii="宋体" w:hAnsi="宋体" w:cs="宋体"/>
          <w:b/>
          <w:color w:val="auto"/>
          <w:sz w:val="24"/>
          <w:highlight w:val="none"/>
        </w:rPr>
        <w:t>二、申请人的资格条件：</w:t>
      </w:r>
      <w:bookmarkEnd w:id="15"/>
      <w:bookmarkEnd w:id="16"/>
      <w:bookmarkEnd w:id="17"/>
      <w:bookmarkEnd w:id="18"/>
      <w:bookmarkEnd w:id="19"/>
      <w:bookmarkEnd w:id="20"/>
    </w:p>
    <w:p w14:paraId="1F064945">
      <w:pPr>
        <w:spacing w:line="360" w:lineRule="auto"/>
        <w:ind w:firstLine="420"/>
        <w:rPr>
          <w:rFonts w:hint="eastAsia" w:ascii="宋体" w:hAnsi="宋体" w:cs="宋体"/>
          <w:color w:val="auto"/>
          <w:szCs w:val="21"/>
          <w:highlight w:val="none"/>
        </w:rPr>
      </w:pPr>
      <w:bookmarkStart w:id="22" w:name="_Toc28359091"/>
      <w:bookmarkStart w:id="23" w:name="_Toc35393800"/>
      <w:bookmarkStart w:id="24" w:name="_Toc28359014"/>
      <w:bookmarkStart w:id="25" w:name="_Toc44229880"/>
      <w:bookmarkStart w:id="26" w:name="_Toc35393631"/>
      <w:r>
        <w:rPr>
          <w:rFonts w:hint="eastAsia" w:ascii="宋体" w:hAnsi="宋体" w:cs="宋体"/>
          <w:color w:val="auto"/>
          <w:szCs w:val="21"/>
          <w:highlight w:val="none"/>
        </w:rPr>
        <w:t>1.满足《中华人民共和国政府采购法》第二十二条规定；</w:t>
      </w:r>
    </w:p>
    <w:p w14:paraId="2E5AAC5F">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2.落实政府采购政策需满足的资格要求：</w:t>
      </w:r>
      <w:r>
        <w:rPr>
          <w:rFonts w:hint="eastAsia" w:ascii="宋体" w:hAnsi="宋体"/>
          <w:color w:val="auto"/>
          <w:szCs w:val="21"/>
          <w:highlight w:val="none"/>
        </w:rPr>
        <w:t>本项目属于专门面向</w:t>
      </w:r>
      <w:r>
        <w:rPr>
          <w:rFonts w:hint="eastAsia" w:ascii="宋体" w:hAnsi="宋体"/>
          <w:color w:val="auto"/>
          <w:szCs w:val="21"/>
          <w:highlight w:val="none"/>
          <w:lang w:val="en-US" w:eastAsia="zh-CN"/>
        </w:rPr>
        <w:t>中小</w:t>
      </w:r>
      <w:r>
        <w:rPr>
          <w:rFonts w:hint="eastAsia" w:ascii="宋体" w:hAnsi="宋体"/>
          <w:color w:val="auto"/>
          <w:szCs w:val="21"/>
          <w:highlight w:val="none"/>
        </w:rPr>
        <w:t>企业采购的项目，</w:t>
      </w:r>
      <w:r>
        <w:rPr>
          <w:rFonts w:hint="eastAsia" w:ascii="宋体" w:hAnsi="宋体" w:cs="宋体"/>
          <w:color w:val="auto"/>
          <w:szCs w:val="21"/>
          <w:highlight w:val="none"/>
        </w:rPr>
        <w:t>工程的施工单位全部为符合政策要求的</w:t>
      </w:r>
      <w:r>
        <w:rPr>
          <w:rFonts w:hint="eastAsia" w:ascii="宋体" w:hAnsi="宋体" w:cs="宋体"/>
          <w:color w:val="auto"/>
          <w:szCs w:val="21"/>
          <w:highlight w:val="none"/>
          <w:lang w:val="en-US" w:eastAsia="zh-CN"/>
        </w:rPr>
        <w:t>中型、</w:t>
      </w:r>
      <w:r>
        <w:rPr>
          <w:rFonts w:hint="eastAsia" w:ascii="宋体" w:hAnsi="宋体" w:cs="宋体"/>
          <w:color w:val="auto"/>
          <w:szCs w:val="21"/>
          <w:highlight w:val="none"/>
        </w:rPr>
        <w:t>小型、微型企业（包括监狱企业及</w:t>
      </w:r>
      <w:r>
        <w:rPr>
          <w:color w:val="auto"/>
          <w:highlight w:val="none"/>
        </w:rPr>
        <w:t>残疾人福利性单位</w:t>
      </w:r>
      <w:r>
        <w:rPr>
          <w:rFonts w:hint="eastAsia" w:ascii="宋体" w:hAnsi="宋体" w:cs="宋体"/>
          <w:color w:val="auto"/>
          <w:szCs w:val="21"/>
          <w:highlight w:val="none"/>
        </w:rPr>
        <w:t>），须提供中小企业声明函【如属于残疾人福利性单位的提供残疾人福利性单位声明函，属于监狱企业的提供由省级以上监狱管理局、戒毒管理局（含新疆生产建设兵团）出具的属于监狱企业的证明文件】。</w:t>
      </w:r>
    </w:p>
    <w:p w14:paraId="0C1136B1">
      <w:pPr>
        <w:spacing w:line="360" w:lineRule="auto"/>
        <w:ind w:firstLine="420"/>
        <w:rPr>
          <w:rFonts w:hint="eastAsia" w:ascii="宋体" w:hAnsi="宋体" w:cs="宋体"/>
          <w:color w:val="auto"/>
          <w:szCs w:val="21"/>
          <w:highlight w:val="none"/>
          <w:u w:val="single"/>
        </w:rPr>
      </w:pPr>
      <w:r>
        <w:rPr>
          <w:rFonts w:hint="eastAsia" w:ascii="宋体" w:hAnsi="宋体" w:cs="宋体"/>
          <w:color w:val="auto"/>
          <w:szCs w:val="21"/>
          <w:highlight w:val="none"/>
        </w:rPr>
        <w:t>3.本项目的特定资格要求：</w:t>
      </w:r>
    </w:p>
    <w:p w14:paraId="06450C7E">
      <w:pPr>
        <w:spacing w:line="360" w:lineRule="auto"/>
        <w:ind w:firstLine="420"/>
        <w:rPr>
          <w:rFonts w:hint="eastAsia" w:ascii="宋体" w:hAnsi="宋体" w:cs="宋体"/>
          <w:color w:val="auto"/>
          <w:szCs w:val="21"/>
          <w:highlight w:val="none"/>
        </w:rPr>
      </w:pPr>
      <w:bookmarkStart w:id="27" w:name="_Toc71365907"/>
      <w:r>
        <w:rPr>
          <w:rFonts w:hint="eastAsia" w:ascii="宋体" w:hAnsi="宋体" w:cs="宋体"/>
          <w:color w:val="auto"/>
          <w:szCs w:val="21"/>
          <w:highlight w:val="none"/>
        </w:rPr>
        <w:t>3.1供应商具备有效的营业执照、安全生产许可证，同时具备</w:t>
      </w:r>
      <w:r>
        <w:rPr>
          <w:rFonts w:hint="eastAsia" w:ascii="宋体" w:hAnsi="宋体" w:cs="宋体"/>
          <w:color w:val="auto"/>
          <w:highlight w:val="none"/>
        </w:rPr>
        <w:t>公路工程施工总承包三级及以上资质</w:t>
      </w:r>
      <w:r>
        <w:rPr>
          <w:rFonts w:hint="eastAsia" w:ascii="宋体" w:hAnsi="宋体" w:cs="宋体"/>
          <w:color w:val="auto"/>
          <w:szCs w:val="21"/>
          <w:highlight w:val="none"/>
        </w:rPr>
        <w:t>，并在人员、设备、资金等方面具备相应的施工能力。</w:t>
      </w:r>
    </w:p>
    <w:p w14:paraId="07E2705A">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3.2拟派项目经理须具备有效的公路工程专业二级或以上注册建造师执业资格，有效的安全生产考核合格证（“三类人员”B类证书）。本项目经理要求无在岗项目（指目前未在其他项目上任职，或虽在其他项目上任职但本项目成交后能够从该项目撤离，如项目经理目前仍在其他项目上任职，则应提供项目经理随时撤离承诺书）。</w:t>
      </w:r>
    </w:p>
    <w:p w14:paraId="1340BE31">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3.3拟派项目总工具有公路工程相关专业（包括公路工程、桥梁工程、公路与桥梁工程、交通土建、隧道工程、交通工程、</w:t>
      </w:r>
      <w:r>
        <w:rPr>
          <w:rFonts w:hint="eastAsia" w:ascii="宋体" w:hAnsi="宋体" w:cs="宋体"/>
          <w:color w:val="auto"/>
          <w:highlight w:val="none"/>
        </w:rPr>
        <w:t>公路与城市道路、道路工程、路桥工程</w:t>
      </w:r>
      <w:r>
        <w:rPr>
          <w:rFonts w:hint="eastAsia" w:ascii="宋体" w:hAnsi="宋体" w:cs="宋体"/>
          <w:color w:val="auto"/>
          <w:szCs w:val="21"/>
          <w:highlight w:val="none"/>
        </w:rPr>
        <w:t>等）中级或以上技术职称。</w:t>
      </w:r>
    </w:p>
    <w:p w14:paraId="499ABD61">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3.4拟派安全生产管理人员具备有效的安全生产考核合格证（“三类人员”C类证书）。</w:t>
      </w:r>
    </w:p>
    <w:p w14:paraId="58A76B19">
      <w:pPr>
        <w:spacing w:line="360" w:lineRule="auto"/>
        <w:ind w:firstLine="354"/>
        <w:rPr>
          <w:rFonts w:hint="eastAsia" w:ascii="宋体" w:hAnsi="宋体" w:cs="宋体"/>
          <w:b/>
          <w:color w:val="auto"/>
          <w:sz w:val="24"/>
          <w:highlight w:val="none"/>
        </w:rPr>
      </w:pPr>
      <w:r>
        <w:rPr>
          <w:rFonts w:hint="eastAsia" w:ascii="宋体" w:hAnsi="宋体" w:cs="宋体"/>
          <w:b/>
          <w:color w:val="auto"/>
          <w:sz w:val="24"/>
          <w:highlight w:val="none"/>
        </w:rPr>
        <w:t>三、获取竞争性磋商文件</w:t>
      </w:r>
      <w:bookmarkEnd w:id="21"/>
      <w:bookmarkEnd w:id="22"/>
      <w:bookmarkEnd w:id="23"/>
      <w:bookmarkEnd w:id="24"/>
      <w:bookmarkEnd w:id="25"/>
      <w:bookmarkEnd w:id="26"/>
    </w:p>
    <w:p w14:paraId="4EF5F26D">
      <w:pPr>
        <w:spacing w:line="360" w:lineRule="auto"/>
        <w:ind w:firstLine="420"/>
        <w:rPr>
          <w:rFonts w:hint="eastAsia" w:ascii="宋体" w:hAnsi="宋体" w:cs="宋体"/>
          <w:bCs/>
          <w:color w:val="auto"/>
          <w:szCs w:val="21"/>
          <w:highlight w:val="none"/>
        </w:rPr>
      </w:pPr>
      <w:bookmarkStart w:id="28" w:name="_Toc35393801"/>
      <w:bookmarkStart w:id="29" w:name="_Toc35393632"/>
      <w:bookmarkStart w:id="30" w:name="_Toc28359015"/>
      <w:bookmarkStart w:id="31" w:name="_Toc44229881"/>
      <w:bookmarkStart w:id="32" w:name="_Toc28359092"/>
      <w:r>
        <w:rPr>
          <w:rFonts w:hint="eastAsia" w:ascii="宋体" w:hAnsi="宋体" w:cs="宋体"/>
          <w:bCs/>
          <w:color w:val="auto"/>
          <w:szCs w:val="21"/>
          <w:highlight w:val="none"/>
        </w:rPr>
        <w:t>时间：2026年</w:t>
      </w:r>
      <w:r>
        <w:rPr>
          <w:rFonts w:hint="eastAsia" w:ascii="宋体" w:hAnsi="宋体" w:cs="宋体"/>
          <w:bCs/>
          <w:color w:val="auto"/>
          <w:szCs w:val="21"/>
          <w:highlight w:val="none"/>
          <w:lang w:val="en-US" w:eastAsia="zh-CN"/>
        </w:rPr>
        <w:t>5</w:t>
      </w:r>
      <w:r>
        <w:rPr>
          <w:rFonts w:hint="eastAsia" w:ascii="宋体" w:hAnsi="宋体" w:cs="宋体"/>
          <w:bCs/>
          <w:color w:val="auto"/>
          <w:szCs w:val="21"/>
          <w:highlight w:val="none"/>
        </w:rPr>
        <w:t>月</w:t>
      </w:r>
      <w:r>
        <w:rPr>
          <w:rFonts w:hint="eastAsia" w:ascii="宋体" w:hAnsi="宋体" w:cs="宋体"/>
          <w:bCs/>
          <w:color w:val="auto"/>
          <w:szCs w:val="21"/>
          <w:highlight w:val="none"/>
          <w:lang w:val="en-US" w:eastAsia="zh-CN"/>
        </w:rPr>
        <w:t>29</w:t>
      </w:r>
      <w:r>
        <w:rPr>
          <w:rFonts w:hint="eastAsia" w:ascii="宋体" w:hAnsi="宋体" w:cs="宋体"/>
          <w:bCs/>
          <w:color w:val="auto"/>
          <w:szCs w:val="21"/>
          <w:highlight w:val="none"/>
        </w:rPr>
        <w:t>日起至2026年</w:t>
      </w:r>
      <w:r>
        <w:rPr>
          <w:rFonts w:hint="eastAsia" w:ascii="宋体" w:hAnsi="宋体" w:cs="宋体"/>
          <w:bCs/>
          <w:color w:val="auto"/>
          <w:szCs w:val="21"/>
          <w:highlight w:val="none"/>
          <w:lang w:val="en-US" w:eastAsia="zh-CN"/>
        </w:rPr>
        <w:t>6</w:t>
      </w:r>
      <w:r>
        <w:rPr>
          <w:rFonts w:hint="eastAsia" w:ascii="宋体" w:hAnsi="宋体" w:cs="宋体"/>
          <w:bCs/>
          <w:color w:val="auto"/>
          <w:szCs w:val="21"/>
          <w:highlight w:val="none"/>
        </w:rPr>
        <w:t>月</w:t>
      </w:r>
      <w:r>
        <w:rPr>
          <w:rFonts w:hint="eastAsia" w:ascii="宋体" w:hAnsi="宋体" w:cs="宋体"/>
          <w:bCs/>
          <w:color w:val="auto"/>
          <w:szCs w:val="21"/>
          <w:highlight w:val="none"/>
          <w:lang w:val="en-US" w:eastAsia="zh-CN"/>
        </w:rPr>
        <w:t>5</w:t>
      </w:r>
      <w:r>
        <w:rPr>
          <w:rFonts w:hint="eastAsia" w:ascii="宋体" w:hAnsi="宋体" w:cs="宋体"/>
          <w:bCs/>
          <w:color w:val="auto"/>
          <w:szCs w:val="21"/>
          <w:highlight w:val="none"/>
        </w:rPr>
        <w:t>日，每天上午8:00至12:00，下午3:00至6:00（北京时间，法定节假日除外）</w:t>
      </w:r>
    </w:p>
    <w:p w14:paraId="215F08AE">
      <w:pPr>
        <w:spacing w:line="360" w:lineRule="auto"/>
        <w:ind w:firstLine="420"/>
        <w:rPr>
          <w:rFonts w:hint="eastAsia" w:ascii="宋体" w:hAnsi="宋体" w:cs="宋体"/>
          <w:bCs/>
          <w:color w:val="auto"/>
          <w:szCs w:val="21"/>
          <w:highlight w:val="none"/>
        </w:rPr>
      </w:pPr>
      <w:r>
        <w:rPr>
          <w:rFonts w:hint="eastAsia" w:ascii="宋体" w:hAnsi="宋体" w:cs="宋体"/>
          <w:bCs/>
          <w:color w:val="auto"/>
          <w:szCs w:val="21"/>
          <w:highlight w:val="none"/>
        </w:rPr>
        <w:t>地点：广西政府采购云平台（https://www.gcy.zfcg.gxzf.gov.cn/）</w:t>
      </w:r>
    </w:p>
    <w:p w14:paraId="07C73474">
      <w:pPr>
        <w:spacing w:line="360" w:lineRule="auto"/>
        <w:ind w:firstLine="420"/>
        <w:rPr>
          <w:rFonts w:hint="eastAsia" w:ascii="宋体" w:hAnsi="宋体" w:cs="宋体"/>
          <w:bCs/>
          <w:color w:val="auto"/>
          <w:szCs w:val="21"/>
          <w:highlight w:val="none"/>
        </w:rPr>
      </w:pPr>
      <w:r>
        <w:rPr>
          <w:rFonts w:hint="eastAsia" w:ascii="宋体" w:hAnsi="宋体" w:cs="宋体"/>
          <w:bCs/>
          <w:color w:val="auto"/>
          <w:szCs w:val="21"/>
          <w:highlight w:val="none"/>
        </w:rPr>
        <w:t>方式：网上下载。本项目不提供纸质文件，潜在供应商需使用账号登录或者使用CA登录广西政府采购云平台（https://www.gcy.zfcg.gxzf.gov.cn/）-进入“项目采购”应用，在获取采购文件-待获取列表中选择项目，获取竞争性磋商文件。</w:t>
      </w:r>
      <w:r>
        <w:rPr>
          <w:rFonts w:hint="eastAsia" w:ascii="宋体" w:hAnsi="宋体"/>
          <w:color w:val="auto"/>
          <w:szCs w:val="21"/>
          <w:highlight w:val="none"/>
        </w:rPr>
        <w:t>电子</w:t>
      </w:r>
      <w:r>
        <w:rPr>
          <w:rFonts w:hint="eastAsia"/>
          <w:color w:val="auto"/>
          <w:highlight w:val="none"/>
        </w:rPr>
        <w:t>响应文件</w:t>
      </w:r>
      <w:r>
        <w:rPr>
          <w:rFonts w:hint="eastAsia" w:ascii="宋体" w:hAnsi="宋体"/>
          <w:color w:val="auto"/>
          <w:szCs w:val="21"/>
          <w:highlight w:val="none"/>
        </w:rPr>
        <w:t>制作需要基于广西政府采购云平台获取的磋商文件编制，</w:t>
      </w:r>
      <w:r>
        <w:rPr>
          <w:rFonts w:hint="eastAsia" w:ascii="宋体" w:hAnsi="宋体" w:cs="宋体"/>
          <w:bCs/>
          <w:color w:val="auto"/>
          <w:szCs w:val="21"/>
          <w:highlight w:val="none"/>
        </w:rPr>
        <w:t>通过其他方式获取磋商文件的，将有可能导致供应商无法在广西政府采购云平台编制及上传响应文件。</w:t>
      </w:r>
    </w:p>
    <w:p w14:paraId="6C6D55EE">
      <w:pPr>
        <w:spacing w:line="360" w:lineRule="auto"/>
        <w:ind w:firstLine="420"/>
        <w:rPr>
          <w:rFonts w:hint="eastAsia" w:ascii="宋体" w:hAnsi="宋体" w:cs="宋体"/>
          <w:color w:val="auto"/>
          <w:szCs w:val="21"/>
          <w:highlight w:val="none"/>
        </w:rPr>
      </w:pPr>
      <w:r>
        <w:rPr>
          <w:rFonts w:hint="eastAsia" w:ascii="宋体" w:hAnsi="宋体" w:cs="宋体"/>
          <w:bCs/>
          <w:color w:val="auto"/>
          <w:szCs w:val="21"/>
          <w:highlight w:val="none"/>
        </w:rPr>
        <w:t>售价：</w:t>
      </w:r>
      <w:r>
        <w:rPr>
          <w:rFonts w:hint="eastAsia" w:ascii="宋体" w:hAnsi="宋体" w:cs="宋体"/>
          <w:iCs/>
          <w:color w:val="auto"/>
          <w:szCs w:val="21"/>
          <w:highlight w:val="none"/>
          <w:u w:val="single"/>
        </w:rPr>
        <w:t>0</w:t>
      </w:r>
      <w:r>
        <w:rPr>
          <w:rFonts w:hint="eastAsia" w:ascii="宋体" w:hAnsi="宋体" w:cs="宋体"/>
          <w:iCs/>
          <w:color w:val="auto"/>
          <w:szCs w:val="21"/>
          <w:highlight w:val="none"/>
        </w:rPr>
        <w:t>元</w:t>
      </w:r>
      <w:r>
        <w:rPr>
          <w:rFonts w:hint="eastAsia" w:ascii="宋体" w:hAnsi="宋体" w:cs="宋体"/>
          <w:bCs/>
          <w:color w:val="auto"/>
          <w:szCs w:val="21"/>
          <w:highlight w:val="none"/>
        </w:rPr>
        <w:t xml:space="preserve">   </w:t>
      </w:r>
    </w:p>
    <w:p w14:paraId="652D5EB2">
      <w:pPr>
        <w:spacing w:line="360" w:lineRule="auto"/>
        <w:ind w:firstLine="354"/>
        <w:rPr>
          <w:rFonts w:hint="eastAsia" w:ascii="宋体" w:hAnsi="宋体" w:cs="宋体"/>
          <w:b/>
          <w:color w:val="auto"/>
          <w:sz w:val="24"/>
          <w:highlight w:val="none"/>
        </w:rPr>
      </w:pPr>
      <w:bookmarkStart w:id="33" w:name="_Toc71365908"/>
      <w:r>
        <w:rPr>
          <w:rFonts w:hint="eastAsia" w:ascii="宋体" w:hAnsi="宋体" w:cs="宋体"/>
          <w:b/>
          <w:color w:val="auto"/>
          <w:sz w:val="24"/>
          <w:highlight w:val="none"/>
        </w:rPr>
        <w:t>四、响应文件提交</w:t>
      </w:r>
      <w:bookmarkEnd w:id="27"/>
      <w:bookmarkEnd w:id="28"/>
      <w:bookmarkEnd w:id="29"/>
      <w:bookmarkEnd w:id="30"/>
      <w:bookmarkEnd w:id="31"/>
      <w:bookmarkEnd w:id="32"/>
    </w:p>
    <w:p w14:paraId="0E018178">
      <w:pPr>
        <w:spacing w:line="360" w:lineRule="auto"/>
        <w:ind w:firstLine="420"/>
        <w:rPr>
          <w:rFonts w:hint="eastAsia" w:ascii="宋体" w:hAnsi="宋体" w:cs="宋体"/>
          <w:bCs/>
          <w:color w:val="auto"/>
          <w:szCs w:val="21"/>
          <w:highlight w:val="none"/>
        </w:rPr>
      </w:pPr>
      <w:bookmarkStart w:id="34" w:name="_Toc44229882"/>
      <w:bookmarkStart w:id="35" w:name="_Toc35393633"/>
      <w:bookmarkStart w:id="36" w:name="_Toc28359093"/>
      <w:bookmarkStart w:id="37" w:name="_Toc35393802"/>
      <w:bookmarkStart w:id="38" w:name="_Toc28359016"/>
      <w:r>
        <w:rPr>
          <w:rFonts w:hint="eastAsia" w:ascii="宋体" w:hAnsi="宋体" w:cs="宋体"/>
          <w:color w:val="auto"/>
          <w:szCs w:val="21"/>
          <w:highlight w:val="none"/>
        </w:rPr>
        <w:t>截止时间：</w:t>
      </w:r>
      <w:r>
        <w:rPr>
          <w:rFonts w:hint="eastAsia" w:ascii="宋体" w:hAnsi="宋体" w:cs="宋体"/>
          <w:bCs/>
          <w:color w:val="auto"/>
          <w:szCs w:val="21"/>
          <w:highlight w:val="none"/>
          <w:u w:val="single"/>
        </w:rPr>
        <w:t>2026</w:t>
      </w:r>
      <w:r>
        <w:rPr>
          <w:rFonts w:hint="eastAsia" w:ascii="宋体" w:hAnsi="宋体" w:cs="宋体"/>
          <w:bCs/>
          <w:color w:val="auto"/>
          <w:szCs w:val="21"/>
          <w:highlight w:val="none"/>
        </w:rPr>
        <w:t>年</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u w:val="single"/>
          <w:lang w:val="en-US" w:eastAsia="zh-CN"/>
        </w:rPr>
        <w:t>6</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月</w:t>
      </w:r>
      <w:r>
        <w:rPr>
          <w:rFonts w:hint="eastAsia" w:ascii="宋体" w:hAnsi="宋体" w:cs="宋体"/>
          <w:bCs/>
          <w:color w:val="auto"/>
          <w:szCs w:val="21"/>
          <w:highlight w:val="none"/>
          <w:u w:val="single"/>
          <w:lang w:val="en-US" w:eastAsia="zh-CN"/>
        </w:rPr>
        <w:t xml:space="preserve"> 10</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日</w:t>
      </w:r>
      <w:r>
        <w:rPr>
          <w:rFonts w:hint="eastAsia" w:ascii="宋体" w:hAnsi="宋体" w:cs="宋体"/>
          <w:bCs/>
          <w:color w:val="auto"/>
          <w:szCs w:val="21"/>
          <w:highlight w:val="none"/>
          <w:u w:val="single"/>
        </w:rPr>
        <w:t xml:space="preserve"> 9 </w:t>
      </w:r>
      <w:r>
        <w:rPr>
          <w:rFonts w:hint="eastAsia" w:ascii="宋体" w:hAnsi="宋体" w:cs="宋体"/>
          <w:bCs/>
          <w:color w:val="auto"/>
          <w:szCs w:val="21"/>
          <w:highlight w:val="none"/>
        </w:rPr>
        <w:t>时</w:t>
      </w:r>
      <w:r>
        <w:rPr>
          <w:rFonts w:hint="eastAsia" w:ascii="宋体" w:hAnsi="宋体" w:cs="宋体"/>
          <w:bCs/>
          <w:color w:val="auto"/>
          <w:szCs w:val="21"/>
          <w:highlight w:val="none"/>
          <w:u w:val="single"/>
        </w:rPr>
        <w:t xml:space="preserve"> 00</w:t>
      </w:r>
      <w:r>
        <w:rPr>
          <w:rFonts w:hint="eastAsia" w:ascii="宋体" w:hAnsi="宋体" w:cs="宋体"/>
          <w:bCs/>
          <w:color w:val="auto"/>
          <w:szCs w:val="21"/>
          <w:highlight w:val="none"/>
        </w:rPr>
        <w:t>分（北京时间）</w:t>
      </w:r>
    </w:p>
    <w:p w14:paraId="1B86DF8A">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地点：广西政府采购云平台</w:t>
      </w:r>
      <w:r>
        <w:rPr>
          <w:rFonts w:hint="eastAsia" w:ascii="宋体" w:hAnsi="宋体" w:cs="宋体"/>
          <w:bCs/>
          <w:color w:val="auto"/>
          <w:szCs w:val="21"/>
          <w:highlight w:val="none"/>
        </w:rPr>
        <w:t>（https://www.gcy.zfcg.gxzf.gov.cn/）</w:t>
      </w:r>
    </w:p>
    <w:p w14:paraId="758C6C29">
      <w:pPr>
        <w:spacing w:line="360" w:lineRule="auto"/>
        <w:ind w:firstLine="354"/>
        <w:rPr>
          <w:rFonts w:hint="eastAsia" w:ascii="宋体" w:hAnsi="宋体" w:cs="宋体"/>
          <w:b/>
          <w:color w:val="auto"/>
          <w:sz w:val="24"/>
          <w:highlight w:val="none"/>
        </w:rPr>
      </w:pPr>
      <w:bookmarkStart w:id="39" w:name="_Toc71365909"/>
      <w:r>
        <w:rPr>
          <w:rFonts w:hint="eastAsia" w:ascii="宋体" w:hAnsi="宋体" w:cs="宋体"/>
          <w:b/>
          <w:color w:val="auto"/>
          <w:sz w:val="24"/>
          <w:highlight w:val="none"/>
        </w:rPr>
        <w:t>五、开启</w:t>
      </w:r>
      <w:bookmarkEnd w:id="33"/>
      <w:bookmarkEnd w:id="34"/>
      <w:bookmarkEnd w:id="35"/>
      <w:bookmarkEnd w:id="36"/>
      <w:bookmarkEnd w:id="37"/>
      <w:bookmarkEnd w:id="38"/>
    </w:p>
    <w:p w14:paraId="5D95B6F5">
      <w:pPr>
        <w:spacing w:line="360" w:lineRule="auto"/>
        <w:ind w:firstLine="420"/>
        <w:rPr>
          <w:rFonts w:hint="eastAsia" w:ascii="宋体" w:hAnsi="宋体" w:cs="宋体"/>
          <w:bCs/>
          <w:color w:val="auto"/>
          <w:szCs w:val="21"/>
          <w:highlight w:val="none"/>
          <w:u w:val="single"/>
        </w:rPr>
      </w:pPr>
      <w:r>
        <w:rPr>
          <w:rFonts w:hint="eastAsia" w:ascii="宋体" w:hAnsi="宋体" w:cs="宋体"/>
          <w:color w:val="auto"/>
          <w:szCs w:val="21"/>
          <w:highlight w:val="none"/>
        </w:rPr>
        <w:t>1.时间：</w:t>
      </w:r>
      <w:r>
        <w:rPr>
          <w:rFonts w:hint="eastAsia" w:ascii="宋体" w:hAnsi="宋体" w:cs="宋体"/>
          <w:bCs/>
          <w:color w:val="auto"/>
          <w:szCs w:val="21"/>
          <w:highlight w:val="none"/>
          <w:u w:val="single"/>
        </w:rPr>
        <w:t>2026</w:t>
      </w:r>
      <w:r>
        <w:rPr>
          <w:rFonts w:hint="eastAsia" w:ascii="宋体" w:hAnsi="宋体" w:cs="宋体"/>
          <w:bCs/>
          <w:color w:val="auto"/>
          <w:szCs w:val="21"/>
          <w:highlight w:val="none"/>
        </w:rPr>
        <w:t>年</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u w:val="single"/>
          <w:lang w:val="en-US" w:eastAsia="zh-CN"/>
        </w:rPr>
        <w:t>6</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月</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u w:val="single"/>
          <w:lang w:val="en-US" w:eastAsia="zh-CN"/>
        </w:rPr>
        <w:t>10</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日</w:t>
      </w:r>
      <w:r>
        <w:rPr>
          <w:rFonts w:hint="eastAsia" w:ascii="宋体" w:hAnsi="宋体" w:cs="宋体"/>
          <w:bCs/>
          <w:color w:val="auto"/>
          <w:szCs w:val="21"/>
          <w:highlight w:val="none"/>
          <w:u w:val="single"/>
        </w:rPr>
        <w:t xml:space="preserve"> 9 </w:t>
      </w:r>
      <w:r>
        <w:rPr>
          <w:rFonts w:hint="eastAsia" w:ascii="宋体" w:hAnsi="宋体" w:cs="宋体"/>
          <w:bCs/>
          <w:color w:val="auto"/>
          <w:szCs w:val="21"/>
          <w:highlight w:val="none"/>
        </w:rPr>
        <w:t>时</w:t>
      </w:r>
      <w:r>
        <w:rPr>
          <w:rFonts w:hint="eastAsia" w:ascii="宋体" w:hAnsi="宋体" w:cs="宋体"/>
          <w:bCs/>
          <w:color w:val="auto"/>
          <w:szCs w:val="21"/>
          <w:highlight w:val="none"/>
          <w:u w:val="single"/>
        </w:rPr>
        <w:t xml:space="preserve"> 00</w:t>
      </w:r>
      <w:r>
        <w:rPr>
          <w:rFonts w:hint="eastAsia" w:ascii="宋体" w:hAnsi="宋体" w:cs="宋体"/>
          <w:bCs/>
          <w:color w:val="auto"/>
          <w:szCs w:val="21"/>
          <w:highlight w:val="none"/>
        </w:rPr>
        <w:t>分（北京时间）</w:t>
      </w:r>
    </w:p>
    <w:p w14:paraId="6E3AF17B">
      <w:pPr>
        <w:spacing w:line="360" w:lineRule="auto"/>
        <w:ind w:firstLine="420"/>
        <w:rPr>
          <w:rFonts w:hint="eastAsia" w:ascii="宋体" w:hAnsi="宋体" w:cs="宋体"/>
          <w:bCs/>
          <w:color w:val="auto"/>
          <w:szCs w:val="21"/>
          <w:highlight w:val="none"/>
          <w:u w:val="single"/>
        </w:rPr>
      </w:pPr>
      <w:r>
        <w:rPr>
          <w:rFonts w:hint="eastAsia" w:ascii="宋体" w:hAnsi="宋体" w:cs="宋体"/>
          <w:color w:val="auto"/>
          <w:szCs w:val="21"/>
          <w:highlight w:val="none"/>
        </w:rPr>
        <w:t>2.地点：广西政府采购云平台</w:t>
      </w:r>
      <w:r>
        <w:rPr>
          <w:rFonts w:hint="eastAsia" w:ascii="宋体" w:hAnsi="宋体" w:cs="宋体"/>
          <w:bCs/>
          <w:color w:val="auto"/>
          <w:szCs w:val="21"/>
          <w:highlight w:val="none"/>
        </w:rPr>
        <w:t>（https://www.gcy.zfcg.gxzf.gov.cn/）</w:t>
      </w:r>
    </w:p>
    <w:p w14:paraId="4F20BB87">
      <w:pPr>
        <w:spacing w:line="360" w:lineRule="auto"/>
        <w:ind w:firstLine="354"/>
        <w:rPr>
          <w:rFonts w:hint="eastAsia" w:ascii="宋体" w:hAnsi="宋体" w:cs="宋体"/>
          <w:b/>
          <w:color w:val="auto"/>
          <w:sz w:val="24"/>
          <w:highlight w:val="none"/>
        </w:rPr>
      </w:pPr>
      <w:bookmarkStart w:id="40" w:name="_Toc44229883"/>
      <w:bookmarkStart w:id="41" w:name="_Toc28359017"/>
      <w:bookmarkStart w:id="42" w:name="_Toc35393634"/>
      <w:bookmarkStart w:id="43" w:name="_Toc28359094"/>
      <w:bookmarkStart w:id="44" w:name="_Toc35393803"/>
      <w:bookmarkStart w:id="45" w:name="_Toc71365910"/>
      <w:r>
        <w:rPr>
          <w:rFonts w:hint="eastAsia" w:ascii="宋体" w:hAnsi="宋体" w:cs="宋体"/>
          <w:b/>
          <w:color w:val="auto"/>
          <w:sz w:val="24"/>
          <w:highlight w:val="none"/>
        </w:rPr>
        <w:t>六、公告期限</w:t>
      </w:r>
      <w:bookmarkEnd w:id="39"/>
      <w:bookmarkEnd w:id="40"/>
      <w:bookmarkEnd w:id="41"/>
      <w:bookmarkEnd w:id="42"/>
      <w:bookmarkEnd w:id="43"/>
      <w:bookmarkEnd w:id="44"/>
    </w:p>
    <w:p w14:paraId="32CF5ABD">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自本公告发布之日起5个工作日。</w:t>
      </w:r>
    </w:p>
    <w:p w14:paraId="19888067">
      <w:pPr>
        <w:spacing w:line="360" w:lineRule="auto"/>
        <w:ind w:firstLine="354"/>
        <w:rPr>
          <w:rFonts w:hint="eastAsia" w:ascii="宋体" w:hAnsi="宋体" w:cs="宋体"/>
          <w:b/>
          <w:color w:val="auto"/>
          <w:sz w:val="24"/>
          <w:highlight w:val="none"/>
        </w:rPr>
      </w:pPr>
      <w:bookmarkStart w:id="46" w:name="_Toc44229884"/>
      <w:bookmarkStart w:id="47" w:name="_Toc35393804"/>
      <w:bookmarkStart w:id="48" w:name="_Toc35393635"/>
      <w:bookmarkStart w:id="49" w:name="_Toc71365911"/>
      <w:r>
        <w:rPr>
          <w:rFonts w:hint="eastAsia" w:ascii="宋体" w:hAnsi="宋体" w:cs="宋体"/>
          <w:b/>
          <w:color w:val="auto"/>
          <w:sz w:val="24"/>
          <w:highlight w:val="none"/>
        </w:rPr>
        <w:t>七、其他补充事宜</w:t>
      </w:r>
      <w:bookmarkEnd w:id="45"/>
      <w:bookmarkEnd w:id="46"/>
      <w:bookmarkEnd w:id="47"/>
      <w:bookmarkEnd w:id="48"/>
    </w:p>
    <w:p w14:paraId="7BD8BB46">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1.网上查询地址</w:t>
      </w:r>
    </w:p>
    <w:p w14:paraId="1630BA41">
      <w:pPr>
        <w:spacing w:line="360" w:lineRule="auto"/>
        <w:ind w:firstLine="424"/>
        <w:rPr>
          <w:rFonts w:hint="eastAsia" w:ascii="宋体" w:hAnsi="宋体"/>
          <w:color w:val="auto"/>
          <w:szCs w:val="21"/>
          <w:highlight w:val="none"/>
        </w:rPr>
      </w:pPr>
      <w:bookmarkStart w:id="50" w:name="_Toc35393636"/>
      <w:bookmarkStart w:id="51" w:name="_Toc44229885"/>
      <w:bookmarkStart w:id="52" w:name="_Toc35393805"/>
      <w:bookmarkStart w:id="53" w:name="_Toc28359018"/>
      <w:bookmarkStart w:id="54" w:name="_Hlk37429674"/>
      <w:bookmarkStart w:id="55" w:name="_Toc28359095"/>
      <w:r>
        <w:rPr>
          <w:rFonts w:hint="eastAsia" w:ascii="宋体" w:hAnsi="宋体"/>
          <w:color w:val="auto"/>
          <w:szCs w:val="21"/>
          <w:highlight w:val="none"/>
        </w:rPr>
        <w:t>中国政府采购网（www.ccgp.gov.cn）、广西壮族自治区政府采购网（zfcg.gxzf.gov.cn）、梧州市政府采购网（http://117.141.250.58:10030/web/cgw/index.ptl）、全国公共资源交易平台（</w:t>
      </w:r>
      <w:r>
        <w:rPr>
          <w:color w:val="auto"/>
          <w:highlight w:val="none"/>
        </w:rPr>
        <w:t>广西·岑溪</w:t>
      </w:r>
      <w:r>
        <w:rPr>
          <w:rFonts w:hint="eastAsia" w:ascii="宋体" w:hAnsi="宋体"/>
          <w:color w:val="auto"/>
          <w:szCs w:val="21"/>
          <w:highlight w:val="none"/>
        </w:rPr>
        <w:t>）（http://ggzy.jgswj.gxzf.gov.cn/cxsggzy/）。</w:t>
      </w:r>
    </w:p>
    <w:p w14:paraId="44EE0081">
      <w:pPr>
        <w:spacing w:line="360" w:lineRule="auto"/>
        <w:ind w:firstLine="424"/>
        <w:rPr>
          <w:rFonts w:hint="eastAsia" w:ascii="宋体" w:hAnsi="宋体" w:cs="宋体"/>
          <w:color w:val="auto"/>
          <w:szCs w:val="21"/>
          <w:highlight w:val="none"/>
        </w:rPr>
      </w:pPr>
      <w:r>
        <w:rPr>
          <w:rFonts w:hint="eastAsia" w:ascii="宋体" w:hAnsi="宋体" w:cs="宋体"/>
          <w:color w:val="auto"/>
          <w:szCs w:val="21"/>
          <w:highlight w:val="none"/>
        </w:rPr>
        <w:t>2.本项目需要落实的政府采购政策</w:t>
      </w:r>
    </w:p>
    <w:p w14:paraId="27B60151">
      <w:pPr>
        <w:spacing w:line="360" w:lineRule="auto"/>
        <w:ind w:firstLine="424"/>
        <w:rPr>
          <w:rFonts w:hint="eastAsia" w:ascii="宋体" w:hAnsi="宋体" w:cs="宋体"/>
          <w:color w:val="auto"/>
          <w:szCs w:val="21"/>
          <w:highlight w:val="none"/>
        </w:rPr>
      </w:pPr>
      <w:r>
        <w:rPr>
          <w:rFonts w:hint="eastAsia" w:ascii="宋体" w:hAnsi="宋体" w:cs="宋体"/>
          <w:color w:val="auto"/>
          <w:szCs w:val="21"/>
          <w:highlight w:val="none"/>
        </w:rPr>
        <w:t>（1）政府采购促进中小企业发展。</w:t>
      </w:r>
    </w:p>
    <w:p w14:paraId="15CC53D9">
      <w:pPr>
        <w:spacing w:line="360" w:lineRule="auto"/>
        <w:ind w:firstLine="424"/>
        <w:rPr>
          <w:rFonts w:hint="eastAsia" w:ascii="宋体" w:hAnsi="宋体" w:cs="宋体"/>
          <w:color w:val="auto"/>
          <w:szCs w:val="21"/>
          <w:highlight w:val="none"/>
        </w:rPr>
      </w:pPr>
      <w:r>
        <w:rPr>
          <w:rFonts w:hint="eastAsia" w:ascii="宋体" w:hAnsi="宋体" w:cs="宋体"/>
          <w:color w:val="auto"/>
          <w:szCs w:val="21"/>
          <w:highlight w:val="none"/>
        </w:rPr>
        <w:t>（2）政府采购支持采用本国产品的政策。</w:t>
      </w:r>
    </w:p>
    <w:p w14:paraId="4B2FD67B">
      <w:pPr>
        <w:spacing w:line="360" w:lineRule="auto"/>
        <w:ind w:firstLine="424"/>
        <w:rPr>
          <w:rFonts w:hint="eastAsia" w:ascii="宋体" w:hAnsi="宋体" w:cs="宋体"/>
          <w:color w:val="auto"/>
          <w:szCs w:val="21"/>
          <w:highlight w:val="none"/>
        </w:rPr>
      </w:pPr>
      <w:r>
        <w:rPr>
          <w:rFonts w:hint="eastAsia" w:ascii="宋体" w:hAnsi="宋体" w:cs="宋体"/>
          <w:color w:val="auto"/>
          <w:szCs w:val="21"/>
          <w:highlight w:val="none"/>
        </w:rPr>
        <w:t>（3）强制采购节能产品；优先采购节能产品、环境标志产品。</w:t>
      </w:r>
    </w:p>
    <w:p w14:paraId="59290992">
      <w:pPr>
        <w:spacing w:line="360" w:lineRule="auto"/>
        <w:ind w:firstLine="424"/>
        <w:rPr>
          <w:rFonts w:hint="eastAsia" w:ascii="宋体" w:hAnsi="宋体" w:cs="宋体"/>
          <w:color w:val="auto"/>
          <w:szCs w:val="21"/>
          <w:highlight w:val="none"/>
        </w:rPr>
      </w:pPr>
      <w:r>
        <w:rPr>
          <w:rFonts w:hint="eastAsia" w:ascii="宋体" w:hAnsi="宋体" w:cs="宋体"/>
          <w:color w:val="auto"/>
          <w:szCs w:val="21"/>
          <w:highlight w:val="none"/>
        </w:rPr>
        <w:t>（4）政府采购促进残疾人就业政策。</w:t>
      </w:r>
    </w:p>
    <w:p w14:paraId="3EDC15FF">
      <w:pPr>
        <w:spacing w:line="360" w:lineRule="auto"/>
        <w:ind w:firstLine="424"/>
        <w:rPr>
          <w:rFonts w:hint="eastAsia" w:ascii="宋体" w:hAnsi="宋体" w:cs="宋体"/>
          <w:color w:val="auto"/>
          <w:szCs w:val="21"/>
          <w:highlight w:val="none"/>
        </w:rPr>
      </w:pPr>
      <w:r>
        <w:rPr>
          <w:rFonts w:hint="eastAsia" w:ascii="宋体" w:hAnsi="宋体" w:cs="宋体"/>
          <w:color w:val="auto"/>
          <w:szCs w:val="21"/>
          <w:highlight w:val="none"/>
        </w:rPr>
        <w:t>（5）政府采购支持监狱企业发展。</w:t>
      </w:r>
    </w:p>
    <w:bookmarkEnd w:id="49"/>
    <w:p w14:paraId="18448E4F">
      <w:pPr>
        <w:widowControl/>
        <w:spacing w:line="360"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rPr>
        <w:t>3.供应商竞标注意事项</w:t>
      </w:r>
    </w:p>
    <w:p w14:paraId="0419E6F9">
      <w:pPr>
        <w:widowControl/>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（1）本项目为全流程电子化采购项目，通过广西政府采购云平台（</w:t>
      </w:r>
      <w:r>
        <w:rPr>
          <w:rFonts w:hint="eastAsia" w:ascii="宋体" w:hAnsi="宋体" w:cs="宋体"/>
          <w:bCs/>
          <w:color w:val="auto"/>
          <w:szCs w:val="21"/>
          <w:highlight w:val="none"/>
        </w:rPr>
        <w:t>https://www.gcy.zfcg.gxzf.gov.cn</w:t>
      </w:r>
      <w:r>
        <w:rPr>
          <w:rFonts w:hint="eastAsia" w:ascii="宋体" w:hAnsi="宋体"/>
          <w:color w:val="auto"/>
          <w:szCs w:val="21"/>
          <w:highlight w:val="none"/>
        </w:rPr>
        <w:t>）实行在线电子竞标，供应商应先安装“广西政府采购云平台新版客户端”（请自行前往广西政府采购云平台进行下载），并按照本项目竞争性磋商文件和广西政府采购云平台的要求编制、加密后在提交响应文件截止时间前通过网络上传至广西政府采购云平台（加密的电子响应文件是指</w:t>
      </w:r>
      <w:r>
        <w:rPr>
          <w:rFonts w:hint="eastAsia"/>
          <w:color w:val="auto"/>
          <w:highlight w:val="none"/>
        </w:rPr>
        <w:t>后缀名为“jm</w:t>
      </w:r>
      <w:r>
        <w:rPr>
          <w:color w:val="auto"/>
          <w:highlight w:val="none"/>
        </w:rPr>
        <w:t>bs</w:t>
      </w:r>
      <w:r>
        <w:rPr>
          <w:rFonts w:hint="eastAsia"/>
          <w:color w:val="auto"/>
          <w:highlight w:val="none"/>
        </w:rPr>
        <w:t>”的文件</w:t>
      </w:r>
      <w:r>
        <w:rPr>
          <w:rFonts w:hint="eastAsia" w:ascii="宋体" w:hAnsi="宋体"/>
          <w:color w:val="auto"/>
          <w:szCs w:val="21"/>
          <w:highlight w:val="none"/>
        </w:rPr>
        <w:t>），供应商在广西政府采购云平台提交电子响应文件时，请填写参加远程采购活动经办人联系方式。供应商登录广西政府采购云平台，依次进入“服务中心-帮助中心-项目采购-操作手册-电子招投标”查看电子竞标具体操作流程。</w:t>
      </w:r>
      <w:bookmarkStart w:id="56" w:name="_Hlk193814073"/>
      <w:r>
        <w:rPr>
          <w:rFonts w:hint="eastAsia" w:ascii="宋体" w:hAnsi="宋体"/>
          <w:color w:val="auto"/>
          <w:szCs w:val="21"/>
          <w:highlight w:val="none"/>
        </w:rPr>
        <w:t>如在操作过程中遇到问题或者需要技术支持，请致电客服热线：95763或者0771-3381253。</w:t>
      </w:r>
      <w:bookmarkEnd w:id="56"/>
    </w:p>
    <w:p w14:paraId="53831118">
      <w:pPr>
        <w:widowControl/>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录</w:t>
      </w:r>
      <w:r>
        <w:rPr>
          <w:rFonts w:hint="eastAsia" w:ascii="宋体" w:hAnsi="宋体" w:cs="宋体"/>
          <w:color w:val="auto"/>
          <w:szCs w:val="21"/>
          <w:highlight w:val="none"/>
        </w:rPr>
        <w:t>广西政府采购云平台，</w:t>
      </w:r>
      <w:r>
        <w:rPr>
          <w:rFonts w:hint="eastAsia" w:ascii="宋体" w:hAnsi="宋体"/>
          <w:color w:val="auto"/>
          <w:szCs w:val="21"/>
          <w:highlight w:val="none"/>
        </w:rPr>
        <w:t>依次进入“系统管理-CA管理-申领CA”中查看CA服务商并选择其中任意一家CA服务商办理CA数字证书。如在操作过程中遇到问题或者需要技术支持，请致电相应的CA服务商客服咨询电话）。</w:t>
      </w:r>
    </w:p>
    <w:p w14:paraId="68E02F49">
      <w:pPr>
        <w:widowControl/>
        <w:spacing w:line="360" w:lineRule="auto"/>
        <w:ind w:firstLine="420" w:firstLineChars="200"/>
        <w:jc w:val="left"/>
        <w:rPr>
          <w:rFonts w:hint="eastAsia" w:ascii="宋体" w:hAnsi="宋体" w:cs="宋体"/>
          <w:color w:val="auto"/>
          <w:szCs w:val="21"/>
          <w:highlight w:val="none"/>
        </w:rPr>
      </w:pPr>
      <w:r>
        <w:rPr>
          <w:rFonts w:hint="eastAsia" w:ascii="宋体" w:hAnsi="宋体"/>
          <w:color w:val="auto"/>
          <w:szCs w:val="21"/>
          <w:highlight w:val="none"/>
        </w:rPr>
        <w:t>（3）CA证书在线解密：首次响应文件开启时，需携带制作响应文件时用来加密的有效数字证书（CA认证）登录广西政府采购云</w:t>
      </w:r>
      <w:r>
        <w:rPr>
          <w:rFonts w:hint="eastAsia" w:ascii="宋体" w:hAnsi="宋体" w:cs="宋体"/>
          <w:color w:val="auto"/>
          <w:szCs w:val="21"/>
          <w:highlight w:val="none"/>
        </w:rPr>
        <w:t>平台电子开标大厅现场按规定时间对加密的响应文件进行解密，否则后果自负。</w:t>
      </w:r>
    </w:p>
    <w:p w14:paraId="4CE02436">
      <w:pPr>
        <w:widowControl/>
        <w:spacing w:line="360" w:lineRule="auto"/>
        <w:ind w:firstLine="420" w:firstLineChars="200"/>
        <w:jc w:val="left"/>
        <w:rPr>
          <w:rFonts w:hint="eastAsia" w:ascii="宋体" w:hAnsi="宋体"/>
          <w:bCs/>
          <w:color w:val="auto"/>
          <w:szCs w:val="21"/>
          <w:highlight w:val="none"/>
        </w:rPr>
      </w:pPr>
      <w:r>
        <w:rPr>
          <w:rFonts w:hint="eastAsia" w:ascii="宋体" w:hAnsi="宋体"/>
          <w:color w:val="auto"/>
          <w:szCs w:val="21"/>
          <w:highlight w:val="none"/>
        </w:rPr>
        <w:t>注：1）为确保网上操作合法、有效和安全，请供应商确保在电子竞标过程中能够对相关数据电文进行加密和使用电子签章，妥善保管CA数字证书并使用有效的CA数字证书参与整个采购活动。2）</w:t>
      </w:r>
      <w:r>
        <w:rPr>
          <w:rFonts w:hint="eastAsia" w:ascii="宋体" w:hAnsi="宋体"/>
          <w:bCs/>
          <w:color w:val="auto"/>
          <w:szCs w:val="21"/>
          <w:highlight w:val="none"/>
        </w:rPr>
        <w:t>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p>
    <w:p w14:paraId="6EFC492D">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（4）供应商需要在具备有摄像头及语音功能且互联网网络状况良好的电脑登录广西政府采购云平台远程开标大厅参与本次磋商，否则后果自负。</w:t>
      </w:r>
    </w:p>
    <w:p w14:paraId="0D833C3D">
      <w:pPr>
        <w:spacing w:line="360" w:lineRule="auto"/>
        <w:ind w:firstLine="354"/>
        <w:rPr>
          <w:rFonts w:hint="eastAsia" w:ascii="宋体" w:hAnsi="宋体" w:cs="宋体"/>
          <w:b/>
          <w:color w:val="auto"/>
          <w:sz w:val="24"/>
          <w:highlight w:val="none"/>
        </w:rPr>
      </w:pPr>
      <w:r>
        <w:rPr>
          <w:rFonts w:hint="eastAsia" w:ascii="宋体" w:hAnsi="宋体" w:cs="宋体"/>
          <w:b/>
          <w:color w:val="auto"/>
          <w:sz w:val="24"/>
          <w:highlight w:val="none"/>
        </w:rPr>
        <w:t>八、凡对本次采购提出询问，请按以下方式联系。</w:t>
      </w:r>
      <w:bookmarkEnd w:id="50"/>
      <w:bookmarkEnd w:id="51"/>
      <w:bookmarkEnd w:id="52"/>
      <w:bookmarkEnd w:id="53"/>
      <w:bookmarkEnd w:id="54"/>
    </w:p>
    <w:bookmarkEnd w:id="55"/>
    <w:p w14:paraId="208EA6AF">
      <w:pPr>
        <w:spacing w:line="360" w:lineRule="auto"/>
        <w:ind w:firstLine="420"/>
        <w:rPr>
          <w:rFonts w:hint="eastAsia" w:ascii="宋体" w:hAnsi="宋体" w:cs="宋体"/>
          <w:color w:val="auto"/>
          <w:szCs w:val="21"/>
          <w:highlight w:val="none"/>
        </w:rPr>
      </w:pPr>
      <w:bookmarkStart w:id="57" w:name="_Toc28359096"/>
      <w:bookmarkStart w:id="58" w:name="_Toc35393637"/>
      <w:bookmarkStart w:id="59" w:name="_Toc28359019"/>
      <w:bookmarkStart w:id="60" w:name="_Toc35393806"/>
      <w:r>
        <w:rPr>
          <w:rFonts w:hint="eastAsia" w:ascii="宋体" w:hAnsi="宋体" w:cs="宋体"/>
          <w:color w:val="auto"/>
          <w:szCs w:val="21"/>
          <w:highlight w:val="none"/>
        </w:rPr>
        <w:t>1.采购人信息</w:t>
      </w:r>
      <w:bookmarkEnd w:id="57"/>
      <w:bookmarkEnd w:id="58"/>
      <w:bookmarkEnd w:id="59"/>
      <w:bookmarkEnd w:id="60"/>
    </w:p>
    <w:p w14:paraId="4E97D919">
      <w:pPr>
        <w:spacing w:line="360" w:lineRule="auto"/>
        <w:ind w:firstLine="420" w:firstLineChars="200"/>
        <w:rPr>
          <w:rFonts w:hint="eastAsia" w:ascii="宋体" w:hAnsi="宋体" w:cs="宋体"/>
          <w:color w:val="auto"/>
          <w:kern w:val="0"/>
          <w:szCs w:val="21"/>
          <w:highlight w:val="none"/>
        </w:rPr>
      </w:pPr>
      <w:bookmarkStart w:id="61" w:name="_Toc28359020"/>
      <w:bookmarkStart w:id="62" w:name="_Toc35393638"/>
      <w:bookmarkStart w:id="63" w:name="_Toc35393807"/>
      <w:bookmarkStart w:id="64" w:name="_Toc28359097"/>
      <w:r>
        <w:rPr>
          <w:rFonts w:hint="eastAsia" w:ascii="宋体" w:hAnsi="宋体" w:cs="宋体"/>
          <w:color w:val="auto"/>
          <w:kern w:val="0"/>
          <w:szCs w:val="21"/>
          <w:highlight w:val="none"/>
        </w:rPr>
        <w:t>名    称：岑溪市筋竹镇人民政府</w:t>
      </w:r>
    </w:p>
    <w:p w14:paraId="0A222E60">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地    址：岑溪市筋竹镇人民路1号</w:t>
      </w:r>
    </w:p>
    <w:p w14:paraId="1ACA61A2">
      <w:pPr>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联系方式：</w:t>
      </w:r>
      <w:r>
        <w:rPr>
          <w:rFonts w:hint="eastAsia" w:ascii="宋体" w:hAnsi="宋体" w:cs="宋体"/>
          <w:color w:val="auto"/>
          <w:kern w:val="0"/>
          <w:szCs w:val="21"/>
          <w:highlight w:val="none"/>
          <w:lang w:val="en-US" w:eastAsia="zh-CN"/>
        </w:rPr>
        <w:t>何汉林</w:t>
      </w:r>
      <w:r>
        <w:rPr>
          <w:rFonts w:hint="eastAsia" w:ascii="宋体" w:hAnsi="宋体" w:cs="宋体"/>
          <w:color w:val="auto"/>
          <w:kern w:val="0"/>
          <w:szCs w:val="21"/>
          <w:highlight w:val="none"/>
        </w:rPr>
        <w:t>，0774-8451206</w:t>
      </w:r>
    </w:p>
    <w:p w14:paraId="18CF0354">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2.采购代理机构信息</w:t>
      </w:r>
      <w:bookmarkEnd w:id="61"/>
      <w:bookmarkEnd w:id="62"/>
      <w:bookmarkEnd w:id="63"/>
      <w:bookmarkEnd w:id="64"/>
    </w:p>
    <w:p w14:paraId="2DDDD478">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名    称：云之龙咨询集团有限公司</w:t>
      </w:r>
    </w:p>
    <w:p w14:paraId="387DD280">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地　　址：岑溪市岑城镇城东路118号</w:t>
      </w:r>
    </w:p>
    <w:p w14:paraId="521D007D">
      <w:pPr>
        <w:spacing w:line="360" w:lineRule="auto"/>
        <w:ind w:firstLine="420"/>
        <w:rPr>
          <w:rFonts w:hint="eastAsia" w:ascii="宋体" w:hAnsi="宋体" w:cs="宋体"/>
          <w:color w:val="auto"/>
          <w:szCs w:val="21"/>
          <w:highlight w:val="none"/>
          <w:u w:val="single"/>
        </w:rPr>
      </w:pPr>
      <w:r>
        <w:rPr>
          <w:rFonts w:hint="eastAsia" w:ascii="宋体" w:hAnsi="宋体" w:cs="宋体"/>
          <w:color w:val="auto"/>
          <w:szCs w:val="21"/>
          <w:highlight w:val="none"/>
        </w:rPr>
        <w:t>联系方式：卢思颖</w:t>
      </w:r>
      <w:r>
        <w:rPr>
          <w:rFonts w:hint="eastAsia" w:hAnsi="宋体" w:cs="宋体"/>
          <w:color w:val="auto"/>
          <w:highlight w:val="none"/>
        </w:rPr>
        <w:t>、陈丽年</w:t>
      </w:r>
      <w:r>
        <w:rPr>
          <w:rFonts w:hint="eastAsia" w:ascii="宋体" w:hAnsi="宋体" w:cs="宋体"/>
          <w:color w:val="auto"/>
          <w:szCs w:val="21"/>
          <w:highlight w:val="none"/>
        </w:rPr>
        <w:t>，0774-8219456</w:t>
      </w:r>
    </w:p>
    <w:p w14:paraId="756FE599">
      <w:pPr>
        <w:spacing w:line="360" w:lineRule="auto"/>
        <w:ind w:firstLine="420"/>
        <w:rPr>
          <w:rFonts w:hint="eastAsia" w:ascii="宋体" w:hAnsi="宋体" w:cs="宋体"/>
          <w:color w:val="auto"/>
          <w:szCs w:val="21"/>
          <w:highlight w:val="none"/>
        </w:rPr>
      </w:pPr>
      <w:bookmarkStart w:id="65" w:name="_Toc28359098"/>
      <w:bookmarkStart w:id="66" w:name="_Toc35393808"/>
      <w:bookmarkStart w:id="67" w:name="_Toc28359021"/>
      <w:bookmarkStart w:id="68" w:name="_Toc35393639"/>
      <w:r>
        <w:rPr>
          <w:rFonts w:hint="eastAsia" w:ascii="宋体" w:hAnsi="宋体" w:cs="宋体"/>
          <w:color w:val="auto"/>
          <w:szCs w:val="21"/>
          <w:highlight w:val="none"/>
        </w:rPr>
        <w:t>3.项目联系方式</w:t>
      </w:r>
      <w:bookmarkEnd w:id="65"/>
      <w:bookmarkEnd w:id="66"/>
      <w:bookmarkEnd w:id="67"/>
      <w:bookmarkEnd w:id="68"/>
    </w:p>
    <w:p w14:paraId="79F6ACAB">
      <w:pPr>
        <w:pStyle w:val="226"/>
        <w:spacing w:line="360" w:lineRule="auto"/>
        <w:ind w:firstLine="420"/>
        <w:rPr>
          <w:rFonts w:hint="eastAsia" w:hAnsi="宋体" w:cs="宋体"/>
          <w:color w:val="auto"/>
          <w:sz w:val="21"/>
          <w:highlight w:val="none"/>
        </w:rPr>
      </w:pPr>
      <w:r>
        <w:rPr>
          <w:rFonts w:hint="eastAsia" w:hAnsi="宋体" w:cs="宋体"/>
          <w:color w:val="auto"/>
          <w:sz w:val="21"/>
          <w:highlight w:val="none"/>
        </w:rPr>
        <w:t>项目联系人：卢思颖、陈丽年</w:t>
      </w:r>
    </w:p>
    <w:p w14:paraId="3FBD51D5">
      <w:pPr>
        <w:spacing w:line="360" w:lineRule="auto"/>
        <w:ind w:firstLine="420"/>
        <w:rPr>
          <w:rFonts w:hint="eastAsia" w:ascii="宋体" w:hAnsi="宋体" w:cs="宋体"/>
          <w:color w:val="auto"/>
          <w:highlight w:val="none"/>
        </w:rPr>
      </w:pPr>
      <w:r>
        <w:rPr>
          <w:rFonts w:hint="eastAsia" w:ascii="宋体" w:hAnsi="宋体" w:cs="宋体"/>
          <w:color w:val="auto"/>
          <w:szCs w:val="21"/>
          <w:highlight w:val="none"/>
        </w:rPr>
        <w:t>电　　话：0774-8219456</w:t>
      </w:r>
      <w:bookmarkStart w:id="69" w:name="_Toc122424245"/>
    </w:p>
    <w:p w14:paraId="74D5D9E1">
      <w:pPr>
        <w:pStyle w:val="187"/>
        <w:spacing w:before="300" w:after="300" w:line="360" w:lineRule="auto"/>
        <w:jc w:val="center"/>
        <w:rPr>
          <w:rFonts w:hint="eastAsia" w:ascii="宋体" w:hAnsi="宋体" w:cs="宋体"/>
          <w:color w:val="auto"/>
          <w:highlight w:val="none"/>
        </w:rPr>
      </w:pPr>
      <w:r>
        <w:rPr>
          <w:rFonts w:hint="eastAsia" w:ascii="宋体" w:hAnsi="宋体" w:cs="宋体"/>
          <w:color w:val="auto"/>
          <w:highlight w:val="none"/>
        </w:rPr>
        <w:br w:type="page" w:clear="all"/>
      </w:r>
      <w:r>
        <w:rPr>
          <w:rFonts w:hint="eastAsia" w:ascii="宋体" w:hAnsi="宋体" w:cs="宋体"/>
          <w:color w:val="auto"/>
          <w:highlight w:val="none"/>
        </w:rPr>
        <w:t>第二章 供应商须知</w:t>
      </w:r>
      <w:bookmarkEnd w:id="69"/>
    </w:p>
    <w:p w14:paraId="1CCD818A">
      <w:pPr>
        <w:spacing w:line="400" w:lineRule="exact"/>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供应商须知前附表</w:t>
      </w:r>
    </w:p>
    <w:p w14:paraId="6C32B3BF">
      <w:pPr>
        <w:spacing w:line="400" w:lineRule="exact"/>
        <w:jc w:val="center"/>
        <w:rPr>
          <w:rFonts w:hint="eastAsia" w:ascii="宋体" w:hAnsi="宋体" w:cs="宋体"/>
          <w:b/>
          <w:color w:val="auto"/>
          <w:sz w:val="32"/>
          <w:szCs w:val="32"/>
          <w:highlight w:val="none"/>
        </w:rPr>
      </w:pPr>
    </w:p>
    <w:tbl>
      <w:tblPr>
        <w:tblStyle w:val="3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7912"/>
      </w:tblGrid>
      <w:tr w14:paraId="3785C6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tcPr>
          <w:p w14:paraId="14040F91">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条款号</w:t>
            </w:r>
          </w:p>
        </w:tc>
        <w:tc>
          <w:tcPr>
            <w:tcW w:w="7912" w:type="dxa"/>
            <w:tcBorders>
              <w:top w:val="single" w:color="000000" w:sz="4" w:space="0"/>
              <w:left w:val="single" w:color="000000" w:sz="4" w:space="0"/>
              <w:bottom w:val="single" w:color="000000" w:sz="4" w:space="0"/>
              <w:right w:val="single" w:color="000000" w:sz="4" w:space="0"/>
            </w:tcBorders>
          </w:tcPr>
          <w:p w14:paraId="1C865107">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内    容</w:t>
            </w:r>
          </w:p>
        </w:tc>
      </w:tr>
      <w:tr w14:paraId="3911CC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544A4F80">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3.1</w:t>
            </w:r>
          </w:p>
        </w:tc>
        <w:tc>
          <w:tcPr>
            <w:tcW w:w="7912" w:type="dxa"/>
            <w:tcBorders>
              <w:top w:val="single" w:color="000000" w:sz="4" w:space="0"/>
              <w:left w:val="single" w:color="000000" w:sz="4" w:space="0"/>
              <w:bottom w:val="single" w:color="000000" w:sz="4" w:space="0"/>
              <w:right w:val="single" w:color="000000" w:sz="4" w:space="0"/>
            </w:tcBorders>
            <w:vAlign w:val="center"/>
          </w:tcPr>
          <w:p w14:paraId="2C99CF5D">
            <w:pPr>
              <w:spacing w:line="360" w:lineRule="auto"/>
              <w:rPr>
                <w:rFonts w:hint="eastAsia" w:ascii="宋体" w:hAnsi="宋体" w:cs="宋体"/>
                <w:color w:val="auto"/>
                <w:szCs w:val="21"/>
                <w:highlight w:val="none"/>
              </w:rPr>
            </w:pPr>
            <w:r>
              <w:rPr>
                <w:rFonts w:hint="eastAsia" w:ascii="宋体" w:hAnsi="宋体" w:cs="宋体"/>
                <w:bCs/>
                <w:color w:val="auto"/>
                <w:szCs w:val="21"/>
                <w:highlight w:val="none"/>
              </w:rPr>
              <w:t>供应商的资格条件</w:t>
            </w:r>
            <w:r>
              <w:rPr>
                <w:rFonts w:hint="eastAsia" w:ascii="宋体" w:hAnsi="宋体" w:cs="宋体"/>
                <w:color w:val="auto"/>
                <w:szCs w:val="21"/>
                <w:highlight w:val="none"/>
              </w:rPr>
              <w:t>：详见竞争性磋商公告</w:t>
            </w:r>
          </w:p>
        </w:tc>
      </w:tr>
      <w:tr w14:paraId="27A64F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7E1F5AD5">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5.1</w:t>
            </w:r>
          </w:p>
        </w:tc>
        <w:tc>
          <w:tcPr>
            <w:tcW w:w="7912" w:type="dxa"/>
            <w:tcBorders>
              <w:top w:val="single" w:color="000000" w:sz="4" w:space="0"/>
              <w:left w:val="single" w:color="000000" w:sz="4" w:space="0"/>
              <w:bottom w:val="single" w:color="000000" w:sz="4" w:space="0"/>
              <w:right w:val="single" w:color="000000" w:sz="4" w:space="0"/>
            </w:tcBorders>
            <w:vAlign w:val="center"/>
          </w:tcPr>
          <w:p w14:paraId="2D105B4A">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是否接受联合体竞标: 详见竞争性磋商公告</w:t>
            </w:r>
          </w:p>
        </w:tc>
      </w:tr>
      <w:tr w14:paraId="2DE2F3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3AB55648">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5.2</w:t>
            </w:r>
          </w:p>
        </w:tc>
        <w:tc>
          <w:tcPr>
            <w:tcW w:w="7912" w:type="dxa"/>
            <w:tcBorders>
              <w:top w:val="single" w:color="000000" w:sz="4" w:space="0"/>
              <w:left w:val="single" w:color="000000" w:sz="4" w:space="0"/>
              <w:bottom w:val="single" w:color="000000" w:sz="4" w:space="0"/>
              <w:right w:val="single" w:color="000000" w:sz="4" w:space="0"/>
            </w:tcBorders>
            <w:vAlign w:val="center"/>
          </w:tcPr>
          <w:p w14:paraId="76CA5E42">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如接受联合体竞标，联合体竞标要求如下：</w:t>
            </w:r>
          </w:p>
          <w:p w14:paraId="63244A24">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1.两个以上供应商可以组成一个竞标联合体，以一个供应商的身份共同参加竞标。联合体竞标的，须提供《联合体竞标协议书》（格式后附）。</w:t>
            </w:r>
          </w:p>
          <w:p w14:paraId="414EB577">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2.以联合体形式参加竞标的，联合体各方均必须具备《中华人民共和国政府采购法》第二十二条第一款规定的基本条件（涉及行政许可范围的内容，联合体各方均应具备相应资质）。本项目有特殊要求规定供应商特定条件的，联合体各方中至少有一方必须符合磋商文件规定的特定条件。</w:t>
            </w:r>
          </w:p>
          <w:p w14:paraId="1F16ED8E">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3.联合体各方之间必须签订联合竞标协议，协议书必须明确主体方（或者牵头方）并明确约定联合体各方承担的工作和相应的责任（</w:t>
            </w:r>
            <w:r>
              <w:rPr>
                <w:rFonts w:hint="eastAsia" w:ascii="宋体" w:hAnsi="宋体" w:cs="宋体"/>
                <w:b/>
                <w:color w:val="auto"/>
                <w:szCs w:val="21"/>
                <w:highlight w:val="none"/>
              </w:rPr>
              <w:t>各方承担责任与义务的分工必须符合采购需求，否则，联合体竞标无效</w:t>
            </w:r>
            <w:r>
              <w:rPr>
                <w:rFonts w:hint="eastAsia" w:ascii="宋体" w:hAnsi="宋体" w:cs="宋体"/>
                <w:color w:val="auto"/>
                <w:szCs w:val="21"/>
                <w:highlight w:val="none"/>
              </w:rPr>
              <w:t>），并将联合竞标协议放入响应文件。联合体各方必须共同与采购人签订采购合同，就采购合同约定的事项对采购人承担连带责任。</w:t>
            </w:r>
          </w:p>
          <w:p w14:paraId="38BB6EB6">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4.以联合体形式参加政府采购活动的，联合体各方不得再单独参加或者与其他供应商另外组成联合体参加同一合同项下的政府采购活动。</w:t>
            </w:r>
          </w:p>
          <w:p w14:paraId="19EC9F99">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5.联合体中有同类资质的供应商按照联合体分工承担相同工作的，应当按照资质等级较低的供应商确定资质等级。</w:t>
            </w:r>
          </w:p>
          <w:p w14:paraId="10061137">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6.联合体竞标业绩、履约能力按照联合体各方中较高的一方认定并计算（磋商文件另有规定的除外）。</w:t>
            </w:r>
          </w:p>
          <w:p w14:paraId="67916A3F">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7.供应商为联合体的，可以由联合体中的一方或者多方共同交纳磋商保证金，其交纳的保证金对联合体各方均具有约束力。</w:t>
            </w:r>
          </w:p>
          <w:p w14:paraId="6E2223E2">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8.联合体各方均应按照磋商文件的规定提交资格证明文件。</w:t>
            </w:r>
          </w:p>
        </w:tc>
      </w:tr>
      <w:tr w14:paraId="6B750E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393DF852">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6.2</w:t>
            </w:r>
          </w:p>
        </w:tc>
        <w:tc>
          <w:tcPr>
            <w:tcW w:w="7912" w:type="dxa"/>
            <w:tcBorders>
              <w:top w:val="single" w:color="000000" w:sz="4" w:space="0"/>
              <w:left w:val="single" w:color="000000" w:sz="4" w:space="0"/>
              <w:bottom w:val="single" w:color="000000" w:sz="4" w:space="0"/>
              <w:right w:val="single" w:color="000000" w:sz="4" w:space="0"/>
            </w:tcBorders>
            <w:vAlign w:val="center"/>
          </w:tcPr>
          <w:p w14:paraId="7E475814">
            <w:pPr>
              <w:pStyle w:val="213"/>
              <w:spacing w:line="360" w:lineRule="auto"/>
              <w:rPr>
                <w:rFonts w:hint="eastAsia" w:ascii="宋体" w:hAnsi="宋体" w:cs="宋体"/>
                <w:color w:val="auto"/>
                <w:szCs w:val="21"/>
                <w:highlight w:val="none"/>
              </w:rPr>
            </w:pPr>
            <w:r>
              <w:rPr>
                <w:rFonts w:hint="eastAsia" w:ascii="宋体" w:hAnsi="宋体" w:cs="宋体"/>
                <w:color w:val="auto"/>
                <w:szCs w:val="21"/>
                <w:highlight w:val="none"/>
              </w:rPr>
              <w:t>☑不允许分包</w:t>
            </w:r>
          </w:p>
          <w:p w14:paraId="36B6C9F8">
            <w:pPr>
              <w:pStyle w:val="213"/>
              <w:spacing w:line="360" w:lineRule="auto"/>
              <w:rPr>
                <w:rFonts w:hint="eastAsia" w:ascii="宋体" w:hAnsi="宋体" w:cs="宋体"/>
                <w:color w:val="auto"/>
                <w:szCs w:val="21"/>
                <w:highlight w:val="none"/>
              </w:rPr>
            </w:pPr>
            <w:r>
              <w:rPr>
                <w:rFonts w:hint="eastAsia" w:ascii="宋体" w:hAnsi="宋体" w:cs="宋体"/>
                <w:color w:val="auto"/>
                <w:szCs w:val="21"/>
                <w:highlight w:val="none"/>
              </w:rPr>
              <w:t>□允许分包</w:t>
            </w:r>
          </w:p>
          <w:p w14:paraId="1279B05D">
            <w:pPr>
              <w:pStyle w:val="213"/>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分包内容：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079B04AF">
            <w:pPr>
              <w:pStyle w:val="213"/>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分包金额或者比例：</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530E9ED3">
            <w:pPr>
              <w:pStyle w:val="213"/>
              <w:spacing w:line="360" w:lineRule="auto"/>
              <w:rPr>
                <w:rFonts w:hint="eastAsia" w:ascii="宋体" w:hAnsi="宋体" w:cs="宋体"/>
                <w:color w:val="auto"/>
                <w:szCs w:val="21"/>
                <w:highlight w:val="none"/>
              </w:rPr>
            </w:pPr>
            <w:r>
              <w:rPr>
                <w:rFonts w:hint="eastAsia" w:ascii="宋体" w:hAnsi="宋体" w:cs="宋体"/>
                <w:color w:val="auto"/>
                <w:szCs w:val="21"/>
                <w:highlight w:val="none"/>
              </w:rPr>
              <w:t>分包供应商必须具备的资质：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tc>
      </w:tr>
      <w:tr w14:paraId="151207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52CAECA9">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12.1.1</w:t>
            </w:r>
          </w:p>
        </w:tc>
        <w:tc>
          <w:tcPr>
            <w:tcW w:w="7912" w:type="dxa"/>
            <w:tcBorders>
              <w:top w:val="single" w:color="000000" w:sz="4" w:space="0"/>
              <w:left w:val="single" w:color="000000" w:sz="4" w:space="0"/>
              <w:bottom w:val="single" w:color="000000" w:sz="4" w:space="0"/>
              <w:right w:val="single" w:color="000000" w:sz="4" w:space="0"/>
            </w:tcBorders>
            <w:vAlign w:val="center"/>
          </w:tcPr>
          <w:p w14:paraId="7EAA461B">
            <w:pPr>
              <w:spacing w:line="360" w:lineRule="auto"/>
              <w:jc w:val="left"/>
              <w:rPr>
                <w:rFonts w:hint="eastAsia" w:ascii="宋体" w:hAnsi="宋体" w:cs="宋体"/>
                <w:b/>
                <w:color w:val="auto"/>
                <w:szCs w:val="21"/>
                <w:highlight w:val="none"/>
              </w:rPr>
            </w:pPr>
            <w:r>
              <w:rPr>
                <w:rFonts w:hint="eastAsia" w:ascii="宋体" w:hAnsi="宋体" w:cs="宋体"/>
                <w:b/>
                <w:color w:val="auto"/>
                <w:szCs w:val="21"/>
                <w:highlight w:val="none"/>
              </w:rPr>
              <w:t>资格证明文件</w:t>
            </w:r>
          </w:p>
          <w:p w14:paraId="5AC32EA4">
            <w:pPr>
              <w:pStyle w:val="213"/>
              <w:spacing w:line="360" w:lineRule="auto"/>
              <w:rPr>
                <w:rFonts w:hint="eastAsia" w:ascii="宋体" w:hAnsi="宋体" w:cs="宋体"/>
                <w:color w:val="auto"/>
                <w:szCs w:val="21"/>
                <w:highlight w:val="none"/>
              </w:rPr>
            </w:pPr>
            <w:r>
              <w:rPr>
                <w:rFonts w:hint="eastAsia" w:ascii="宋体" w:hAnsi="宋体" w:cs="宋体"/>
                <w:color w:val="auto"/>
                <w:szCs w:val="21"/>
                <w:highlight w:val="none"/>
              </w:rPr>
              <w:t>1.供应商为法人或者其他组织的提供</w:t>
            </w:r>
            <w:r>
              <w:rPr>
                <w:rFonts w:hint="eastAsia" w:ascii="宋体" w:hAnsi="宋体" w:cs="宋体"/>
                <w:b/>
                <w:bCs/>
                <w:color w:val="auto"/>
                <w:szCs w:val="21"/>
                <w:highlight w:val="none"/>
              </w:rPr>
              <w:t>其营业执照等证明文件复印件（如营业执照或者事业单位法人证书或者执业许可证或者登记证书、</w:t>
            </w:r>
            <w:r>
              <w:rPr>
                <w:rFonts w:hint="eastAsia" w:ascii="宋体" w:hAnsi="宋体" w:cs="宋体"/>
                <w:b/>
                <w:bCs/>
                <w:color w:val="auto"/>
                <w:highlight w:val="none"/>
              </w:rPr>
              <w:t>企业资质证书副本、安全生产许可证副本等</w:t>
            </w:r>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5B551B5A">
            <w:pPr>
              <w:spacing w:line="360" w:lineRule="auto"/>
              <w:contextualSpacing/>
              <w:jc w:val="left"/>
              <w:rPr>
                <w:rFonts w:hint="eastAsia" w:ascii="宋体" w:hAnsi="宋体" w:cs="宋体"/>
                <w:color w:val="auto"/>
                <w:szCs w:val="21"/>
                <w:highlight w:val="none"/>
              </w:rPr>
            </w:pPr>
            <w:r>
              <w:rPr>
                <w:rFonts w:hint="eastAsia" w:ascii="宋体" w:hAnsi="宋体" w:cs="宋体"/>
                <w:color w:val="auto"/>
                <w:szCs w:val="21"/>
                <w:highlight w:val="none"/>
              </w:rPr>
              <w:t>2.供应商依法缴纳税收的相关材料（2025年1</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月至响应文件提交截止时间内任意</w:t>
            </w:r>
            <w:r>
              <w:rPr>
                <w:rFonts w:hint="eastAsia" w:ascii="宋体" w:hAnsi="宋体" w:cs="宋体"/>
                <w:color w:val="auto"/>
                <w:szCs w:val="21"/>
                <w:highlight w:val="none"/>
                <w:u w:val="single"/>
              </w:rPr>
              <w:t xml:space="preserve">1 </w:t>
            </w:r>
            <w:r>
              <w:rPr>
                <w:rFonts w:hint="eastAsia" w:ascii="宋体" w:hAnsi="宋体" w:cs="宋体"/>
                <w:color w:val="auto"/>
                <w:szCs w:val="21"/>
                <w:highlight w:val="none"/>
              </w:rPr>
              <w:t>个月的依法缴纳税收的凭据复印件；</w:t>
            </w:r>
            <w:r>
              <w:rPr>
                <w:rFonts w:hint="eastAsia" w:ascii="宋体" w:hAnsi="宋体" w:cs="宋体"/>
                <w:color w:val="auto"/>
                <w:highlight w:val="none"/>
              </w:rPr>
              <w:t>依法免税的，必须提供相应文件证明其依法免税。</w:t>
            </w:r>
            <w:r>
              <w:rPr>
                <w:rFonts w:hint="eastAsia" w:ascii="宋体" w:hAnsi="宋体" w:cs="宋体"/>
                <w:color w:val="auto"/>
                <w:szCs w:val="21"/>
                <w:highlight w:val="none"/>
              </w:rPr>
              <w:t>从成立之日起到响应文件提交截止时间止不足要求月数的则不需要提供）；（</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2E8211EC">
            <w:pPr>
              <w:spacing w:line="360" w:lineRule="auto"/>
              <w:contextualSpacing/>
              <w:jc w:val="left"/>
              <w:rPr>
                <w:rFonts w:hint="eastAsia" w:ascii="宋体" w:hAnsi="宋体" w:cs="宋体"/>
                <w:color w:val="auto"/>
                <w:szCs w:val="21"/>
                <w:highlight w:val="none"/>
              </w:rPr>
            </w:pPr>
            <w:r>
              <w:rPr>
                <w:rFonts w:hint="eastAsia" w:ascii="宋体" w:hAnsi="宋体" w:cs="宋体"/>
                <w:color w:val="auto"/>
                <w:szCs w:val="21"/>
                <w:highlight w:val="none"/>
              </w:rPr>
              <w:t>3.供应商依法缴纳社会保障资金的相关材料[2025年1</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月至响应文件提交截止时间内任意</w:t>
            </w:r>
            <w:r>
              <w:rPr>
                <w:rFonts w:hint="eastAsia" w:ascii="宋体" w:hAnsi="宋体" w:cs="宋体"/>
                <w:color w:val="auto"/>
                <w:szCs w:val="21"/>
                <w:highlight w:val="none"/>
                <w:u w:val="single"/>
              </w:rPr>
              <w:t xml:space="preserve">1 </w:t>
            </w:r>
            <w:r>
              <w:rPr>
                <w:rFonts w:hint="eastAsia" w:ascii="宋体" w:hAnsi="宋体" w:cs="宋体"/>
                <w:color w:val="auto"/>
                <w:szCs w:val="21"/>
                <w:highlight w:val="none"/>
              </w:rPr>
              <w:t>个月的依法缴纳社会保障资金的缴费凭证（</w:t>
            </w:r>
            <w:r>
              <w:rPr>
                <w:rFonts w:hint="eastAsia" w:ascii="宋体" w:hAnsi="宋体" w:cs="宋体"/>
                <w:color w:val="auto"/>
                <w:highlight w:val="none"/>
              </w:rPr>
              <w:t>专用收据、社会保险缴纳清单或者社保部门、医保部门的证明等</w:t>
            </w:r>
            <w:r>
              <w:rPr>
                <w:rFonts w:hint="eastAsia" w:ascii="宋体" w:hAnsi="宋体" w:cs="宋体"/>
                <w:color w:val="auto"/>
                <w:szCs w:val="21"/>
                <w:highlight w:val="none"/>
              </w:rPr>
              <w:t>）复印件；</w:t>
            </w:r>
            <w:r>
              <w:rPr>
                <w:rFonts w:hint="eastAsia" w:ascii="宋体" w:hAnsi="宋体" w:cs="宋体"/>
                <w:color w:val="auto"/>
                <w:highlight w:val="none"/>
              </w:rPr>
              <w:t>依法不需要缴纳社会保障资金的，必须提供相应文件证明不需要缴纳社会保障资金。</w:t>
            </w:r>
            <w:r>
              <w:rPr>
                <w:rFonts w:hint="eastAsia" w:ascii="宋体" w:hAnsi="宋体" w:cs="宋体"/>
                <w:color w:val="auto"/>
                <w:szCs w:val="21"/>
                <w:highlight w:val="none"/>
              </w:rPr>
              <w:t>从成立之日起到响应文件提交截止时间止不足要求月数的则不需要提供]；（</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3EE9D05F">
            <w:pPr>
              <w:spacing w:line="360" w:lineRule="auto"/>
              <w:contextualSpacing/>
              <w:jc w:val="left"/>
              <w:rPr>
                <w:rFonts w:hint="eastAsia" w:ascii="宋体" w:hAnsi="宋体" w:cs="宋体"/>
                <w:b/>
                <w:color w:val="auto"/>
                <w:szCs w:val="21"/>
                <w:highlight w:val="none"/>
              </w:rPr>
            </w:pPr>
            <w:r>
              <w:rPr>
                <w:rFonts w:hint="eastAsia" w:ascii="宋体" w:hAnsi="宋体" w:cs="宋体"/>
                <w:color w:val="auto"/>
                <w:szCs w:val="21"/>
                <w:highlight w:val="none"/>
              </w:rPr>
              <w:t>4.供应商财务状况报告（2024年或2025年度财务报表复印件，或者银行出具的资信证明，或者中国人民银行征信中心出具的信用报告；供应商属于</w:t>
            </w:r>
            <w:r>
              <w:rPr>
                <w:rFonts w:hint="eastAsia" w:ascii="宋体" w:hAnsi="宋体" w:cs="宋体"/>
                <w:color w:val="auto"/>
                <w:highlight w:val="none"/>
              </w:rPr>
              <w:t>成立时间在规定年度之后的</w:t>
            </w:r>
            <w:r>
              <w:rPr>
                <w:rFonts w:hint="eastAsia" w:ascii="宋体" w:hAnsi="宋体" w:cs="宋体"/>
                <w:color w:val="auto"/>
                <w:szCs w:val="21"/>
                <w:highlight w:val="none"/>
              </w:rPr>
              <w:t>法人或其他组织</w:t>
            </w:r>
            <w:r>
              <w:rPr>
                <w:rFonts w:hint="eastAsia" w:ascii="宋体" w:hAnsi="宋体" w:cs="宋体"/>
                <w:color w:val="auto"/>
                <w:highlight w:val="none"/>
              </w:rPr>
              <w:t>，需提供成立之日起至响应文件提交截止时间前的月报表</w:t>
            </w:r>
            <w:r>
              <w:rPr>
                <w:rFonts w:hint="eastAsia" w:ascii="宋体" w:hAnsi="宋体" w:cs="宋体"/>
                <w:color w:val="auto"/>
                <w:szCs w:val="21"/>
                <w:highlight w:val="none"/>
              </w:rPr>
              <w:t>或银行出具的资信证明或者中国人民银行征信中心出具的企业信用报告；资信证明应在有效期内，未注明有效期的，银行出具时间至响应文件提交截止时间不得超过一年）；</w:t>
            </w:r>
            <w:r>
              <w:rPr>
                <w:rFonts w:hint="eastAsia" w:ascii="宋体" w:hAnsi="宋体" w:cs="宋体"/>
                <w:bCs/>
                <w:color w:val="auto"/>
                <w:szCs w:val="21"/>
                <w:highlight w:val="none"/>
              </w:rPr>
              <w:t>（</w:t>
            </w:r>
            <w:r>
              <w:rPr>
                <w:rFonts w:hint="eastAsia" w:ascii="宋体" w:hAnsi="宋体" w:cs="宋体"/>
                <w:b/>
                <w:color w:val="auto"/>
                <w:szCs w:val="21"/>
                <w:highlight w:val="none"/>
              </w:rPr>
              <w:t>必须提供，否则响应文件按无效处理</w:t>
            </w:r>
            <w:r>
              <w:rPr>
                <w:rFonts w:hint="eastAsia" w:ascii="宋体" w:hAnsi="宋体" w:cs="宋体"/>
                <w:bCs/>
                <w:color w:val="auto"/>
                <w:szCs w:val="21"/>
                <w:highlight w:val="none"/>
              </w:rPr>
              <w:t>）</w:t>
            </w:r>
          </w:p>
          <w:p w14:paraId="1E5737AE">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5.供应商直接控股股东信息表（格式后附）；（</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1AB8F7F1">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6.供应商直接管理关系信息表（格式后附）；（</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0BDFAA16">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7.竞标声明（格式后附）；（</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15A76D30">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8.拟担任</w:t>
            </w:r>
            <w:r>
              <w:rPr>
                <w:rFonts w:hint="eastAsia" w:ascii="宋体" w:hAnsi="宋体" w:cs="宋体"/>
                <w:b/>
                <w:color w:val="auto"/>
                <w:szCs w:val="21"/>
                <w:highlight w:val="none"/>
              </w:rPr>
              <w:t>本项目</w:t>
            </w:r>
            <w:r>
              <w:rPr>
                <w:rFonts w:hint="eastAsia" w:ascii="宋体" w:hAnsi="宋体" w:cs="宋体"/>
                <w:color w:val="auto"/>
                <w:szCs w:val="21"/>
                <w:highlight w:val="none"/>
              </w:rPr>
              <w:t>工程项目经理（注册建造师）简历表；</w:t>
            </w:r>
          </w:p>
          <w:p w14:paraId="1AA62975">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附拟担任本工程项目经理有效的注册建造师</w:t>
            </w:r>
            <w:r>
              <w:rPr>
                <w:rFonts w:hint="eastAsia" w:ascii="宋体" w:hAnsi="宋体" w:cs="宋体"/>
                <w:color w:val="auto"/>
                <w:highlight w:val="none"/>
              </w:rPr>
              <w:t>执业资格</w:t>
            </w:r>
            <w:r>
              <w:rPr>
                <w:rFonts w:hint="eastAsia" w:ascii="宋体" w:hAnsi="宋体" w:cs="宋体"/>
                <w:color w:val="auto"/>
                <w:szCs w:val="21"/>
                <w:highlight w:val="none"/>
              </w:rPr>
              <w:t>证书复印件、其安全生产考核合格证复印件、身份证正反面复印件（</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338B3F95">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9.拟担任</w:t>
            </w:r>
            <w:r>
              <w:rPr>
                <w:rFonts w:hint="eastAsia" w:ascii="宋体" w:hAnsi="宋体" w:cs="宋体"/>
                <w:b/>
                <w:color w:val="auto"/>
                <w:szCs w:val="21"/>
                <w:highlight w:val="none"/>
              </w:rPr>
              <w:t>本项目总工</w:t>
            </w:r>
            <w:r>
              <w:rPr>
                <w:rFonts w:hint="eastAsia" w:ascii="宋体" w:hAnsi="宋体" w:cs="宋体"/>
                <w:color w:val="auto"/>
                <w:szCs w:val="21"/>
                <w:highlight w:val="none"/>
              </w:rPr>
              <w:t>简历表；</w:t>
            </w:r>
          </w:p>
          <w:p w14:paraId="1CFED022">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附拟担任本</w:t>
            </w:r>
            <w:r>
              <w:rPr>
                <w:rFonts w:hint="eastAsia" w:ascii="宋体" w:hAnsi="宋体" w:cs="宋体"/>
                <w:b/>
                <w:color w:val="auto"/>
                <w:szCs w:val="21"/>
                <w:highlight w:val="none"/>
              </w:rPr>
              <w:t>项目总工</w:t>
            </w:r>
            <w:r>
              <w:rPr>
                <w:rFonts w:hint="eastAsia" w:ascii="宋体" w:hAnsi="宋体" w:cs="宋体"/>
                <w:color w:val="auto"/>
                <w:szCs w:val="21"/>
                <w:highlight w:val="none"/>
              </w:rPr>
              <w:t>有效的</w:t>
            </w:r>
            <w:r>
              <w:rPr>
                <w:rFonts w:hint="eastAsia" w:ascii="宋体" w:hAnsi="宋体" w:cs="宋体"/>
                <w:color w:val="auto"/>
                <w:highlight w:val="none"/>
              </w:rPr>
              <w:t>专业技术职称证书</w:t>
            </w:r>
            <w:r>
              <w:rPr>
                <w:rFonts w:hint="eastAsia" w:ascii="宋体" w:hAnsi="宋体" w:cs="宋体"/>
                <w:color w:val="auto"/>
                <w:szCs w:val="21"/>
                <w:highlight w:val="none"/>
              </w:rPr>
              <w:t>复印件、有效的身份证正反面复印件（</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6EB0DE92">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10.拟派</w:t>
            </w:r>
            <w:r>
              <w:rPr>
                <w:rFonts w:hint="eastAsia" w:ascii="宋体" w:hAnsi="宋体" w:cs="宋体"/>
                <w:b/>
                <w:color w:val="auto"/>
                <w:szCs w:val="21"/>
                <w:highlight w:val="none"/>
              </w:rPr>
              <w:t>本项目</w:t>
            </w:r>
            <w:r>
              <w:rPr>
                <w:rFonts w:hint="eastAsia" w:ascii="宋体" w:hAnsi="宋体" w:cs="宋体"/>
                <w:color w:val="auto"/>
                <w:szCs w:val="21"/>
                <w:highlight w:val="none"/>
              </w:rPr>
              <w:t>安全生产管理人员简历表；</w:t>
            </w:r>
          </w:p>
          <w:p w14:paraId="79F88F63">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附拟担任本工程安全生产管理人员有效的安全生产考核合格证复印件、有效的身份证正反面复印件（</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150FB462">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11.中小企业声明函【如属于残疾人福利性单位的提供残疾人福利性单位声明函，属于监狱企业的提供由省级以上监狱管理局、戒毒管理局（含新疆生产建设兵团）出具的属于监狱企业的证明文件】；（</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083587A7">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12.除竞争性磋商文件规定必须提供以外，供应商认为需要提供的其他证明材料；</w:t>
            </w:r>
          </w:p>
          <w:p w14:paraId="2574C437">
            <w:pPr>
              <w:spacing w:line="360" w:lineRule="auto"/>
              <w:jc w:val="left"/>
              <w:rPr>
                <w:rFonts w:hint="eastAsia" w:ascii="宋体" w:hAnsi="宋体" w:cs="宋体"/>
                <w:b/>
                <w:color w:val="auto"/>
                <w:szCs w:val="21"/>
                <w:highlight w:val="none"/>
              </w:rPr>
            </w:pPr>
            <w:r>
              <w:rPr>
                <w:rFonts w:hint="eastAsia" w:ascii="宋体" w:hAnsi="宋体" w:cs="宋体"/>
                <w:b/>
                <w:color w:val="auto"/>
                <w:szCs w:val="21"/>
                <w:highlight w:val="none"/>
              </w:rPr>
              <w:t>注：以上标明“必须提供”材料复印件的，必须加盖供应商电子签章，否则电子响应文件作无效处理。</w:t>
            </w:r>
          </w:p>
        </w:tc>
      </w:tr>
      <w:tr w14:paraId="66B33B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076F9393">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12.1.2</w:t>
            </w:r>
          </w:p>
        </w:tc>
        <w:tc>
          <w:tcPr>
            <w:tcW w:w="7912" w:type="dxa"/>
            <w:tcBorders>
              <w:top w:val="single" w:color="000000" w:sz="4" w:space="0"/>
              <w:left w:val="single" w:color="000000" w:sz="4" w:space="0"/>
              <w:bottom w:val="single" w:color="000000" w:sz="4" w:space="0"/>
              <w:right w:val="single" w:color="000000" w:sz="4" w:space="0"/>
            </w:tcBorders>
            <w:vAlign w:val="center"/>
          </w:tcPr>
          <w:p w14:paraId="26B8CB41">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报价文件</w:t>
            </w:r>
          </w:p>
          <w:p w14:paraId="6095A8A7">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1.竞标函及竞标函附录（格式后附）；（</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3D1B49A2">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2.竞标报价表（格式后附）；（</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54C3924C">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3.已标价工程量清单；（</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7CCB3AC3">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4.供应商认为需要提供的其他有关资料。</w:t>
            </w:r>
          </w:p>
        </w:tc>
      </w:tr>
      <w:tr w14:paraId="66ED98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6022C5B0">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12.1.3</w:t>
            </w:r>
          </w:p>
        </w:tc>
        <w:tc>
          <w:tcPr>
            <w:tcW w:w="7912" w:type="dxa"/>
            <w:tcBorders>
              <w:top w:val="single" w:color="000000" w:sz="4" w:space="0"/>
              <w:left w:val="single" w:color="000000" w:sz="4" w:space="0"/>
              <w:bottom w:val="single" w:color="000000" w:sz="4" w:space="0"/>
              <w:right w:val="single" w:color="000000" w:sz="4" w:space="0"/>
            </w:tcBorders>
            <w:vAlign w:val="center"/>
          </w:tcPr>
          <w:p w14:paraId="14643CF5">
            <w:pPr>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rPr>
              <w:t>商务技术文件</w:t>
            </w:r>
          </w:p>
          <w:p w14:paraId="67328329">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1.无串通竞标行为的承诺函（格式后附）；（</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390617A8">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2.法定代表人身份证明书及法定代表人有效身份证正反面复印件（格式后附）；（</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3525E332">
            <w:pPr>
              <w:spacing w:line="360" w:lineRule="auto"/>
              <w:rPr>
                <w:rFonts w:hint="eastAsia" w:ascii="宋体" w:hAnsi="宋体" w:cs="宋体"/>
                <w:b/>
                <w:color w:val="auto"/>
                <w:szCs w:val="21"/>
                <w:highlight w:val="none"/>
              </w:rPr>
            </w:pPr>
            <w:r>
              <w:rPr>
                <w:rFonts w:hint="eastAsia" w:ascii="宋体" w:hAnsi="宋体" w:cs="宋体"/>
                <w:color w:val="auto"/>
                <w:szCs w:val="21"/>
                <w:highlight w:val="none"/>
              </w:rPr>
              <w:t>3.授权委托书及委托代理人有效身份证正反面复印件（格式后附）；（</w:t>
            </w:r>
            <w:r>
              <w:rPr>
                <w:rFonts w:hint="eastAsia" w:ascii="宋体" w:hAnsi="宋体" w:cs="宋体"/>
                <w:b/>
                <w:color w:val="auto"/>
                <w:szCs w:val="21"/>
                <w:highlight w:val="none"/>
              </w:rPr>
              <w:t>委托时必须提供，否则响应文件按无效处理</w:t>
            </w:r>
            <w:r>
              <w:rPr>
                <w:rFonts w:hint="eastAsia" w:ascii="宋体" w:hAnsi="宋体" w:cs="宋体"/>
                <w:color w:val="auto"/>
                <w:szCs w:val="21"/>
                <w:highlight w:val="none"/>
              </w:rPr>
              <w:t>）</w:t>
            </w:r>
          </w:p>
          <w:p w14:paraId="47722DEB">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4.建筑材料和设备节能环保要求承诺书（格式后附）；（</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7B2B076F">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5.农民工工资保证金承诺书（格式自拟）；（</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17462EB3">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6.施工组织设计（格式自拟）；（</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7F94C924">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7.项目管理机构配备情况表及主要人员简历表（格式后附）；（</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 xml:space="preserve">） </w:t>
            </w:r>
          </w:p>
          <w:p w14:paraId="15F338C4">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8.供应商认为需要提供的其他有关资料。</w:t>
            </w:r>
          </w:p>
          <w:p w14:paraId="35150B1F">
            <w:pPr>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注：以上标明“必须提供”材料复印件的，必须加盖供应商电子签章，否则电子响应文件作无效处理。</w:t>
            </w:r>
          </w:p>
        </w:tc>
      </w:tr>
      <w:tr w14:paraId="1930FC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0254D3D9">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15.1</w:t>
            </w:r>
          </w:p>
        </w:tc>
        <w:tc>
          <w:tcPr>
            <w:tcW w:w="7912" w:type="dxa"/>
            <w:tcBorders>
              <w:top w:val="single" w:color="000000" w:sz="4" w:space="0"/>
              <w:left w:val="single" w:color="000000" w:sz="4" w:space="0"/>
              <w:bottom w:val="single" w:color="000000" w:sz="4" w:space="0"/>
              <w:right w:val="single" w:color="000000" w:sz="4" w:space="0"/>
            </w:tcBorders>
            <w:vAlign w:val="center"/>
          </w:tcPr>
          <w:p w14:paraId="1D500BB6">
            <w:pPr>
              <w:spacing w:line="360" w:lineRule="auto"/>
              <w:contextualSpacing/>
              <w:jc w:val="left"/>
              <w:rPr>
                <w:rFonts w:hint="eastAsia" w:ascii="宋体" w:hAnsi="宋体" w:cs="宋体"/>
                <w:color w:val="auto"/>
                <w:szCs w:val="21"/>
                <w:highlight w:val="none"/>
              </w:rPr>
            </w:pPr>
            <w:r>
              <w:rPr>
                <w:rFonts w:hint="eastAsia" w:ascii="宋体" w:hAnsi="宋体" w:cs="宋体"/>
                <w:color w:val="auto"/>
                <w:szCs w:val="21"/>
                <w:highlight w:val="none"/>
              </w:rPr>
              <w:t>工程量清单的填写方式</w:t>
            </w:r>
          </w:p>
          <w:p w14:paraId="665F9D37">
            <w:pPr>
              <w:spacing w:line="360" w:lineRule="auto"/>
              <w:contextualSpacing/>
              <w:jc w:val="left"/>
              <w:rPr>
                <w:rFonts w:hint="eastAsia" w:ascii="宋体" w:hAnsi="宋体" w:cs="宋体"/>
                <w:color w:val="auto"/>
                <w:szCs w:val="21"/>
                <w:highlight w:val="none"/>
              </w:rPr>
            </w:pPr>
            <w:r>
              <w:rPr>
                <w:rFonts w:hint="eastAsia" w:ascii="宋体" w:hAnsi="宋体" w:cs="宋体"/>
                <w:color w:val="auto"/>
                <w:szCs w:val="21"/>
                <w:highlight w:val="none"/>
              </w:rPr>
              <w:t>□供应商按照采购人提供的工程量固化清单电子文件填写工程量清单。</w:t>
            </w:r>
          </w:p>
          <w:p w14:paraId="779B1D4D">
            <w:pPr>
              <w:spacing w:line="360" w:lineRule="auto"/>
              <w:contextualSpacing/>
              <w:jc w:val="left"/>
              <w:rPr>
                <w:rFonts w:hint="eastAsia" w:ascii="宋体" w:hAnsi="宋体" w:cs="宋体"/>
                <w:color w:val="auto"/>
                <w:szCs w:val="21"/>
                <w:highlight w:val="none"/>
              </w:rPr>
            </w:pPr>
            <w:r>
              <w:rPr>
                <w:rFonts w:hint="eastAsia" w:ascii="宋体" w:hAnsi="宋体" w:cs="宋体"/>
                <w:color w:val="auto"/>
                <w:szCs w:val="21"/>
                <w:highlight w:val="none"/>
              </w:rPr>
              <w:t>☑供应商按照采购人提供的工程量清单编写工程量清单。</w:t>
            </w:r>
          </w:p>
        </w:tc>
      </w:tr>
      <w:tr w14:paraId="4775F1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7352314C">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15.2</w:t>
            </w:r>
          </w:p>
        </w:tc>
        <w:tc>
          <w:tcPr>
            <w:tcW w:w="7912" w:type="dxa"/>
            <w:tcBorders>
              <w:top w:val="single" w:color="000000" w:sz="4" w:space="0"/>
              <w:left w:val="single" w:color="000000" w:sz="4" w:space="0"/>
              <w:bottom w:val="single" w:color="000000" w:sz="4" w:space="0"/>
              <w:right w:val="single" w:color="000000" w:sz="4" w:space="0"/>
            </w:tcBorders>
            <w:vAlign w:val="center"/>
          </w:tcPr>
          <w:p w14:paraId="3FFD473D">
            <w:pPr>
              <w:spacing w:line="360" w:lineRule="auto"/>
              <w:contextualSpacing/>
              <w:jc w:val="left"/>
              <w:rPr>
                <w:rFonts w:hint="eastAsia" w:ascii="宋体" w:hAnsi="宋体" w:cs="宋体"/>
                <w:b/>
                <w:bCs/>
                <w:color w:val="auto"/>
                <w:szCs w:val="21"/>
                <w:highlight w:val="none"/>
              </w:rPr>
            </w:pPr>
            <w:r>
              <w:rPr>
                <w:rFonts w:hint="eastAsia" w:ascii="宋体" w:hAnsi="宋体" w:cs="宋体"/>
                <w:color w:val="auto"/>
                <w:szCs w:val="21"/>
                <w:highlight w:val="none"/>
              </w:rPr>
              <w:t>竞标报价是履行合同的最终价格，包括为实施和完成合同工程所需的劳务、材料、机械、质检（自检）、安装、缺陷修复、管理、保险、税费、利润和</w:t>
            </w:r>
            <w:r>
              <w:rPr>
                <w:rFonts w:hint="eastAsia" w:ascii="宋体" w:hAnsi="宋体" w:cs="宋体"/>
                <w:b/>
                <w:color w:val="auto"/>
                <w:highlight w:val="none"/>
              </w:rPr>
              <w:t>验收费用</w:t>
            </w:r>
            <w:r>
              <w:rPr>
                <w:rFonts w:hint="eastAsia" w:ascii="宋体" w:hAnsi="宋体" w:cs="宋体"/>
                <w:color w:val="auto"/>
                <w:szCs w:val="21"/>
                <w:highlight w:val="none"/>
              </w:rPr>
              <w:t>等费用，以及合同明示或暗示的所有责任、义务和一般风险。</w:t>
            </w:r>
            <w:r>
              <w:rPr>
                <w:b/>
                <w:bCs/>
                <w:color w:val="auto"/>
                <w:highlight w:val="none"/>
              </w:rPr>
              <w:t>（采购需求另有约定的，从其约定）</w:t>
            </w:r>
            <w:r>
              <w:rPr>
                <w:rFonts w:hint="eastAsia" w:ascii="宋体" w:hAnsi="宋体" w:cs="宋体"/>
                <w:b/>
                <w:bCs/>
                <w:color w:val="auto"/>
                <w:szCs w:val="21"/>
                <w:highlight w:val="none"/>
              </w:rPr>
              <w:t>。</w:t>
            </w:r>
          </w:p>
          <w:p w14:paraId="7EB11853">
            <w:pPr>
              <w:spacing w:line="360" w:lineRule="auto"/>
              <w:jc w:val="left"/>
              <w:rPr>
                <w:rFonts w:hint="eastAsia" w:ascii="宋体" w:hAnsi="宋体" w:cs="宋体"/>
                <w:b/>
                <w:color w:val="auto"/>
                <w:szCs w:val="21"/>
                <w:highlight w:val="none"/>
              </w:rPr>
            </w:pPr>
            <w:r>
              <w:rPr>
                <w:rFonts w:hint="eastAsia" w:ascii="宋体" w:hAnsi="宋体" w:cs="宋体"/>
                <w:b/>
                <w:bCs/>
                <w:color w:val="auto"/>
                <w:highlight w:val="none"/>
              </w:rPr>
              <w:t>磋商过程中，供应商的最后报价如有变动，则必须以工程量清单报价表的格式编制提交，供应商须提前做好相关准备并按时递交最后报价文件，否则磋商无效。</w:t>
            </w:r>
          </w:p>
        </w:tc>
      </w:tr>
      <w:tr w14:paraId="682044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16602B92">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15.3</w:t>
            </w:r>
          </w:p>
        </w:tc>
        <w:tc>
          <w:tcPr>
            <w:tcW w:w="7912" w:type="dxa"/>
            <w:tcBorders>
              <w:top w:val="single" w:color="000000" w:sz="4" w:space="0"/>
              <w:left w:val="single" w:color="000000" w:sz="4" w:space="0"/>
              <w:bottom w:val="single" w:color="000000" w:sz="4" w:space="0"/>
              <w:right w:val="single" w:color="000000" w:sz="4" w:space="0"/>
            </w:tcBorders>
            <w:vAlign w:val="center"/>
          </w:tcPr>
          <w:p w14:paraId="63250163">
            <w:pPr>
              <w:spacing w:line="360" w:lineRule="auto"/>
              <w:contextualSpacing/>
              <w:jc w:val="left"/>
              <w:rPr>
                <w:rFonts w:hint="eastAsia" w:ascii="宋体" w:hAnsi="宋体" w:cs="宋体"/>
                <w:color w:val="auto"/>
                <w:szCs w:val="21"/>
                <w:highlight w:val="none"/>
              </w:rPr>
            </w:pPr>
            <w:r>
              <w:rPr>
                <w:rFonts w:hint="eastAsia" w:ascii="宋体" w:hAnsi="宋体" w:cs="宋体"/>
                <w:color w:val="auto"/>
                <w:highlight w:val="none"/>
              </w:rPr>
              <w:t>本工程增值税计税方法：</w:t>
            </w:r>
            <w:r>
              <w:rPr>
                <w:rFonts w:hint="eastAsia" w:ascii="宋体" w:hAnsi="宋体" w:cs="宋体"/>
                <w:color w:val="auto"/>
                <w:szCs w:val="21"/>
                <w:highlight w:val="none"/>
              </w:rPr>
              <w:t>☑</w:t>
            </w:r>
            <w:r>
              <w:rPr>
                <w:rFonts w:hint="eastAsia" w:ascii="宋体" w:hAnsi="宋体" w:cs="宋体"/>
                <w:color w:val="auto"/>
                <w:highlight w:val="none"/>
              </w:rPr>
              <w:t>一般计税法； □简易计税法</w:t>
            </w:r>
          </w:p>
        </w:tc>
      </w:tr>
      <w:tr w14:paraId="7508CA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1AFBAFCE">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16.2</w:t>
            </w:r>
          </w:p>
        </w:tc>
        <w:tc>
          <w:tcPr>
            <w:tcW w:w="7912" w:type="dxa"/>
            <w:tcBorders>
              <w:top w:val="single" w:color="000000" w:sz="4" w:space="0"/>
              <w:left w:val="single" w:color="000000" w:sz="4" w:space="0"/>
              <w:bottom w:val="single" w:color="000000" w:sz="4" w:space="0"/>
              <w:right w:val="single" w:color="000000" w:sz="4" w:space="0"/>
            </w:tcBorders>
            <w:vAlign w:val="center"/>
          </w:tcPr>
          <w:p w14:paraId="33A4DC88">
            <w:pPr>
              <w:pStyle w:val="209"/>
              <w:widowControl w:val="0"/>
              <w:spacing w:line="360" w:lineRule="auto"/>
              <w:ind w:left="283" w:hanging="283"/>
              <w:rPr>
                <w:rFonts w:hint="eastAsia" w:ascii="宋体" w:hAnsi="宋体" w:cs="宋体"/>
                <w:color w:val="auto"/>
                <w:sz w:val="21"/>
                <w:szCs w:val="21"/>
                <w:highlight w:val="none"/>
              </w:rPr>
            </w:pPr>
            <w:r>
              <w:rPr>
                <w:rFonts w:hint="eastAsia" w:ascii="宋体" w:hAnsi="宋体" w:cs="宋体"/>
                <w:color w:val="auto"/>
                <w:sz w:val="21"/>
                <w:szCs w:val="21"/>
                <w:highlight w:val="none"/>
              </w:rPr>
              <w:t>竞标有效期：自首次响应文件提交截止之日起</w:t>
            </w:r>
            <w:r>
              <w:rPr>
                <w:rFonts w:hint="eastAsia" w:ascii="宋体" w:hAnsi="宋体" w:cs="宋体"/>
                <w:color w:val="auto"/>
                <w:sz w:val="21"/>
                <w:szCs w:val="21"/>
                <w:highlight w:val="none"/>
                <w:u w:val="single"/>
              </w:rPr>
              <w:t>120</w:t>
            </w:r>
            <w:r>
              <w:rPr>
                <w:rFonts w:hint="eastAsia" w:ascii="宋体" w:hAnsi="宋体" w:cs="宋体"/>
                <w:color w:val="auto"/>
                <w:sz w:val="21"/>
                <w:szCs w:val="21"/>
                <w:highlight w:val="none"/>
              </w:rPr>
              <w:t>日。</w:t>
            </w:r>
          </w:p>
        </w:tc>
      </w:tr>
      <w:tr w14:paraId="13313B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2C2C2D00">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17.1</w:t>
            </w:r>
          </w:p>
        </w:tc>
        <w:tc>
          <w:tcPr>
            <w:tcW w:w="7912" w:type="dxa"/>
            <w:tcBorders>
              <w:top w:val="single" w:color="000000" w:sz="4" w:space="0"/>
              <w:left w:val="single" w:color="000000" w:sz="4" w:space="0"/>
              <w:bottom w:val="single" w:color="000000" w:sz="4" w:space="0"/>
              <w:right w:val="single" w:color="000000" w:sz="4" w:space="0"/>
            </w:tcBorders>
            <w:vAlign w:val="center"/>
          </w:tcPr>
          <w:p w14:paraId="4980F298">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本项目不收取磋商保证金。</w:t>
            </w:r>
          </w:p>
        </w:tc>
      </w:tr>
      <w:tr w14:paraId="0C4BFE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61F81D69">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19</w:t>
            </w:r>
          </w:p>
        </w:tc>
        <w:tc>
          <w:tcPr>
            <w:tcW w:w="7912" w:type="dxa"/>
            <w:tcBorders>
              <w:top w:val="single" w:color="000000" w:sz="4" w:space="0"/>
              <w:left w:val="single" w:color="000000" w:sz="4" w:space="0"/>
              <w:bottom w:val="single" w:color="000000" w:sz="4" w:space="0"/>
              <w:right w:val="single" w:color="000000" w:sz="4" w:space="0"/>
            </w:tcBorders>
            <w:vAlign w:val="center"/>
          </w:tcPr>
          <w:p w14:paraId="2160FD9E">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本项目不接受</w:t>
            </w:r>
            <w:r>
              <w:rPr>
                <w:rFonts w:hint="eastAsia" w:ascii="宋体" w:hAnsi="宋体" w:cs="宋体"/>
                <w:color w:val="auto"/>
                <w:highlight w:val="none"/>
              </w:rPr>
              <w:t>电子</w:t>
            </w:r>
            <w:r>
              <w:rPr>
                <w:rFonts w:hint="eastAsia" w:ascii="宋体" w:hAnsi="宋体" w:cs="宋体"/>
                <w:color w:val="auto"/>
                <w:szCs w:val="21"/>
                <w:highlight w:val="none"/>
              </w:rPr>
              <w:t>备份响应文件</w:t>
            </w:r>
          </w:p>
        </w:tc>
      </w:tr>
      <w:tr w14:paraId="223C7F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0602236A">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20.1</w:t>
            </w:r>
          </w:p>
        </w:tc>
        <w:tc>
          <w:tcPr>
            <w:tcW w:w="7912" w:type="dxa"/>
            <w:tcBorders>
              <w:top w:val="single" w:color="000000" w:sz="4" w:space="0"/>
              <w:left w:val="single" w:color="000000" w:sz="4" w:space="0"/>
              <w:bottom w:val="single" w:color="000000" w:sz="4" w:space="0"/>
              <w:right w:val="single" w:color="000000" w:sz="4" w:space="0"/>
            </w:tcBorders>
            <w:vAlign w:val="center"/>
          </w:tcPr>
          <w:p w14:paraId="6AFF1596">
            <w:pPr>
              <w:spacing w:line="360" w:lineRule="auto"/>
              <w:contextualSpacing/>
              <w:jc w:val="left"/>
              <w:rPr>
                <w:rFonts w:hint="eastAsia" w:ascii="宋体" w:hAnsi="宋体" w:cs="宋体"/>
                <w:color w:val="auto"/>
                <w:szCs w:val="21"/>
                <w:highlight w:val="none"/>
                <w:u w:val="single"/>
              </w:rPr>
            </w:pPr>
            <w:r>
              <w:rPr>
                <w:rFonts w:hint="eastAsia" w:ascii="宋体" w:hAnsi="宋体" w:cs="宋体"/>
                <w:color w:val="auto"/>
                <w:szCs w:val="21"/>
                <w:highlight w:val="none"/>
              </w:rPr>
              <w:t>响应文件提交截止时间：详见竞争性磋商公告。</w:t>
            </w:r>
          </w:p>
          <w:p w14:paraId="7D25F064">
            <w:pPr>
              <w:spacing w:line="360" w:lineRule="auto"/>
              <w:contextualSpacing/>
              <w:jc w:val="left"/>
              <w:rPr>
                <w:rFonts w:hint="eastAsia" w:ascii="宋体" w:hAnsi="宋体" w:cs="宋体"/>
                <w:color w:val="auto"/>
                <w:szCs w:val="21"/>
                <w:highlight w:val="none"/>
              </w:rPr>
            </w:pPr>
            <w:r>
              <w:rPr>
                <w:rFonts w:hint="eastAsia" w:ascii="宋体" w:hAnsi="宋体" w:cs="宋体"/>
                <w:color w:val="auto"/>
                <w:szCs w:val="21"/>
                <w:highlight w:val="none"/>
              </w:rPr>
              <w:t>响应文件提交地点：详见竞争性磋商公告。</w:t>
            </w:r>
          </w:p>
        </w:tc>
      </w:tr>
      <w:tr w14:paraId="2BFE1E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307BC2F5">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24.1</w:t>
            </w:r>
          </w:p>
        </w:tc>
        <w:tc>
          <w:tcPr>
            <w:tcW w:w="7912" w:type="dxa"/>
            <w:tcBorders>
              <w:top w:val="single" w:color="000000" w:sz="4" w:space="0"/>
              <w:left w:val="single" w:color="000000" w:sz="4" w:space="0"/>
              <w:bottom w:val="single" w:color="000000" w:sz="4" w:space="0"/>
              <w:right w:val="single" w:color="000000" w:sz="4" w:space="0"/>
            </w:tcBorders>
            <w:vAlign w:val="center"/>
          </w:tcPr>
          <w:p w14:paraId="2390A98E">
            <w:pPr>
              <w:spacing w:line="360" w:lineRule="auto"/>
              <w:jc w:val="left"/>
              <w:rPr>
                <w:rFonts w:hint="eastAsia" w:ascii="宋体" w:hAnsi="宋体" w:cs="宋体"/>
                <w:color w:val="auto"/>
                <w:szCs w:val="21"/>
                <w:highlight w:val="none"/>
                <w:u w:val="single"/>
              </w:rPr>
            </w:pPr>
            <w:r>
              <w:rPr>
                <w:rFonts w:hint="eastAsia" w:ascii="宋体" w:hAnsi="宋体" w:cs="宋体"/>
                <w:color w:val="auto"/>
                <w:szCs w:val="21"/>
                <w:highlight w:val="none"/>
              </w:rPr>
              <w:t>磋商小组的人数：</w:t>
            </w:r>
            <w:r>
              <w:rPr>
                <w:rFonts w:hint="eastAsia" w:ascii="宋体" w:hAnsi="宋体" w:cs="宋体"/>
                <w:color w:val="auto"/>
                <w:szCs w:val="21"/>
                <w:highlight w:val="none"/>
                <w:u w:val="single"/>
              </w:rPr>
              <w:t xml:space="preserve"> 3 </w:t>
            </w:r>
            <w:r>
              <w:rPr>
                <w:rFonts w:hint="eastAsia" w:ascii="宋体" w:hAnsi="宋体" w:cs="宋体"/>
                <w:color w:val="auto"/>
                <w:szCs w:val="21"/>
                <w:highlight w:val="none"/>
              </w:rPr>
              <w:t>人。</w:t>
            </w:r>
          </w:p>
        </w:tc>
      </w:tr>
      <w:tr w14:paraId="073F9E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18F3E4A5">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25</w:t>
            </w:r>
          </w:p>
        </w:tc>
        <w:tc>
          <w:tcPr>
            <w:tcW w:w="7912" w:type="dxa"/>
            <w:tcBorders>
              <w:top w:val="single" w:color="000000" w:sz="4" w:space="0"/>
              <w:left w:val="single" w:color="000000" w:sz="4" w:space="0"/>
              <w:bottom w:val="single" w:color="000000" w:sz="4" w:space="0"/>
              <w:right w:val="single" w:color="000000" w:sz="4" w:space="0"/>
            </w:tcBorders>
            <w:vAlign w:val="center"/>
          </w:tcPr>
          <w:p w14:paraId="6DF450F8">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首次响应文件开启时间详见“竞争性磋商公告”</w:t>
            </w:r>
          </w:p>
          <w:p w14:paraId="36F19BF3">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首次响应文件解密时间：</w:t>
            </w:r>
            <w:r>
              <w:rPr>
                <w:rFonts w:hint="eastAsia" w:ascii="宋体" w:hAnsi="宋体" w:cs="宋体"/>
                <w:color w:val="auto"/>
                <w:highlight w:val="none"/>
                <w:u w:val="single"/>
              </w:rPr>
              <w:t>30</w:t>
            </w:r>
            <w:r>
              <w:rPr>
                <w:rFonts w:hint="eastAsia" w:ascii="宋体" w:hAnsi="宋体" w:cs="宋体"/>
                <w:color w:val="auto"/>
                <w:highlight w:val="none"/>
              </w:rPr>
              <w:t>分钟</w:t>
            </w:r>
          </w:p>
        </w:tc>
      </w:tr>
      <w:tr w14:paraId="45406D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58453853">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28.1</w:t>
            </w:r>
          </w:p>
        </w:tc>
        <w:tc>
          <w:tcPr>
            <w:tcW w:w="7912" w:type="dxa"/>
            <w:tcBorders>
              <w:top w:val="single" w:color="000000" w:sz="4" w:space="0"/>
              <w:left w:val="single" w:color="000000" w:sz="4" w:space="0"/>
              <w:bottom w:val="single" w:color="000000" w:sz="4" w:space="0"/>
              <w:right w:val="single" w:color="000000" w:sz="4" w:space="0"/>
            </w:tcBorders>
            <w:vAlign w:val="center"/>
          </w:tcPr>
          <w:p w14:paraId="0F732432">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☑本项目不收取履约保证金。</w:t>
            </w:r>
          </w:p>
          <w:p w14:paraId="27D3E4CD">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□本项目收取履约保证金，具体规定如下：</w:t>
            </w:r>
          </w:p>
          <w:p w14:paraId="550F2968">
            <w:pPr>
              <w:spacing w:line="360" w:lineRule="auto"/>
              <w:contextualSpacing/>
              <w:rPr>
                <w:rFonts w:hint="eastAsia" w:ascii="宋体" w:hAnsi="宋体" w:cs="宋体"/>
                <w:color w:val="auto"/>
                <w:szCs w:val="21"/>
                <w:highlight w:val="none"/>
              </w:rPr>
            </w:pPr>
            <w:r>
              <w:rPr>
                <w:rFonts w:hint="eastAsia" w:ascii="宋体" w:hAnsi="宋体" w:cs="宋体"/>
                <w:color w:val="auto"/>
                <w:szCs w:val="21"/>
                <w:highlight w:val="none"/>
              </w:rPr>
              <w:t>履约保证金金额：按成交金额的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r>
              <w:rPr>
                <w:rFonts w:hint="eastAsia" w:ascii="宋体" w:hAnsi="宋体" w:cs="宋体"/>
                <w:b/>
                <w:i/>
                <w:color w:val="auto"/>
                <w:szCs w:val="21"/>
                <w:highlight w:val="none"/>
              </w:rPr>
              <w:t>（</w:t>
            </w:r>
            <w:r>
              <w:rPr>
                <w:rFonts w:hint="eastAsia" w:ascii="宋体" w:hAnsi="宋体" w:cs="宋体"/>
                <w:b/>
                <w:iCs/>
                <w:color w:val="auto"/>
                <w:szCs w:val="21"/>
                <w:highlight w:val="none"/>
              </w:rPr>
              <w:t>注：履约保证金不超过</w:t>
            </w:r>
            <w:r>
              <w:rPr>
                <w:rFonts w:hint="eastAsia" w:ascii="宋体" w:hAnsi="宋体" w:cs="宋体"/>
                <w:b/>
                <w:iCs/>
                <w:color w:val="auto"/>
                <w:highlight w:val="none"/>
              </w:rPr>
              <w:t>政府采购合同金额的</w:t>
            </w:r>
            <w:r>
              <w:rPr>
                <w:rFonts w:hint="eastAsia" w:ascii="宋体" w:hAnsi="宋体" w:cs="宋体"/>
                <w:b/>
                <w:iCs/>
                <w:color w:val="auto"/>
                <w:szCs w:val="21"/>
                <w:highlight w:val="none"/>
              </w:rPr>
              <w:t>5%，对中小企业收取的履约保证金数额不得超过政府采购合同金额的2%。采购人可根据供应商的资信等情况减免履约保证金。）</w:t>
            </w:r>
          </w:p>
          <w:p w14:paraId="696EAF13">
            <w:pPr>
              <w:spacing w:line="360" w:lineRule="auto"/>
              <w:contextualSpacing/>
              <w:rPr>
                <w:rFonts w:hint="eastAsia" w:ascii="宋体" w:hAnsi="宋体" w:cs="宋体"/>
                <w:color w:val="auto"/>
                <w:szCs w:val="21"/>
                <w:highlight w:val="none"/>
              </w:rPr>
            </w:pPr>
            <w:r>
              <w:rPr>
                <w:rFonts w:hint="eastAsia" w:ascii="宋体" w:hAnsi="宋体" w:cs="宋体"/>
                <w:color w:val="auto"/>
                <w:szCs w:val="21"/>
                <w:highlight w:val="none"/>
              </w:rPr>
              <w:t>履约保证金提交方式：银行转账、支票、汇票、本票或者银行、保险机构出具的保函等非现金方式（参照磋商保证金）。</w:t>
            </w:r>
          </w:p>
          <w:p w14:paraId="173A8186">
            <w:pPr>
              <w:spacing w:line="360" w:lineRule="auto"/>
              <w:contextualSpacing/>
              <w:rPr>
                <w:rFonts w:hint="eastAsia" w:ascii="宋体" w:hAnsi="宋体" w:cs="宋体"/>
                <w:color w:val="auto"/>
                <w:highlight w:val="none"/>
              </w:rPr>
            </w:pPr>
            <w:r>
              <w:rPr>
                <w:rFonts w:hint="eastAsia" w:ascii="宋体" w:hAnsi="宋体" w:cs="宋体"/>
                <w:color w:val="auto"/>
                <w:szCs w:val="21"/>
                <w:highlight w:val="none"/>
              </w:rPr>
              <w:t>履约保证金退付方式、时间及条件：由成交供应商向履约保证金收取单位提供《广西壮族自治区政府采购项目合同验收书》（详见桂财采〔2015〕22号），保证金收取单位在收到合格材料后5个工作日内办理退还手续（不计利息）。</w:t>
            </w:r>
            <w:r>
              <w:rPr>
                <w:rFonts w:hint="eastAsia" w:ascii="宋体" w:hAnsi="宋体" w:cs="宋体"/>
                <w:color w:val="auto"/>
                <w:highlight w:val="none"/>
              </w:rPr>
              <w:t xml:space="preserve"> </w:t>
            </w:r>
          </w:p>
          <w:p w14:paraId="29D14C5A">
            <w:pPr>
              <w:spacing w:line="360" w:lineRule="auto"/>
              <w:contextualSpacing/>
              <w:rPr>
                <w:rFonts w:hint="eastAsia" w:ascii="宋体" w:hAnsi="宋体" w:cs="宋体"/>
                <w:b/>
                <w:color w:val="auto"/>
                <w:szCs w:val="21"/>
                <w:highlight w:val="none"/>
              </w:rPr>
            </w:pPr>
            <w:r>
              <w:rPr>
                <w:rFonts w:hint="eastAsia" w:ascii="宋体" w:hAnsi="宋体" w:cs="宋体"/>
                <w:b/>
                <w:color w:val="auto"/>
                <w:szCs w:val="21"/>
                <w:highlight w:val="none"/>
              </w:rPr>
              <w:t>备注：</w:t>
            </w:r>
          </w:p>
          <w:p w14:paraId="13C4C75B">
            <w:pPr>
              <w:spacing w:line="360" w:lineRule="auto"/>
              <w:contextualSpacing/>
              <w:rPr>
                <w:rFonts w:hint="eastAsia" w:ascii="宋体" w:hAnsi="宋体" w:cs="宋体"/>
                <w:b/>
                <w:color w:val="auto"/>
                <w:szCs w:val="21"/>
                <w:highlight w:val="none"/>
              </w:rPr>
            </w:pPr>
            <w:r>
              <w:rPr>
                <w:rFonts w:hint="eastAsia" w:ascii="宋体" w:hAnsi="宋体" w:cs="宋体"/>
                <w:b/>
                <w:color w:val="auto"/>
                <w:szCs w:val="21"/>
                <w:highlight w:val="none"/>
              </w:rPr>
              <w:t>1.</w:t>
            </w:r>
            <w:bookmarkStart w:id="70" w:name="_Hlk54170335"/>
            <w:r>
              <w:rPr>
                <w:rFonts w:hint="eastAsia" w:ascii="宋体" w:hAnsi="宋体" w:cs="宋体"/>
                <w:b/>
                <w:color w:val="auto"/>
                <w:szCs w:val="21"/>
                <w:highlight w:val="none"/>
              </w:rPr>
              <w:t>根据《广西壮族自治区财政厅关于持续优化政府采购营商环境推动高质量发展的通知》（桂财采〔2024〕55号）的规定，履约保证金数额不得超过政府采购合同金额的5%；对中小企业收取的履约保证金数额不得超过政府采购合同金额的2%。</w:t>
            </w:r>
            <w:bookmarkEnd w:id="70"/>
          </w:p>
          <w:p w14:paraId="592654A8">
            <w:pPr>
              <w:spacing w:line="360" w:lineRule="auto"/>
              <w:contextualSpacing/>
              <w:rPr>
                <w:rFonts w:hint="eastAsia" w:ascii="宋体" w:hAnsi="宋体" w:cs="宋体"/>
                <w:b/>
                <w:color w:val="auto"/>
                <w:szCs w:val="21"/>
                <w:highlight w:val="none"/>
              </w:rPr>
            </w:pPr>
            <w:r>
              <w:rPr>
                <w:rFonts w:hint="eastAsia" w:ascii="宋体" w:hAnsi="宋体" w:cs="宋体"/>
                <w:b/>
                <w:color w:val="auto"/>
                <w:szCs w:val="21"/>
                <w:highlight w:val="none"/>
              </w:rPr>
              <w:t>2.履约保证金不足额缴纳的，或者银行、保险机构出具的保函额度不足的或者保函有效期低于合同履行期限（即签订采购合同之日起至履行完合同约定的权利及义务之日止）的，不予签订合同。</w:t>
            </w:r>
          </w:p>
          <w:p w14:paraId="39DB70DE">
            <w:pPr>
              <w:spacing w:line="360" w:lineRule="auto"/>
              <w:contextualSpacing/>
              <w:rPr>
                <w:rFonts w:hint="eastAsia" w:ascii="宋体" w:hAnsi="宋体" w:cs="宋体"/>
                <w:b/>
                <w:color w:val="auto"/>
                <w:szCs w:val="21"/>
                <w:highlight w:val="none"/>
              </w:rPr>
            </w:pPr>
            <w:r>
              <w:rPr>
                <w:rFonts w:hint="eastAsia" w:ascii="宋体" w:hAnsi="宋体" w:cs="宋体"/>
                <w:b/>
                <w:color w:val="auto"/>
                <w:szCs w:val="21"/>
                <w:highlight w:val="none"/>
              </w:rPr>
              <w:t>3.采用银行、保险机构出具的保函的，必须为无条件保函，否则不予签订合同。</w:t>
            </w:r>
          </w:p>
          <w:p w14:paraId="12E767C3">
            <w:pPr>
              <w:spacing w:line="360" w:lineRule="auto"/>
              <w:contextualSpacing/>
              <w:rPr>
                <w:rFonts w:hint="eastAsia" w:ascii="宋体" w:hAnsi="宋体" w:cs="宋体"/>
                <w:color w:val="auto"/>
                <w:szCs w:val="21"/>
                <w:highlight w:val="none"/>
              </w:rPr>
            </w:pPr>
            <w:r>
              <w:rPr>
                <w:rFonts w:hint="eastAsia" w:ascii="宋体" w:hAnsi="宋体" w:cs="宋体"/>
                <w:b/>
                <w:color w:val="auto"/>
                <w:szCs w:val="21"/>
                <w:highlight w:val="none"/>
              </w:rPr>
              <w:t>4.供应商为联合体的，由联合体任意一方按规定提交的履约保证金，视为有效履约保证金。</w:t>
            </w:r>
          </w:p>
        </w:tc>
      </w:tr>
      <w:tr w14:paraId="60AFC8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20978992">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29.1</w:t>
            </w:r>
          </w:p>
        </w:tc>
        <w:tc>
          <w:tcPr>
            <w:tcW w:w="7912" w:type="dxa"/>
            <w:tcBorders>
              <w:top w:val="single" w:color="000000" w:sz="4" w:space="0"/>
              <w:left w:val="single" w:color="000000" w:sz="4" w:space="0"/>
              <w:bottom w:val="single" w:color="000000" w:sz="4" w:space="0"/>
              <w:right w:val="single" w:color="000000" w:sz="4" w:space="0"/>
            </w:tcBorders>
            <w:vAlign w:val="center"/>
          </w:tcPr>
          <w:p w14:paraId="15B0C2B5">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签订合同携带的证明材料： </w:t>
            </w:r>
          </w:p>
          <w:p w14:paraId="76456107">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委托代理人负责签订合同的，须携带授权委托书及委托代理人身份证原件等其他资格证件。</w:t>
            </w:r>
          </w:p>
          <w:p w14:paraId="5695E803">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法定代表人负责签订合同的，须携带法定代表人身份证明原件及身份证原件等其他证明材料。</w:t>
            </w:r>
          </w:p>
        </w:tc>
      </w:tr>
      <w:tr w14:paraId="14B1EA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360ECAF1">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31.2</w:t>
            </w:r>
          </w:p>
        </w:tc>
        <w:tc>
          <w:tcPr>
            <w:tcW w:w="7912" w:type="dxa"/>
            <w:tcBorders>
              <w:top w:val="single" w:color="000000" w:sz="4" w:space="0"/>
              <w:left w:val="single" w:color="000000" w:sz="4" w:space="0"/>
              <w:bottom w:val="single" w:color="000000" w:sz="4" w:space="0"/>
              <w:right w:val="single" w:color="000000" w:sz="4" w:space="0"/>
            </w:tcBorders>
            <w:vAlign w:val="center"/>
          </w:tcPr>
          <w:p w14:paraId="5F0AC820">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接收质疑函方式：书面形式或者广西政府采购云平台系统在线形式</w:t>
            </w:r>
          </w:p>
          <w:p w14:paraId="58D875E4">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质疑联系部门：云之龙咨询集团有限公司岑溪分公司</w:t>
            </w:r>
          </w:p>
          <w:p w14:paraId="5523C4B3">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联系电话：0774-8219456           </w:t>
            </w:r>
          </w:p>
          <w:p w14:paraId="5C8EA4F5">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通讯地址：云之龙咨询集团有限公司（岑溪市岑城镇城东路118号） </w:t>
            </w:r>
          </w:p>
          <w:p w14:paraId="654DCB76">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业务时间：工作日每天上午8时00分到12时00分，下午3时00分到6时00分。</w:t>
            </w:r>
          </w:p>
        </w:tc>
      </w:tr>
      <w:tr w14:paraId="1D7B30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252C5E56">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32.1</w:t>
            </w:r>
          </w:p>
        </w:tc>
        <w:tc>
          <w:tcPr>
            <w:tcW w:w="7912" w:type="dxa"/>
            <w:tcBorders>
              <w:top w:val="single" w:color="000000" w:sz="4" w:space="0"/>
              <w:left w:val="single" w:color="000000" w:sz="4" w:space="0"/>
              <w:bottom w:val="single" w:color="000000" w:sz="4" w:space="0"/>
              <w:right w:val="single" w:color="000000" w:sz="4" w:space="0"/>
            </w:tcBorders>
            <w:vAlign w:val="center"/>
          </w:tcPr>
          <w:p w14:paraId="702CCC34">
            <w:pPr>
              <w:pStyle w:val="226"/>
              <w:spacing w:line="360" w:lineRule="auto"/>
              <w:rPr>
                <w:rFonts w:hint="eastAsia" w:hAnsi="宋体" w:cs="宋体"/>
                <w:color w:val="auto"/>
                <w:sz w:val="21"/>
                <w:highlight w:val="none"/>
              </w:rPr>
            </w:pPr>
            <w:r>
              <w:rPr>
                <w:rFonts w:hint="eastAsia" w:hAnsi="宋体" w:cs="宋体"/>
                <w:color w:val="auto"/>
                <w:sz w:val="21"/>
                <w:highlight w:val="none"/>
              </w:rPr>
              <w:t>1.采购代理费支付方式：</w:t>
            </w:r>
          </w:p>
          <w:p w14:paraId="3EE17C2B">
            <w:pPr>
              <w:pStyle w:val="226"/>
              <w:spacing w:line="360" w:lineRule="auto"/>
              <w:rPr>
                <w:rFonts w:hint="eastAsia" w:hAnsi="宋体" w:cs="宋体"/>
                <w:color w:val="auto"/>
                <w:sz w:val="21"/>
                <w:highlight w:val="none"/>
              </w:rPr>
            </w:pPr>
            <w:r>
              <w:rPr>
                <w:rFonts w:hint="eastAsia" w:hAnsi="宋体" w:cs="宋体"/>
                <w:color w:val="auto"/>
                <w:sz w:val="21"/>
                <w:highlight w:val="none"/>
              </w:rPr>
              <w:t>本项目采购代理费在成交公告发布后7日内，由成交供应商一次性向采购代理机构支付。</w:t>
            </w:r>
          </w:p>
          <w:p w14:paraId="5B4AEC1E">
            <w:pPr>
              <w:pStyle w:val="226"/>
              <w:spacing w:line="360" w:lineRule="auto"/>
              <w:rPr>
                <w:rFonts w:hint="eastAsia" w:hAnsi="宋体" w:cs="宋体"/>
                <w:color w:val="auto"/>
                <w:sz w:val="21"/>
                <w:highlight w:val="none"/>
              </w:rPr>
            </w:pPr>
            <w:r>
              <w:rPr>
                <w:rFonts w:hint="eastAsia" w:hAnsi="宋体" w:cs="宋体"/>
                <w:color w:val="auto"/>
                <w:sz w:val="21"/>
                <w:highlight w:val="none"/>
              </w:rPr>
              <w:t>2.采购代理费收取标准：</w:t>
            </w:r>
          </w:p>
          <w:p w14:paraId="769120A1">
            <w:pPr>
              <w:pStyle w:val="226"/>
              <w:spacing w:line="360" w:lineRule="auto"/>
              <w:rPr>
                <w:rFonts w:hint="eastAsia" w:hAnsi="宋体" w:cs="宋体"/>
                <w:color w:val="auto"/>
                <w:sz w:val="21"/>
                <w:highlight w:val="none"/>
              </w:rPr>
            </w:pPr>
            <w:r>
              <w:rPr>
                <w:rFonts w:ascii="Wingdings 2" w:hAnsi="Wingdings 2" w:eastAsia="Wingdings 2" w:cs="Wingdings 2"/>
                <w:color w:val="auto"/>
                <w:sz w:val="21"/>
                <w:highlight w:val="none"/>
              </w:rPr>
              <w:sym w:font="Wingdings 2" w:char="00A3"/>
            </w:r>
            <w:r>
              <w:rPr>
                <w:rFonts w:hint="eastAsia" w:hAnsi="宋体" w:cs="宋体"/>
                <w:color w:val="auto"/>
                <w:sz w:val="21"/>
                <w:highlight w:val="none"/>
              </w:rPr>
              <w:t>以本项目（</w:t>
            </w:r>
            <w:r>
              <w:rPr>
                <w:rFonts w:ascii="Wingdings 2" w:hAnsi="Wingdings 2" w:eastAsia="Wingdings 2" w:cs="Wingdings 2"/>
                <w:color w:val="auto"/>
                <w:sz w:val="21"/>
                <w:highlight w:val="none"/>
              </w:rPr>
              <w:sym w:font="Wingdings 2" w:char="00A3"/>
            </w:r>
            <w:r>
              <w:rPr>
                <w:rFonts w:hint="eastAsia" w:hAnsi="宋体" w:cs="宋体"/>
                <w:color w:val="auto"/>
                <w:sz w:val="21"/>
                <w:highlight w:val="none"/>
              </w:rPr>
              <w:t>成交金额/□采购预算/□暂定中标金额/□其他</w:t>
            </w:r>
            <w:r>
              <w:rPr>
                <w:rFonts w:hint="eastAsia" w:hAnsi="宋体" w:cs="宋体"/>
                <w:color w:val="auto"/>
                <w:sz w:val="21"/>
                <w:highlight w:val="none"/>
                <w:u w:val="single"/>
              </w:rPr>
              <w:t xml:space="preserve">   </w:t>
            </w:r>
            <w:r>
              <w:rPr>
                <w:rFonts w:hint="eastAsia" w:hAnsi="宋体" w:cs="宋体"/>
                <w:color w:val="auto"/>
                <w:sz w:val="21"/>
                <w:highlight w:val="none"/>
              </w:rPr>
              <w:t>）为计费额，按本须知正文第32.2条规定的收费计算标准（工程招标）采用差额定率累进法计算。</w:t>
            </w:r>
          </w:p>
          <w:p w14:paraId="7A2C35BF">
            <w:pPr>
              <w:pStyle w:val="226"/>
              <w:spacing w:line="360" w:lineRule="auto"/>
              <w:rPr>
                <w:color w:val="auto"/>
                <w:highlight w:val="none"/>
              </w:rPr>
            </w:pPr>
            <w:r>
              <w:rPr>
                <w:rFonts w:hint="eastAsia" w:hAnsi="宋体" w:cs="宋体"/>
                <w:color w:val="auto"/>
                <w:sz w:val="21"/>
                <w:highlight w:val="none"/>
              </w:rPr>
              <w:t>☑固定采购代理费：</w:t>
            </w:r>
            <w:r>
              <w:rPr>
                <w:rFonts w:hint="eastAsia" w:hAnsi="宋体" w:cs="宋体"/>
                <w:color w:val="auto"/>
                <w:sz w:val="21"/>
                <w:highlight w:val="none"/>
                <w:u w:val="single"/>
                <w:lang w:val="en-US" w:eastAsia="zh-CN"/>
              </w:rPr>
              <w:t>壹万零壹佰贰拾元肆角陆分</w:t>
            </w:r>
            <w:r>
              <w:rPr>
                <w:rFonts w:hint="eastAsia" w:hAnsi="宋体" w:cs="宋体"/>
                <w:color w:val="auto"/>
                <w:sz w:val="21"/>
                <w:highlight w:val="none"/>
                <w:u w:val="single"/>
              </w:rPr>
              <w:t>（¥</w:t>
            </w:r>
            <w:r>
              <w:rPr>
                <w:rFonts w:hint="eastAsia" w:hAnsi="宋体" w:cs="宋体"/>
                <w:color w:val="auto"/>
                <w:sz w:val="21"/>
                <w:highlight w:val="none"/>
                <w:u w:val="single"/>
                <w:lang w:val="en-US" w:eastAsia="zh-CN"/>
              </w:rPr>
              <w:t>10120.46</w:t>
            </w:r>
            <w:r>
              <w:rPr>
                <w:rFonts w:hint="eastAsia" w:hAnsi="宋体" w:cs="宋体"/>
                <w:color w:val="auto"/>
                <w:sz w:val="21"/>
                <w:highlight w:val="none"/>
                <w:u w:val="single"/>
              </w:rPr>
              <w:t>）</w:t>
            </w:r>
            <w:r>
              <w:rPr>
                <w:rFonts w:hint="eastAsia" w:hAnsi="宋体" w:cs="宋体"/>
                <w:color w:val="auto"/>
                <w:sz w:val="21"/>
                <w:highlight w:val="none"/>
              </w:rPr>
              <w:t>。</w:t>
            </w:r>
          </w:p>
          <w:p w14:paraId="42AA2DE8">
            <w:pPr>
              <w:pStyle w:val="226"/>
              <w:spacing w:line="360" w:lineRule="auto"/>
              <w:rPr>
                <w:rFonts w:hint="eastAsia" w:hAnsi="宋体" w:cs="宋体"/>
                <w:color w:val="auto"/>
                <w:sz w:val="21"/>
                <w:highlight w:val="none"/>
              </w:rPr>
            </w:pPr>
            <w:r>
              <w:rPr>
                <w:rFonts w:hint="eastAsia" w:hAnsi="宋体" w:cs="宋体"/>
                <w:color w:val="auto"/>
                <w:sz w:val="21"/>
                <w:highlight w:val="none"/>
              </w:rPr>
              <w:t>3. 采购代理费收取银行账户</w:t>
            </w:r>
          </w:p>
          <w:p w14:paraId="59620B8D">
            <w:pPr>
              <w:pStyle w:val="226"/>
              <w:spacing w:line="360" w:lineRule="auto"/>
              <w:rPr>
                <w:rFonts w:hint="eastAsia" w:hAnsi="宋体" w:cs="宋体"/>
                <w:color w:val="auto"/>
                <w:sz w:val="21"/>
                <w:highlight w:val="none"/>
              </w:rPr>
            </w:pPr>
            <w:r>
              <w:rPr>
                <w:rFonts w:hint="eastAsia" w:hAnsi="宋体" w:cs="宋体"/>
                <w:color w:val="auto"/>
                <w:sz w:val="21"/>
                <w:highlight w:val="none"/>
              </w:rPr>
              <w:t>户名：云之龙咨询集团有限公司岑溪分公司</w:t>
            </w:r>
          </w:p>
          <w:p w14:paraId="2D5E6FAA">
            <w:pPr>
              <w:pStyle w:val="226"/>
              <w:spacing w:line="360" w:lineRule="auto"/>
              <w:rPr>
                <w:rFonts w:hint="eastAsia" w:hAnsi="宋体" w:cs="宋体"/>
                <w:color w:val="auto"/>
                <w:sz w:val="21"/>
                <w:highlight w:val="none"/>
              </w:rPr>
            </w:pPr>
            <w:r>
              <w:rPr>
                <w:rFonts w:hint="eastAsia" w:hAnsi="宋体" w:cs="宋体"/>
                <w:color w:val="auto"/>
                <w:sz w:val="21"/>
                <w:highlight w:val="none"/>
              </w:rPr>
              <w:t>账号：8113001012600159946</w:t>
            </w:r>
          </w:p>
          <w:p w14:paraId="024AA042">
            <w:pPr>
              <w:pStyle w:val="226"/>
              <w:spacing w:line="360" w:lineRule="auto"/>
              <w:rPr>
                <w:rFonts w:hint="eastAsia" w:hAnsi="宋体" w:cs="宋体"/>
                <w:color w:val="auto"/>
                <w:sz w:val="21"/>
                <w:highlight w:val="none"/>
              </w:rPr>
            </w:pPr>
            <w:r>
              <w:rPr>
                <w:rFonts w:hint="eastAsia" w:hAnsi="宋体" w:cs="宋体"/>
                <w:color w:val="auto"/>
                <w:sz w:val="21"/>
                <w:highlight w:val="none"/>
              </w:rPr>
              <w:t>开户行：中信银行股份有限公司南宁园湖支行</w:t>
            </w:r>
          </w:p>
        </w:tc>
      </w:tr>
      <w:tr w14:paraId="05B97E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6C22850E">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33.1</w:t>
            </w:r>
          </w:p>
        </w:tc>
        <w:tc>
          <w:tcPr>
            <w:tcW w:w="7912" w:type="dxa"/>
            <w:tcBorders>
              <w:top w:val="single" w:color="000000" w:sz="4" w:space="0"/>
              <w:left w:val="single" w:color="000000" w:sz="4" w:space="0"/>
              <w:bottom w:val="single" w:color="000000" w:sz="4" w:space="0"/>
              <w:right w:val="single" w:color="000000" w:sz="4" w:space="0"/>
            </w:tcBorders>
            <w:vAlign w:val="center"/>
          </w:tcPr>
          <w:p w14:paraId="489C35C7">
            <w:pPr>
              <w:pStyle w:val="226"/>
              <w:spacing w:line="360" w:lineRule="auto"/>
              <w:rPr>
                <w:rFonts w:hint="eastAsia" w:hAnsi="宋体" w:cs="宋体"/>
                <w:color w:val="auto"/>
                <w:sz w:val="21"/>
                <w:highlight w:val="none"/>
              </w:rPr>
            </w:pPr>
            <w:r>
              <w:rPr>
                <w:rFonts w:hint="eastAsia" w:hAnsi="宋体" w:cs="宋体"/>
                <w:color w:val="auto"/>
                <w:sz w:val="21"/>
                <w:highlight w:val="none"/>
              </w:rPr>
              <w:t>解释：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由采购人或者采购代理机构负责解释。</w:t>
            </w:r>
          </w:p>
        </w:tc>
      </w:tr>
      <w:tr w14:paraId="725B36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4C68C734">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33.2</w:t>
            </w:r>
          </w:p>
        </w:tc>
        <w:tc>
          <w:tcPr>
            <w:tcW w:w="7912" w:type="dxa"/>
            <w:tcBorders>
              <w:top w:val="single" w:color="000000" w:sz="4" w:space="0"/>
              <w:left w:val="single" w:color="000000" w:sz="4" w:space="0"/>
              <w:bottom w:val="single" w:color="000000" w:sz="4" w:space="0"/>
              <w:right w:val="single" w:color="000000" w:sz="4" w:space="0"/>
            </w:tcBorders>
            <w:vAlign w:val="center"/>
          </w:tcPr>
          <w:p w14:paraId="26C57E5D">
            <w:pPr>
              <w:pStyle w:val="226"/>
              <w:spacing w:line="360" w:lineRule="auto"/>
              <w:rPr>
                <w:rFonts w:hint="eastAsia" w:hAnsi="宋体" w:cs="宋体"/>
                <w:color w:val="auto"/>
                <w:sz w:val="21"/>
                <w:highlight w:val="none"/>
              </w:rPr>
            </w:pPr>
            <w:r>
              <w:rPr>
                <w:rFonts w:hint="eastAsia" w:hAnsi="宋体" w:cs="宋体"/>
                <w:color w:val="auto"/>
                <w:sz w:val="21"/>
                <w:highlight w:val="none"/>
              </w:rPr>
              <w:t>农民工工资保证金：按照《保障农民工工资支付条例》及《广西壮族自治区人力资源和社会保障厅等8部门关于印发广西壮族自治区工程建设领域农民工工资专用账户管理暂行办法实施细则的通知》（桂人社规〔2022〕5号）有关规定执行。如开设了农民工工资专用账户的，应按规定比例足额将农民工工资保证金存入账户，也可以使用银行保函。工程竣工验收结算经审定后，按照规定程序，将农民工工资保证金没有使用或剩余的金额退还给承包人。</w:t>
            </w:r>
          </w:p>
        </w:tc>
      </w:tr>
      <w:tr w14:paraId="730209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6232650E">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33.3</w:t>
            </w:r>
          </w:p>
        </w:tc>
        <w:tc>
          <w:tcPr>
            <w:tcW w:w="7912" w:type="dxa"/>
            <w:tcBorders>
              <w:top w:val="single" w:color="000000" w:sz="4" w:space="0"/>
              <w:left w:val="single" w:color="000000" w:sz="4" w:space="0"/>
              <w:bottom w:val="single" w:color="000000" w:sz="4" w:space="0"/>
              <w:right w:val="single" w:color="000000" w:sz="4" w:space="0"/>
            </w:tcBorders>
            <w:vAlign w:val="center"/>
          </w:tcPr>
          <w:p w14:paraId="2EB1F8B7">
            <w:pPr>
              <w:pStyle w:val="226"/>
              <w:spacing w:line="360" w:lineRule="auto"/>
              <w:rPr>
                <w:rFonts w:hint="eastAsia" w:hAnsi="宋体" w:cs="宋体"/>
                <w:color w:val="auto"/>
                <w:sz w:val="21"/>
                <w:highlight w:val="none"/>
              </w:rPr>
            </w:pPr>
            <w:r>
              <w:rPr>
                <w:rFonts w:hint="eastAsia" w:hAnsi="宋体" w:cs="宋体"/>
                <w:color w:val="auto"/>
                <w:sz w:val="21"/>
                <w:highlight w:val="none"/>
              </w:rPr>
              <w:t>1.本磋商文件中描述供应商的“公章”是指根据我国对公章的管理规定，用供应商法定主体行为名称制作的印章，除本磋商文件有特殊规定外，供应商的财务章、部门章、分公司章、工会章、合同章、竞标专用章、业务专用章及银行的转账章、现金收讫章、现金付讫章等其他形式印章均不能代替公章。</w:t>
            </w:r>
          </w:p>
          <w:p w14:paraId="2DBB1605">
            <w:pPr>
              <w:pStyle w:val="226"/>
              <w:spacing w:line="360" w:lineRule="auto"/>
              <w:rPr>
                <w:rFonts w:hint="eastAsia" w:hAnsi="宋体" w:cs="宋体"/>
                <w:bCs/>
                <w:color w:val="auto"/>
                <w:sz w:val="21"/>
                <w:highlight w:val="none"/>
              </w:rPr>
            </w:pPr>
            <w:r>
              <w:rPr>
                <w:rFonts w:hint="eastAsia" w:hAnsi="宋体" w:cs="宋体"/>
                <w:bCs/>
                <w:color w:val="auto"/>
                <w:sz w:val="21"/>
                <w:highlight w:val="none"/>
              </w:rPr>
              <w:t>2.本磋商文件所称的“</w:t>
            </w:r>
            <w:r>
              <w:rPr>
                <w:rFonts w:hint="eastAsia" w:hAnsi="宋体" w:cs="宋体"/>
                <w:color w:val="auto"/>
                <w:sz w:val="21"/>
                <w:highlight w:val="none"/>
              </w:rPr>
              <w:t>电子签章</w:t>
            </w:r>
            <w:r>
              <w:rPr>
                <w:rFonts w:hint="eastAsia" w:hAnsi="宋体" w:cs="宋体"/>
                <w:bCs/>
                <w:color w:val="auto"/>
                <w:sz w:val="21"/>
                <w:highlight w:val="none"/>
              </w:rPr>
              <w:t>”、“电子签名”</w:t>
            </w:r>
            <w:r>
              <w:rPr>
                <w:rFonts w:hint="eastAsia" w:hAnsi="宋体" w:cs="宋体"/>
                <w:color w:val="auto"/>
                <w:sz w:val="21"/>
                <w:highlight w:val="none"/>
              </w:rPr>
              <w:t>，是指经广西政府采购云平台认可的CA认证的电子签名数据为表现形式的印章，可用于签署电子响应文件，电子印章与实物印章具有同等法律效力，不因其采用电子化表现形式而否定其法律效力。</w:t>
            </w:r>
          </w:p>
          <w:p w14:paraId="6165BD07">
            <w:pPr>
              <w:pStyle w:val="226"/>
              <w:spacing w:line="360" w:lineRule="auto"/>
              <w:rPr>
                <w:rFonts w:hint="eastAsia" w:hAnsi="宋体" w:cs="宋体"/>
                <w:bCs/>
                <w:color w:val="auto"/>
                <w:sz w:val="21"/>
                <w:highlight w:val="none"/>
              </w:rPr>
            </w:pPr>
            <w:r>
              <w:rPr>
                <w:rFonts w:hint="eastAsia" w:hAnsi="宋体" w:cs="宋体"/>
                <w:color w:val="auto"/>
                <w:sz w:val="21"/>
                <w:highlight w:val="none"/>
              </w:rPr>
              <w:t>3.供应商为其他组织或者自然人时，本磋商文件规定的法定代表人指负责人或者自然人。本磋商文件所称负责人是指参加竞标的其他组织</w:t>
            </w:r>
            <w:r>
              <w:rPr>
                <w:rFonts w:hint="eastAsia" w:hAnsi="宋体" w:cs="宋体"/>
                <w:bCs/>
                <w:color w:val="auto"/>
                <w:sz w:val="21"/>
                <w:highlight w:val="none"/>
              </w:rPr>
              <w:t>营业执照或者执业许可证等证照上的</w:t>
            </w:r>
            <w:r>
              <w:rPr>
                <w:rFonts w:hint="eastAsia" w:hAnsi="宋体" w:cs="宋体"/>
                <w:color w:val="auto"/>
                <w:sz w:val="21"/>
                <w:highlight w:val="none"/>
              </w:rPr>
              <w:t>负责人，本磋商文件所称自然人指参与竞标的自然人本人，</w:t>
            </w:r>
            <w:r>
              <w:rPr>
                <w:rFonts w:hint="eastAsia" w:hAnsi="宋体" w:cs="宋体"/>
                <w:bCs/>
                <w:color w:val="auto"/>
                <w:sz w:val="21"/>
                <w:highlight w:val="none"/>
              </w:rPr>
              <w:t>且应具备独立承担民事责任能力，自然人应当为年满18岁以上成年人（十六周岁以上的未成年人，以自己的劳动收入为主要生活来源的，视为完全民事行为能力人）。</w:t>
            </w:r>
          </w:p>
          <w:p w14:paraId="261F1BBE">
            <w:pPr>
              <w:pStyle w:val="226"/>
              <w:spacing w:line="360" w:lineRule="auto"/>
              <w:rPr>
                <w:rFonts w:hint="eastAsia" w:hAnsi="宋体" w:cs="宋体"/>
                <w:color w:val="auto"/>
                <w:sz w:val="21"/>
                <w:highlight w:val="none"/>
              </w:rPr>
            </w:pPr>
            <w:r>
              <w:rPr>
                <w:rFonts w:hint="eastAsia" w:hAnsi="宋体" w:cs="宋体"/>
                <w:color w:val="auto"/>
                <w:sz w:val="21"/>
                <w:highlight w:val="none"/>
              </w:rPr>
              <w:t>4.本磋商文件中描述供应商的“签字”是指供应商的法定代表人或者委托代理人亲自在文件规定签署处亲笔写上个人的名字的行为，私章、签字章、印鉴、影印等其他形式均不能代替亲笔签字。</w:t>
            </w:r>
          </w:p>
          <w:p w14:paraId="1AD07BD1">
            <w:pPr>
              <w:pStyle w:val="226"/>
              <w:spacing w:line="360" w:lineRule="auto"/>
              <w:rPr>
                <w:rFonts w:hint="eastAsia" w:hAnsi="宋体" w:cs="宋体"/>
                <w:color w:val="auto"/>
                <w:sz w:val="21"/>
                <w:highlight w:val="none"/>
              </w:rPr>
            </w:pPr>
            <w:r>
              <w:rPr>
                <w:rFonts w:hint="eastAsia" w:hAnsi="宋体" w:cs="宋体"/>
                <w:color w:val="auto"/>
                <w:sz w:val="21"/>
                <w:highlight w:val="none"/>
              </w:rPr>
              <w:t>5.本磋商文件所称的“以上”“以下”“以内”“届满”，包括本数；所称的“不满”“超过”“以外”，不包括本数。</w:t>
            </w:r>
          </w:p>
        </w:tc>
      </w:tr>
    </w:tbl>
    <w:p w14:paraId="298D527B">
      <w:pPr>
        <w:spacing w:line="400" w:lineRule="exact"/>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br w:type="page" w:clear="all"/>
      </w:r>
      <w:r>
        <w:rPr>
          <w:rFonts w:hint="eastAsia" w:ascii="宋体" w:hAnsi="宋体" w:cs="宋体"/>
          <w:b/>
          <w:color w:val="auto"/>
          <w:sz w:val="32"/>
          <w:szCs w:val="32"/>
          <w:highlight w:val="none"/>
        </w:rPr>
        <w:t>供应商须知正文</w:t>
      </w:r>
    </w:p>
    <w:p w14:paraId="48786DA4">
      <w:pPr>
        <w:spacing w:line="400" w:lineRule="exact"/>
        <w:jc w:val="center"/>
        <w:rPr>
          <w:rFonts w:hint="eastAsia" w:ascii="宋体" w:hAnsi="宋体" w:cs="宋体"/>
          <w:b/>
          <w:color w:val="auto"/>
          <w:sz w:val="32"/>
          <w:szCs w:val="32"/>
          <w:highlight w:val="none"/>
        </w:rPr>
      </w:pPr>
    </w:p>
    <w:p w14:paraId="418BD23B">
      <w:pPr>
        <w:spacing w:line="400" w:lineRule="exact"/>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一、总则</w:t>
      </w:r>
    </w:p>
    <w:p w14:paraId="5B6AEB7E">
      <w:pPr>
        <w:spacing w:line="400" w:lineRule="exact"/>
        <w:rPr>
          <w:rFonts w:hint="eastAsia" w:ascii="宋体" w:hAnsi="宋体" w:cs="宋体"/>
          <w:color w:val="auto"/>
          <w:szCs w:val="21"/>
          <w:highlight w:val="none"/>
        </w:rPr>
      </w:pPr>
    </w:p>
    <w:p w14:paraId="1D799597">
      <w:pPr>
        <w:spacing w:line="360" w:lineRule="auto"/>
        <w:ind w:firstLine="482"/>
        <w:rPr>
          <w:rFonts w:hint="eastAsia" w:ascii="宋体" w:hAnsi="宋体" w:cs="宋体"/>
          <w:b/>
          <w:bCs/>
          <w:color w:val="auto"/>
          <w:sz w:val="24"/>
          <w:highlight w:val="none"/>
        </w:rPr>
      </w:pPr>
      <w:r>
        <w:rPr>
          <w:rFonts w:hint="eastAsia" w:ascii="宋体" w:hAnsi="宋体" w:cs="宋体"/>
          <w:b/>
          <w:bCs/>
          <w:color w:val="auto"/>
          <w:sz w:val="24"/>
          <w:highlight w:val="none"/>
        </w:rPr>
        <w:t>1.适用范围</w:t>
      </w:r>
    </w:p>
    <w:p w14:paraId="41654236">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4C62F38A">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1.2本竞争性磋商文件（以下简称磋商文件）适用于本项目的所有采购程序和环节（法律、法规另有规定的，从其规定）</w:t>
      </w:r>
      <w:r>
        <w:rPr>
          <w:rFonts w:hint="eastAsia" w:ascii="宋体" w:hAnsi="宋体" w:cs="宋体"/>
          <w:color w:val="auto"/>
          <w:spacing w:val="-6"/>
          <w:szCs w:val="21"/>
          <w:highlight w:val="none"/>
        </w:rPr>
        <w:t>。</w:t>
      </w:r>
    </w:p>
    <w:p w14:paraId="257FC17C">
      <w:pPr>
        <w:spacing w:line="360" w:lineRule="auto"/>
        <w:ind w:firstLine="482"/>
        <w:rPr>
          <w:rFonts w:hint="eastAsia" w:ascii="宋体" w:hAnsi="宋体" w:cs="宋体"/>
          <w:b/>
          <w:bCs/>
          <w:color w:val="auto"/>
          <w:sz w:val="24"/>
          <w:highlight w:val="none"/>
        </w:rPr>
      </w:pPr>
      <w:r>
        <w:rPr>
          <w:rFonts w:hint="eastAsia" w:ascii="宋体" w:hAnsi="宋体" w:cs="宋体"/>
          <w:b/>
          <w:bCs/>
          <w:color w:val="auto"/>
          <w:sz w:val="24"/>
          <w:highlight w:val="none"/>
        </w:rPr>
        <w:t>2.定义</w:t>
      </w:r>
    </w:p>
    <w:p w14:paraId="48855C4B">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2.1“采购人”是指依法进行政府采购的国家机关、事业单位、团体组织。</w:t>
      </w:r>
    </w:p>
    <w:p w14:paraId="08E29938">
      <w:pPr>
        <w:spacing w:line="360" w:lineRule="auto"/>
        <w:ind w:firstLine="420"/>
        <w:rPr>
          <w:rFonts w:hint="eastAsia" w:ascii="宋体" w:hAnsi="宋体" w:cs="宋体"/>
          <w:color w:val="auto"/>
          <w:szCs w:val="21"/>
          <w:highlight w:val="none"/>
          <w:u w:val="single"/>
        </w:rPr>
      </w:pPr>
      <w:r>
        <w:rPr>
          <w:rFonts w:hint="eastAsia" w:ascii="宋体" w:hAnsi="宋体" w:cs="宋体"/>
          <w:color w:val="auto"/>
          <w:szCs w:val="21"/>
          <w:highlight w:val="none"/>
        </w:rPr>
        <w:t>2.2“采购代理机构”是指政府采购集中采购机构和集中采购机构以外的采购代理机构。</w:t>
      </w:r>
    </w:p>
    <w:p w14:paraId="37AD13A5">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2.3“供应商”是指向采购人提供货物、工程或者服务的法人、其他组织或者自然人。</w:t>
      </w:r>
    </w:p>
    <w:p w14:paraId="0DCBBE42">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2.4“工程”是指建设工程，包括建筑物和构筑物的新建、改建、扩建、装修、拆除、修缮等。</w:t>
      </w:r>
    </w:p>
    <w:p w14:paraId="55098904">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2.5“竞标”是指供应商按照本项目竞争性磋商公告或者邀请函规定的方式获取磋商文件、提交响应文件并希望获得标的的行为。</w:t>
      </w:r>
    </w:p>
    <w:p w14:paraId="543E32CA">
      <w:pPr>
        <w:spacing w:line="360" w:lineRule="auto"/>
        <w:ind w:firstLine="420"/>
        <w:contextualSpacing/>
        <w:rPr>
          <w:rFonts w:hint="eastAsia" w:ascii="宋体" w:hAnsi="宋体" w:cs="宋体"/>
          <w:color w:val="auto"/>
          <w:szCs w:val="21"/>
          <w:highlight w:val="none"/>
        </w:rPr>
      </w:pPr>
      <w:r>
        <w:rPr>
          <w:rFonts w:hint="eastAsia" w:ascii="宋体" w:hAnsi="宋体" w:cs="宋体"/>
          <w:color w:val="auto"/>
          <w:szCs w:val="21"/>
          <w:highlight w:val="none"/>
        </w:rPr>
        <w:t>2.6“书面形式”是指合同书、信件和数据电文（包括电报、电传、传真、电子数据交换和电子邮件）等可以有形地表现所载内容的形式。</w:t>
      </w:r>
    </w:p>
    <w:p w14:paraId="12B3C186">
      <w:pPr>
        <w:spacing w:line="360" w:lineRule="auto"/>
        <w:ind w:firstLine="420"/>
        <w:contextualSpacing/>
        <w:rPr>
          <w:rFonts w:hint="eastAsia" w:ascii="宋体" w:hAnsi="宋体" w:cs="宋体"/>
          <w:color w:val="auto"/>
          <w:szCs w:val="21"/>
          <w:highlight w:val="none"/>
        </w:rPr>
      </w:pPr>
      <w:r>
        <w:rPr>
          <w:rFonts w:hint="eastAsia" w:ascii="宋体" w:hAnsi="宋体" w:cs="宋体"/>
          <w:color w:val="auto"/>
          <w:szCs w:val="21"/>
          <w:highlight w:val="none"/>
        </w:rPr>
        <w:t>2.7“响应文件”是指：供应商根据本磋商文件要求，编制包含资格证明、报价、商务技术等所有内容的文件</w:t>
      </w:r>
      <w:r>
        <w:rPr>
          <w:rFonts w:hint="eastAsia" w:ascii="宋体" w:hAnsi="宋体" w:cs="宋体"/>
          <w:color w:val="auto"/>
          <w:spacing w:val="-6"/>
          <w:szCs w:val="21"/>
          <w:highlight w:val="none"/>
        </w:rPr>
        <w:t>。</w:t>
      </w:r>
    </w:p>
    <w:p w14:paraId="37AE7131">
      <w:pPr>
        <w:spacing w:line="360" w:lineRule="auto"/>
        <w:ind w:firstLine="420"/>
        <w:contextualSpacing/>
        <w:rPr>
          <w:rFonts w:hint="eastAsia" w:ascii="宋体" w:hAnsi="宋体" w:cs="宋体"/>
          <w:color w:val="auto"/>
          <w:szCs w:val="21"/>
          <w:highlight w:val="none"/>
        </w:rPr>
      </w:pPr>
      <w:r>
        <w:rPr>
          <w:rFonts w:hint="eastAsia" w:ascii="宋体" w:hAnsi="宋体" w:cs="宋体"/>
          <w:color w:val="auto"/>
          <w:szCs w:val="21"/>
          <w:highlight w:val="none"/>
        </w:rPr>
        <w:t>2.8“实质性要求”是指磋商文件中已经指明不满足则响应文件按无效处理的条款，或者不能负偏离的条款，或者采购需求中带“▲”的条款。</w:t>
      </w:r>
    </w:p>
    <w:p w14:paraId="675656B4">
      <w:pPr>
        <w:spacing w:line="360" w:lineRule="auto"/>
        <w:ind w:firstLine="420"/>
        <w:contextualSpacing/>
        <w:rPr>
          <w:rFonts w:hint="eastAsia" w:ascii="宋体" w:hAnsi="宋体" w:cs="宋体"/>
          <w:color w:val="auto"/>
          <w:szCs w:val="21"/>
          <w:highlight w:val="none"/>
        </w:rPr>
      </w:pPr>
      <w:r>
        <w:rPr>
          <w:rFonts w:hint="eastAsia" w:ascii="宋体" w:hAnsi="宋体" w:cs="宋体"/>
          <w:color w:val="auto"/>
          <w:szCs w:val="21"/>
          <w:highlight w:val="none"/>
        </w:rPr>
        <w:t>2.9“正偏离”，是指响应文件对磋商文件“采购需求”中有关条款作出的响应优于条款要求并有利于采购人的情形。</w:t>
      </w:r>
    </w:p>
    <w:p w14:paraId="43E9783A">
      <w:pPr>
        <w:spacing w:line="360" w:lineRule="auto"/>
        <w:ind w:firstLine="420"/>
        <w:contextualSpacing/>
        <w:rPr>
          <w:rFonts w:hint="eastAsia" w:ascii="宋体" w:hAnsi="宋体" w:cs="宋体"/>
          <w:color w:val="auto"/>
          <w:szCs w:val="21"/>
          <w:highlight w:val="none"/>
        </w:rPr>
      </w:pPr>
      <w:r>
        <w:rPr>
          <w:rFonts w:hint="eastAsia" w:ascii="宋体" w:hAnsi="宋体" w:cs="宋体"/>
          <w:color w:val="auto"/>
          <w:szCs w:val="21"/>
          <w:highlight w:val="none"/>
        </w:rPr>
        <w:t>2.10“负偏离”，是指响应文件对磋商文件“采购需求”中有关条款作出的响应不满足条款要求，导致采购人要求不能得到满足的情形。</w:t>
      </w:r>
    </w:p>
    <w:p w14:paraId="74A6A8C4">
      <w:pPr>
        <w:spacing w:line="360" w:lineRule="auto"/>
        <w:ind w:firstLine="420"/>
        <w:contextualSpacing/>
        <w:rPr>
          <w:rFonts w:hint="eastAsia" w:ascii="宋体" w:hAnsi="宋体" w:cs="宋体"/>
          <w:color w:val="auto"/>
          <w:szCs w:val="21"/>
          <w:highlight w:val="none"/>
        </w:rPr>
      </w:pPr>
      <w:r>
        <w:rPr>
          <w:rFonts w:hint="eastAsia" w:ascii="宋体" w:hAnsi="宋体" w:cs="宋体"/>
          <w:color w:val="auto"/>
          <w:szCs w:val="21"/>
          <w:highlight w:val="none"/>
        </w:rPr>
        <w:t>2.11“允许负偏离的条款”是指采购需求中的不属于“实质性要求”的条款。</w:t>
      </w:r>
    </w:p>
    <w:p w14:paraId="5FB442B7">
      <w:pPr>
        <w:spacing w:line="360" w:lineRule="auto"/>
        <w:ind w:firstLine="420"/>
        <w:contextualSpacing/>
        <w:rPr>
          <w:rFonts w:hint="eastAsia" w:ascii="宋体" w:hAnsi="宋体" w:cs="宋体"/>
          <w:color w:val="auto"/>
          <w:szCs w:val="21"/>
          <w:highlight w:val="none"/>
        </w:rPr>
      </w:pPr>
      <w:r>
        <w:rPr>
          <w:rFonts w:hint="eastAsia" w:ascii="宋体" w:hAnsi="宋体" w:cs="宋体"/>
          <w:color w:val="auto"/>
          <w:szCs w:val="21"/>
          <w:highlight w:val="none"/>
        </w:rPr>
        <w:t>2.12“首次报价”是指供应商提交的首次响应文件中的报价。</w:t>
      </w:r>
    </w:p>
    <w:p w14:paraId="3430FEBC">
      <w:pPr>
        <w:spacing w:line="360" w:lineRule="auto"/>
        <w:ind w:firstLine="482"/>
        <w:rPr>
          <w:rFonts w:hint="eastAsia" w:ascii="宋体" w:hAnsi="宋体" w:cs="宋体"/>
          <w:b/>
          <w:bCs/>
          <w:color w:val="auto"/>
          <w:sz w:val="24"/>
          <w:highlight w:val="none"/>
        </w:rPr>
      </w:pPr>
      <w:r>
        <w:rPr>
          <w:rFonts w:hint="eastAsia" w:ascii="宋体" w:hAnsi="宋体" w:cs="宋体"/>
          <w:b/>
          <w:bCs/>
          <w:color w:val="auto"/>
          <w:sz w:val="24"/>
          <w:highlight w:val="none"/>
        </w:rPr>
        <w:t>3.供应商的资格条件</w:t>
      </w:r>
    </w:p>
    <w:p w14:paraId="1FCD1953">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3.1供应商的资格条件详见“供应商须知前附表”。</w:t>
      </w:r>
    </w:p>
    <w:p w14:paraId="5C9F67C3">
      <w:pPr>
        <w:spacing w:line="360" w:lineRule="auto"/>
        <w:ind w:firstLine="420"/>
        <w:rPr>
          <w:rFonts w:hint="eastAsia" w:ascii="宋体" w:hAnsi="宋体" w:cs="宋体"/>
          <w:color w:val="auto"/>
          <w:highlight w:val="none"/>
        </w:rPr>
      </w:pPr>
      <w:r>
        <w:rPr>
          <w:rFonts w:hint="eastAsia" w:ascii="宋体" w:hAnsi="宋体" w:cs="宋体"/>
          <w:color w:val="auto"/>
          <w:szCs w:val="21"/>
          <w:highlight w:val="none"/>
        </w:rPr>
        <w:t>3.2供应商</w:t>
      </w:r>
      <w:r>
        <w:rPr>
          <w:rFonts w:hint="eastAsia" w:ascii="宋体" w:hAnsi="宋体" w:cs="宋体"/>
          <w:color w:val="auto"/>
          <w:highlight w:val="none"/>
        </w:rPr>
        <w:t>不得存在下列情形之一：</w:t>
      </w:r>
    </w:p>
    <w:p w14:paraId="6B8821BA">
      <w:pPr>
        <w:spacing w:line="360" w:lineRule="auto"/>
        <w:ind w:firstLine="420"/>
        <w:rPr>
          <w:rFonts w:hint="eastAsia" w:ascii="宋体" w:hAnsi="宋体" w:cs="宋体"/>
          <w:color w:val="auto"/>
          <w:szCs w:val="21"/>
          <w:highlight w:val="none"/>
        </w:rPr>
      </w:pPr>
      <w:r>
        <w:rPr>
          <w:rFonts w:hint="eastAsia" w:ascii="宋体" w:hAnsi="宋体" w:cs="宋体"/>
          <w:color w:val="auto"/>
          <w:highlight w:val="none"/>
        </w:rPr>
        <w:t>（1）</w:t>
      </w:r>
      <w:r>
        <w:rPr>
          <w:rFonts w:hint="eastAsia" w:ascii="宋体" w:hAnsi="宋体" w:cs="宋体"/>
          <w:color w:val="auto"/>
          <w:szCs w:val="21"/>
          <w:highlight w:val="none"/>
        </w:rPr>
        <w:t>单位负责人为同一人或者存在直接控股、管理关系的不同供应商，不得参加同一合同项下的政府采购活动；</w:t>
      </w:r>
    </w:p>
    <w:p w14:paraId="1372FDC7">
      <w:pPr>
        <w:spacing w:line="360" w:lineRule="auto"/>
        <w:ind w:firstLine="420"/>
        <w:rPr>
          <w:rFonts w:hint="eastAsia" w:ascii="宋体" w:hAnsi="宋体" w:cs="宋体"/>
          <w:color w:val="auto"/>
          <w:highlight w:val="none"/>
        </w:rPr>
      </w:pPr>
      <w:r>
        <w:rPr>
          <w:rFonts w:hint="eastAsia" w:ascii="宋体" w:hAnsi="宋体" w:cs="宋体"/>
          <w:color w:val="auto"/>
          <w:szCs w:val="21"/>
          <w:highlight w:val="none"/>
        </w:rPr>
        <w:t>（2）为本项目提供过整体设计、规范编制或者项目管理、监理、检测等服务的供应商，不得再参加本项目上述服务以外的其他采购活动；</w:t>
      </w:r>
    </w:p>
    <w:p w14:paraId="29FA0F24">
      <w:pPr>
        <w:spacing w:line="360" w:lineRule="auto"/>
        <w:ind w:firstLine="420"/>
        <w:rPr>
          <w:rFonts w:hint="eastAsia" w:ascii="宋体" w:hAnsi="宋体" w:cs="宋体"/>
          <w:color w:val="auto"/>
          <w:highlight w:val="none"/>
        </w:rPr>
      </w:pPr>
      <w:r>
        <w:rPr>
          <w:rFonts w:hint="eastAsia" w:ascii="宋体" w:hAnsi="宋体" w:cs="宋体"/>
          <w:color w:val="auto"/>
          <w:highlight w:val="none"/>
        </w:rPr>
        <w:t>（3）为本分标的代建人；</w:t>
      </w:r>
    </w:p>
    <w:p w14:paraId="57935CF4">
      <w:pPr>
        <w:spacing w:line="360" w:lineRule="auto"/>
        <w:ind w:firstLine="420"/>
        <w:rPr>
          <w:rFonts w:hint="eastAsia" w:ascii="宋体" w:hAnsi="宋体" w:cs="宋体"/>
          <w:color w:val="auto"/>
          <w:highlight w:val="none"/>
        </w:rPr>
      </w:pPr>
      <w:r>
        <w:rPr>
          <w:rFonts w:hint="eastAsia" w:ascii="宋体" w:hAnsi="宋体" w:cs="宋体"/>
          <w:color w:val="auto"/>
          <w:highlight w:val="none"/>
        </w:rPr>
        <w:t>（4）为本分标提供采购代理服务的；</w:t>
      </w:r>
    </w:p>
    <w:p w14:paraId="2B5B0EB1">
      <w:pPr>
        <w:spacing w:line="360" w:lineRule="auto"/>
        <w:ind w:firstLine="420"/>
        <w:rPr>
          <w:rFonts w:hint="eastAsia" w:ascii="宋体" w:hAnsi="宋体" w:cs="宋体"/>
          <w:color w:val="auto"/>
          <w:highlight w:val="none"/>
        </w:rPr>
      </w:pPr>
      <w:r>
        <w:rPr>
          <w:rFonts w:hint="eastAsia" w:ascii="宋体" w:hAnsi="宋体" w:cs="宋体"/>
          <w:color w:val="auto"/>
          <w:highlight w:val="none"/>
        </w:rPr>
        <w:t>（5）与本分标的监理人或代建人或采购代理机构同为一个法定代表人的；</w:t>
      </w:r>
    </w:p>
    <w:p w14:paraId="4DF2968B">
      <w:pPr>
        <w:spacing w:line="360" w:lineRule="auto"/>
        <w:ind w:firstLine="420"/>
        <w:rPr>
          <w:rFonts w:hint="eastAsia" w:ascii="宋体" w:hAnsi="宋体" w:cs="宋体"/>
          <w:color w:val="auto"/>
          <w:highlight w:val="none"/>
        </w:rPr>
      </w:pPr>
      <w:r>
        <w:rPr>
          <w:rFonts w:hint="eastAsia" w:ascii="宋体" w:hAnsi="宋体" w:cs="宋体"/>
          <w:color w:val="auto"/>
          <w:highlight w:val="none"/>
        </w:rPr>
        <w:t>（6）与本分标的监理人或代建人或采购代理机构相互控股或参股的；</w:t>
      </w:r>
    </w:p>
    <w:p w14:paraId="724DD3D9">
      <w:pPr>
        <w:spacing w:line="360" w:lineRule="auto"/>
        <w:ind w:firstLine="420"/>
        <w:rPr>
          <w:rFonts w:hint="eastAsia" w:ascii="宋体" w:hAnsi="宋体" w:cs="宋体"/>
          <w:color w:val="auto"/>
          <w:highlight w:val="none"/>
        </w:rPr>
      </w:pPr>
      <w:r>
        <w:rPr>
          <w:rFonts w:hint="eastAsia" w:ascii="宋体" w:hAnsi="宋体" w:cs="宋体"/>
          <w:color w:val="auto"/>
          <w:highlight w:val="none"/>
        </w:rPr>
        <w:t>（7）与本分标的监理人或代建人或采购代理机构相互任职或工作的；</w:t>
      </w:r>
    </w:p>
    <w:p w14:paraId="0BE2BC6D">
      <w:pPr>
        <w:spacing w:line="360" w:lineRule="auto"/>
        <w:ind w:firstLine="420"/>
        <w:rPr>
          <w:rFonts w:hint="eastAsia" w:ascii="宋体" w:hAnsi="宋体" w:cs="宋体"/>
          <w:color w:val="auto"/>
          <w:highlight w:val="none"/>
        </w:rPr>
      </w:pPr>
      <w:r>
        <w:rPr>
          <w:rFonts w:hint="eastAsia" w:ascii="宋体" w:hAnsi="宋体" w:cs="宋体"/>
          <w:color w:val="auto"/>
          <w:highlight w:val="none"/>
        </w:rPr>
        <w:t>（8）在“信用中国”网站（www.creditchina.gov.cn） 、中国政府采购网（www.ccgp.gov.cn）被列入失信被执行人、重大税收违法失信主体、政府采购严重违法失信行为记录名单及其他不符合《中华人民共和国政府采购法》第二十二条规定条件的。</w:t>
      </w:r>
    </w:p>
    <w:p w14:paraId="7B6D1CCC">
      <w:pPr>
        <w:spacing w:line="360" w:lineRule="auto"/>
        <w:ind w:firstLine="482"/>
        <w:rPr>
          <w:rFonts w:hint="eastAsia" w:ascii="宋体" w:hAnsi="宋体" w:cs="宋体"/>
          <w:b/>
          <w:bCs/>
          <w:color w:val="auto"/>
          <w:sz w:val="24"/>
          <w:highlight w:val="none"/>
        </w:rPr>
      </w:pPr>
      <w:r>
        <w:rPr>
          <w:rFonts w:hint="eastAsia" w:ascii="宋体" w:hAnsi="宋体" w:cs="宋体"/>
          <w:b/>
          <w:bCs/>
          <w:color w:val="auto"/>
          <w:sz w:val="24"/>
          <w:highlight w:val="none"/>
        </w:rPr>
        <w:t>4.竞标费用</w:t>
      </w:r>
    </w:p>
    <w:p w14:paraId="0A7A817B">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供应商应承担参与本次采购活动有关的所有费用，包括但不限于获取磋商文件、勘查现场、编制和提交响应文件、参加磋商与应答、签订合同等，不论竞标结果如何，均应自行承担。</w:t>
      </w:r>
    </w:p>
    <w:p w14:paraId="0E1F9D23">
      <w:pPr>
        <w:spacing w:line="360" w:lineRule="auto"/>
        <w:ind w:firstLine="482"/>
        <w:rPr>
          <w:rFonts w:hint="eastAsia" w:ascii="宋体" w:hAnsi="宋体" w:cs="宋体"/>
          <w:b/>
          <w:bCs/>
          <w:color w:val="auto"/>
          <w:sz w:val="24"/>
          <w:highlight w:val="none"/>
        </w:rPr>
      </w:pPr>
      <w:r>
        <w:rPr>
          <w:rFonts w:hint="eastAsia" w:ascii="宋体" w:hAnsi="宋体" w:cs="宋体"/>
          <w:b/>
          <w:bCs/>
          <w:color w:val="auto"/>
          <w:sz w:val="24"/>
          <w:highlight w:val="none"/>
        </w:rPr>
        <w:t>5.联合体竞标</w:t>
      </w:r>
    </w:p>
    <w:p w14:paraId="0AE4F5F5">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5.1本项目是否接受联合体竞标，详见“供应商须知前附表”。</w:t>
      </w:r>
    </w:p>
    <w:p w14:paraId="25F548DD">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5.2</w:t>
      </w:r>
      <w:r>
        <w:rPr>
          <w:rFonts w:hint="eastAsia" w:ascii="宋体" w:hAnsi="宋体" w:cs="宋体"/>
          <w:color w:val="auto"/>
          <w:highlight w:val="none"/>
        </w:rPr>
        <w:t>如接受联合体竞标，</w:t>
      </w:r>
      <w:r>
        <w:rPr>
          <w:rFonts w:hint="eastAsia" w:ascii="宋体" w:hAnsi="宋体" w:cs="宋体"/>
          <w:color w:val="auto"/>
          <w:szCs w:val="21"/>
          <w:highlight w:val="none"/>
        </w:rPr>
        <w:t>联合体竞标要求详见“供应商须知前附表”。</w:t>
      </w:r>
    </w:p>
    <w:p w14:paraId="12B61A16">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5.3根据《政府采购促进中小企业发展管理办法》（财库〔2020〕46号）及《广西壮族自治区财政厅关于持续优化政府采购营商环境推动高质量发展的通知》（桂财采〔2024〕55号）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1%-2%的扣除，用扣除后的价格参加评审。</w:t>
      </w:r>
    </w:p>
    <w:p w14:paraId="6836C924">
      <w:pPr>
        <w:spacing w:line="360" w:lineRule="auto"/>
        <w:ind w:firstLine="482"/>
        <w:rPr>
          <w:rFonts w:hint="eastAsia" w:ascii="宋体" w:hAnsi="宋体" w:cs="宋体"/>
          <w:b/>
          <w:bCs/>
          <w:color w:val="auto"/>
          <w:sz w:val="24"/>
          <w:highlight w:val="none"/>
        </w:rPr>
      </w:pPr>
      <w:r>
        <w:rPr>
          <w:rFonts w:hint="eastAsia" w:ascii="宋体" w:hAnsi="宋体" w:cs="宋体"/>
          <w:b/>
          <w:bCs/>
          <w:color w:val="auto"/>
          <w:sz w:val="24"/>
          <w:highlight w:val="none"/>
        </w:rPr>
        <w:t xml:space="preserve">6.转包与分包             </w:t>
      </w:r>
    </w:p>
    <w:p w14:paraId="5B175D3A">
      <w:pPr>
        <w:pStyle w:val="191"/>
        <w:keepNext w:val="0"/>
        <w:keepLines w:val="0"/>
        <w:spacing w:before="0" w:after="0" w:line="360" w:lineRule="auto"/>
        <w:ind w:left="420"/>
        <w:rPr>
          <w:rFonts w:hint="eastAsia" w:ascii="宋体" w:hAnsi="宋体" w:cs="宋体"/>
          <w:b w:val="0"/>
          <w:color w:val="auto"/>
          <w:sz w:val="21"/>
          <w:szCs w:val="21"/>
          <w:highlight w:val="none"/>
        </w:rPr>
      </w:pPr>
      <w:bookmarkStart w:id="71" w:name="_Toc254970532"/>
      <w:bookmarkStart w:id="72" w:name="_Toc254970673"/>
      <w:r>
        <w:rPr>
          <w:rFonts w:hint="eastAsia" w:ascii="宋体" w:hAnsi="宋体" w:cs="宋体"/>
          <w:b w:val="0"/>
          <w:color w:val="auto"/>
          <w:sz w:val="21"/>
          <w:szCs w:val="21"/>
          <w:highlight w:val="none"/>
        </w:rPr>
        <w:t>6.1本项目不允许转包。</w:t>
      </w:r>
    </w:p>
    <w:p w14:paraId="40E860DC">
      <w:pPr>
        <w:pStyle w:val="191"/>
        <w:keepNext w:val="0"/>
        <w:keepLines w:val="0"/>
        <w:spacing w:before="0" w:after="0" w:line="360" w:lineRule="auto"/>
        <w:ind w:firstLine="315"/>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 xml:space="preserve"> 6.2本项目是否允许分包详见“供应商须知前附表”，本项目不允许违法分包。允许分包的非主体、非关键性工作，根据法律法规规定承担该工作需要资质或者行政许可的，如该工作由供应商自行承担，供应商应具备相应的资质或者行政许可，如供应商不具备相应的资质或者行政许可必须采用分包的方式，但分包供应商应具备相应资质或者行政许可。</w:t>
      </w:r>
    </w:p>
    <w:p w14:paraId="75B36D5E">
      <w:pPr>
        <w:pStyle w:val="191"/>
        <w:keepNext w:val="0"/>
        <w:keepLines w:val="0"/>
        <w:spacing w:before="0" w:after="0" w:line="360" w:lineRule="auto"/>
        <w:ind w:firstLine="315"/>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 xml:space="preserve"> 6.3供应商根据磋商文件的规定和采购项目的实际情况，拟在成交后将成交项目的非主体、非关键性工作分包的，应当在响应文件中载明分包承担主体，分包承担主体应当具备相应资质条件且不得再次分包。</w:t>
      </w:r>
    </w:p>
    <w:p w14:paraId="19DBC725">
      <w:pPr>
        <w:spacing w:line="360" w:lineRule="auto"/>
        <w:ind w:firstLine="482"/>
        <w:rPr>
          <w:rFonts w:hint="eastAsia" w:ascii="宋体" w:hAnsi="宋体" w:cs="宋体"/>
          <w:b/>
          <w:bCs/>
          <w:color w:val="auto"/>
          <w:sz w:val="24"/>
          <w:highlight w:val="none"/>
        </w:rPr>
      </w:pPr>
      <w:r>
        <w:rPr>
          <w:rFonts w:hint="eastAsia" w:ascii="宋体" w:hAnsi="宋体" w:cs="宋体"/>
          <w:b/>
          <w:bCs/>
          <w:color w:val="auto"/>
          <w:sz w:val="24"/>
          <w:highlight w:val="none"/>
        </w:rPr>
        <w:t>7.特别说明</w:t>
      </w:r>
      <w:bookmarkEnd w:id="71"/>
      <w:bookmarkEnd w:id="72"/>
    </w:p>
    <w:p w14:paraId="3C07A833">
      <w:pPr>
        <w:spacing w:line="360" w:lineRule="auto"/>
        <w:ind w:firstLine="420"/>
        <w:rPr>
          <w:rFonts w:hint="eastAsia" w:ascii="宋体" w:hAnsi="宋体" w:cs="宋体"/>
          <w:color w:val="auto"/>
          <w:szCs w:val="21"/>
          <w:highlight w:val="none"/>
        </w:rPr>
      </w:pPr>
      <w:bookmarkStart w:id="73" w:name="_8.1提供相同品牌产品且通过资格审查、符合性审查的不同投标人参加同一合"/>
      <w:bookmarkEnd w:id="73"/>
      <w:r>
        <w:rPr>
          <w:rFonts w:hint="eastAsia" w:ascii="宋体" w:hAnsi="宋体" w:cs="宋体"/>
          <w:color w:val="auto"/>
          <w:szCs w:val="21"/>
          <w:highlight w:val="none"/>
        </w:rPr>
        <w:t>7.1</w:t>
      </w:r>
      <w:bookmarkStart w:id="74" w:name="_Hlk65832145"/>
      <w:r>
        <w:rPr>
          <w:rFonts w:hint="eastAsia" w:ascii="宋体" w:hAnsi="宋体" w:cs="宋体"/>
          <w:color w:val="auto"/>
          <w:szCs w:val="21"/>
          <w:highlight w:val="none"/>
        </w:rPr>
        <w:t>如果本磋商文件要求提供供应商或制造商的资格、信誉、荣誉、业绩与企业认证等材料的，资格、信誉、荣誉、业绩与企业认证等必须为供应商或者制造商所拥有或自身获得。</w:t>
      </w:r>
    </w:p>
    <w:bookmarkEnd w:id="74"/>
    <w:p w14:paraId="6DDB3DD7">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7.2供应商应仔细阅读磋商文件的所有内容，按照磋商文件的要求提交响应文件，并对所提供的全部资料的真实性承担法律责任。</w:t>
      </w:r>
    </w:p>
    <w:p w14:paraId="2354622F">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7.3供应商在竞标活动中提供任何虚假材料谋取成交的，将报财政部门查处；签订合同后发现的，成交供应商须依照有关法律法规规定赔偿采购人，且民事赔偿并不免除违法供应商的行政与刑事责任。</w:t>
      </w:r>
    </w:p>
    <w:p w14:paraId="4403BAD1">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7.4在政府采购活动中，采购人员及相关人员与供应商有下列利害关系之一的，应当回避：</w:t>
      </w:r>
    </w:p>
    <w:p w14:paraId="0F1A7D58">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（1）参加采购活动前3年内与供应商存在劳动关系；</w:t>
      </w:r>
    </w:p>
    <w:p w14:paraId="58A10871">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（2）参加采购活动前3年内担任供应商的董事、监事；</w:t>
      </w:r>
    </w:p>
    <w:p w14:paraId="39645884">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（3）参加采购活动前3年内是供应商的控股股东或者实际控制人；</w:t>
      </w:r>
    </w:p>
    <w:p w14:paraId="39FA332B">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（4）与供应商的法定代表人或者负责人有夫妻、直系血亲、三代以内旁系血亲或者近姻亲关系；</w:t>
      </w:r>
    </w:p>
    <w:p w14:paraId="20CB7217">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（5）与供应商有其他可能影响政府采购活动公平、公正进行的关系。</w:t>
      </w:r>
    </w:p>
    <w:p w14:paraId="4E6D2418">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733F0DA6">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7.5有下列情形之一的视为供应商相互串通竞标，响应文件将被视为无效：</w:t>
      </w:r>
    </w:p>
    <w:p w14:paraId="40AB6B4C">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 xml:space="preserve">（1）不同供应商的响应文件由同一单位或者个人编制，或不同供应商报名的IP地址一致的；或不同供应商竞标设备信息（包括但不限于：IP地址、MAC地址、硬盘号、CPU号、主板号）一致的； </w:t>
      </w:r>
    </w:p>
    <w:p w14:paraId="620271E2">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（2）不同供应商委托同一单位或者个人办理竞标事宜；</w:t>
      </w:r>
    </w:p>
    <w:p w14:paraId="44E8B486">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（3）不同的供应商的响应文件载明的项目管理员为同一个人；</w:t>
      </w:r>
    </w:p>
    <w:p w14:paraId="56DB382F">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（4）不同供应商的响应文件异常一致或者报价呈规律性差异；</w:t>
      </w:r>
    </w:p>
    <w:p w14:paraId="55FF6F1D">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（5）不同供应商的响应文件相互混装；</w:t>
      </w:r>
    </w:p>
    <w:p w14:paraId="05634796">
      <w:pPr>
        <w:tabs>
          <w:tab w:val="left" w:pos="6931"/>
        </w:tabs>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（6）不同供应商的磋商保证金从同一单位或者个人账户转出。</w:t>
      </w:r>
      <w:r>
        <w:rPr>
          <w:rFonts w:hint="eastAsia" w:ascii="宋体" w:hAnsi="宋体" w:cs="宋体"/>
          <w:color w:val="auto"/>
          <w:szCs w:val="21"/>
          <w:highlight w:val="none"/>
        </w:rPr>
        <w:tab/>
      </w:r>
    </w:p>
    <w:p w14:paraId="24FB7A27">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7.6供应商有下列情形之一的，属于恶意串通行为，将报同级监督管理部门：</w:t>
      </w:r>
    </w:p>
    <w:p w14:paraId="0C0381F0">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（1）供应商直接或者间接从采购人或者采购代理机构处获得其他供应商的相关信息并修改其响应文件；</w:t>
      </w:r>
    </w:p>
    <w:p w14:paraId="586BF7F3">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（2）供应商按照采购人或者采购代理机构的授意撤换、修改响应文件；</w:t>
      </w:r>
    </w:p>
    <w:p w14:paraId="421289A6">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（3）供应商之间协商报价、技术方案等响应文件或者响应文件的实质性内容；</w:t>
      </w:r>
    </w:p>
    <w:p w14:paraId="4F7210F8">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（4）属于同一集团、协会、商会等组织成员的供应商按照该组织要求协同参加政府采购活动；</w:t>
      </w:r>
    </w:p>
    <w:p w14:paraId="641679BE">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1717224E">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（6）供应商之间商定部分供应商放弃参加政府采购活动或者放弃成交；</w:t>
      </w:r>
    </w:p>
    <w:p w14:paraId="0BE08D5E">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（7）供应商与采购人或者采购代理机构之间、供应商相互之间，为谋求特定供应商成交或者排斥其他供应商的其他串通行为。</w:t>
      </w:r>
    </w:p>
    <w:p w14:paraId="3695571A">
      <w:pPr>
        <w:spacing w:line="360" w:lineRule="auto"/>
        <w:ind w:firstLine="420"/>
        <w:rPr>
          <w:rFonts w:hint="eastAsia" w:ascii="宋体" w:hAnsi="宋体" w:cs="宋体"/>
          <w:color w:val="auto"/>
          <w:szCs w:val="21"/>
          <w:highlight w:val="none"/>
        </w:rPr>
      </w:pPr>
    </w:p>
    <w:p w14:paraId="175E5AF2">
      <w:pPr>
        <w:spacing w:line="360" w:lineRule="auto"/>
        <w:ind w:left="1" w:firstLine="417"/>
        <w:jc w:val="center"/>
        <w:rPr>
          <w:rFonts w:hint="eastAsia" w:ascii="宋体" w:hAnsi="宋体" w:cs="宋体"/>
          <w:color w:val="auto"/>
          <w:highlight w:val="none"/>
        </w:rPr>
      </w:pPr>
      <w:bookmarkStart w:id="75" w:name="_Toc254970675"/>
      <w:bookmarkStart w:id="76" w:name="_Toc254970534"/>
    </w:p>
    <w:p w14:paraId="002F8532">
      <w:pPr>
        <w:spacing w:line="360" w:lineRule="auto"/>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二、磋商文件</w:t>
      </w:r>
      <w:bookmarkEnd w:id="75"/>
      <w:bookmarkEnd w:id="76"/>
    </w:p>
    <w:p w14:paraId="58404C7F">
      <w:pPr>
        <w:spacing w:line="360" w:lineRule="auto"/>
        <w:rPr>
          <w:rFonts w:hint="eastAsia" w:ascii="宋体" w:hAnsi="宋体" w:cs="宋体"/>
          <w:color w:val="auto"/>
          <w:szCs w:val="21"/>
          <w:highlight w:val="none"/>
        </w:rPr>
      </w:pPr>
    </w:p>
    <w:p w14:paraId="51479CA3">
      <w:pPr>
        <w:spacing w:line="360" w:lineRule="auto"/>
        <w:ind w:firstLine="482"/>
        <w:rPr>
          <w:rFonts w:hint="eastAsia" w:ascii="宋体" w:hAnsi="宋体" w:cs="宋体"/>
          <w:b/>
          <w:bCs/>
          <w:color w:val="auto"/>
          <w:sz w:val="24"/>
          <w:highlight w:val="none"/>
        </w:rPr>
      </w:pPr>
      <w:r>
        <w:rPr>
          <w:rFonts w:hint="eastAsia" w:ascii="宋体" w:hAnsi="宋体" w:cs="宋体"/>
          <w:b/>
          <w:bCs/>
          <w:color w:val="auto"/>
          <w:sz w:val="24"/>
          <w:highlight w:val="none"/>
        </w:rPr>
        <w:t>8.磋商文件的构成</w:t>
      </w:r>
    </w:p>
    <w:p w14:paraId="07161E14">
      <w:pPr>
        <w:spacing w:line="360"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rPr>
        <w:t>第一章  竞争性磋商公告；</w:t>
      </w:r>
    </w:p>
    <w:p w14:paraId="34022F1B">
      <w:pPr>
        <w:spacing w:line="360"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rPr>
        <w:t xml:space="preserve">第二章  供应商须知； </w:t>
      </w:r>
    </w:p>
    <w:p w14:paraId="2117E835">
      <w:pPr>
        <w:spacing w:line="360"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rPr>
        <w:t>第三章  采购需求；</w:t>
      </w:r>
    </w:p>
    <w:p w14:paraId="5DC3CE90">
      <w:pPr>
        <w:spacing w:line="360"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rPr>
        <w:t>第四章  评审程序、评审方法和评审标准；</w:t>
      </w:r>
    </w:p>
    <w:p w14:paraId="1DFCFFBE">
      <w:pPr>
        <w:spacing w:line="360"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rPr>
        <w:t>第五章  工程量清单及图纸；</w:t>
      </w:r>
    </w:p>
    <w:p w14:paraId="59C77483">
      <w:pPr>
        <w:spacing w:line="360"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rPr>
        <w:t>第六章  响应文件格式；</w:t>
      </w:r>
    </w:p>
    <w:p w14:paraId="625CD1EA">
      <w:pPr>
        <w:spacing w:line="360"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rPr>
        <w:t>第七章  合同文本。</w:t>
      </w:r>
    </w:p>
    <w:p w14:paraId="1BB4B23A">
      <w:pPr>
        <w:spacing w:line="360" w:lineRule="auto"/>
        <w:ind w:firstLine="482"/>
        <w:rPr>
          <w:rFonts w:hint="eastAsia" w:ascii="宋体" w:hAnsi="宋体" w:cs="宋体"/>
          <w:b/>
          <w:bCs/>
          <w:color w:val="auto"/>
          <w:sz w:val="24"/>
          <w:highlight w:val="none"/>
        </w:rPr>
      </w:pPr>
      <w:r>
        <w:rPr>
          <w:rFonts w:hint="eastAsia" w:ascii="宋体" w:hAnsi="宋体" w:cs="宋体"/>
          <w:b/>
          <w:bCs/>
          <w:color w:val="auto"/>
          <w:sz w:val="24"/>
          <w:highlight w:val="none"/>
        </w:rPr>
        <w:t>9.供应商的询问</w:t>
      </w:r>
    </w:p>
    <w:p w14:paraId="7F10A562">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供应商应认真阅读磋商文件的采购需求，如供应商对磋商文件有疑问的，如要求采购人作出澄清或者修改的，供应商尽可能在提交首次响应文件截止之日前，以书面形式向采购人、采购代理机构提出。</w:t>
      </w:r>
    </w:p>
    <w:p w14:paraId="4FAF508F">
      <w:pPr>
        <w:spacing w:line="360" w:lineRule="auto"/>
        <w:ind w:firstLine="482"/>
        <w:rPr>
          <w:rFonts w:hint="eastAsia" w:ascii="宋体" w:hAnsi="宋体" w:cs="宋体"/>
          <w:b/>
          <w:bCs/>
          <w:color w:val="auto"/>
          <w:sz w:val="24"/>
          <w:highlight w:val="none"/>
        </w:rPr>
      </w:pPr>
      <w:r>
        <w:rPr>
          <w:rFonts w:hint="eastAsia" w:ascii="宋体" w:hAnsi="宋体" w:cs="宋体"/>
          <w:b/>
          <w:bCs/>
          <w:color w:val="auto"/>
          <w:sz w:val="24"/>
          <w:highlight w:val="none"/>
        </w:rPr>
        <w:t>10.磋商文件的澄清和修改</w:t>
      </w:r>
    </w:p>
    <w:p w14:paraId="4EDF732B">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提交首次响应文件截止之日前，采购人或者采购代理机构可以对已发出的磋商文件进行必要的澄清或者修改，澄清或者修改的内容作为磋商文件的组成部分。澄清或者修改的内容可能影响响应文件编制的，采购人或者采购代理机构应当在提交首次响应文件截止之日3个工作日前，以书面形式通知所有获取磋商文件的供应商，不足3个工作日的，应当顺延提交首次响应文件截止之日。</w:t>
      </w:r>
    </w:p>
    <w:p w14:paraId="046CB2EA">
      <w:pPr>
        <w:spacing w:line="360" w:lineRule="auto"/>
        <w:rPr>
          <w:rFonts w:hint="eastAsia" w:ascii="宋体" w:hAnsi="宋体" w:cs="宋体"/>
          <w:color w:val="auto"/>
          <w:szCs w:val="21"/>
          <w:highlight w:val="none"/>
        </w:rPr>
      </w:pPr>
    </w:p>
    <w:p w14:paraId="0FD62362">
      <w:pPr>
        <w:spacing w:line="360" w:lineRule="auto"/>
        <w:jc w:val="center"/>
        <w:rPr>
          <w:rFonts w:hint="eastAsia" w:ascii="宋体" w:hAnsi="宋体" w:cs="宋体"/>
          <w:b/>
          <w:bCs/>
          <w:color w:val="auto"/>
          <w:szCs w:val="21"/>
          <w:highlight w:val="none"/>
        </w:rPr>
      </w:pPr>
      <w:r>
        <w:rPr>
          <w:rFonts w:hint="eastAsia" w:ascii="宋体" w:hAnsi="宋体" w:cs="宋体"/>
          <w:b/>
          <w:bCs/>
          <w:color w:val="auto"/>
          <w:sz w:val="32"/>
          <w:szCs w:val="32"/>
          <w:highlight w:val="none"/>
        </w:rPr>
        <w:t>三、响应文件的编制</w:t>
      </w:r>
    </w:p>
    <w:p w14:paraId="5E22BFB5">
      <w:pPr>
        <w:spacing w:line="360" w:lineRule="auto"/>
        <w:rPr>
          <w:rFonts w:hint="eastAsia" w:ascii="宋体" w:hAnsi="宋体" w:cs="宋体"/>
          <w:color w:val="auto"/>
          <w:szCs w:val="21"/>
          <w:highlight w:val="none"/>
        </w:rPr>
      </w:pPr>
    </w:p>
    <w:p w14:paraId="483F1304">
      <w:pPr>
        <w:spacing w:line="360" w:lineRule="auto"/>
        <w:ind w:firstLine="482"/>
        <w:rPr>
          <w:rFonts w:hint="eastAsia" w:ascii="宋体" w:hAnsi="宋体" w:cs="宋体"/>
          <w:b/>
          <w:bCs/>
          <w:color w:val="auto"/>
          <w:sz w:val="24"/>
          <w:highlight w:val="none"/>
        </w:rPr>
      </w:pPr>
      <w:r>
        <w:rPr>
          <w:rFonts w:hint="eastAsia" w:ascii="宋体" w:hAnsi="宋体" w:cs="宋体"/>
          <w:b/>
          <w:bCs/>
          <w:color w:val="auto"/>
          <w:sz w:val="24"/>
          <w:highlight w:val="none"/>
        </w:rPr>
        <w:t>11.响应文件的编制原则</w:t>
      </w:r>
    </w:p>
    <w:p w14:paraId="17C258EB">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供应商必须按照磋商文件的要求编制响应文件，并对其提交的响应文件的真实性、合法性承担法律责任。响应文件必须对磋商文件作出实质性响应。</w:t>
      </w:r>
    </w:p>
    <w:p w14:paraId="1198E06B">
      <w:pPr>
        <w:spacing w:line="360" w:lineRule="auto"/>
        <w:ind w:firstLine="482"/>
        <w:rPr>
          <w:rFonts w:hint="eastAsia" w:ascii="宋体" w:hAnsi="宋体" w:cs="宋体"/>
          <w:b/>
          <w:bCs/>
          <w:color w:val="auto"/>
          <w:sz w:val="24"/>
          <w:highlight w:val="none"/>
        </w:rPr>
      </w:pPr>
      <w:r>
        <w:rPr>
          <w:rFonts w:hint="eastAsia" w:ascii="宋体" w:hAnsi="宋体" w:cs="宋体"/>
          <w:b/>
          <w:bCs/>
          <w:color w:val="auto"/>
          <w:sz w:val="24"/>
          <w:highlight w:val="none"/>
        </w:rPr>
        <w:t>12.响应文件的组成</w:t>
      </w:r>
    </w:p>
    <w:p w14:paraId="262F5CDD">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12.1响应文件由资格证明文件、报价文件、商务技术文件三部分组成。</w:t>
      </w:r>
    </w:p>
    <w:p w14:paraId="5EED1C61">
      <w:pPr>
        <w:spacing w:line="360" w:lineRule="auto"/>
        <w:ind w:left="840" w:hanging="420"/>
        <w:rPr>
          <w:rFonts w:hint="eastAsia" w:ascii="宋体" w:hAnsi="宋体" w:cs="宋体"/>
          <w:color w:val="auto"/>
          <w:szCs w:val="21"/>
          <w:highlight w:val="none"/>
        </w:rPr>
      </w:pPr>
      <w:r>
        <w:rPr>
          <w:rFonts w:hint="eastAsia" w:ascii="宋体" w:hAnsi="宋体" w:cs="宋体"/>
          <w:color w:val="auto"/>
          <w:szCs w:val="21"/>
          <w:highlight w:val="none"/>
        </w:rPr>
        <w:t>12.1.1资格证明文件：详见“供应商须知前附表”</w:t>
      </w:r>
    </w:p>
    <w:p w14:paraId="6D5A0883">
      <w:pPr>
        <w:spacing w:line="360" w:lineRule="auto"/>
        <w:ind w:left="840" w:hanging="420"/>
        <w:rPr>
          <w:rFonts w:hint="eastAsia" w:ascii="宋体" w:hAnsi="宋体" w:cs="宋体"/>
          <w:color w:val="auto"/>
          <w:szCs w:val="21"/>
          <w:highlight w:val="none"/>
        </w:rPr>
      </w:pPr>
      <w:r>
        <w:rPr>
          <w:rFonts w:hint="eastAsia" w:ascii="宋体" w:hAnsi="宋体" w:cs="宋体"/>
          <w:color w:val="auto"/>
          <w:szCs w:val="21"/>
          <w:highlight w:val="none"/>
        </w:rPr>
        <w:t>12.1.2报价文件：详见“供应商须知前附表”</w:t>
      </w:r>
    </w:p>
    <w:p w14:paraId="57298D37">
      <w:pPr>
        <w:spacing w:line="360" w:lineRule="auto"/>
        <w:ind w:left="840" w:hanging="420"/>
        <w:rPr>
          <w:rFonts w:hint="eastAsia" w:ascii="宋体" w:hAnsi="宋体" w:cs="宋体"/>
          <w:color w:val="auto"/>
          <w:szCs w:val="21"/>
          <w:highlight w:val="none"/>
        </w:rPr>
      </w:pPr>
      <w:r>
        <w:rPr>
          <w:rFonts w:hint="eastAsia" w:ascii="宋体" w:hAnsi="宋体" w:cs="宋体"/>
          <w:color w:val="auto"/>
          <w:szCs w:val="21"/>
          <w:highlight w:val="none"/>
        </w:rPr>
        <w:t>12.1.3商务技术文件：详见“供应商须知前附表”</w:t>
      </w:r>
    </w:p>
    <w:p w14:paraId="05601BD3">
      <w:pPr>
        <w:spacing w:line="360" w:lineRule="auto"/>
        <w:ind w:firstLine="482"/>
        <w:rPr>
          <w:rFonts w:hint="eastAsia" w:ascii="宋体" w:hAnsi="宋体" w:cs="宋体"/>
          <w:b/>
          <w:bCs/>
          <w:color w:val="auto"/>
          <w:sz w:val="24"/>
          <w:highlight w:val="none"/>
        </w:rPr>
      </w:pPr>
      <w:r>
        <w:rPr>
          <w:rFonts w:hint="eastAsia" w:ascii="宋体" w:hAnsi="宋体" w:cs="宋体"/>
          <w:b/>
          <w:bCs/>
          <w:color w:val="auto"/>
          <w:sz w:val="24"/>
          <w:highlight w:val="none"/>
        </w:rPr>
        <w:t>13.计量单位</w:t>
      </w:r>
    </w:p>
    <w:p w14:paraId="4C42C56B">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磋商文件已有明确规定的，使用磋商文件规定的计量单位；磋商文件没有规定的，应采用中华人民共和国法定计量单位，货币种类为人民币，否则视同未响应。</w:t>
      </w:r>
    </w:p>
    <w:p w14:paraId="13EE5A2A">
      <w:pPr>
        <w:spacing w:line="360" w:lineRule="auto"/>
        <w:ind w:firstLine="482"/>
        <w:rPr>
          <w:rFonts w:hint="eastAsia" w:ascii="宋体" w:hAnsi="宋体" w:cs="宋体"/>
          <w:b/>
          <w:bCs/>
          <w:color w:val="auto"/>
          <w:sz w:val="24"/>
          <w:highlight w:val="none"/>
        </w:rPr>
      </w:pPr>
      <w:r>
        <w:rPr>
          <w:rFonts w:hint="eastAsia" w:ascii="宋体" w:hAnsi="宋体" w:cs="宋体"/>
          <w:b/>
          <w:bCs/>
          <w:color w:val="auto"/>
          <w:sz w:val="24"/>
          <w:highlight w:val="none"/>
        </w:rPr>
        <w:t>14.竞标的风险</w:t>
      </w:r>
    </w:p>
    <w:p w14:paraId="57B2726E">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供应商没有按照磋商文件要求提供全部资料，或者供应商没有对磋商文件在各方面作出实质性响应可能导致其响应无效，是供应商应当考虑的风险。</w:t>
      </w:r>
    </w:p>
    <w:p w14:paraId="0242FF99">
      <w:pPr>
        <w:spacing w:line="360" w:lineRule="auto"/>
        <w:ind w:firstLine="482"/>
        <w:rPr>
          <w:rFonts w:hint="eastAsia" w:ascii="宋体" w:hAnsi="宋体" w:cs="宋体"/>
          <w:b/>
          <w:bCs/>
          <w:color w:val="auto"/>
          <w:sz w:val="24"/>
          <w:highlight w:val="none"/>
        </w:rPr>
      </w:pPr>
      <w:r>
        <w:rPr>
          <w:rFonts w:hint="eastAsia" w:ascii="宋体" w:hAnsi="宋体" w:cs="宋体"/>
          <w:b/>
          <w:bCs/>
          <w:color w:val="auto"/>
          <w:sz w:val="24"/>
          <w:highlight w:val="none"/>
        </w:rPr>
        <w:t>15.竞标报价</w:t>
      </w:r>
    </w:p>
    <w:p w14:paraId="696851EA">
      <w:pPr>
        <w:tabs>
          <w:tab w:val="left" w:pos="2492"/>
        </w:tabs>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15.1竞标报价应按磋商文件第五章“工程量清单及图纸”的要求及第六章“响应文件格式”填写相应表格。</w:t>
      </w:r>
    </w:p>
    <w:p w14:paraId="7387027A">
      <w:pPr>
        <w:tabs>
          <w:tab w:val="left" w:pos="2492"/>
        </w:tabs>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工程量清单的填写分下列两种方式。供应商应按“供应商须知前附表”规定的方式填写工程量清单：</w:t>
      </w:r>
    </w:p>
    <w:p w14:paraId="0AA617CA">
      <w:pPr>
        <w:tabs>
          <w:tab w:val="left" w:pos="2492"/>
        </w:tabs>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（1）本项目采用工程量固化清单 ，采购人将工程量固化清单电子文件随磋商文件上传至广西政府采购云平台供供应商自行下载。供应商填写工程量清单中各子目的单价及总额价，即可完成工程量清单的编制，确定竞标报价，并打印出工程量清单，编入响应文件。</w:t>
      </w:r>
    </w:p>
    <w:p w14:paraId="37AFA747">
      <w:pPr>
        <w:tabs>
          <w:tab w:val="left" w:pos="2492"/>
        </w:tabs>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供应商必须严格遵循工程量固化清单电子文件中的数据、格式及运算定义，严禁供应商修改工程量固化清单电子文件中的数据、格式及运算定义。</w:t>
      </w:r>
    </w:p>
    <w:p w14:paraId="4FED2032">
      <w:pPr>
        <w:tabs>
          <w:tab w:val="left" w:pos="2492"/>
        </w:tabs>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供应商根据采购人提供的工程量固化清单电子文件填报完成并打印的工程量清单中的竞标报价和竞标函大写金额报价应一致，如果报价金额出现差异，其响应文件按无效处理。</w:t>
      </w:r>
    </w:p>
    <w:p w14:paraId="57903937">
      <w:pPr>
        <w:tabs>
          <w:tab w:val="left" w:pos="2492"/>
        </w:tabs>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2）本项目由采购人提供书面工程量清单，由供应商按照采购人提供的工程量清单填写本合同各工程子目的单价、合价和总额价。磋商小组将按照第四章“评审程序、评审方法和评审标准”的规定对竞标价进行算术性错误修正及其他错误修正。</w:t>
      </w:r>
    </w:p>
    <w:p w14:paraId="4AEF5443">
      <w:pPr>
        <w:tabs>
          <w:tab w:val="left" w:pos="2492"/>
        </w:tabs>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15.2竞标报价的内容见“供应商须知前附表”。</w:t>
      </w:r>
    </w:p>
    <w:p w14:paraId="5200E146">
      <w:pPr>
        <w:tabs>
          <w:tab w:val="left" w:pos="2492"/>
        </w:tabs>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15.3本项目的增值税计税方法见“供应商须知前附表”。</w:t>
      </w:r>
    </w:p>
    <w:p w14:paraId="4F35995C">
      <w:pPr>
        <w:spacing w:line="360" w:lineRule="auto"/>
        <w:ind w:left="426"/>
        <w:rPr>
          <w:rFonts w:hint="eastAsia" w:ascii="宋体" w:hAnsi="宋体" w:cs="宋体"/>
          <w:color w:val="auto"/>
          <w:szCs w:val="21"/>
          <w:highlight w:val="none"/>
        </w:rPr>
      </w:pPr>
      <w:r>
        <w:rPr>
          <w:rFonts w:hint="eastAsia" w:ascii="宋体" w:hAnsi="宋体" w:cs="宋体"/>
          <w:color w:val="auto"/>
          <w:szCs w:val="21"/>
          <w:highlight w:val="none"/>
        </w:rPr>
        <w:t>15.4竞标报价要求</w:t>
      </w:r>
    </w:p>
    <w:p w14:paraId="300B5474">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15.4.1供应商的竞标报价应符合以下要求，否则响应文件按无效处理：</w:t>
      </w:r>
    </w:p>
    <w:p w14:paraId="564E0E3F">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（1）供应商必须就“采购需求”中所竞标的每个分标的全部内容分别作完整唯一总价报价，不得存在漏项报价；</w:t>
      </w:r>
    </w:p>
    <w:p w14:paraId="6EADAA50">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（2）供应商必须就所竞标的分标的单项内容作唯一报价。</w:t>
      </w:r>
    </w:p>
    <w:p w14:paraId="542F53A3">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15.4.2竞标报价（包含首次报价、最后报价）超过所竞标分标规定的采购预算金额或者最高限价的，其响应文件将按无效处理。</w:t>
      </w:r>
    </w:p>
    <w:p w14:paraId="130669CE">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15.4.3</w:t>
      </w:r>
      <w:bookmarkStart w:id="77" w:name="_Hlk42592874"/>
      <w:r>
        <w:rPr>
          <w:rFonts w:hint="eastAsia" w:ascii="宋体" w:hAnsi="宋体" w:cs="宋体"/>
          <w:color w:val="auto"/>
          <w:szCs w:val="21"/>
          <w:highlight w:val="none"/>
        </w:rPr>
        <w:t>竞标报价（包含首次报价、最后报价）超过分项采购预算金额或者单价最高限价的（如有要求），其响应文件将按无效处理。</w:t>
      </w:r>
    </w:p>
    <w:p w14:paraId="5890DEF0">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15.4.4供应商在提交响应文件截止时间前修改竞标函中的竞标总报价，应同时修改响应文件“已标价工程量清单”中的相应报价。此修改须符合本须知正文第20条、第21条的有关要求。</w:t>
      </w:r>
    </w:p>
    <w:bookmarkEnd w:id="77"/>
    <w:p w14:paraId="2515876A">
      <w:pPr>
        <w:spacing w:line="360" w:lineRule="auto"/>
        <w:ind w:firstLine="482"/>
        <w:rPr>
          <w:rFonts w:hint="eastAsia" w:ascii="宋体" w:hAnsi="宋体" w:cs="宋体"/>
          <w:b/>
          <w:bCs/>
          <w:color w:val="auto"/>
          <w:sz w:val="24"/>
          <w:highlight w:val="none"/>
        </w:rPr>
      </w:pPr>
      <w:r>
        <w:rPr>
          <w:rFonts w:hint="eastAsia" w:ascii="宋体" w:hAnsi="宋体" w:cs="宋体"/>
          <w:b/>
          <w:bCs/>
          <w:color w:val="auto"/>
          <w:sz w:val="24"/>
          <w:highlight w:val="none"/>
        </w:rPr>
        <w:t>16.竞标有效期</w:t>
      </w:r>
    </w:p>
    <w:p w14:paraId="642FCCA4">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6142F6E7">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16.2 竞标有效期应由供应商按“供应商须知前附表”规定的期限作出响应。</w:t>
      </w:r>
    </w:p>
    <w:p w14:paraId="18645B12">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16.3供应商的响应文件在竞标有效期内均保持有效。</w:t>
      </w:r>
    </w:p>
    <w:p w14:paraId="242B28F8">
      <w:pPr>
        <w:spacing w:line="360" w:lineRule="auto"/>
        <w:ind w:firstLine="482"/>
        <w:rPr>
          <w:rFonts w:hint="eastAsia" w:ascii="宋体" w:hAnsi="宋体" w:cs="宋体"/>
          <w:b/>
          <w:bCs/>
          <w:color w:val="auto"/>
          <w:sz w:val="24"/>
          <w:highlight w:val="none"/>
        </w:rPr>
      </w:pPr>
      <w:r>
        <w:rPr>
          <w:rFonts w:hint="eastAsia" w:ascii="宋体" w:hAnsi="宋体" w:cs="宋体"/>
          <w:b/>
          <w:bCs/>
          <w:color w:val="auto"/>
          <w:sz w:val="24"/>
          <w:highlight w:val="none"/>
        </w:rPr>
        <w:t>17.磋商保证金</w:t>
      </w:r>
    </w:p>
    <w:p w14:paraId="1AAC5673">
      <w:pPr>
        <w:spacing w:line="360" w:lineRule="auto"/>
        <w:ind w:left="420"/>
        <w:rPr>
          <w:rFonts w:hint="eastAsia" w:ascii="宋体" w:hAnsi="宋体" w:cs="宋体"/>
          <w:color w:val="auto"/>
          <w:szCs w:val="21"/>
          <w:highlight w:val="none"/>
        </w:rPr>
      </w:pPr>
      <w:r>
        <w:rPr>
          <w:rFonts w:hint="eastAsia" w:ascii="宋体" w:hAnsi="宋体" w:cs="宋体"/>
          <w:color w:val="auto"/>
          <w:szCs w:val="21"/>
          <w:highlight w:val="none"/>
        </w:rPr>
        <w:t>17.1供应商须按“供应商须知前附表”的规定提交磋商保证金。</w:t>
      </w:r>
    </w:p>
    <w:p w14:paraId="4A10E807">
      <w:pPr>
        <w:spacing w:line="360" w:lineRule="auto"/>
        <w:ind w:left="420"/>
        <w:rPr>
          <w:rFonts w:hint="eastAsia" w:ascii="宋体" w:hAnsi="宋体" w:cs="宋体"/>
          <w:color w:val="auto"/>
          <w:szCs w:val="21"/>
          <w:highlight w:val="none"/>
        </w:rPr>
      </w:pPr>
      <w:r>
        <w:rPr>
          <w:rFonts w:hint="eastAsia" w:ascii="宋体" w:hAnsi="宋体" w:cs="宋体"/>
          <w:color w:val="auto"/>
          <w:szCs w:val="21"/>
          <w:highlight w:val="none"/>
        </w:rPr>
        <w:t>17.2磋商保证金的退还</w:t>
      </w:r>
    </w:p>
    <w:p w14:paraId="5898D149">
      <w:pPr>
        <w:spacing w:line="360" w:lineRule="auto"/>
        <w:ind w:firstLine="420"/>
        <w:rPr>
          <w:rFonts w:hint="eastAsia" w:ascii="宋体" w:hAnsi="宋体" w:cs="宋体"/>
          <w:color w:val="auto"/>
          <w:szCs w:val="21"/>
          <w:highlight w:val="none"/>
        </w:rPr>
      </w:pPr>
      <w:bookmarkStart w:id="78" w:name="_Hlk66782243"/>
      <w:r>
        <w:rPr>
          <w:rFonts w:hint="eastAsia" w:ascii="宋体" w:hAnsi="宋体" w:cs="宋体"/>
          <w:color w:val="auto"/>
          <w:szCs w:val="21"/>
          <w:highlight w:val="none"/>
        </w:rPr>
        <w:t>未成交供应商的磋商保证金自成交通知书发出之日起5个工作日内退还；成交供应商的磋商保证金自签订合同之日起5个工作日内退还或者转为成交供应商的履约保证金。</w:t>
      </w:r>
      <w:bookmarkEnd w:id="78"/>
      <w:r>
        <w:rPr>
          <w:rFonts w:hint="eastAsia" w:ascii="宋体" w:hAnsi="宋体" w:cs="宋体"/>
          <w:color w:val="auto"/>
          <w:szCs w:val="21"/>
          <w:highlight w:val="none"/>
        </w:rPr>
        <w:t xml:space="preserve"> </w:t>
      </w:r>
    </w:p>
    <w:p w14:paraId="17D1CF20">
      <w:pPr>
        <w:spacing w:line="360" w:lineRule="auto"/>
        <w:ind w:left="420"/>
        <w:rPr>
          <w:rFonts w:hint="eastAsia" w:ascii="宋体" w:hAnsi="宋体" w:cs="宋体"/>
          <w:color w:val="auto"/>
          <w:szCs w:val="21"/>
          <w:highlight w:val="none"/>
        </w:rPr>
      </w:pPr>
      <w:r>
        <w:rPr>
          <w:rFonts w:hint="eastAsia" w:ascii="宋体" w:hAnsi="宋体" w:cs="宋体"/>
          <w:color w:val="auto"/>
          <w:szCs w:val="21"/>
          <w:highlight w:val="none"/>
        </w:rPr>
        <w:t>17.3磋商保证金不计息。</w:t>
      </w:r>
    </w:p>
    <w:p w14:paraId="7AC2557A">
      <w:pPr>
        <w:spacing w:line="360" w:lineRule="auto"/>
        <w:ind w:left="420"/>
        <w:rPr>
          <w:rFonts w:hint="eastAsia" w:ascii="宋体" w:hAnsi="宋体" w:cs="宋体"/>
          <w:color w:val="auto"/>
          <w:szCs w:val="21"/>
          <w:highlight w:val="none"/>
        </w:rPr>
      </w:pPr>
      <w:r>
        <w:rPr>
          <w:rFonts w:hint="eastAsia" w:ascii="宋体" w:hAnsi="宋体" w:cs="宋体"/>
          <w:color w:val="auto"/>
          <w:szCs w:val="21"/>
          <w:highlight w:val="none"/>
        </w:rPr>
        <w:t xml:space="preserve">17.4供应商有下列情形之一的，磋商保证金将不予退还： </w:t>
      </w:r>
    </w:p>
    <w:p w14:paraId="7AFE0A29">
      <w:pPr>
        <w:spacing w:line="360" w:lineRule="auto"/>
        <w:ind w:left="420"/>
        <w:rPr>
          <w:rFonts w:hint="eastAsia" w:ascii="宋体" w:hAnsi="宋体" w:cs="宋体"/>
          <w:color w:val="auto"/>
          <w:szCs w:val="21"/>
          <w:highlight w:val="none"/>
        </w:rPr>
      </w:pPr>
      <w:r>
        <w:rPr>
          <w:rFonts w:hint="eastAsia" w:ascii="宋体" w:hAnsi="宋体" w:cs="宋体"/>
          <w:color w:val="auto"/>
          <w:szCs w:val="21"/>
          <w:highlight w:val="none"/>
        </w:rPr>
        <w:t>（1）供应商在提交响应文件截止时间后撤回响应文件的；</w:t>
      </w:r>
    </w:p>
    <w:p w14:paraId="65C66397">
      <w:pPr>
        <w:spacing w:line="360" w:lineRule="auto"/>
        <w:ind w:left="420"/>
        <w:rPr>
          <w:rFonts w:hint="eastAsia" w:ascii="宋体" w:hAnsi="宋体" w:cs="宋体"/>
          <w:color w:val="auto"/>
          <w:szCs w:val="21"/>
          <w:highlight w:val="none"/>
        </w:rPr>
      </w:pPr>
      <w:r>
        <w:rPr>
          <w:rFonts w:hint="eastAsia" w:ascii="宋体" w:hAnsi="宋体" w:cs="宋体"/>
          <w:color w:val="auto"/>
          <w:szCs w:val="21"/>
          <w:highlight w:val="none"/>
        </w:rPr>
        <w:t>（2）未按规定提交履约保证金的；</w:t>
      </w:r>
    </w:p>
    <w:p w14:paraId="7A942482">
      <w:pPr>
        <w:spacing w:line="360" w:lineRule="auto"/>
        <w:ind w:left="420"/>
        <w:rPr>
          <w:rFonts w:hint="eastAsia" w:ascii="宋体" w:hAnsi="宋体" w:cs="宋体"/>
          <w:color w:val="auto"/>
          <w:szCs w:val="21"/>
          <w:highlight w:val="none"/>
        </w:rPr>
      </w:pPr>
      <w:r>
        <w:rPr>
          <w:rFonts w:hint="eastAsia" w:ascii="宋体" w:hAnsi="宋体" w:cs="宋体"/>
          <w:color w:val="auto"/>
          <w:szCs w:val="21"/>
          <w:highlight w:val="none"/>
        </w:rPr>
        <w:t>（3）供应商在响应文件中提供虚假材料的；</w:t>
      </w:r>
    </w:p>
    <w:p w14:paraId="4CF19D2E">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（4）除因不可抗力或者磋商文件认可的情形以外，成交供应商不与采购人签订合同的；</w:t>
      </w:r>
    </w:p>
    <w:p w14:paraId="455C95EB">
      <w:pPr>
        <w:spacing w:line="360" w:lineRule="auto"/>
        <w:ind w:left="420"/>
        <w:rPr>
          <w:rFonts w:hint="eastAsia" w:ascii="宋体" w:hAnsi="宋体" w:cs="宋体"/>
          <w:color w:val="auto"/>
          <w:szCs w:val="21"/>
          <w:highlight w:val="none"/>
        </w:rPr>
      </w:pPr>
      <w:r>
        <w:rPr>
          <w:rFonts w:hint="eastAsia" w:ascii="宋体" w:hAnsi="宋体" w:cs="宋体"/>
          <w:color w:val="auto"/>
          <w:szCs w:val="21"/>
          <w:highlight w:val="none"/>
        </w:rPr>
        <w:t>（5）供应商与采购人、其他供应商或者采购代理机构恶意串通的；</w:t>
      </w:r>
    </w:p>
    <w:p w14:paraId="074BCBEA">
      <w:pPr>
        <w:spacing w:line="360" w:lineRule="auto"/>
        <w:ind w:left="420"/>
        <w:rPr>
          <w:rFonts w:hint="eastAsia" w:ascii="宋体" w:hAnsi="宋体" w:cs="宋体"/>
          <w:color w:val="auto"/>
          <w:szCs w:val="21"/>
          <w:highlight w:val="none"/>
        </w:rPr>
      </w:pPr>
      <w:r>
        <w:rPr>
          <w:rFonts w:hint="eastAsia" w:ascii="宋体" w:hAnsi="宋体" w:cs="宋体"/>
          <w:color w:val="auto"/>
          <w:szCs w:val="21"/>
          <w:highlight w:val="none"/>
        </w:rPr>
        <w:t>（6）法律法规规定的其他情形。</w:t>
      </w:r>
    </w:p>
    <w:p w14:paraId="32C967C7">
      <w:pPr>
        <w:spacing w:line="360" w:lineRule="auto"/>
        <w:ind w:firstLine="482"/>
        <w:rPr>
          <w:rFonts w:hint="eastAsia" w:ascii="宋体" w:hAnsi="宋体" w:cs="宋体"/>
          <w:b/>
          <w:bCs/>
          <w:color w:val="auto"/>
          <w:sz w:val="24"/>
          <w:highlight w:val="none"/>
        </w:rPr>
      </w:pPr>
      <w:r>
        <w:rPr>
          <w:rFonts w:hint="eastAsia" w:ascii="宋体" w:hAnsi="宋体" w:cs="宋体"/>
          <w:b/>
          <w:bCs/>
          <w:color w:val="auto"/>
          <w:sz w:val="24"/>
          <w:highlight w:val="none"/>
        </w:rPr>
        <w:t>18.响应文件编制的要求</w:t>
      </w:r>
    </w:p>
    <w:p w14:paraId="6A51B1E1">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18.1供应商应按照本项目磋商文件规定的格式和顺序和广西政府采购云平台的要求编制响应文件并加密。响应文件内容不完整、编排混乱导致响应文件被误读、漏读或者查找不到相关内容的，由此引发的后果由供应商承担。</w:t>
      </w:r>
    </w:p>
    <w:p w14:paraId="3D6C3C25">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18.2为确保网上操作合法、有效和安全，供应商应当在提交响应文件截止时间前完成在广西政府采购云平台的身份认证，确保在电子竞标过程中能够对相关数据电文进行加密和使用电子签章。</w:t>
      </w:r>
    </w:p>
    <w:p w14:paraId="11658386">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18.3响应文件须由供应商在规定位置签字、盖章（具体以供应商须知前附表或响应文件格式规定为准），</w:t>
      </w:r>
      <w:r>
        <w:rPr>
          <w:rFonts w:hint="eastAsia" w:ascii="宋体" w:hAnsi="宋体" w:cs="宋体"/>
          <w:b/>
          <w:bCs/>
          <w:color w:val="auto"/>
          <w:szCs w:val="21"/>
          <w:highlight w:val="none"/>
        </w:rPr>
        <w:t>否则按无效响应处理。</w:t>
      </w:r>
    </w:p>
    <w:p w14:paraId="4842F9AB">
      <w:pPr>
        <w:spacing w:line="360" w:lineRule="auto"/>
        <w:ind w:firstLine="420"/>
        <w:rPr>
          <w:rFonts w:hint="eastAsia" w:ascii="宋体" w:hAnsi="宋体" w:cs="宋体"/>
          <w:b/>
          <w:bCs/>
          <w:color w:val="auto"/>
          <w:szCs w:val="21"/>
          <w:highlight w:val="none"/>
        </w:rPr>
      </w:pPr>
      <w:r>
        <w:rPr>
          <w:rFonts w:hint="eastAsia" w:ascii="宋体" w:hAnsi="宋体" w:cs="宋体"/>
          <w:color w:val="auto"/>
          <w:szCs w:val="21"/>
          <w:highlight w:val="none"/>
        </w:rPr>
        <w:t>18.4响应文件中标注的供应商名称应与主体资格证明（如营业执照或者事业单位法人证书或者执业许可证或者登记证书等）及公章一致，并与广西政府采购云平台中获取磋商文件的供应商名称一致，</w:t>
      </w:r>
      <w:r>
        <w:rPr>
          <w:rFonts w:hint="eastAsia" w:ascii="宋体" w:hAnsi="宋体" w:cs="宋体"/>
          <w:b/>
          <w:bCs/>
          <w:color w:val="auto"/>
          <w:szCs w:val="21"/>
          <w:highlight w:val="none"/>
        </w:rPr>
        <w:t>否则其响应文件按无效处理。</w:t>
      </w:r>
    </w:p>
    <w:p w14:paraId="1C9DE397">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18.5响应文件应尽量避免涂改、行间插字或者删除。如果出现上述情况，改动之处应由供应商的法定代表人或者其委托代理人签字（或者电子签名）或者加盖公章或者加盖电子签章。响应文件因涂改、行间插字或者删除导致字迹潦草或者表达不清所引起的后果由供应商承担。</w:t>
      </w:r>
    </w:p>
    <w:p w14:paraId="63E3ABFB">
      <w:pPr>
        <w:spacing w:line="360" w:lineRule="auto"/>
        <w:ind w:firstLine="482"/>
        <w:rPr>
          <w:rFonts w:hint="eastAsia" w:ascii="宋体" w:hAnsi="宋体" w:cs="宋体"/>
          <w:color w:val="auto"/>
          <w:sz w:val="24"/>
          <w:highlight w:val="none"/>
        </w:rPr>
      </w:pPr>
      <w:r>
        <w:rPr>
          <w:rFonts w:hint="eastAsia" w:ascii="宋体" w:hAnsi="宋体" w:cs="宋体"/>
          <w:b/>
          <w:bCs/>
          <w:color w:val="auto"/>
          <w:sz w:val="24"/>
          <w:highlight w:val="none"/>
        </w:rPr>
        <w:t>19.电子</w:t>
      </w:r>
      <w:r>
        <w:rPr>
          <w:rFonts w:hint="eastAsia" w:ascii="宋体" w:hAnsi="宋体" w:cs="宋体"/>
          <w:b/>
          <w:color w:val="auto"/>
          <w:sz w:val="24"/>
          <w:highlight w:val="none"/>
        </w:rPr>
        <w:t>备份响应文件</w:t>
      </w:r>
    </w:p>
    <w:p w14:paraId="76006581">
      <w:pPr>
        <w:spacing w:line="360" w:lineRule="auto"/>
        <w:ind w:firstLine="420"/>
        <w:rPr>
          <w:rFonts w:hint="eastAsia" w:ascii="宋体" w:hAnsi="宋体" w:cs="宋体"/>
          <w:color w:val="auto"/>
          <w:szCs w:val="21"/>
          <w:highlight w:val="none"/>
        </w:rPr>
      </w:pPr>
      <w:r>
        <w:rPr>
          <w:rFonts w:hint="eastAsia" w:ascii="宋体" w:hAnsi="宋体" w:cs="宋体"/>
          <w:color w:val="auto"/>
          <w:highlight w:val="none"/>
        </w:rPr>
        <w:t>电子备份响应文件是指通过在线编制生成且后缀名为“bfbs”的文件，是否接受电子备份响应文件</w:t>
      </w:r>
      <w:r>
        <w:rPr>
          <w:rFonts w:hint="eastAsia" w:ascii="宋体" w:hAnsi="宋体" w:cs="宋体"/>
          <w:bCs/>
          <w:color w:val="auto"/>
          <w:szCs w:val="21"/>
          <w:highlight w:val="none"/>
        </w:rPr>
        <w:t>详见在“供应商须知前附表”。</w:t>
      </w:r>
    </w:p>
    <w:p w14:paraId="352BAE06">
      <w:pPr>
        <w:spacing w:line="360" w:lineRule="auto"/>
        <w:ind w:firstLine="482"/>
        <w:rPr>
          <w:rFonts w:hint="eastAsia" w:ascii="宋体" w:hAnsi="宋体" w:cs="宋体"/>
          <w:b/>
          <w:bCs/>
          <w:color w:val="auto"/>
          <w:sz w:val="24"/>
          <w:highlight w:val="none"/>
        </w:rPr>
      </w:pPr>
      <w:r>
        <w:rPr>
          <w:rFonts w:hint="eastAsia" w:ascii="宋体" w:hAnsi="宋体" w:cs="宋体"/>
          <w:b/>
          <w:bCs/>
          <w:color w:val="auto"/>
          <w:sz w:val="24"/>
          <w:highlight w:val="none"/>
        </w:rPr>
        <w:t>20.响应文件的提交</w:t>
      </w:r>
    </w:p>
    <w:p w14:paraId="4424B026">
      <w:pPr>
        <w:spacing w:line="360" w:lineRule="auto"/>
        <w:ind w:firstLine="420"/>
        <w:rPr>
          <w:rFonts w:hint="eastAsia" w:ascii="宋体" w:hAnsi="宋体" w:cs="宋体"/>
          <w:b/>
          <w:color w:val="auto"/>
          <w:highlight w:val="none"/>
        </w:rPr>
      </w:pPr>
      <w:r>
        <w:rPr>
          <w:rFonts w:hint="eastAsia" w:ascii="宋体" w:hAnsi="宋体" w:cs="宋体"/>
          <w:bCs/>
          <w:color w:val="auto"/>
          <w:szCs w:val="21"/>
          <w:highlight w:val="none"/>
        </w:rPr>
        <w:t>20.1供应商必须按“供应商须知前附表”规定的</w:t>
      </w:r>
      <w:r>
        <w:rPr>
          <w:rFonts w:hint="eastAsia" w:ascii="宋体" w:hAnsi="宋体" w:cs="宋体"/>
          <w:color w:val="auto"/>
          <w:szCs w:val="21"/>
          <w:highlight w:val="none"/>
        </w:rPr>
        <w:t>时间及</w:t>
      </w:r>
      <w:r>
        <w:rPr>
          <w:rFonts w:hint="eastAsia" w:ascii="宋体" w:hAnsi="宋体" w:cs="宋体"/>
          <w:bCs/>
          <w:color w:val="auto"/>
          <w:szCs w:val="21"/>
          <w:highlight w:val="none"/>
        </w:rPr>
        <w:t>地点提交响应文件。电子响应文件应在制作完成后，在提交响应文件截止时间前通过有效数字证书（CA认证锁）进行电子签章、加密，然后通过网络将加密的电子响应文件提交至</w:t>
      </w:r>
      <w:r>
        <w:rPr>
          <w:rFonts w:hint="eastAsia" w:ascii="宋体" w:hAnsi="宋体" w:cs="宋体"/>
          <w:color w:val="auto"/>
          <w:szCs w:val="21"/>
          <w:highlight w:val="none"/>
        </w:rPr>
        <w:t>广西政府采购云平台</w:t>
      </w:r>
      <w:r>
        <w:rPr>
          <w:rFonts w:hint="eastAsia" w:ascii="宋体" w:hAnsi="宋体" w:cs="宋体"/>
          <w:bCs/>
          <w:color w:val="auto"/>
          <w:szCs w:val="21"/>
          <w:highlight w:val="none"/>
        </w:rPr>
        <w:t xml:space="preserve">。 </w:t>
      </w:r>
      <w:r>
        <w:rPr>
          <w:rFonts w:hint="eastAsia" w:ascii="宋体" w:hAnsi="宋体" w:cs="宋体"/>
          <w:b/>
          <w:color w:val="auto"/>
          <w:highlight w:val="none"/>
        </w:rPr>
        <w:t xml:space="preserve"> </w:t>
      </w:r>
    </w:p>
    <w:p w14:paraId="536E56DD">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20.2未在规定时间内提交或者未按照磋商文件要求加密的电子响应文件，广西政府采购云平台将拒收。</w:t>
      </w:r>
    </w:p>
    <w:p w14:paraId="1C1EFDB8">
      <w:pPr>
        <w:spacing w:line="360" w:lineRule="auto"/>
        <w:ind w:firstLine="482"/>
        <w:rPr>
          <w:rFonts w:hint="eastAsia" w:ascii="宋体" w:hAnsi="宋体" w:cs="宋体"/>
          <w:b/>
          <w:bCs/>
          <w:color w:val="auto"/>
          <w:sz w:val="24"/>
          <w:highlight w:val="none"/>
        </w:rPr>
      </w:pPr>
      <w:r>
        <w:rPr>
          <w:rFonts w:hint="eastAsia" w:ascii="宋体" w:hAnsi="宋体" w:cs="宋体"/>
          <w:b/>
          <w:bCs/>
          <w:color w:val="auto"/>
          <w:sz w:val="24"/>
          <w:highlight w:val="none"/>
        </w:rPr>
        <w:t>21.首次响应文件的补充、修改与撤回</w:t>
      </w:r>
    </w:p>
    <w:p w14:paraId="1163C460">
      <w:pPr>
        <w:spacing w:line="360" w:lineRule="auto"/>
        <w:ind w:firstLine="420"/>
        <w:rPr>
          <w:rFonts w:hint="eastAsia" w:ascii="宋体" w:hAnsi="宋体" w:cs="宋体"/>
          <w:bCs/>
          <w:color w:val="auto"/>
          <w:szCs w:val="21"/>
          <w:highlight w:val="none"/>
        </w:rPr>
      </w:pPr>
      <w:bookmarkStart w:id="79" w:name="_Toc254970543"/>
      <w:bookmarkStart w:id="80" w:name="_Toc254970684"/>
      <w:r>
        <w:rPr>
          <w:rFonts w:hint="eastAsia" w:ascii="宋体" w:hAnsi="宋体" w:cs="宋体"/>
          <w:bCs/>
          <w:color w:val="auto"/>
          <w:szCs w:val="21"/>
          <w:highlight w:val="none"/>
        </w:rPr>
        <w:t>21.1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注：补充、修改或者撤回方式可登录广西政府采购云平台，进入“服务中心”中查看 “电子投标文件制作与投送教程”）</w:t>
      </w:r>
    </w:p>
    <w:bookmarkEnd w:id="79"/>
    <w:bookmarkEnd w:id="80"/>
    <w:p w14:paraId="08835E75">
      <w:pPr>
        <w:pStyle w:val="313"/>
        <w:spacing w:before="0"/>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21.2在提交响应文件截止时间前，除供应商补充、修改或者撤回响应文件外，任何单位和个人不得解密或提取响应文件。</w:t>
      </w:r>
    </w:p>
    <w:p w14:paraId="371EF907">
      <w:pPr>
        <w:spacing w:line="360" w:lineRule="auto"/>
        <w:ind w:firstLine="482"/>
        <w:rPr>
          <w:rFonts w:hint="eastAsia" w:ascii="宋体" w:hAnsi="宋体" w:cs="宋体"/>
          <w:b/>
          <w:bCs/>
          <w:color w:val="auto"/>
          <w:sz w:val="24"/>
          <w:highlight w:val="none"/>
        </w:rPr>
      </w:pPr>
      <w:bookmarkStart w:id="81" w:name="_Hlk45702405"/>
      <w:r>
        <w:rPr>
          <w:rFonts w:hint="eastAsia" w:ascii="宋体" w:hAnsi="宋体" w:cs="宋体"/>
          <w:b/>
          <w:bCs/>
          <w:color w:val="auto"/>
          <w:sz w:val="24"/>
          <w:highlight w:val="none"/>
        </w:rPr>
        <w:t>22.响应文件的退回</w:t>
      </w:r>
    </w:p>
    <w:p w14:paraId="0E1846DE">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采购人和采购代理机构对已提交的响应文件概不退回。</w:t>
      </w:r>
    </w:p>
    <w:p w14:paraId="0E88F2B1">
      <w:pPr>
        <w:spacing w:line="360" w:lineRule="auto"/>
        <w:ind w:firstLine="482"/>
        <w:rPr>
          <w:rFonts w:hint="eastAsia" w:ascii="宋体" w:hAnsi="宋体" w:cs="宋体"/>
          <w:b/>
          <w:bCs/>
          <w:color w:val="auto"/>
          <w:sz w:val="24"/>
          <w:highlight w:val="none"/>
        </w:rPr>
      </w:pPr>
      <w:r>
        <w:rPr>
          <w:rFonts w:hint="eastAsia" w:ascii="宋体" w:hAnsi="宋体" w:cs="宋体"/>
          <w:b/>
          <w:bCs/>
          <w:color w:val="auto"/>
          <w:sz w:val="24"/>
          <w:highlight w:val="none"/>
        </w:rPr>
        <w:t>23.截止时间后的撤回</w:t>
      </w:r>
    </w:p>
    <w:p w14:paraId="4D41B177">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供应商在响应文件提交截止时间后向采购人、采购代理机构书面申请撤回响应文件的，将根据本须知正文第17.4条的规定不予退还其磋商保证金。</w:t>
      </w:r>
    </w:p>
    <w:bookmarkEnd w:id="81"/>
    <w:p w14:paraId="2102F8D9">
      <w:pPr>
        <w:spacing w:line="360" w:lineRule="auto"/>
        <w:rPr>
          <w:rFonts w:hint="eastAsia" w:ascii="宋体" w:hAnsi="宋体" w:cs="宋体"/>
          <w:color w:val="auto"/>
          <w:szCs w:val="21"/>
          <w:highlight w:val="none"/>
        </w:rPr>
      </w:pPr>
    </w:p>
    <w:p w14:paraId="352C0556">
      <w:pPr>
        <w:spacing w:line="360" w:lineRule="auto"/>
        <w:ind w:left="420" w:firstLine="420"/>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四、评审及磋商</w:t>
      </w:r>
    </w:p>
    <w:p w14:paraId="72DB8C28">
      <w:pPr>
        <w:spacing w:line="360" w:lineRule="auto"/>
        <w:ind w:left="420" w:firstLine="420"/>
        <w:rPr>
          <w:rFonts w:hint="eastAsia" w:ascii="宋体" w:hAnsi="宋体" w:cs="宋体"/>
          <w:color w:val="auto"/>
          <w:szCs w:val="21"/>
          <w:highlight w:val="none"/>
        </w:rPr>
      </w:pPr>
    </w:p>
    <w:p w14:paraId="38226EE6">
      <w:pPr>
        <w:spacing w:line="360" w:lineRule="auto"/>
        <w:ind w:firstLine="482"/>
        <w:rPr>
          <w:rFonts w:hint="eastAsia" w:ascii="宋体" w:hAnsi="宋体" w:cs="宋体"/>
          <w:b/>
          <w:bCs/>
          <w:color w:val="auto"/>
          <w:sz w:val="24"/>
          <w:highlight w:val="none"/>
        </w:rPr>
      </w:pPr>
      <w:r>
        <w:rPr>
          <w:rFonts w:hint="eastAsia" w:ascii="宋体" w:hAnsi="宋体" w:cs="宋体"/>
          <w:b/>
          <w:bCs/>
          <w:color w:val="auto"/>
          <w:sz w:val="24"/>
          <w:highlight w:val="none"/>
        </w:rPr>
        <w:t>24.磋商小组成立</w:t>
      </w:r>
    </w:p>
    <w:p w14:paraId="689C9FBF">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24.1磋商小组由采购人代表和评审专家共3人以上单数组成，具体人数见“供应商须知前附表”，其中评审专家人数不得少于磋商小组成员总数的2/3。采购人代表不得以评审专家身份参加本部门或者本单位采购项目的评审。采购代理机构人员不得参加本机构代理的采购项目的评审。</w:t>
      </w:r>
    </w:p>
    <w:p w14:paraId="4D1B2E8C">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042348B4">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24.3采购代理机构应当基于广西政府采购云平台抽（选）取评审专家。</w:t>
      </w:r>
    </w:p>
    <w:p w14:paraId="3557940E">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24.4参</w:t>
      </w:r>
      <w:r>
        <w:rPr>
          <w:rFonts w:hint="eastAsia" w:ascii="宋体" w:hAnsi="宋体" w:cs="宋体"/>
          <w:color w:val="auto"/>
          <w:highlight w:val="none"/>
        </w:rPr>
        <w:t>加过采购项目前期咨询论证的专家，不得参加该采购项目的评审活动。</w:t>
      </w:r>
    </w:p>
    <w:p w14:paraId="3B981EBD">
      <w:pPr>
        <w:spacing w:line="360" w:lineRule="auto"/>
        <w:ind w:firstLine="482"/>
        <w:rPr>
          <w:rFonts w:hint="eastAsia" w:ascii="宋体" w:hAnsi="宋体" w:cs="宋体"/>
          <w:b/>
          <w:bCs/>
          <w:color w:val="auto"/>
          <w:sz w:val="24"/>
          <w:highlight w:val="none"/>
        </w:rPr>
      </w:pPr>
      <w:r>
        <w:rPr>
          <w:rFonts w:hint="eastAsia" w:ascii="宋体" w:hAnsi="宋体" w:cs="宋体"/>
          <w:b/>
          <w:bCs/>
          <w:color w:val="auto"/>
          <w:sz w:val="24"/>
          <w:highlight w:val="none"/>
        </w:rPr>
        <w:t>25.首次响应文件的开启和解密</w:t>
      </w:r>
    </w:p>
    <w:p w14:paraId="5BF39F8B">
      <w:pPr>
        <w:spacing w:line="360" w:lineRule="auto"/>
        <w:ind w:firstLine="420"/>
        <w:rPr>
          <w:rFonts w:hint="eastAsia" w:ascii="宋体" w:hAnsi="宋体" w:cs="宋体"/>
          <w:color w:val="auto"/>
          <w:szCs w:val="21"/>
          <w:highlight w:val="none"/>
        </w:rPr>
      </w:pPr>
      <w:r>
        <w:rPr>
          <w:rFonts w:hint="eastAsia" w:ascii="宋体" w:hAnsi="宋体" w:cs="宋体"/>
          <w:bCs/>
          <w:color w:val="auto"/>
          <w:highlight w:val="none"/>
        </w:rPr>
        <w:t>采购代理机构将在“供应商须知前附表”规定的时</w:t>
      </w:r>
      <w:r>
        <w:rPr>
          <w:rFonts w:hint="eastAsia" w:ascii="宋体" w:hAnsi="宋体" w:cs="宋体"/>
          <w:color w:val="auto"/>
          <w:highlight w:val="none"/>
        </w:rPr>
        <w:t>间通过电子交易平台组织响应文件开启，供应商的法定代表人或其委托代理人须携带加密时所用的CA锁，按平台提示和磋商文件的规定登录到广西政府采购云平台电子开标大厅签到，采购代理机构依托广西政府采购云平台向各供应商发出电子加密响应文件【开始解密】通知，由供应商按</w:t>
      </w:r>
      <w:r>
        <w:rPr>
          <w:rFonts w:hint="eastAsia" w:ascii="宋体" w:hAnsi="宋体" w:cs="宋体"/>
          <w:bCs/>
          <w:color w:val="auto"/>
          <w:szCs w:val="21"/>
          <w:highlight w:val="none"/>
        </w:rPr>
        <w:t>“供应商须知前附表”</w:t>
      </w:r>
      <w:r>
        <w:rPr>
          <w:rFonts w:hint="eastAsia" w:ascii="宋体" w:hAnsi="宋体" w:cs="宋体"/>
          <w:color w:val="auto"/>
          <w:highlight w:val="none"/>
        </w:rPr>
        <w:t>规定的时间内自行进行响应文件解密。</w:t>
      </w:r>
      <w:r>
        <w:rPr>
          <w:rFonts w:hint="eastAsia" w:ascii="宋体" w:hAnsi="宋体" w:cs="宋体"/>
          <w:b/>
          <w:color w:val="auto"/>
          <w:highlight w:val="none"/>
        </w:rPr>
        <w:t>供应商未在规定的时间内解密响应文件或者解密失败的，供应商</w:t>
      </w:r>
      <w:r>
        <w:rPr>
          <w:rFonts w:hint="eastAsia" w:ascii="宋体" w:hAnsi="宋体" w:cs="宋体"/>
          <w:b/>
          <w:color w:val="auto"/>
          <w:szCs w:val="21"/>
          <w:highlight w:val="none"/>
        </w:rPr>
        <w:t>的响应文件按无效处理</w:t>
      </w:r>
      <w:r>
        <w:rPr>
          <w:rFonts w:hint="eastAsia" w:ascii="宋体" w:hAnsi="宋体" w:cs="宋体"/>
          <w:b/>
          <w:color w:val="auto"/>
          <w:highlight w:val="none"/>
        </w:rPr>
        <w:t>。</w:t>
      </w:r>
    </w:p>
    <w:p w14:paraId="72293318">
      <w:pPr>
        <w:spacing w:line="360" w:lineRule="auto"/>
        <w:ind w:firstLine="482"/>
        <w:rPr>
          <w:rFonts w:hint="eastAsia" w:ascii="宋体" w:hAnsi="宋体" w:cs="宋体"/>
          <w:b/>
          <w:bCs/>
          <w:color w:val="auto"/>
          <w:sz w:val="24"/>
          <w:highlight w:val="none"/>
        </w:rPr>
      </w:pPr>
      <w:r>
        <w:rPr>
          <w:rFonts w:hint="eastAsia" w:ascii="宋体" w:hAnsi="宋体" w:cs="宋体"/>
          <w:b/>
          <w:bCs/>
          <w:color w:val="auto"/>
          <w:sz w:val="24"/>
          <w:highlight w:val="none"/>
        </w:rPr>
        <w:t>26.评审程序、评审方法和评审标准</w:t>
      </w:r>
    </w:p>
    <w:p w14:paraId="74C075E7">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26.1本项目的评审方法为综合评分法。</w:t>
      </w:r>
    </w:p>
    <w:p w14:paraId="4DDF9C97">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26.2磋商小组按照“第四章 评审程序、评审方法和评审标准”规定的方法、评审因素、标准和程序对响应文件进行评审并推荐成交候选供应商。</w:t>
      </w:r>
    </w:p>
    <w:p w14:paraId="37C6F36E">
      <w:pPr>
        <w:spacing w:line="360" w:lineRule="auto"/>
        <w:ind w:firstLine="420"/>
        <w:rPr>
          <w:rFonts w:hint="eastAsia" w:ascii="宋体" w:hAnsi="宋体" w:cs="宋体"/>
          <w:color w:val="auto"/>
          <w:szCs w:val="21"/>
          <w:highlight w:val="none"/>
        </w:rPr>
      </w:pPr>
      <w:r>
        <w:rPr>
          <w:rFonts w:hint="eastAsia" w:ascii="宋体" w:hAnsi="宋体" w:cs="宋体"/>
          <w:color w:val="auto"/>
          <w:highlight w:val="none"/>
        </w:rPr>
        <w:t>26.3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14:paraId="13A93B8F">
      <w:pPr>
        <w:spacing w:line="360" w:lineRule="auto"/>
        <w:ind w:firstLine="420"/>
        <w:rPr>
          <w:rFonts w:hint="eastAsia" w:ascii="宋体" w:hAnsi="宋体" w:cs="宋体"/>
          <w:color w:val="auto"/>
          <w:highlight w:val="none"/>
        </w:rPr>
      </w:pPr>
      <w:r>
        <w:rPr>
          <w:rFonts w:hint="eastAsia" w:ascii="宋体" w:hAnsi="宋体" w:cs="宋体"/>
          <w:color w:val="auto"/>
          <w:highlight w:val="none"/>
        </w:rPr>
        <w:t>26.4电子交易活动的中止。采购过程中出现以下情形，导致电子交易平台无法正常运行，或者无法保证电子交易的公平、公正和安全时，采购机构可中止电子交易活动：</w:t>
      </w:r>
    </w:p>
    <w:p w14:paraId="15159CDC">
      <w:pPr>
        <w:spacing w:line="360" w:lineRule="auto"/>
        <w:ind w:firstLine="420"/>
        <w:rPr>
          <w:rFonts w:hint="eastAsia" w:ascii="宋体" w:hAnsi="宋体" w:cs="宋体"/>
          <w:color w:val="auto"/>
          <w:highlight w:val="none"/>
        </w:rPr>
      </w:pPr>
      <w:r>
        <w:rPr>
          <w:rFonts w:hint="eastAsia" w:ascii="宋体" w:hAnsi="宋体" w:cs="宋体"/>
          <w:color w:val="auto"/>
          <w:highlight w:val="none"/>
        </w:rPr>
        <w:t xml:space="preserve">（1）电子交易平台发生故障而无法登录访问的； </w:t>
      </w:r>
    </w:p>
    <w:p w14:paraId="102023B2">
      <w:pPr>
        <w:spacing w:line="360" w:lineRule="auto"/>
        <w:ind w:firstLine="420"/>
        <w:rPr>
          <w:rFonts w:hint="eastAsia" w:ascii="宋体" w:hAnsi="宋体" w:cs="宋体"/>
          <w:color w:val="auto"/>
          <w:highlight w:val="none"/>
        </w:rPr>
      </w:pPr>
      <w:r>
        <w:rPr>
          <w:rFonts w:hint="eastAsia" w:ascii="宋体" w:hAnsi="宋体" w:cs="宋体"/>
          <w:color w:val="auto"/>
          <w:highlight w:val="none"/>
        </w:rPr>
        <w:t>（2）电子交易平台应用或数据库出现错误，不能进行正常操作的；</w:t>
      </w:r>
    </w:p>
    <w:p w14:paraId="0D31C95B">
      <w:pPr>
        <w:spacing w:line="360" w:lineRule="auto"/>
        <w:ind w:firstLine="420"/>
        <w:rPr>
          <w:rFonts w:hint="eastAsia" w:ascii="宋体" w:hAnsi="宋体" w:cs="宋体"/>
          <w:color w:val="auto"/>
          <w:highlight w:val="none"/>
        </w:rPr>
      </w:pPr>
      <w:r>
        <w:rPr>
          <w:rFonts w:hint="eastAsia" w:ascii="宋体" w:hAnsi="宋体" w:cs="宋体"/>
          <w:color w:val="auto"/>
          <w:highlight w:val="none"/>
        </w:rPr>
        <w:t>（3）电子交易平台发现严重安全漏洞，有潜在泄密危险的；</w:t>
      </w:r>
    </w:p>
    <w:p w14:paraId="48064E45">
      <w:pPr>
        <w:spacing w:line="360" w:lineRule="auto"/>
        <w:ind w:firstLine="420"/>
        <w:rPr>
          <w:rFonts w:hint="eastAsia" w:ascii="宋体" w:hAnsi="宋体" w:cs="宋体"/>
          <w:color w:val="auto"/>
          <w:highlight w:val="none"/>
        </w:rPr>
      </w:pPr>
      <w:r>
        <w:rPr>
          <w:rFonts w:hint="eastAsia" w:ascii="宋体" w:hAnsi="宋体" w:cs="宋体"/>
          <w:color w:val="auto"/>
          <w:highlight w:val="none"/>
        </w:rPr>
        <w:t xml:space="preserve">（4）病毒发作导致不能进行正常操作的； </w:t>
      </w:r>
    </w:p>
    <w:p w14:paraId="1D9751D2">
      <w:pPr>
        <w:spacing w:line="360" w:lineRule="auto"/>
        <w:ind w:firstLine="420"/>
        <w:rPr>
          <w:rFonts w:hint="eastAsia" w:ascii="宋体" w:hAnsi="宋体" w:cs="宋体"/>
          <w:color w:val="auto"/>
          <w:highlight w:val="none"/>
        </w:rPr>
      </w:pPr>
      <w:r>
        <w:rPr>
          <w:rFonts w:hint="eastAsia" w:ascii="宋体" w:hAnsi="宋体" w:cs="宋体"/>
          <w:color w:val="auto"/>
          <w:highlight w:val="none"/>
        </w:rPr>
        <w:t>（5）其他无法保证电子交易的公平、公正和安全的情况。</w:t>
      </w:r>
    </w:p>
    <w:p w14:paraId="6A5010A5">
      <w:pPr>
        <w:spacing w:line="360" w:lineRule="auto"/>
        <w:ind w:firstLine="420"/>
        <w:rPr>
          <w:rFonts w:hint="eastAsia" w:ascii="宋体" w:hAnsi="宋体" w:cs="宋体"/>
          <w:color w:val="auto"/>
          <w:szCs w:val="21"/>
          <w:highlight w:val="none"/>
        </w:rPr>
      </w:pPr>
      <w:r>
        <w:rPr>
          <w:rFonts w:hint="eastAsia" w:ascii="宋体" w:hAnsi="宋体" w:cs="宋体"/>
          <w:color w:val="auto"/>
          <w:highlight w:val="none"/>
        </w:rPr>
        <w:t>26.5出现以上情形，不影响采购公平、公正性的，采购组织机构可以待上述情形消除后继续组织电子交易活动；影响或可能影响采购公平、公正性的，经采购代理机构确认，报采购人同意后，应当重新采购。采购代理机构必须对原有的资料及信息作出妥善保密处理，并报财政部门备案。</w:t>
      </w:r>
    </w:p>
    <w:p w14:paraId="790D78DD">
      <w:pPr>
        <w:spacing w:line="360" w:lineRule="auto"/>
        <w:ind w:firstLine="482"/>
        <w:rPr>
          <w:rFonts w:hint="eastAsia" w:ascii="宋体" w:hAnsi="宋体" w:cs="宋体"/>
          <w:b/>
          <w:bCs/>
          <w:color w:val="auto"/>
          <w:sz w:val="24"/>
          <w:highlight w:val="none"/>
        </w:rPr>
      </w:pPr>
      <w:r>
        <w:rPr>
          <w:rFonts w:hint="eastAsia" w:ascii="宋体" w:hAnsi="宋体" w:cs="宋体"/>
          <w:b/>
          <w:bCs/>
          <w:color w:val="auto"/>
          <w:sz w:val="24"/>
          <w:highlight w:val="none"/>
        </w:rPr>
        <w:t>27.确定成交供应商及结果公告</w:t>
      </w:r>
    </w:p>
    <w:p w14:paraId="770C5DD1">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27.1 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0DECBD4F">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27.2采购代理机构应当在成交供应商确定后2个工作日内，在省级以上财政部门指定的媒体上公告成交结果，同时向成交供应商发出成交通知书。采购人或者采购代理机构发出成交通知书前，应当对成交供应商信用进行查询，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磋商文件一并保存。</w:t>
      </w:r>
      <w:bookmarkStart w:id="82" w:name="_Hlk66782294"/>
      <w:r>
        <w:rPr>
          <w:rFonts w:hint="eastAsia" w:ascii="宋体" w:hAnsi="宋体" w:cs="宋体"/>
          <w:color w:val="auto"/>
          <w:szCs w:val="21"/>
          <w:highlight w:val="none"/>
        </w:rPr>
        <w:t>成交供应商享受《政府采购促进中小企业发展管理办法》（财库〔2020〕46号）规定的中小企业扶持政策的，采购人、采购代理机构应当随成交结果公开成交供应商的《中小企业声明函》。</w:t>
      </w:r>
      <w:bookmarkEnd w:id="82"/>
    </w:p>
    <w:p w14:paraId="49D50D30">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27.3出现下列情形之一的，采购人或者采购代理机构应当终止竞争性磋商采购活动，发布项目终止公告并说明原因，重新开展采购活动：</w:t>
      </w:r>
    </w:p>
    <w:p w14:paraId="213F730C">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（1）因情况变化，不再符合规定的竞争性磋商采购方式适用情形的；</w:t>
      </w:r>
    </w:p>
    <w:p w14:paraId="3E71E002">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（2）出现影响采购公正的违法、违规行为的；</w:t>
      </w:r>
    </w:p>
    <w:p w14:paraId="6F47E137">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（3）除“第四章 评审程序、评审方法和评审标准”第4.3条规定的情形外，在采购过程中符合要求的供应商或者报价未超过采购预算的供应商不足3家的。</w:t>
      </w:r>
    </w:p>
    <w:p w14:paraId="63635383">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27.4 在采购活动中因重大变故，采购任务取消的，采购人或者采购代理机构应当终止采购活动，通知所有参加采购活动的供应商，并将项目实施情况和采购任务取消原因报送本级财政部门。</w:t>
      </w:r>
    </w:p>
    <w:p w14:paraId="584DE2EC">
      <w:pPr>
        <w:spacing w:line="360" w:lineRule="auto"/>
        <w:ind w:firstLine="482"/>
        <w:rPr>
          <w:rFonts w:hint="eastAsia" w:ascii="宋体" w:hAnsi="宋体" w:cs="宋体"/>
          <w:b/>
          <w:bCs/>
          <w:color w:val="auto"/>
          <w:sz w:val="24"/>
          <w:highlight w:val="none"/>
        </w:rPr>
      </w:pPr>
      <w:r>
        <w:rPr>
          <w:rFonts w:hint="eastAsia" w:ascii="宋体" w:hAnsi="宋体" w:cs="宋体"/>
          <w:b/>
          <w:bCs/>
          <w:color w:val="auto"/>
          <w:sz w:val="24"/>
          <w:highlight w:val="none"/>
        </w:rPr>
        <w:t>28.履约保证金</w:t>
      </w:r>
    </w:p>
    <w:p w14:paraId="39A980F9">
      <w:pPr>
        <w:spacing w:line="360" w:lineRule="auto"/>
        <w:ind w:firstLine="424"/>
        <w:rPr>
          <w:rFonts w:hint="eastAsia" w:ascii="宋体" w:hAnsi="宋体" w:cs="宋体"/>
          <w:color w:val="auto"/>
          <w:szCs w:val="21"/>
          <w:highlight w:val="none"/>
        </w:rPr>
      </w:pPr>
      <w:r>
        <w:rPr>
          <w:rFonts w:hint="eastAsia" w:ascii="宋体" w:hAnsi="宋体" w:cs="宋体"/>
          <w:color w:val="auto"/>
          <w:szCs w:val="21"/>
          <w:highlight w:val="none"/>
        </w:rPr>
        <w:t>28.1 履约保证金的金额、提交方式、退付的时间和条件详见 “供应商须知前附表”。成交供应商未按规定提交履约保证金的，视为拒绝</w:t>
      </w:r>
      <w:r>
        <w:rPr>
          <w:rFonts w:hint="eastAsia" w:ascii="宋体" w:hAnsi="宋体" w:cs="宋体"/>
          <w:color w:val="auto"/>
          <w:highlight w:val="none"/>
        </w:rPr>
        <w:t>与采购人</w:t>
      </w:r>
      <w:r>
        <w:rPr>
          <w:rFonts w:hint="eastAsia" w:ascii="宋体" w:hAnsi="宋体" w:cs="宋体"/>
          <w:color w:val="auto"/>
          <w:szCs w:val="21"/>
          <w:highlight w:val="none"/>
        </w:rPr>
        <w:t>签订合同。</w:t>
      </w:r>
    </w:p>
    <w:p w14:paraId="3B2B24CD">
      <w:pPr>
        <w:spacing w:line="360" w:lineRule="auto"/>
        <w:ind w:firstLine="424"/>
        <w:rPr>
          <w:rFonts w:hint="eastAsia" w:ascii="宋体" w:hAnsi="宋体" w:cs="宋体"/>
          <w:color w:val="auto"/>
          <w:szCs w:val="21"/>
          <w:highlight w:val="none"/>
        </w:rPr>
      </w:pPr>
      <w:r>
        <w:rPr>
          <w:rFonts w:hint="eastAsia" w:ascii="宋体" w:hAnsi="宋体" w:cs="宋体"/>
          <w:color w:val="auto"/>
          <w:szCs w:val="21"/>
          <w:highlight w:val="none"/>
        </w:rPr>
        <w:t>28.2在履约保证金退还日期前，若成交供应商的开户名称、开户银行、账号有变动的，请以书面形式通知履约保证金收取单位，否则由此产生的后果由成交供应商自行承担。</w:t>
      </w:r>
    </w:p>
    <w:p w14:paraId="1E53463C">
      <w:pPr>
        <w:spacing w:line="360" w:lineRule="auto"/>
        <w:ind w:firstLine="482"/>
        <w:rPr>
          <w:rFonts w:hint="eastAsia" w:ascii="宋体" w:hAnsi="宋体" w:cs="宋体"/>
          <w:b/>
          <w:bCs/>
          <w:color w:val="auto"/>
          <w:sz w:val="24"/>
          <w:highlight w:val="none"/>
        </w:rPr>
      </w:pPr>
      <w:r>
        <w:rPr>
          <w:rFonts w:hint="eastAsia" w:ascii="宋体" w:hAnsi="宋体" w:cs="宋体"/>
          <w:b/>
          <w:bCs/>
          <w:color w:val="auto"/>
          <w:sz w:val="24"/>
          <w:highlight w:val="none"/>
        </w:rPr>
        <w:t>29.签订合同</w:t>
      </w:r>
    </w:p>
    <w:p w14:paraId="5C6B8826">
      <w:pPr>
        <w:spacing w:line="360" w:lineRule="auto"/>
        <w:ind w:firstLine="424"/>
        <w:rPr>
          <w:rFonts w:hint="eastAsia" w:ascii="宋体" w:hAnsi="宋体" w:cs="宋体"/>
          <w:color w:val="auto"/>
          <w:szCs w:val="21"/>
          <w:highlight w:val="none"/>
        </w:rPr>
      </w:pPr>
      <w:r>
        <w:rPr>
          <w:rFonts w:hint="eastAsia" w:ascii="宋体" w:hAnsi="宋体" w:cs="宋体"/>
          <w:color w:val="auto"/>
          <w:szCs w:val="21"/>
          <w:highlight w:val="none"/>
        </w:rPr>
        <w:t>29.1签订电子采购合同：成交供应商领取电子成交通知书后，在</w:t>
      </w:r>
      <w:r>
        <w:rPr>
          <w:rFonts w:hint="eastAsia" w:ascii="宋体" w:hAnsi="宋体" w:cs="宋体"/>
          <w:color w:val="auto"/>
          <w:szCs w:val="21"/>
          <w:highlight w:val="none"/>
          <w:lang w:val="zh-CN"/>
        </w:rPr>
        <w:t>规定的日期、时间、地点，由法定代表人或其授权代表与采购人代表签订电子采购合同。如成交供应商为联合体的，由联合体成员各方法定代表人或其授权代表与采购人代表签订合同。</w:t>
      </w:r>
    </w:p>
    <w:p w14:paraId="2129BDE0">
      <w:pPr>
        <w:spacing w:line="360" w:lineRule="auto"/>
        <w:ind w:firstLine="424"/>
        <w:rPr>
          <w:rFonts w:hint="eastAsia" w:ascii="宋体" w:hAnsi="宋体" w:cs="宋体"/>
          <w:color w:val="auto"/>
          <w:szCs w:val="21"/>
          <w:highlight w:val="none"/>
        </w:rPr>
      </w:pPr>
      <w:r>
        <w:rPr>
          <w:rFonts w:hint="eastAsia" w:ascii="宋体" w:hAnsi="宋体" w:cs="宋体"/>
          <w:color w:val="auto"/>
          <w:szCs w:val="21"/>
          <w:highlight w:val="none"/>
        </w:rPr>
        <w:t>线下签订纸质合同：供应商领取成交通知书后，按“供应商须知前附表”规定向采购人出示相关证明材料，经采购人核验合格后方可签订合同。</w:t>
      </w:r>
    </w:p>
    <w:p w14:paraId="57FD7F48">
      <w:pPr>
        <w:spacing w:line="360" w:lineRule="auto"/>
        <w:ind w:firstLine="424"/>
        <w:rPr>
          <w:rFonts w:hint="eastAsia" w:ascii="宋体" w:hAnsi="宋体" w:cs="宋体"/>
          <w:color w:val="auto"/>
          <w:szCs w:val="21"/>
          <w:highlight w:val="none"/>
        </w:rPr>
      </w:pPr>
      <w:r>
        <w:rPr>
          <w:rFonts w:hint="eastAsia" w:ascii="宋体" w:hAnsi="宋体" w:cs="宋体"/>
          <w:color w:val="auto"/>
          <w:szCs w:val="21"/>
          <w:highlight w:val="none"/>
        </w:rPr>
        <w:t>29.2签订合同时间：按成交通知书规定的时间与采购人签订合同。</w:t>
      </w:r>
    </w:p>
    <w:p w14:paraId="08643C4E">
      <w:pPr>
        <w:spacing w:line="360" w:lineRule="auto"/>
        <w:ind w:firstLine="424"/>
        <w:rPr>
          <w:rFonts w:hint="eastAsia" w:ascii="宋体" w:hAnsi="宋体" w:cs="宋体"/>
          <w:color w:val="auto"/>
          <w:szCs w:val="21"/>
          <w:highlight w:val="none"/>
        </w:rPr>
      </w:pPr>
      <w:r>
        <w:rPr>
          <w:rFonts w:hint="eastAsia" w:ascii="宋体" w:hAnsi="宋体" w:cs="宋体"/>
          <w:color w:val="auto"/>
          <w:szCs w:val="21"/>
          <w:highlight w:val="none"/>
        </w:rPr>
        <w:t>29.3成交供应商拒绝签订政府采购合同（包括但不限于放弃成交、因不可抗力不能履行合同而放弃签订合同），采购人可以按照评审报告推荐的成交候选人名单排序，确定下一候选人为成交供应商，也可以重新开展政府采购活动。如采购人无正当理由拒签合同的，给成交供应商造成损失的，成交供应商可追究采购人承担相应的法律责任。</w:t>
      </w:r>
    </w:p>
    <w:p w14:paraId="72A1F84B">
      <w:pPr>
        <w:spacing w:line="360" w:lineRule="auto"/>
        <w:ind w:firstLine="424"/>
        <w:rPr>
          <w:rFonts w:hint="eastAsia" w:ascii="宋体" w:hAnsi="宋体" w:cs="宋体"/>
          <w:color w:val="auto"/>
          <w:szCs w:val="21"/>
          <w:highlight w:val="none"/>
        </w:rPr>
      </w:pPr>
      <w:r>
        <w:rPr>
          <w:rFonts w:hint="eastAsia" w:ascii="宋体" w:hAnsi="宋体" w:cs="宋体"/>
          <w:color w:val="auto"/>
          <w:szCs w:val="21"/>
          <w:highlight w:val="none"/>
        </w:rPr>
        <w:t>29.4政府采购合同是政府采购项目验收的依据，成交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1113321A">
      <w:pPr>
        <w:spacing w:line="360" w:lineRule="auto"/>
        <w:ind w:firstLine="424"/>
        <w:rPr>
          <w:rFonts w:hint="eastAsia" w:ascii="宋体" w:hAnsi="宋体" w:cs="宋体"/>
          <w:color w:val="auto"/>
          <w:szCs w:val="21"/>
          <w:highlight w:val="none"/>
        </w:rPr>
      </w:pPr>
      <w:r>
        <w:rPr>
          <w:rFonts w:hint="eastAsia" w:ascii="宋体" w:hAnsi="宋体" w:cs="宋体"/>
          <w:color w:val="auto"/>
          <w:szCs w:val="21"/>
          <w:highlight w:val="none"/>
        </w:rPr>
        <w:t>29.5采购人或成交供应商不得单方面向合同另一方提出任何磋商文件没有约定的条件或不合理的要求，作为签订合同的条件；也不得协商另行订立背离磋商文件和合同实质性内容的协议。</w:t>
      </w:r>
    </w:p>
    <w:p w14:paraId="73EA90D1">
      <w:pPr>
        <w:spacing w:line="360" w:lineRule="auto"/>
        <w:ind w:firstLine="424"/>
        <w:rPr>
          <w:rFonts w:hint="eastAsia" w:ascii="宋体" w:hAnsi="宋体" w:cs="宋体"/>
          <w:color w:val="auto"/>
          <w:szCs w:val="21"/>
          <w:highlight w:val="none"/>
        </w:rPr>
      </w:pPr>
      <w:r>
        <w:rPr>
          <w:rFonts w:hint="eastAsia" w:ascii="宋体" w:hAnsi="宋体" w:cs="宋体"/>
          <w:color w:val="auto"/>
          <w:szCs w:val="21"/>
          <w:highlight w:val="none"/>
        </w:rPr>
        <w:t>29.6如签订合同并生效后，供应商无故拒绝或延期，除按照合同条款处理外，将承担相应的法律责任。</w:t>
      </w:r>
    </w:p>
    <w:p w14:paraId="4ADDAAAA">
      <w:pPr>
        <w:spacing w:line="360" w:lineRule="auto"/>
        <w:ind w:firstLine="424"/>
        <w:rPr>
          <w:rFonts w:hint="eastAsia" w:ascii="宋体" w:hAnsi="宋体" w:cs="宋体"/>
          <w:color w:val="auto"/>
          <w:szCs w:val="21"/>
          <w:highlight w:val="none"/>
        </w:rPr>
      </w:pPr>
      <w:r>
        <w:rPr>
          <w:rFonts w:hint="eastAsia" w:ascii="宋体" w:hAnsi="宋体" w:cs="宋体"/>
          <w:color w:val="auto"/>
          <w:szCs w:val="21"/>
          <w:highlight w:val="none"/>
        </w:rPr>
        <w:t>29.7政府采购合同履行中，采购人需追加与合同标的相同的货物、工程或者服务的，在不改变合同其他条款的前提下，可以与供应商协商签订补充合同，但所有补充合同的采购金额不得超过原合同采购金额的10%。</w:t>
      </w:r>
    </w:p>
    <w:p w14:paraId="1EF377F6">
      <w:pPr>
        <w:spacing w:line="360" w:lineRule="auto"/>
        <w:ind w:firstLine="482"/>
        <w:rPr>
          <w:rFonts w:hint="eastAsia" w:ascii="宋体" w:hAnsi="宋体" w:cs="宋体"/>
          <w:b/>
          <w:bCs/>
          <w:color w:val="auto"/>
          <w:sz w:val="24"/>
          <w:highlight w:val="none"/>
        </w:rPr>
      </w:pPr>
      <w:r>
        <w:rPr>
          <w:rFonts w:hint="eastAsia" w:ascii="宋体" w:hAnsi="宋体" w:cs="宋体"/>
          <w:b/>
          <w:bCs/>
          <w:color w:val="auto"/>
          <w:sz w:val="24"/>
          <w:highlight w:val="none"/>
        </w:rPr>
        <w:t>30.政府采购合同公告</w:t>
      </w:r>
    </w:p>
    <w:p w14:paraId="1E6DCFA3">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31C9919E">
      <w:pPr>
        <w:spacing w:line="360" w:lineRule="auto"/>
        <w:ind w:firstLine="482"/>
        <w:rPr>
          <w:rFonts w:hint="eastAsia" w:ascii="宋体" w:hAnsi="宋体" w:cs="宋体"/>
          <w:b/>
          <w:bCs/>
          <w:color w:val="auto"/>
          <w:sz w:val="24"/>
          <w:highlight w:val="none"/>
        </w:rPr>
      </w:pPr>
      <w:r>
        <w:rPr>
          <w:rFonts w:hint="eastAsia" w:ascii="宋体" w:hAnsi="宋体" w:cs="宋体"/>
          <w:b/>
          <w:bCs/>
          <w:color w:val="auto"/>
          <w:sz w:val="24"/>
          <w:highlight w:val="none"/>
        </w:rPr>
        <w:t>31. 询问、质疑和投诉</w:t>
      </w:r>
    </w:p>
    <w:p w14:paraId="06ADBC1A">
      <w:pPr>
        <w:pStyle w:val="43"/>
        <w:spacing w:line="360" w:lineRule="auto"/>
        <w:rPr>
          <w:rFonts w:hint="eastAsia" w:ascii="宋体" w:hAnsi="宋体" w:cs="宋体"/>
          <w:color w:val="auto"/>
          <w:szCs w:val="21"/>
          <w:highlight w:val="none"/>
        </w:rPr>
      </w:pPr>
      <w:r>
        <w:rPr>
          <w:rFonts w:hint="eastAsia" w:ascii="宋体" w:hAnsi="宋体" w:cs="宋体"/>
          <w:color w:val="auto"/>
          <w:highlight w:val="none"/>
        </w:rPr>
        <w:t>31.1供应商对政府采购活动事项有疑问的，可以向采购人、采购代理机构提出询问，采购人或者采购代理机构应当在3个工作日内对供应商依法提出的询问作出答复，</w:t>
      </w:r>
      <w:r>
        <w:rPr>
          <w:rFonts w:hint="eastAsia" w:ascii="宋体" w:hAnsi="宋体" w:cs="宋体"/>
          <w:color w:val="auto"/>
          <w:szCs w:val="21"/>
          <w:highlight w:val="none"/>
        </w:rPr>
        <w:t>但答复的内容不得涉及商业秘密</w:t>
      </w:r>
      <w:r>
        <w:rPr>
          <w:rFonts w:hint="eastAsia" w:ascii="宋体" w:hAnsi="宋体" w:cs="宋体"/>
          <w:color w:val="auto"/>
          <w:highlight w:val="none"/>
        </w:rPr>
        <w:t>。</w:t>
      </w:r>
    </w:p>
    <w:p w14:paraId="643CDFED">
      <w:pPr>
        <w:spacing w:line="360" w:lineRule="auto"/>
        <w:ind w:firstLine="420"/>
        <w:rPr>
          <w:rFonts w:hint="eastAsia" w:ascii="宋体" w:hAnsi="宋体" w:cs="宋体"/>
          <w:color w:val="auto"/>
          <w:highlight w:val="none"/>
        </w:rPr>
      </w:pPr>
      <w:r>
        <w:rPr>
          <w:rFonts w:hint="eastAsia" w:ascii="宋体" w:hAnsi="宋体" w:cs="宋体"/>
          <w:color w:val="auto"/>
          <w:highlight w:val="none"/>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cs="宋体"/>
          <w:color w:val="auto"/>
          <w:highlight w:val="none"/>
          <w:shd w:val="clear" w:color="auto" w:fill="FFFFFF"/>
        </w:rPr>
        <w:t>接收质疑函的方式、联系部门、联系电话和通讯地址等信息详见</w:t>
      </w:r>
      <w:r>
        <w:rPr>
          <w:rFonts w:hint="eastAsia" w:ascii="宋体" w:hAnsi="宋体" w:cs="宋体"/>
          <w:color w:val="auto"/>
          <w:szCs w:val="21"/>
          <w:highlight w:val="none"/>
        </w:rPr>
        <w:t>“供应商须知前附表”</w:t>
      </w:r>
      <w:r>
        <w:rPr>
          <w:rFonts w:hint="eastAsia" w:ascii="宋体" w:hAnsi="宋体" w:cs="宋体"/>
          <w:color w:val="auto"/>
          <w:highlight w:val="none"/>
        </w:rPr>
        <w:t>。具体质疑起算时间如下：</w:t>
      </w:r>
    </w:p>
    <w:p w14:paraId="72BF04D5">
      <w:pPr>
        <w:spacing w:line="360" w:lineRule="auto"/>
        <w:ind w:firstLine="420"/>
        <w:rPr>
          <w:rFonts w:hint="eastAsia" w:ascii="宋体" w:hAnsi="宋体" w:cs="宋体"/>
          <w:color w:val="auto"/>
          <w:highlight w:val="none"/>
        </w:rPr>
      </w:pPr>
      <w:r>
        <w:rPr>
          <w:rFonts w:hint="eastAsia" w:ascii="宋体" w:hAnsi="宋体" w:cs="宋体"/>
          <w:color w:val="auto"/>
          <w:highlight w:val="none"/>
        </w:rPr>
        <w:t>（1）对可以质疑的磋商文件提出质疑的，为获取磋商文件之日或者竞争性磋商公告期限届满之日；</w:t>
      </w:r>
    </w:p>
    <w:p w14:paraId="5C27589B">
      <w:pPr>
        <w:spacing w:line="360" w:lineRule="auto"/>
        <w:ind w:firstLine="420"/>
        <w:rPr>
          <w:rFonts w:hint="eastAsia" w:ascii="宋体" w:hAnsi="宋体" w:cs="宋体"/>
          <w:color w:val="auto"/>
          <w:highlight w:val="none"/>
        </w:rPr>
      </w:pPr>
      <w:r>
        <w:rPr>
          <w:rFonts w:hint="eastAsia" w:ascii="宋体" w:hAnsi="宋体" w:cs="宋体"/>
          <w:color w:val="auto"/>
          <w:highlight w:val="none"/>
        </w:rPr>
        <w:t>（2）对采购过程提出质疑的，为各采购程序环节结束之日；</w:t>
      </w:r>
    </w:p>
    <w:p w14:paraId="2382211C">
      <w:pPr>
        <w:spacing w:line="360" w:lineRule="auto"/>
        <w:ind w:firstLine="420"/>
        <w:rPr>
          <w:rFonts w:hint="eastAsia" w:ascii="宋体" w:hAnsi="宋体" w:cs="宋体"/>
          <w:color w:val="auto"/>
          <w:highlight w:val="none"/>
        </w:rPr>
      </w:pPr>
      <w:r>
        <w:rPr>
          <w:rFonts w:hint="eastAsia" w:ascii="宋体" w:hAnsi="宋体" w:cs="宋体"/>
          <w:color w:val="auto"/>
          <w:highlight w:val="none"/>
        </w:rPr>
        <w:t>（3）对成交结果提出质疑的，为成交结果公告期限届满之日。</w:t>
      </w:r>
    </w:p>
    <w:p w14:paraId="3A1C0441">
      <w:pPr>
        <w:spacing w:line="360" w:lineRule="auto"/>
        <w:ind w:firstLine="420"/>
        <w:rPr>
          <w:rFonts w:hint="eastAsia" w:ascii="宋体" w:hAnsi="宋体" w:cs="宋体"/>
          <w:color w:val="auto"/>
          <w:highlight w:val="none"/>
        </w:rPr>
      </w:pPr>
      <w:r>
        <w:rPr>
          <w:rFonts w:hint="eastAsia" w:ascii="宋体" w:hAnsi="宋体" w:cs="宋体"/>
          <w:color w:val="auto"/>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1DFD5379">
      <w:pPr>
        <w:spacing w:line="360" w:lineRule="auto"/>
        <w:ind w:firstLine="420"/>
        <w:rPr>
          <w:rFonts w:hint="eastAsia" w:ascii="宋体" w:hAnsi="宋体" w:cs="宋体"/>
          <w:color w:val="auto"/>
          <w:highlight w:val="none"/>
        </w:rPr>
      </w:pPr>
      <w:r>
        <w:rPr>
          <w:rFonts w:hint="eastAsia" w:ascii="宋体" w:hAnsi="宋体" w:cs="宋体"/>
          <w:color w:val="auto"/>
          <w:highlight w:val="none"/>
        </w:rPr>
        <w:t>31.4 供应商提出质疑应当提交质疑函和必要的证明材料，针对同一采购程序环节的质疑必须在法定质疑期内一次性提出。质疑函应当包括下列内容</w:t>
      </w:r>
      <w:r>
        <w:rPr>
          <w:rFonts w:hint="eastAsia" w:ascii="宋体" w:hAnsi="宋体" w:cs="宋体"/>
          <w:bCs/>
          <w:color w:val="auto"/>
          <w:highlight w:val="none"/>
        </w:rPr>
        <w:t>（质疑函格式后附）</w:t>
      </w:r>
      <w:r>
        <w:rPr>
          <w:rFonts w:hint="eastAsia" w:ascii="宋体" w:hAnsi="宋体" w:cs="宋体"/>
          <w:color w:val="auto"/>
          <w:highlight w:val="none"/>
        </w:rPr>
        <w:t>：</w:t>
      </w:r>
    </w:p>
    <w:p w14:paraId="59CFF1F6">
      <w:pPr>
        <w:spacing w:line="360" w:lineRule="auto"/>
        <w:ind w:firstLine="420"/>
        <w:rPr>
          <w:rFonts w:hint="eastAsia" w:ascii="宋体" w:hAnsi="宋体" w:cs="宋体"/>
          <w:color w:val="auto"/>
          <w:highlight w:val="none"/>
        </w:rPr>
      </w:pPr>
      <w:r>
        <w:rPr>
          <w:rFonts w:hint="eastAsia" w:ascii="宋体" w:hAnsi="宋体" w:cs="宋体"/>
          <w:color w:val="auto"/>
          <w:highlight w:val="none"/>
        </w:rPr>
        <w:t>（1）供应商的姓名或者名称、地址、邮编、联系人及联系电话；</w:t>
      </w:r>
    </w:p>
    <w:p w14:paraId="3EF98361">
      <w:pPr>
        <w:spacing w:line="360" w:lineRule="auto"/>
        <w:ind w:firstLine="420"/>
        <w:rPr>
          <w:rFonts w:hint="eastAsia" w:ascii="宋体" w:hAnsi="宋体" w:cs="宋体"/>
          <w:color w:val="auto"/>
          <w:highlight w:val="none"/>
        </w:rPr>
      </w:pPr>
      <w:r>
        <w:rPr>
          <w:rFonts w:hint="eastAsia" w:ascii="宋体" w:hAnsi="宋体" w:cs="宋体"/>
          <w:color w:val="auto"/>
          <w:highlight w:val="none"/>
        </w:rPr>
        <w:t>（2）质疑项目的名称、编号；</w:t>
      </w:r>
    </w:p>
    <w:p w14:paraId="4E7F3C38">
      <w:pPr>
        <w:spacing w:line="360" w:lineRule="auto"/>
        <w:ind w:firstLine="420"/>
        <w:rPr>
          <w:rFonts w:hint="eastAsia" w:ascii="宋体" w:hAnsi="宋体" w:cs="宋体"/>
          <w:color w:val="auto"/>
          <w:highlight w:val="none"/>
        </w:rPr>
      </w:pPr>
      <w:r>
        <w:rPr>
          <w:rFonts w:hint="eastAsia" w:ascii="宋体" w:hAnsi="宋体" w:cs="宋体"/>
          <w:color w:val="auto"/>
          <w:highlight w:val="none"/>
        </w:rPr>
        <w:t>（3）具体、明确的质疑事项和与质疑事项相关的请求；</w:t>
      </w:r>
    </w:p>
    <w:p w14:paraId="1273E2E7">
      <w:pPr>
        <w:spacing w:line="360" w:lineRule="auto"/>
        <w:ind w:firstLine="420"/>
        <w:rPr>
          <w:rFonts w:hint="eastAsia" w:ascii="宋体" w:hAnsi="宋体" w:cs="宋体"/>
          <w:color w:val="auto"/>
          <w:highlight w:val="none"/>
        </w:rPr>
      </w:pPr>
      <w:r>
        <w:rPr>
          <w:rFonts w:hint="eastAsia" w:ascii="宋体" w:hAnsi="宋体" w:cs="宋体"/>
          <w:color w:val="auto"/>
          <w:highlight w:val="none"/>
        </w:rPr>
        <w:t>（4）事实依据；</w:t>
      </w:r>
    </w:p>
    <w:p w14:paraId="018B1E4E">
      <w:pPr>
        <w:spacing w:line="360" w:lineRule="auto"/>
        <w:ind w:firstLine="420"/>
        <w:rPr>
          <w:rFonts w:hint="eastAsia" w:ascii="宋体" w:hAnsi="宋体" w:cs="宋体"/>
          <w:color w:val="auto"/>
          <w:highlight w:val="none"/>
        </w:rPr>
      </w:pPr>
      <w:r>
        <w:rPr>
          <w:rFonts w:hint="eastAsia" w:ascii="宋体" w:hAnsi="宋体" w:cs="宋体"/>
          <w:color w:val="auto"/>
          <w:highlight w:val="none"/>
        </w:rPr>
        <w:t>（5）必要的法律依据；</w:t>
      </w:r>
    </w:p>
    <w:p w14:paraId="46DFFB71">
      <w:pPr>
        <w:spacing w:line="360" w:lineRule="auto"/>
        <w:ind w:firstLine="420"/>
        <w:rPr>
          <w:rFonts w:hint="eastAsia" w:ascii="宋体" w:hAnsi="宋体" w:cs="宋体"/>
          <w:color w:val="auto"/>
          <w:highlight w:val="none"/>
        </w:rPr>
      </w:pPr>
      <w:r>
        <w:rPr>
          <w:rFonts w:hint="eastAsia" w:ascii="宋体" w:hAnsi="宋体" w:cs="宋体"/>
          <w:color w:val="auto"/>
          <w:highlight w:val="none"/>
        </w:rPr>
        <w:t>（6）提出质疑的日期。</w:t>
      </w:r>
    </w:p>
    <w:p w14:paraId="4A8CAA13">
      <w:pPr>
        <w:spacing w:line="360" w:lineRule="auto"/>
        <w:ind w:firstLine="420"/>
        <w:rPr>
          <w:rFonts w:hint="eastAsia" w:ascii="宋体" w:hAnsi="宋体" w:cs="宋体"/>
          <w:color w:val="auto"/>
          <w:highlight w:val="none"/>
        </w:rPr>
      </w:pPr>
      <w:r>
        <w:rPr>
          <w:rFonts w:hint="eastAsia" w:ascii="宋体" w:hAnsi="宋体" w:cs="宋体"/>
          <w:color w:val="auto"/>
          <w:highlight w:val="none"/>
        </w:rPr>
        <w:t>供应商为自然人的，应当由本人签字；供应商为法人或者其他组织的，应当由法定代表人、主要负责人，或者其委托代理人签字或者盖章，并加盖公章。</w:t>
      </w:r>
    </w:p>
    <w:p w14:paraId="55F5AA92">
      <w:pPr>
        <w:spacing w:line="360" w:lineRule="auto"/>
        <w:ind w:firstLine="420"/>
        <w:rPr>
          <w:rFonts w:hint="eastAsia" w:ascii="宋体" w:hAnsi="宋体" w:cs="宋体"/>
          <w:color w:val="auto"/>
          <w:highlight w:val="none"/>
        </w:rPr>
      </w:pPr>
      <w:r>
        <w:rPr>
          <w:rFonts w:hint="eastAsia" w:ascii="宋体" w:hAnsi="宋体" w:cs="宋体"/>
          <w:color w:val="auto"/>
          <w:highlight w:val="none"/>
        </w:rPr>
        <w:t>31.5采购人、采购代理机构认为供应商质疑不成立，或者成立但未对成交结果构成影响的，继续开展采购活动；认为供应商质疑成立且影响或者可能影响成交结果的，按照下列情况处理：</w:t>
      </w:r>
    </w:p>
    <w:p w14:paraId="35815791">
      <w:pPr>
        <w:spacing w:line="360" w:lineRule="auto"/>
        <w:ind w:firstLine="420"/>
        <w:rPr>
          <w:rFonts w:hint="eastAsia" w:ascii="宋体" w:hAnsi="宋体" w:cs="宋体"/>
          <w:color w:val="auto"/>
          <w:highlight w:val="none"/>
        </w:rPr>
      </w:pPr>
      <w:r>
        <w:rPr>
          <w:rFonts w:hint="eastAsia" w:ascii="宋体" w:hAnsi="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72DC099D">
      <w:pPr>
        <w:spacing w:line="360" w:lineRule="auto"/>
        <w:ind w:firstLine="420"/>
        <w:rPr>
          <w:rFonts w:hint="eastAsia" w:ascii="宋体" w:hAnsi="宋体" w:cs="宋体"/>
          <w:color w:val="auto"/>
          <w:highlight w:val="none"/>
        </w:rPr>
      </w:pPr>
      <w:r>
        <w:rPr>
          <w:rFonts w:hint="eastAsia" w:ascii="宋体" w:hAnsi="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2578EAE8">
      <w:pPr>
        <w:spacing w:line="360" w:lineRule="auto"/>
        <w:ind w:firstLine="420"/>
        <w:rPr>
          <w:rFonts w:hint="eastAsia" w:ascii="宋体" w:hAnsi="宋体" w:cs="宋体"/>
          <w:color w:val="auto"/>
          <w:highlight w:val="none"/>
        </w:rPr>
      </w:pPr>
      <w:r>
        <w:rPr>
          <w:rFonts w:hint="eastAsia" w:ascii="宋体" w:hAnsi="宋体" w:cs="宋体"/>
          <w:color w:val="auto"/>
          <w:highlight w:val="none"/>
        </w:rPr>
        <w:t>质疑答复导致成交结果改变的，采购人或者采购代理机构应当将有关情况书面报告本级财政部门。</w:t>
      </w:r>
    </w:p>
    <w:p w14:paraId="6C4D7067">
      <w:pPr>
        <w:spacing w:line="360" w:lineRule="auto"/>
        <w:ind w:firstLine="420"/>
        <w:rPr>
          <w:rFonts w:hint="eastAsia" w:ascii="宋体" w:hAnsi="宋体" w:cs="宋体"/>
          <w:color w:val="auto"/>
          <w:szCs w:val="21"/>
          <w:highlight w:val="none"/>
        </w:rPr>
      </w:pPr>
      <w:r>
        <w:rPr>
          <w:rFonts w:hint="eastAsia" w:ascii="宋体" w:hAnsi="宋体" w:cs="宋体"/>
          <w:color w:val="auto"/>
          <w:highlight w:val="none"/>
        </w:rPr>
        <w:t>31.6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75049ED3">
      <w:pPr>
        <w:spacing w:line="360" w:lineRule="auto"/>
        <w:ind w:firstLine="482"/>
        <w:rPr>
          <w:rFonts w:hint="eastAsia" w:ascii="宋体" w:hAnsi="宋体" w:cs="宋体"/>
          <w:b/>
          <w:bCs/>
          <w:color w:val="auto"/>
          <w:sz w:val="24"/>
          <w:highlight w:val="none"/>
        </w:rPr>
      </w:pPr>
      <w:r>
        <w:rPr>
          <w:rFonts w:hint="eastAsia" w:ascii="宋体" w:hAnsi="宋体" w:cs="宋体"/>
          <w:b/>
          <w:bCs/>
          <w:color w:val="auto"/>
          <w:sz w:val="24"/>
          <w:highlight w:val="none"/>
        </w:rPr>
        <w:t>32.其他内容</w:t>
      </w:r>
    </w:p>
    <w:p w14:paraId="01AA9F0D">
      <w:pPr>
        <w:tabs>
          <w:tab w:val="left" w:pos="2835"/>
        </w:tabs>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32.1</w:t>
      </w:r>
      <w:r>
        <w:rPr>
          <w:rFonts w:hint="eastAsia" w:hAnsi="宋体" w:cs="宋体"/>
          <w:color w:val="auto"/>
          <w:highlight w:val="none"/>
        </w:rPr>
        <w:t>采购代理费</w:t>
      </w:r>
      <w:r>
        <w:rPr>
          <w:rFonts w:hint="eastAsia" w:ascii="宋体" w:hAnsi="宋体" w:cs="宋体"/>
          <w:color w:val="auto"/>
          <w:szCs w:val="21"/>
          <w:highlight w:val="none"/>
        </w:rPr>
        <w:t>收取标准及缴费账户详见“供应商须知前附表”，供应商为联合体的，可以由联合体中的一方或者多方共同交纳代理服务费。</w:t>
      </w:r>
    </w:p>
    <w:p w14:paraId="2E497839">
      <w:pPr>
        <w:spacing w:line="360" w:lineRule="auto"/>
        <w:ind w:firstLine="420"/>
        <w:rPr>
          <w:rFonts w:hint="eastAsia" w:ascii="宋体" w:hAnsi="宋体" w:cs="宋体"/>
          <w:color w:val="auto"/>
          <w:highlight w:val="none"/>
        </w:rPr>
      </w:pPr>
      <w:r>
        <w:rPr>
          <w:rFonts w:hint="eastAsia" w:ascii="宋体" w:hAnsi="宋体" w:cs="宋体"/>
          <w:color w:val="auto"/>
          <w:szCs w:val="21"/>
          <w:highlight w:val="none"/>
        </w:rPr>
        <w:t>32.2</w:t>
      </w:r>
      <w:r>
        <w:rPr>
          <w:rFonts w:hint="eastAsia" w:hAnsi="宋体" w:cs="宋体"/>
          <w:color w:val="auto"/>
          <w:highlight w:val="none"/>
        </w:rPr>
        <w:t>采购代理费</w:t>
      </w:r>
      <w:r>
        <w:rPr>
          <w:rFonts w:hint="eastAsia" w:ascii="宋体" w:hAnsi="宋体" w:cs="宋体"/>
          <w:color w:val="auto"/>
          <w:szCs w:val="21"/>
          <w:highlight w:val="none"/>
        </w:rPr>
        <w:t>收费计算标准：见供应商须知前附表。</w:t>
      </w:r>
    </w:p>
    <w:p w14:paraId="2E0E3683">
      <w:pPr>
        <w:spacing w:line="360" w:lineRule="auto"/>
        <w:ind w:firstLine="482"/>
        <w:rPr>
          <w:rFonts w:hint="eastAsia" w:ascii="宋体" w:hAnsi="宋体" w:cs="宋体"/>
          <w:b/>
          <w:bCs/>
          <w:color w:val="auto"/>
          <w:sz w:val="24"/>
          <w:highlight w:val="none"/>
        </w:rPr>
      </w:pPr>
      <w:r>
        <w:rPr>
          <w:rFonts w:hint="eastAsia" w:ascii="宋体" w:hAnsi="宋体" w:cs="宋体"/>
          <w:b/>
          <w:bCs/>
          <w:color w:val="auto"/>
          <w:sz w:val="24"/>
          <w:highlight w:val="none"/>
        </w:rPr>
        <w:t>33.需要补充的其他内容</w:t>
      </w:r>
    </w:p>
    <w:p w14:paraId="14901A27">
      <w:pPr>
        <w:pStyle w:val="226"/>
        <w:spacing w:line="360" w:lineRule="auto"/>
        <w:ind w:firstLine="420"/>
        <w:rPr>
          <w:rFonts w:hint="eastAsia" w:hAnsi="宋体" w:cs="宋体"/>
          <w:color w:val="auto"/>
          <w:sz w:val="21"/>
          <w:highlight w:val="none"/>
        </w:rPr>
      </w:pPr>
      <w:r>
        <w:rPr>
          <w:rFonts w:hint="eastAsia" w:hAnsi="宋体" w:cs="宋体"/>
          <w:color w:val="auto"/>
          <w:sz w:val="21"/>
          <w:highlight w:val="none"/>
        </w:rPr>
        <w:t>33.1本磋商文件解释规则详见“供应商须知前附表”。</w:t>
      </w:r>
    </w:p>
    <w:p w14:paraId="0DD57EFD">
      <w:pPr>
        <w:pStyle w:val="226"/>
        <w:spacing w:line="360" w:lineRule="auto"/>
        <w:ind w:firstLine="420"/>
        <w:rPr>
          <w:rFonts w:hint="eastAsia" w:hAnsi="宋体" w:cs="宋体"/>
          <w:color w:val="auto"/>
          <w:sz w:val="21"/>
          <w:highlight w:val="none"/>
        </w:rPr>
      </w:pPr>
      <w:r>
        <w:rPr>
          <w:rFonts w:hint="eastAsia" w:hAnsi="宋体" w:cs="宋体"/>
          <w:color w:val="auto"/>
          <w:sz w:val="21"/>
          <w:highlight w:val="none"/>
        </w:rPr>
        <w:t>33.2农民工工资保证金见“供应商须知前附表”。</w:t>
      </w:r>
    </w:p>
    <w:p w14:paraId="443D97A8">
      <w:pPr>
        <w:pStyle w:val="226"/>
        <w:spacing w:line="360" w:lineRule="auto"/>
        <w:ind w:firstLine="420"/>
        <w:rPr>
          <w:rFonts w:hint="eastAsia" w:hAnsi="宋体" w:cs="宋体"/>
          <w:color w:val="auto"/>
          <w:sz w:val="21"/>
          <w:highlight w:val="none"/>
        </w:rPr>
      </w:pPr>
      <w:r>
        <w:rPr>
          <w:rFonts w:hint="eastAsia" w:hAnsi="宋体" w:cs="宋体"/>
          <w:color w:val="auto"/>
          <w:sz w:val="21"/>
          <w:highlight w:val="none"/>
        </w:rPr>
        <w:t>33.3 其他事项详见“供应商须知前附表”。</w:t>
      </w:r>
    </w:p>
    <w:p w14:paraId="4E495354">
      <w:pPr>
        <w:pStyle w:val="226"/>
        <w:spacing w:line="360" w:lineRule="auto"/>
        <w:ind w:firstLine="420"/>
        <w:rPr>
          <w:rFonts w:hint="eastAsia" w:hAnsi="宋体" w:cs="宋体"/>
          <w:color w:val="auto"/>
          <w:sz w:val="21"/>
          <w:highlight w:val="none"/>
        </w:rPr>
      </w:pPr>
      <w:r>
        <w:rPr>
          <w:rFonts w:hint="eastAsia" w:hAnsi="宋体" w:cs="宋体"/>
          <w:color w:val="auto"/>
          <w:sz w:val="21"/>
          <w:highlight w:val="none"/>
        </w:rPr>
        <w:t>33.4本磋商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磋商文件规定的中小企业扶持政策：</w:t>
      </w:r>
    </w:p>
    <w:p w14:paraId="3598218B">
      <w:pPr>
        <w:pStyle w:val="226"/>
        <w:spacing w:line="360" w:lineRule="auto"/>
        <w:ind w:firstLine="420"/>
        <w:contextualSpacing/>
        <w:rPr>
          <w:rFonts w:hint="eastAsia" w:hAnsi="宋体" w:cs="宋体"/>
          <w:color w:val="auto"/>
          <w:sz w:val="21"/>
          <w:highlight w:val="none"/>
        </w:rPr>
      </w:pPr>
      <w:r>
        <w:rPr>
          <w:rFonts w:hint="eastAsia" w:hAnsi="宋体" w:cs="宋体"/>
          <w:color w:val="auto"/>
          <w:sz w:val="21"/>
          <w:highlight w:val="none"/>
        </w:rPr>
        <w:t>（1）在货物采购项目中，货物由中小企业制造，即货物由中小企业生产且使用该中小企业商号或者注册商标，不对其中涉及的工程承建商和服务的承接商作出要求；</w:t>
      </w:r>
    </w:p>
    <w:p w14:paraId="5462DE0E">
      <w:pPr>
        <w:pStyle w:val="226"/>
        <w:spacing w:line="360" w:lineRule="auto"/>
        <w:ind w:firstLine="420"/>
        <w:contextualSpacing/>
        <w:rPr>
          <w:rFonts w:hint="eastAsia" w:hAnsi="宋体" w:cs="宋体"/>
          <w:color w:val="auto"/>
          <w:sz w:val="21"/>
          <w:highlight w:val="none"/>
        </w:rPr>
      </w:pPr>
      <w:r>
        <w:rPr>
          <w:rFonts w:hint="eastAsia" w:hAnsi="宋体" w:cs="宋体"/>
          <w:color w:val="auto"/>
          <w:sz w:val="21"/>
          <w:highlight w:val="none"/>
        </w:rPr>
        <w:t>（2）在工程采购项目中，工程由中小企业承建，即工程施工单位为中小企业，不对其中涉及的货物的制造商和服务的承接商作出要求；</w:t>
      </w:r>
    </w:p>
    <w:p w14:paraId="7B54D56D">
      <w:pPr>
        <w:pStyle w:val="226"/>
        <w:spacing w:line="360" w:lineRule="auto"/>
        <w:ind w:firstLine="420"/>
        <w:contextualSpacing/>
        <w:rPr>
          <w:rFonts w:hint="eastAsia" w:hAnsi="宋体" w:cs="宋体"/>
          <w:color w:val="auto"/>
          <w:sz w:val="21"/>
          <w:highlight w:val="none"/>
        </w:rPr>
      </w:pPr>
      <w:r>
        <w:rPr>
          <w:rFonts w:hint="eastAsia" w:hAnsi="宋体" w:cs="宋体"/>
          <w:color w:val="auto"/>
          <w:sz w:val="21"/>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45FC8580">
      <w:pPr>
        <w:pStyle w:val="226"/>
        <w:spacing w:line="360" w:lineRule="auto"/>
        <w:ind w:firstLine="420"/>
        <w:contextualSpacing/>
        <w:rPr>
          <w:rFonts w:hint="eastAsia" w:hAnsi="宋体" w:cs="宋体"/>
          <w:color w:val="auto"/>
          <w:sz w:val="21"/>
          <w:highlight w:val="none"/>
        </w:rPr>
      </w:pPr>
      <w:r>
        <w:rPr>
          <w:rFonts w:hint="eastAsia" w:hAnsi="宋体" w:cs="宋体"/>
          <w:color w:val="auto"/>
          <w:sz w:val="21"/>
          <w:highlight w:val="none"/>
        </w:rPr>
        <w:t>在货物采购项目中，供应商提供的货物既有中小企业制造货物，也有大型企业制造货物的，不享受本磋商文件规定的中小企业扶持政策。以联合体形式参加政府采购活动，联合体各方均为中小企业的，联合体视同中小企业。其中，联合体各方均为小微企业的，联合体视同小微企业。</w:t>
      </w:r>
    </w:p>
    <w:p w14:paraId="79CE74A3">
      <w:pPr>
        <w:pStyle w:val="226"/>
        <w:spacing w:line="360" w:lineRule="auto"/>
        <w:ind w:firstLine="420"/>
        <w:contextualSpacing/>
        <w:rPr>
          <w:rFonts w:hint="eastAsia" w:hAnsi="宋体" w:cs="宋体"/>
          <w:color w:val="auto"/>
          <w:sz w:val="21"/>
          <w:highlight w:val="none"/>
        </w:rPr>
      </w:pPr>
      <w:r>
        <w:rPr>
          <w:rFonts w:hint="eastAsia" w:hAnsi="宋体" w:cs="宋体"/>
          <w:color w:val="auto"/>
          <w:sz w:val="21"/>
          <w:highlight w:val="none"/>
        </w:rPr>
        <w:t>依据本磋商文件规定享受扶持政策获得政府采购合同的，小微企业不得将合同分包给大中型企业，中型企业不得将合同分包给大型企业。</w:t>
      </w:r>
    </w:p>
    <w:p w14:paraId="6DA25524">
      <w:pPr>
        <w:pStyle w:val="187"/>
        <w:spacing w:before="0" w:after="0" w:line="360" w:lineRule="auto"/>
        <w:jc w:val="center"/>
        <w:rPr>
          <w:rFonts w:hint="eastAsia" w:ascii="宋体" w:hAnsi="宋体" w:cs="宋体"/>
          <w:color w:val="auto"/>
          <w:highlight w:val="none"/>
        </w:rPr>
      </w:pPr>
      <w:r>
        <w:rPr>
          <w:rFonts w:hint="eastAsia" w:ascii="宋体" w:hAnsi="宋体" w:cs="宋体"/>
          <w:b w:val="0"/>
          <w:color w:val="auto"/>
          <w:highlight w:val="none"/>
        </w:rPr>
        <w:br w:type="page" w:clear="all"/>
      </w:r>
      <w:bookmarkStart w:id="83" w:name="_Toc122424246"/>
      <w:r>
        <w:rPr>
          <w:rFonts w:hint="eastAsia" w:ascii="宋体" w:hAnsi="宋体" w:cs="宋体"/>
          <w:color w:val="auto"/>
          <w:highlight w:val="none"/>
        </w:rPr>
        <w:t>第三章 采购需求</w:t>
      </w:r>
      <w:bookmarkEnd w:id="83"/>
    </w:p>
    <w:p w14:paraId="2505CCC9">
      <w:pPr>
        <w:spacing w:line="360" w:lineRule="auto"/>
        <w:jc w:val="left"/>
        <w:rPr>
          <w:rFonts w:hint="eastAsia" w:ascii="宋体" w:hAnsi="宋体" w:cs="宋体"/>
          <w:color w:val="auto"/>
          <w:szCs w:val="21"/>
          <w:highlight w:val="none"/>
        </w:rPr>
      </w:pPr>
      <w:bookmarkStart w:id="84" w:name="_Toc122424247"/>
      <w:r>
        <w:rPr>
          <w:rFonts w:hint="eastAsia" w:ascii="宋体" w:hAnsi="宋体" w:cs="宋体"/>
          <w:color w:val="auto"/>
          <w:szCs w:val="21"/>
          <w:highlight w:val="none"/>
        </w:rPr>
        <w:t>说明：</w:t>
      </w:r>
    </w:p>
    <w:p w14:paraId="3212EABF">
      <w:pPr>
        <w:spacing w:line="360" w:lineRule="auto"/>
        <w:ind w:firstLine="420"/>
        <w:jc w:val="left"/>
        <w:rPr>
          <w:rFonts w:hint="eastAsia" w:ascii="宋体" w:hAnsi="宋体" w:cs="宋体"/>
          <w:color w:val="auto"/>
          <w:szCs w:val="21"/>
          <w:highlight w:val="none"/>
        </w:rPr>
      </w:pPr>
      <w:r>
        <w:rPr>
          <w:rFonts w:hint="eastAsia" w:ascii="宋体" w:hAnsi="宋体" w:cs="宋体"/>
          <w:color w:val="auto"/>
          <w:highlight w:val="none"/>
        </w:rPr>
        <w:t>1. 为落实政府采购政策需满足的要求</w:t>
      </w:r>
    </w:p>
    <w:p w14:paraId="0463B5BE">
      <w:pPr>
        <w:spacing w:line="360"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rPr>
        <w:t>本竞争性磋商采购文件所称中小企业必须符合《政府采购促进中小企业发展管理办法》（财库〔2020〕46号）的规定。</w:t>
      </w:r>
    </w:p>
    <w:p w14:paraId="5B23DB70">
      <w:pPr>
        <w:spacing w:line="360" w:lineRule="auto"/>
        <w:ind w:firstLine="424"/>
        <w:jc w:val="left"/>
        <w:rPr>
          <w:rFonts w:hint="eastAsia" w:ascii="宋体" w:hAnsi="宋体" w:cs="宋体"/>
          <w:color w:val="auto"/>
          <w:szCs w:val="21"/>
          <w:highlight w:val="none"/>
        </w:rPr>
      </w:pPr>
      <w:r>
        <w:rPr>
          <w:rFonts w:hint="eastAsia" w:ascii="宋体" w:hAnsi="宋体" w:cs="宋体"/>
          <w:color w:val="auto"/>
          <w:szCs w:val="21"/>
          <w:highlight w:val="none"/>
        </w:rPr>
        <w:t>2. “实质性要求”是指采购需求中带“▲”的条款或者不能负偏离的条款或者已经指明不满足响应文件按无效处理的条款。</w:t>
      </w:r>
    </w:p>
    <w:p w14:paraId="42E5534C">
      <w:pPr>
        <w:spacing w:line="360" w:lineRule="auto"/>
        <w:ind w:firstLine="420"/>
        <w:jc w:val="left"/>
        <w:rPr>
          <w:rFonts w:hint="eastAsia" w:ascii="宋体" w:hAnsi="宋体" w:cs="宋体"/>
          <w:bCs/>
          <w:color w:val="auto"/>
          <w:szCs w:val="21"/>
          <w:highlight w:val="none"/>
          <w:u w:val="single"/>
        </w:rPr>
      </w:pPr>
      <w:r>
        <w:rPr>
          <w:rFonts w:hint="eastAsia" w:ascii="宋体" w:hAnsi="宋体" w:cs="宋体"/>
          <w:color w:val="auto"/>
          <w:szCs w:val="21"/>
          <w:highlight w:val="none"/>
        </w:rPr>
        <w:t>3.供应商应根据自身实际情况如实响应磋商文件，</w:t>
      </w:r>
      <w:r>
        <w:rPr>
          <w:rFonts w:hint="eastAsia" w:ascii="宋体" w:hAnsi="宋体" w:cs="宋体"/>
          <w:color w:val="auto"/>
          <w:highlight w:val="none"/>
        </w:rPr>
        <w:t>对于重要技术条款或技术参数如需在响应文件中提供技术支持资料的，技术支持资料以磋商文件中规定的形式为准，否则将视为无效技术支持资料。</w:t>
      </w:r>
    </w:p>
    <w:p w14:paraId="368F5047">
      <w:pPr>
        <w:spacing w:line="480" w:lineRule="auto"/>
        <w:ind w:firstLine="422"/>
        <w:jc w:val="left"/>
        <w:rPr>
          <w:rFonts w:hint="eastAsia" w:ascii="宋体" w:hAnsi="宋体" w:cs="宋体"/>
          <w:b/>
          <w:bCs/>
          <w:color w:val="auto"/>
          <w:highlight w:val="none"/>
        </w:rPr>
      </w:pPr>
      <w:r>
        <w:rPr>
          <w:rFonts w:hint="eastAsia" w:ascii="宋体" w:hAnsi="宋体" w:cs="宋体"/>
          <w:b/>
          <w:bCs/>
          <w:color w:val="auto"/>
          <w:highlight w:val="none"/>
        </w:rPr>
        <w:t>▲一、项目合同价格形式</w:t>
      </w:r>
    </w:p>
    <w:p w14:paraId="11A5AD17">
      <w:pPr>
        <w:spacing w:line="480" w:lineRule="auto"/>
        <w:ind w:firstLine="420"/>
        <w:jc w:val="left"/>
        <w:rPr>
          <w:rFonts w:hint="eastAsia" w:ascii="宋体" w:hAnsi="宋体" w:cs="宋体"/>
          <w:color w:val="auto"/>
          <w:highlight w:val="none"/>
        </w:rPr>
      </w:pPr>
      <w:bookmarkStart w:id="85" w:name="_Toc1789"/>
      <w:bookmarkStart w:id="86" w:name="_Toc30945"/>
      <w:r>
        <w:rPr>
          <w:rFonts w:hint="eastAsia" w:ascii="宋体" w:hAnsi="宋体" w:cs="宋体"/>
          <w:color w:val="auto"/>
          <w:highlight w:val="none"/>
        </w:rPr>
        <w:t>本项目固定单价合同，合同期内不调价，以实际工程量结算。</w:t>
      </w:r>
    </w:p>
    <w:p w14:paraId="504E23B5">
      <w:pPr>
        <w:spacing w:line="480" w:lineRule="auto"/>
        <w:ind w:firstLine="422"/>
        <w:jc w:val="left"/>
        <w:rPr>
          <w:rFonts w:hint="eastAsia" w:ascii="宋体" w:hAnsi="宋体" w:cs="宋体"/>
          <w:b/>
          <w:bCs/>
          <w:color w:val="auto"/>
          <w:highlight w:val="none"/>
        </w:rPr>
      </w:pPr>
      <w:r>
        <w:rPr>
          <w:rFonts w:hint="eastAsia" w:ascii="宋体" w:hAnsi="宋体" w:cs="宋体"/>
          <w:b/>
          <w:bCs/>
          <w:color w:val="auto"/>
          <w:highlight w:val="none"/>
        </w:rPr>
        <w:t>▲二、项目采购范围</w:t>
      </w:r>
      <w:bookmarkEnd w:id="84"/>
      <w:bookmarkEnd w:id="85"/>
    </w:p>
    <w:tbl>
      <w:tblPr>
        <w:tblStyle w:val="33"/>
        <w:tblW w:w="9504"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0"/>
        <w:gridCol w:w="1708"/>
        <w:gridCol w:w="1073"/>
        <w:gridCol w:w="3956"/>
        <w:gridCol w:w="1917"/>
      </w:tblGrid>
      <w:tr w14:paraId="680273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07" w:hRule="atLeast"/>
        </w:trPr>
        <w:tc>
          <w:tcPr>
            <w:tcW w:w="850" w:type="dxa"/>
            <w:tcBorders>
              <w:top w:val="single" w:color="auto" w:sz="4" w:space="0"/>
              <w:left w:val="single" w:color="auto" w:sz="4" w:space="0"/>
              <w:bottom w:val="single" w:color="auto" w:sz="4" w:space="0"/>
              <w:right w:val="single" w:color="auto" w:sz="4" w:space="0"/>
            </w:tcBorders>
            <w:vAlign w:val="center"/>
          </w:tcPr>
          <w:p w14:paraId="0F8262FD">
            <w:pPr>
              <w:spacing w:line="500" w:lineRule="exact"/>
              <w:jc w:val="center"/>
              <w:rPr>
                <w:rFonts w:hint="eastAsia" w:ascii="宋体" w:hAnsi="宋体" w:cs="宋体"/>
                <w:color w:val="auto"/>
                <w:szCs w:val="21"/>
                <w:highlight w:val="none"/>
              </w:rPr>
            </w:pPr>
            <w:bookmarkStart w:id="87" w:name="_Toc24484"/>
            <w:bookmarkStart w:id="88" w:name="_Toc25387"/>
            <w:r>
              <w:rPr>
                <w:rFonts w:hint="eastAsia" w:ascii="宋体" w:hAnsi="宋体" w:cs="宋体"/>
                <w:color w:val="auto"/>
                <w:szCs w:val="21"/>
                <w:highlight w:val="none"/>
              </w:rPr>
              <w:t>序号</w:t>
            </w:r>
          </w:p>
        </w:tc>
        <w:tc>
          <w:tcPr>
            <w:tcW w:w="1708" w:type="dxa"/>
            <w:tcBorders>
              <w:top w:val="single" w:color="auto" w:sz="4" w:space="0"/>
              <w:left w:val="single" w:color="auto" w:sz="4" w:space="0"/>
              <w:bottom w:val="single" w:color="auto" w:sz="4" w:space="0"/>
              <w:right w:val="single" w:color="auto" w:sz="4" w:space="0"/>
            </w:tcBorders>
            <w:vAlign w:val="center"/>
          </w:tcPr>
          <w:p w14:paraId="0248A8BD">
            <w:pPr>
              <w:spacing w:line="500" w:lineRule="exact"/>
              <w:jc w:val="center"/>
              <w:rPr>
                <w:rFonts w:hint="eastAsia" w:ascii="宋体" w:hAnsi="宋体" w:cs="宋体"/>
                <w:color w:val="auto"/>
                <w:szCs w:val="21"/>
                <w:highlight w:val="none"/>
              </w:rPr>
            </w:pPr>
            <w:r>
              <w:rPr>
                <w:rFonts w:hint="eastAsia" w:ascii="宋体" w:hAnsi="宋体" w:cs="宋体"/>
                <w:color w:val="auto"/>
                <w:szCs w:val="21"/>
                <w:highlight w:val="none"/>
              </w:rPr>
              <w:t>标的名称</w:t>
            </w:r>
          </w:p>
        </w:tc>
        <w:tc>
          <w:tcPr>
            <w:tcW w:w="1073" w:type="dxa"/>
            <w:tcBorders>
              <w:top w:val="single" w:color="auto" w:sz="4" w:space="0"/>
              <w:left w:val="single" w:color="auto" w:sz="4" w:space="0"/>
              <w:bottom w:val="single" w:color="auto" w:sz="4" w:space="0"/>
              <w:right w:val="single" w:color="auto" w:sz="4" w:space="0"/>
            </w:tcBorders>
            <w:vAlign w:val="center"/>
          </w:tcPr>
          <w:p w14:paraId="1BFF763A">
            <w:pPr>
              <w:spacing w:line="500" w:lineRule="exact"/>
              <w:jc w:val="center"/>
              <w:rPr>
                <w:rFonts w:hint="eastAsia" w:ascii="宋体" w:hAnsi="宋体" w:cs="宋体"/>
                <w:color w:val="auto"/>
                <w:szCs w:val="21"/>
                <w:highlight w:val="none"/>
              </w:rPr>
            </w:pPr>
            <w:r>
              <w:rPr>
                <w:rFonts w:hint="eastAsia" w:ascii="宋体" w:hAnsi="宋体" w:cs="宋体"/>
                <w:color w:val="auto"/>
                <w:szCs w:val="21"/>
                <w:highlight w:val="none"/>
              </w:rPr>
              <w:t>数量及</w:t>
            </w:r>
          </w:p>
          <w:p w14:paraId="510245B3">
            <w:pPr>
              <w:spacing w:line="500" w:lineRule="exact"/>
              <w:jc w:val="center"/>
              <w:rPr>
                <w:rFonts w:hint="eastAsia" w:ascii="宋体" w:hAnsi="宋体" w:cs="宋体"/>
                <w:color w:val="auto"/>
                <w:szCs w:val="21"/>
                <w:highlight w:val="none"/>
              </w:rPr>
            </w:pPr>
            <w:r>
              <w:rPr>
                <w:rFonts w:hint="eastAsia" w:ascii="宋体" w:hAnsi="宋体" w:cs="宋体"/>
                <w:color w:val="auto"/>
                <w:szCs w:val="21"/>
                <w:highlight w:val="none"/>
              </w:rPr>
              <w:t>单位</w:t>
            </w:r>
          </w:p>
        </w:tc>
        <w:tc>
          <w:tcPr>
            <w:tcW w:w="3956" w:type="dxa"/>
            <w:tcBorders>
              <w:top w:val="single" w:color="auto" w:sz="4" w:space="0"/>
              <w:left w:val="single" w:color="auto" w:sz="4" w:space="0"/>
              <w:bottom w:val="single" w:color="auto" w:sz="4" w:space="0"/>
              <w:right w:val="single" w:color="auto" w:sz="4" w:space="0"/>
            </w:tcBorders>
            <w:vAlign w:val="center"/>
          </w:tcPr>
          <w:p w14:paraId="69BA7077">
            <w:pPr>
              <w:spacing w:line="500" w:lineRule="exact"/>
              <w:jc w:val="center"/>
              <w:rPr>
                <w:rFonts w:hint="eastAsia" w:ascii="宋体" w:hAnsi="宋体" w:cs="宋体"/>
                <w:color w:val="auto"/>
                <w:szCs w:val="21"/>
                <w:highlight w:val="none"/>
              </w:rPr>
            </w:pPr>
            <w:r>
              <w:rPr>
                <w:rFonts w:hint="eastAsia" w:ascii="宋体" w:hAnsi="宋体" w:cs="宋体"/>
                <w:color w:val="auto"/>
                <w:szCs w:val="21"/>
                <w:highlight w:val="none"/>
              </w:rPr>
              <w:t>简要技术需求或者服务要求</w:t>
            </w:r>
          </w:p>
        </w:tc>
        <w:tc>
          <w:tcPr>
            <w:tcW w:w="1917" w:type="dxa"/>
            <w:tcBorders>
              <w:top w:val="single" w:color="auto" w:sz="4" w:space="0"/>
              <w:left w:val="single" w:color="auto" w:sz="4" w:space="0"/>
              <w:bottom w:val="single" w:color="auto" w:sz="4" w:space="0"/>
              <w:right w:val="single" w:color="auto" w:sz="4" w:space="0"/>
            </w:tcBorders>
            <w:vAlign w:val="center"/>
          </w:tcPr>
          <w:p w14:paraId="643270BC">
            <w:pPr>
              <w:spacing w:line="500" w:lineRule="exact"/>
              <w:jc w:val="center"/>
              <w:rPr>
                <w:rFonts w:hint="eastAsia" w:ascii="宋体" w:hAnsi="宋体" w:cs="宋体"/>
                <w:color w:val="auto"/>
                <w:szCs w:val="21"/>
                <w:highlight w:val="none"/>
              </w:rPr>
            </w:pPr>
            <w:r>
              <w:rPr>
                <w:rFonts w:hint="eastAsia" w:ascii="宋体" w:hAnsi="宋体" w:cs="宋体"/>
                <w:color w:val="auto"/>
                <w:szCs w:val="21"/>
                <w:highlight w:val="none"/>
              </w:rPr>
              <w:t>最高限价（元）</w:t>
            </w:r>
          </w:p>
        </w:tc>
      </w:tr>
      <w:tr w14:paraId="0C7356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91" w:hRule="atLeast"/>
        </w:trPr>
        <w:tc>
          <w:tcPr>
            <w:tcW w:w="850" w:type="dxa"/>
            <w:tcBorders>
              <w:top w:val="single" w:color="auto" w:sz="4" w:space="0"/>
              <w:left w:val="single" w:color="auto" w:sz="4" w:space="0"/>
              <w:bottom w:val="single" w:color="auto" w:sz="4" w:space="0"/>
              <w:right w:val="single" w:color="auto" w:sz="4" w:space="0"/>
            </w:tcBorders>
            <w:vAlign w:val="center"/>
          </w:tcPr>
          <w:p w14:paraId="011EC7EF">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01</w:t>
            </w:r>
          </w:p>
        </w:tc>
        <w:tc>
          <w:tcPr>
            <w:tcW w:w="1708" w:type="dxa"/>
            <w:tcBorders>
              <w:top w:val="single" w:color="auto" w:sz="4" w:space="0"/>
              <w:left w:val="single" w:color="auto" w:sz="4" w:space="0"/>
              <w:bottom w:val="single" w:color="auto" w:sz="4" w:space="0"/>
              <w:right w:val="single" w:color="auto" w:sz="4" w:space="0"/>
            </w:tcBorders>
            <w:vAlign w:val="center"/>
          </w:tcPr>
          <w:p w14:paraId="776FEAED">
            <w:pPr>
              <w:spacing w:line="360"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筋竹镇中围村高山脚至石龙村掘坑道路硬化项目</w:t>
            </w:r>
          </w:p>
        </w:tc>
        <w:tc>
          <w:tcPr>
            <w:tcW w:w="1073" w:type="dxa"/>
            <w:tcBorders>
              <w:top w:val="single" w:color="auto" w:sz="4" w:space="0"/>
              <w:left w:val="single" w:color="auto" w:sz="4" w:space="0"/>
              <w:bottom w:val="single" w:color="auto" w:sz="4" w:space="0"/>
              <w:right w:val="single" w:color="auto" w:sz="4" w:space="0"/>
            </w:tcBorders>
            <w:vAlign w:val="center"/>
          </w:tcPr>
          <w:p w14:paraId="14085F3A">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1项</w:t>
            </w:r>
          </w:p>
        </w:tc>
        <w:tc>
          <w:tcPr>
            <w:tcW w:w="3956" w:type="dxa"/>
            <w:tcBorders>
              <w:top w:val="single" w:color="auto" w:sz="4" w:space="0"/>
              <w:left w:val="single" w:color="auto" w:sz="4" w:space="0"/>
              <w:bottom w:val="single" w:color="auto" w:sz="4" w:space="0"/>
              <w:right w:val="single" w:color="auto" w:sz="4" w:space="0"/>
            </w:tcBorders>
            <w:vAlign w:val="center"/>
          </w:tcPr>
          <w:p w14:paraId="10A92A40">
            <w:pPr>
              <w:pStyle w:val="213"/>
              <w:keepNext w:val="0"/>
              <w:keepLines w:val="0"/>
              <w:pageBreakBefore w:val="0"/>
              <w:widowControl w:val="0"/>
              <w:kinsoku/>
              <w:wordWrap w:val="0"/>
              <w:overflowPunct/>
              <w:topLinePunct w:val="0"/>
              <w:autoSpaceDE/>
              <w:autoSpaceDN/>
              <w:bidi w:val="0"/>
              <w:adjustRightInd/>
              <w:snapToGrid/>
              <w:spacing w:line="360" w:lineRule="auto"/>
              <w:textAlignment w:val="auto"/>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1.建筑地址：岑溪市筋竹镇中围村。</w:t>
            </w:r>
          </w:p>
          <w:p w14:paraId="5B0BFDB2">
            <w:pPr>
              <w:pStyle w:val="213"/>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cs="宋体"/>
                <w:color w:val="auto"/>
                <w:szCs w:val="21"/>
                <w:highlight w:val="none"/>
              </w:rPr>
            </w:pPr>
            <w:r>
              <w:rPr>
                <w:rFonts w:hint="eastAsia" w:ascii="宋体" w:hAnsi="宋体"/>
                <w:color w:val="auto"/>
                <w:szCs w:val="21"/>
                <w:highlight w:val="none"/>
                <w:lang w:val="en-US" w:eastAsia="zh-CN"/>
              </w:rPr>
              <w:t>2.</w:t>
            </w:r>
            <w:r>
              <w:rPr>
                <w:rFonts w:hint="eastAsia" w:ascii="宋体" w:hAnsi="宋体"/>
                <w:color w:val="auto"/>
                <w:szCs w:val="21"/>
                <w:highlight w:val="none"/>
              </w:rPr>
              <w:t>主要建设内容：硬化18cm厚C25混凝土道路长1.93公里，路面宽3.5米；碎石基层厚10cm,宽4米；路肩宽0.5米，安装DN600砼涵管25米，设错车道5个</w:t>
            </w:r>
            <w:r>
              <w:rPr>
                <w:rFonts w:hint="eastAsia" w:ascii="宋体" w:hAnsi="宋体"/>
                <w:color w:val="auto"/>
                <w:szCs w:val="21"/>
                <w:highlight w:val="none"/>
                <w:lang w:val="en-US" w:eastAsia="zh-CN"/>
              </w:rPr>
              <w:t>等内</w:t>
            </w:r>
            <w:r>
              <w:rPr>
                <w:rFonts w:hint="eastAsia" w:ascii="宋体" w:hAnsi="宋体"/>
                <w:color w:val="auto"/>
                <w:szCs w:val="21"/>
                <w:highlight w:val="none"/>
              </w:rPr>
              <w:t>容，具体详见本项目工程量清单及图纸。</w:t>
            </w:r>
          </w:p>
        </w:tc>
        <w:tc>
          <w:tcPr>
            <w:tcW w:w="1917" w:type="dxa"/>
            <w:tcBorders>
              <w:top w:val="single" w:color="auto" w:sz="4" w:space="0"/>
              <w:left w:val="single" w:color="auto" w:sz="4" w:space="0"/>
              <w:bottom w:val="single" w:color="auto" w:sz="4" w:space="0"/>
              <w:right w:val="single" w:color="auto" w:sz="4" w:space="0"/>
            </w:tcBorders>
            <w:vAlign w:val="center"/>
          </w:tcPr>
          <w:p w14:paraId="2100A220">
            <w:pPr>
              <w:pStyle w:val="190"/>
              <w:jc w:val="center"/>
              <w:rPr>
                <w:rFonts w:hint="eastAsia" w:ascii="宋体" w:hAnsi="宋体" w:eastAsia="宋体" w:cs="宋体"/>
                <w:b w:val="0"/>
                <w:bCs w:val="0"/>
                <w:color w:val="auto"/>
                <w:sz w:val="21"/>
                <w:szCs w:val="21"/>
                <w:highlight w:val="none"/>
                <w:lang w:eastAsia="zh-CN"/>
              </w:rPr>
            </w:pPr>
            <w:r>
              <w:rPr>
                <w:rFonts w:hint="eastAsia" w:ascii="宋体" w:hAnsi="宋体" w:cs="宋体"/>
                <w:b w:val="0"/>
                <w:bCs w:val="0"/>
                <w:color w:val="auto"/>
                <w:sz w:val="21"/>
                <w:szCs w:val="21"/>
                <w:highlight w:val="none"/>
                <w:lang w:eastAsia="zh-CN"/>
              </w:rPr>
              <w:t>843372.00</w:t>
            </w:r>
          </w:p>
        </w:tc>
      </w:tr>
    </w:tbl>
    <w:p w14:paraId="01F4BF31">
      <w:pPr>
        <w:spacing w:line="480" w:lineRule="auto"/>
        <w:ind w:firstLine="420"/>
        <w:jc w:val="left"/>
        <w:rPr>
          <w:rFonts w:hint="eastAsia" w:ascii="宋体" w:hAnsi="宋体" w:cs="宋体"/>
          <w:color w:val="auto"/>
          <w:highlight w:val="none"/>
        </w:rPr>
      </w:pPr>
    </w:p>
    <w:p w14:paraId="04592887">
      <w:pPr>
        <w:spacing w:line="480" w:lineRule="auto"/>
        <w:ind w:firstLine="422"/>
        <w:jc w:val="left"/>
        <w:rPr>
          <w:rFonts w:hint="eastAsia" w:ascii="宋体" w:hAnsi="宋体" w:cs="宋体"/>
          <w:b/>
          <w:bCs/>
          <w:color w:val="auto"/>
          <w:highlight w:val="none"/>
        </w:rPr>
      </w:pPr>
      <w:r>
        <w:rPr>
          <w:rFonts w:hint="eastAsia" w:ascii="宋体" w:hAnsi="宋体" w:cs="宋体"/>
          <w:b/>
          <w:bCs/>
          <w:color w:val="auto"/>
          <w:highlight w:val="none"/>
        </w:rPr>
        <w:t>▲三、项目</w:t>
      </w:r>
      <w:bookmarkEnd w:id="86"/>
      <w:bookmarkEnd w:id="87"/>
      <w:r>
        <w:rPr>
          <w:rFonts w:hint="eastAsia" w:ascii="宋体" w:hAnsi="宋体" w:cs="宋体"/>
          <w:b/>
          <w:bCs/>
          <w:color w:val="auto"/>
          <w:highlight w:val="none"/>
        </w:rPr>
        <w:t>质量要求</w:t>
      </w:r>
    </w:p>
    <w:p w14:paraId="5D44730F">
      <w:pPr>
        <w:spacing w:line="480" w:lineRule="auto"/>
        <w:ind w:firstLine="420"/>
        <w:jc w:val="left"/>
        <w:rPr>
          <w:rFonts w:hint="eastAsia" w:ascii="宋体" w:hAnsi="宋体" w:cs="宋体"/>
          <w:color w:val="auto"/>
          <w:highlight w:val="none"/>
        </w:rPr>
      </w:pPr>
      <w:r>
        <w:rPr>
          <w:rFonts w:hint="eastAsia" w:ascii="宋体" w:hAnsi="宋体" w:cs="宋体"/>
          <w:color w:val="auto"/>
          <w:highlight w:val="none"/>
        </w:rPr>
        <w:t>满足国家现行与本项目相应的施工竣工验收规范之“合格”标准。</w:t>
      </w:r>
    </w:p>
    <w:p w14:paraId="1EC03C1F">
      <w:pPr>
        <w:spacing w:line="480" w:lineRule="auto"/>
        <w:ind w:firstLine="422"/>
        <w:jc w:val="left"/>
        <w:rPr>
          <w:rFonts w:hint="eastAsia" w:ascii="宋体" w:hAnsi="宋体" w:cs="宋体"/>
          <w:b/>
          <w:bCs/>
          <w:color w:val="auto"/>
          <w:highlight w:val="none"/>
        </w:rPr>
      </w:pPr>
      <w:bookmarkStart w:id="89" w:name="_Toc5124"/>
      <w:bookmarkStart w:id="90" w:name="_Toc32651"/>
      <w:r>
        <w:rPr>
          <w:rFonts w:hint="eastAsia" w:ascii="宋体" w:hAnsi="宋体" w:cs="宋体"/>
          <w:b/>
          <w:bCs/>
          <w:color w:val="auto"/>
          <w:highlight w:val="none"/>
        </w:rPr>
        <w:t>▲四、项目工期</w:t>
      </w:r>
      <w:bookmarkEnd w:id="88"/>
      <w:bookmarkEnd w:id="89"/>
    </w:p>
    <w:p w14:paraId="4B54C42A">
      <w:pPr>
        <w:spacing w:line="480" w:lineRule="auto"/>
        <w:ind w:firstLine="420"/>
        <w:jc w:val="left"/>
        <w:rPr>
          <w:rFonts w:hint="eastAsia" w:ascii="宋体" w:hAnsi="宋体" w:cs="宋体"/>
          <w:color w:val="auto"/>
          <w:highlight w:val="none"/>
        </w:rPr>
      </w:pPr>
      <w:r>
        <w:rPr>
          <w:rFonts w:hint="eastAsia" w:ascii="宋体" w:hAnsi="宋体" w:cs="宋体"/>
          <w:color w:val="auto"/>
          <w:highlight w:val="none"/>
        </w:rPr>
        <w:t>项目工期：自签订合同之日起90个日历日内完工。</w:t>
      </w:r>
    </w:p>
    <w:p w14:paraId="1DCF6DA0">
      <w:pPr>
        <w:spacing w:line="480" w:lineRule="auto"/>
        <w:ind w:firstLine="422"/>
        <w:jc w:val="left"/>
        <w:rPr>
          <w:rFonts w:hint="eastAsia" w:ascii="宋体" w:hAnsi="宋体" w:cs="宋体"/>
          <w:b/>
          <w:bCs/>
          <w:color w:val="auto"/>
          <w:highlight w:val="none"/>
        </w:rPr>
      </w:pPr>
      <w:r>
        <w:rPr>
          <w:rFonts w:hint="eastAsia" w:ascii="宋体" w:hAnsi="宋体" w:cs="宋体"/>
          <w:b/>
          <w:bCs/>
          <w:color w:val="auto"/>
          <w:highlight w:val="none"/>
        </w:rPr>
        <w:t>五、所属行业</w:t>
      </w:r>
    </w:p>
    <w:p w14:paraId="2E2A47BA">
      <w:pPr>
        <w:spacing w:line="480" w:lineRule="auto"/>
        <w:ind w:firstLine="420"/>
        <w:jc w:val="left"/>
        <w:rPr>
          <w:rFonts w:hint="eastAsia" w:ascii="宋体" w:hAnsi="宋体" w:cs="宋体"/>
          <w:color w:val="auto"/>
          <w:highlight w:val="none"/>
        </w:rPr>
      </w:pPr>
      <w:r>
        <w:rPr>
          <w:rFonts w:hint="eastAsia" w:ascii="宋体" w:hAnsi="宋体" w:cs="宋体"/>
          <w:color w:val="auto"/>
          <w:highlight w:val="none"/>
        </w:rPr>
        <w:t>依照《中小企业划型标准规定》（工信部联企业〔2011〕300号）及《国民经济行业分类》（GB/T 4754-2017）的有关规定执行，本项目所属行业为建筑业。</w:t>
      </w:r>
    </w:p>
    <w:p w14:paraId="7E12389F">
      <w:pPr>
        <w:spacing w:line="480" w:lineRule="auto"/>
        <w:ind w:firstLine="422"/>
        <w:jc w:val="left"/>
        <w:rPr>
          <w:rFonts w:hint="eastAsia" w:ascii="宋体" w:hAnsi="宋体" w:cs="宋体"/>
          <w:b/>
          <w:bCs/>
          <w:color w:val="auto"/>
          <w:highlight w:val="none"/>
          <w:lang w:val="zh-CN"/>
        </w:rPr>
      </w:pPr>
      <w:r>
        <w:rPr>
          <w:rFonts w:hint="eastAsia" w:ascii="宋体" w:hAnsi="宋体" w:cs="宋体"/>
          <w:b/>
          <w:bCs/>
          <w:color w:val="auto"/>
          <w:highlight w:val="none"/>
        </w:rPr>
        <w:t>▲</w:t>
      </w:r>
      <w:r>
        <w:rPr>
          <w:rFonts w:hint="eastAsia" w:ascii="宋体" w:hAnsi="宋体" w:cs="宋体"/>
          <w:b/>
          <w:bCs/>
          <w:color w:val="auto"/>
          <w:highlight w:val="none"/>
          <w:lang w:val="zh-CN"/>
        </w:rPr>
        <w:t>六、项目人员最低要求</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2"/>
        <w:gridCol w:w="753"/>
        <w:gridCol w:w="4819"/>
        <w:gridCol w:w="2723"/>
      </w:tblGrid>
      <w:tr w14:paraId="46341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1262" w:type="dxa"/>
            <w:tcBorders>
              <w:top w:val="single" w:color="auto" w:sz="4" w:space="0"/>
              <w:left w:val="single" w:color="auto" w:sz="4" w:space="0"/>
              <w:bottom w:val="single" w:color="auto" w:sz="4" w:space="0"/>
              <w:right w:val="single" w:color="auto" w:sz="4" w:space="0"/>
            </w:tcBorders>
            <w:vAlign w:val="center"/>
          </w:tcPr>
          <w:p w14:paraId="2C07DB23">
            <w:pPr>
              <w:spacing w:line="360"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人员</w:t>
            </w:r>
          </w:p>
        </w:tc>
        <w:tc>
          <w:tcPr>
            <w:tcW w:w="753" w:type="dxa"/>
            <w:tcBorders>
              <w:top w:val="single" w:color="auto" w:sz="4" w:space="0"/>
              <w:left w:val="single" w:color="auto" w:sz="4" w:space="0"/>
              <w:bottom w:val="single" w:color="auto" w:sz="4" w:space="0"/>
              <w:right w:val="single" w:color="auto" w:sz="4" w:space="0"/>
            </w:tcBorders>
            <w:vAlign w:val="center"/>
          </w:tcPr>
          <w:p w14:paraId="085780AC">
            <w:pPr>
              <w:spacing w:line="360"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数量</w:t>
            </w:r>
          </w:p>
        </w:tc>
        <w:tc>
          <w:tcPr>
            <w:tcW w:w="4819" w:type="dxa"/>
            <w:tcBorders>
              <w:top w:val="single" w:color="auto" w:sz="4" w:space="0"/>
              <w:left w:val="single" w:color="auto" w:sz="4" w:space="0"/>
              <w:bottom w:val="single" w:color="auto" w:sz="4" w:space="0"/>
              <w:right w:val="single" w:color="auto" w:sz="4" w:space="0"/>
            </w:tcBorders>
            <w:vAlign w:val="center"/>
          </w:tcPr>
          <w:p w14:paraId="1F25CC99">
            <w:pPr>
              <w:spacing w:line="360"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资格要求</w:t>
            </w:r>
          </w:p>
        </w:tc>
        <w:tc>
          <w:tcPr>
            <w:tcW w:w="2723" w:type="dxa"/>
            <w:tcBorders>
              <w:top w:val="single" w:color="auto" w:sz="4" w:space="0"/>
              <w:left w:val="single" w:color="auto" w:sz="4" w:space="0"/>
              <w:bottom w:val="single" w:color="auto" w:sz="4" w:space="0"/>
              <w:right w:val="single" w:color="auto" w:sz="4" w:space="0"/>
            </w:tcBorders>
            <w:vAlign w:val="center"/>
          </w:tcPr>
          <w:p w14:paraId="7E8136C0">
            <w:pPr>
              <w:spacing w:line="360"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在岗要求</w:t>
            </w:r>
          </w:p>
        </w:tc>
      </w:tr>
      <w:tr w14:paraId="36078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8" w:hRule="atLeast"/>
          <w:jc w:val="center"/>
        </w:trPr>
        <w:tc>
          <w:tcPr>
            <w:tcW w:w="1262" w:type="dxa"/>
            <w:tcBorders>
              <w:top w:val="single" w:color="auto" w:sz="4" w:space="0"/>
              <w:left w:val="single" w:color="auto" w:sz="4" w:space="0"/>
              <w:bottom w:val="single" w:color="auto" w:sz="4" w:space="0"/>
              <w:right w:val="single" w:color="auto" w:sz="4" w:space="0"/>
            </w:tcBorders>
            <w:vAlign w:val="center"/>
          </w:tcPr>
          <w:p w14:paraId="73E72515">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项目经理</w:t>
            </w:r>
          </w:p>
        </w:tc>
        <w:tc>
          <w:tcPr>
            <w:tcW w:w="753" w:type="dxa"/>
            <w:tcBorders>
              <w:top w:val="single" w:color="auto" w:sz="4" w:space="0"/>
              <w:left w:val="single" w:color="auto" w:sz="4" w:space="0"/>
              <w:bottom w:val="single" w:color="auto" w:sz="4" w:space="0"/>
              <w:right w:val="single" w:color="auto" w:sz="4" w:space="0"/>
            </w:tcBorders>
            <w:vAlign w:val="center"/>
          </w:tcPr>
          <w:p w14:paraId="229B091A">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1人</w:t>
            </w:r>
          </w:p>
        </w:tc>
        <w:tc>
          <w:tcPr>
            <w:tcW w:w="4819" w:type="dxa"/>
            <w:tcBorders>
              <w:top w:val="single" w:color="auto" w:sz="4" w:space="0"/>
              <w:left w:val="single" w:color="auto" w:sz="4" w:space="0"/>
              <w:bottom w:val="single" w:color="auto" w:sz="4" w:space="0"/>
              <w:right w:val="single" w:color="auto" w:sz="4" w:space="0"/>
            </w:tcBorders>
            <w:vAlign w:val="center"/>
          </w:tcPr>
          <w:p w14:paraId="018D8F57">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具备公路工程专业二级或以上注册建造师执业资格，有效的安全生产考核合格证（“三类人员”B类证书）。</w:t>
            </w:r>
          </w:p>
        </w:tc>
        <w:tc>
          <w:tcPr>
            <w:tcW w:w="2723" w:type="dxa"/>
            <w:tcBorders>
              <w:top w:val="single" w:color="auto" w:sz="4" w:space="0"/>
              <w:left w:val="single" w:color="auto" w:sz="4" w:space="0"/>
              <w:bottom w:val="single" w:color="auto" w:sz="4" w:space="0"/>
              <w:right w:val="single" w:color="auto" w:sz="4" w:space="0"/>
            </w:tcBorders>
            <w:vAlign w:val="center"/>
          </w:tcPr>
          <w:p w14:paraId="40E6A3E0">
            <w:pPr>
              <w:spacing w:line="360" w:lineRule="auto"/>
              <w:jc w:val="left"/>
              <w:rPr>
                <w:rFonts w:hint="eastAsia" w:ascii="宋体" w:hAnsi="宋体" w:cs="宋体"/>
                <w:color w:val="auto"/>
                <w:szCs w:val="21"/>
                <w:highlight w:val="none"/>
              </w:rPr>
            </w:pPr>
            <w:bookmarkStart w:id="91" w:name="EB56dd2c3b66f74d07a543ece4c9a3ae13"/>
            <w:r>
              <w:rPr>
                <w:rFonts w:hint="eastAsia" w:ascii="宋体" w:hAnsi="宋体" w:cs="宋体"/>
                <w:color w:val="auto"/>
                <w:szCs w:val="21"/>
                <w:highlight w:val="none"/>
              </w:rPr>
              <w:t>无在岗项目【指目前未在其他项目上任职，或虽在其他项目上任职但本项目成交后能够从该项目撤离，如项目经理目前仍在其他项目上任职，则应提供项目经理随时撤离承诺书。】</w:t>
            </w:r>
            <w:bookmarkEnd w:id="90"/>
          </w:p>
        </w:tc>
      </w:tr>
      <w:tr w14:paraId="79E37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0" w:hRule="atLeast"/>
          <w:jc w:val="center"/>
        </w:trPr>
        <w:tc>
          <w:tcPr>
            <w:tcW w:w="1262" w:type="dxa"/>
            <w:tcBorders>
              <w:top w:val="single" w:color="auto" w:sz="4" w:space="0"/>
              <w:left w:val="single" w:color="auto" w:sz="4" w:space="0"/>
              <w:bottom w:val="single" w:color="auto" w:sz="4" w:space="0"/>
              <w:right w:val="single" w:color="auto" w:sz="4" w:space="0"/>
            </w:tcBorders>
            <w:vAlign w:val="center"/>
          </w:tcPr>
          <w:p w14:paraId="693F3F0E">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项目总工</w:t>
            </w:r>
          </w:p>
        </w:tc>
        <w:tc>
          <w:tcPr>
            <w:tcW w:w="753" w:type="dxa"/>
            <w:tcBorders>
              <w:top w:val="single" w:color="auto" w:sz="4" w:space="0"/>
              <w:left w:val="single" w:color="auto" w:sz="4" w:space="0"/>
              <w:bottom w:val="single" w:color="auto" w:sz="4" w:space="0"/>
              <w:right w:val="single" w:color="auto" w:sz="4" w:space="0"/>
            </w:tcBorders>
            <w:vAlign w:val="center"/>
          </w:tcPr>
          <w:p w14:paraId="04F226CC">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1人</w:t>
            </w:r>
          </w:p>
        </w:tc>
        <w:tc>
          <w:tcPr>
            <w:tcW w:w="4819" w:type="dxa"/>
            <w:tcBorders>
              <w:top w:val="single" w:color="auto" w:sz="4" w:space="0"/>
              <w:left w:val="single" w:color="auto" w:sz="4" w:space="0"/>
              <w:bottom w:val="single" w:color="auto" w:sz="4" w:space="0"/>
              <w:right w:val="single" w:color="auto" w:sz="4" w:space="0"/>
            </w:tcBorders>
            <w:vAlign w:val="center"/>
          </w:tcPr>
          <w:p w14:paraId="03E7CDD1">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公路工程相关专业（包括公路工程、桥梁工程、公路与桥梁工程、交通土建、隧道工程、交通工程、公路与城市道路、道路工程、路桥工程等）中级或以上技术职称。</w:t>
            </w:r>
          </w:p>
        </w:tc>
        <w:tc>
          <w:tcPr>
            <w:tcW w:w="2723" w:type="dxa"/>
            <w:tcBorders>
              <w:top w:val="single" w:color="auto" w:sz="4" w:space="0"/>
              <w:left w:val="single" w:color="auto" w:sz="4" w:space="0"/>
              <w:bottom w:val="single" w:color="auto" w:sz="4" w:space="0"/>
              <w:right w:val="single" w:color="auto" w:sz="4" w:space="0"/>
            </w:tcBorders>
            <w:vAlign w:val="center"/>
          </w:tcPr>
          <w:p w14:paraId="1A041EC7">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w:t>
            </w:r>
          </w:p>
        </w:tc>
      </w:tr>
      <w:tr w14:paraId="3BB52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1262" w:type="dxa"/>
            <w:tcBorders>
              <w:top w:val="single" w:color="auto" w:sz="4" w:space="0"/>
              <w:left w:val="single" w:color="auto" w:sz="4" w:space="0"/>
              <w:bottom w:val="single" w:color="auto" w:sz="4" w:space="0"/>
              <w:right w:val="single" w:color="auto" w:sz="4" w:space="0"/>
            </w:tcBorders>
            <w:vAlign w:val="center"/>
          </w:tcPr>
          <w:p w14:paraId="6173C730">
            <w:pPr>
              <w:widowControl/>
              <w:spacing w:line="36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安全生产管理人员</w:t>
            </w:r>
          </w:p>
        </w:tc>
        <w:tc>
          <w:tcPr>
            <w:tcW w:w="753" w:type="dxa"/>
            <w:tcBorders>
              <w:top w:val="single" w:color="auto" w:sz="4" w:space="0"/>
              <w:left w:val="single" w:color="auto" w:sz="4" w:space="0"/>
              <w:bottom w:val="single" w:color="auto" w:sz="4" w:space="0"/>
              <w:right w:val="single" w:color="auto" w:sz="4" w:space="0"/>
            </w:tcBorders>
            <w:vAlign w:val="center"/>
          </w:tcPr>
          <w:p w14:paraId="48602079">
            <w:pPr>
              <w:widowControl/>
              <w:spacing w:line="36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1人</w:t>
            </w:r>
          </w:p>
        </w:tc>
        <w:tc>
          <w:tcPr>
            <w:tcW w:w="4819" w:type="dxa"/>
            <w:tcBorders>
              <w:top w:val="single" w:color="auto" w:sz="4" w:space="0"/>
              <w:left w:val="single" w:color="auto" w:sz="4" w:space="0"/>
              <w:bottom w:val="single" w:color="auto" w:sz="4" w:space="0"/>
              <w:right w:val="single" w:color="auto" w:sz="4" w:space="0"/>
            </w:tcBorders>
            <w:vAlign w:val="center"/>
          </w:tcPr>
          <w:p w14:paraId="2801A262">
            <w:pPr>
              <w:widowControl/>
              <w:spacing w:line="360" w:lineRule="auto"/>
              <w:jc w:val="left"/>
              <w:rPr>
                <w:rFonts w:hint="eastAsia" w:ascii="宋体" w:hAnsi="宋体" w:cs="宋体"/>
                <w:bCs/>
                <w:color w:val="auto"/>
                <w:szCs w:val="21"/>
                <w:highlight w:val="none"/>
              </w:rPr>
            </w:pPr>
            <w:r>
              <w:rPr>
                <w:rFonts w:hint="eastAsia" w:ascii="宋体" w:hAnsi="宋体" w:cs="宋体"/>
                <w:bCs/>
                <w:color w:val="auto"/>
                <w:szCs w:val="21"/>
                <w:highlight w:val="none"/>
              </w:rPr>
              <w:t>具备有效的安全生产考核合格证（“三类人员”C类证书）。</w:t>
            </w:r>
          </w:p>
        </w:tc>
        <w:tc>
          <w:tcPr>
            <w:tcW w:w="2723" w:type="dxa"/>
            <w:tcBorders>
              <w:top w:val="single" w:color="auto" w:sz="4" w:space="0"/>
              <w:left w:val="single" w:color="auto" w:sz="4" w:space="0"/>
              <w:bottom w:val="single" w:color="auto" w:sz="4" w:space="0"/>
              <w:right w:val="single" w:color="auto" w:sz="4" w:space="0"/>
            </w:tcBorders>
            <w:vAlign w:val="center"/>
          </w:tcPr>
          <w:p w14:paraId="7683B217">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w:t>
            </w:r>
          </w:p>
        </w:tc>
      </w:tr>
    </w:tbl>
    <w:p w14:paraId="199C5528">
      <w:pPr>
        <w:spacing w:line="480" w:lineRule="auto"/>
        <w:rPr>
          <w:rFonts w:hint="eastAsia" w:ascii="宋体" w:hAnsi="宋体" w:cs="宋体"/>
          <w:b/>
          <w:bCs/>
          <w:color w:val="auto"/>
          <w:szCs w:val="21"/>
          <w:highlight w:val="none"/>
        </w:rPr>
      </w:pPr>
      <w:r>
        <w:rPr>
          <w:rFonts w:hint="eastAsia" w:ascii="宋体" w:hAnsi="宋体" w:cs="宋体"/>
          <w:b/>
          <w:bCs/>
          <w:color w:val="auto"/>
          <w:szCs w:val="21"/>
          <w:highlight w:val="none"/>
        </w:rPr>
        <w:t>说明：</w:t>
      </w:r>
    </w:p>
    <w:p w14:paraId="673EB6A8">
      <w:pPr>
        <w:pStyle w:val="187"/>
        <w:spacing w:before="0" w:after="0" w:line="480" w:lineRule="auto"/>
        <w:jc w:val="left"/>
        <w:rPr>
          <w:rFonts w:hint="eastAsia" w:ascii="宋体" w:hAnsi="宋体" w:cs="宋体"/>
          <w:color w:val="auto"/>
          <w:sz w:val="21"/>
          <w:szCs w:val="21"/>
          <w:highlight w:val="none"/>
        </w:rPr>
      </w:pPr>
      <w:r>
        <w:rPr>
          <w:rFonts w:hint="eastAsia" w:ascii="宋体" w:hAnsi="宋体" w:cs="宋体"/>
          <w:b w:val="0"/>
          <w:bCs w:val="0"/>
          <w:color w:val="auto"/>
          <w:sz w:val="21"/>
          <w:szCs w:val="21"/>
          <w:highlight w:val="none"/>
        </w:rPr>
        <w:t xml:space="preserve">  </w:t>
      </w:r>
      <w:r>
        <w:rPr>
          <w:rFonts w:hint="eastAsia" w:ascii="宋体" w:hAnsi="宋体" w:cs="宋体"/>
          <w:color w:val="auto"/>
          <w:sz w:val="21"/>
          <w:szCs w:val="21"/>
          <w:highlight w:val="none"/>
        </w:rPr>
        <w:t xml:space="preserve"> </w:t>
      </w:r>
      <w:r>
        <w:rPr>
          <w:rFonts w:hint="eastAsia" w:ascii="宋体" w:hAnsi="宋体" w:cs="宋体"/>
          <w:b w:val="0"/>
          <w:bCs w:val="0"/>
          <w:color w:val="auto"/>
          <w:sz w:val="21"/>
          <w:szCs w:val="21"/>
          <w:highlight w:val="none"/>
        </w:rPr>
        <w:t xml:space="preserve"> </w:t>
      </w:r>
      <w:r>
        <w:rPr>
          <w:rFonts w:hint="eastAsia" w:ascii="宋体" w:hAnsi="宋体" w:cs="宋体"/>
          <w:color w:val="auto"/>
          <w:sz w:val="21"/>
          <w:szCs w:val="21"/>
          <w:highlight w:val="none"/>
        </w:rPr>
        <w:t xml:space="preserve"> 供应商应按本磋商文件第六章响应文件格式“资格审查资料”的“拟委派的项目经理和项目总工资历表”的附注要求，提供符合要求的相关人员证明材料（项目经理、项目总工、安全生产管理人员必须是本单位人员并提供相关证明材料，否则响应文件按无效处理）。</w:t>
      </w:r>
    </w:p>
    <w:p w14:paraId="27772A21">
      <w:pPr>
        <w:spacing w:line="360" w:lineRule="auto"/>
        <w:ind w:firstLine="422"/>
        <w:jc w:val="left"/>
        <w:rPr>
          <w:rFonts w:hint="eastAsia" w:ascii="宋体" w:hAnsi="宋体" w:cs="宋体"/>
          <w:color w:val="auto"/>
          <w:szCs w:val="21"/>
          <w:highlight w:val="none"/>
          <w:lang w:val="zh-CN"/>
        </w:rPr>
      </w:pPr>
      <w:r>
        <w:rPr>
          <w:rFonts w:hint="eastAsia" w:ascii="宋体" w:hAnsi="宋体" w:cs="宋体"/>
          <w:b/>
          <w:bCs/>
          <w:color w:val="auto"/>
          <w:highlight w:val="none"/>
          <w:lang w:val="zh-CN"/>
        </w:rPr>
        <w:t>▲七、其他要求</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8"/>
        <w:gridCol w:w="6704"/>
      </w:tblGrid>
      <w:tr w14:paraId="37E83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2368" w:type="dxa"/>
            <w:tcBorders>
              <w:top w:val="single" w:color="auto" w:sz="4" w:space="0"/>
              <w:left w:val="single" w:color="auto" w:sz="4" w:space="0"/>
              <w:bottom w:val="single" w:color="auto" w:sz="4" w:space="0"/>
              <w:right w:val="single" w:color="auto" w:sz="4" w:space="0"/>
            </w:tcBorders>
            <w:vAlign w:val="center"/>
          </w:tcPr>
          <w:p w14:paraId="0AB11B0F">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合同签订时间</w:t>
            </w:r>
          </w:p>
        </w:tc>
        <w:tc>
          <w:tcPr>
            <w:tcW w:w="6704" w:type="dxa"/>
            <w:tcBorders>
              <w:top w:val="single" w:color="auto" w:sz="4" w:space="0"/>
              <w:left w:val="single" w:color="auto" w:sz="4" w:space="0"/>
              <w:bottom w:val="single" w:color="auto" w:sz="4" w:space="0"/>
              <w:right w:val="single" w:color="auto" w:sz="4" w:space="0"/>
            </w:tcBorders>
            <w:vAlign w:val="center"/>
          </w:tcPr>
          <w:p w14:paraId="56B566C5">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自成交通知书发出之日起25日内。</w:t>
            </w:r>
          </w:p>
        </w:tc>
      </w:tr>
      <w:tr w14:paraId="4A39E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2368" w:type="dxa"/>
            <w:tcBorders>
              <w:top w:val="single" w:color="auto" w:sz="4" w:space="0"/>
              <w:left w:val="single" w:color="auto" w:sz="4" w:space="0"/>
              <w:bottom w:val="single" w:color="auto" w:sz="4" w:space="0"/>
              <w:right w:val="single" w:color="auto" w:sz="4" w:space="0"/>
            </w:tcBorders>
            <w:vAlign w:val="center"/>
          </w:tcPr>
          <w:p w14:paraId="22E80BEB">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付款方式</w:t>
            </w:r>
          </w:p>
        </w:tc>
        <w:tc>
          <w:tcPr>
            <w:tcW w:w="6704" w:type="dxa"/>
            <w:tcBorders>
              <w:top w:val="single" w:color="auto" w:sz="4" w:space="0"/>
              <w:left w:val="single" w:color="auto" w:sz="4" w:space="0"/>
              <w:bottom w:val="single" w:color="auto" w:sz="4" w:space="0"/>
              <w:right w:val="single" w:color="auto" w:sz="4" w:space="0"/>
            </w:tcBorders>
            <w:vAlign w:val="center"/>
          </w:tcPr>
          <w:p w14:paraId="357A476D">
            <w:pPr>
              <w:spacing w:line="380" w:lineRule="exact"/>
              <w:jc w:val="left"/>
              <w:rPr>
                <w:rFonts w:hint="eastAsia" w:ascii="宋体" w:hAnsi="宋体" w:cs="宋体"/>
                <w:bCs/>
                <w:color w:val="auto"/>
                <w:szCs w:val="21"/>
                <w:highlight w:val="none"/>
              </w:rPr>
            </w:pPr>
            <w:r>
              <w:rPr>
                <w:rFonts w:hint="eastAsia" w:ascii="宋体" w:hAnsi="宋体" w:cs="宋体"/>
                <w:bCs/>
                <w:color w:val="auto"/>
                <w:szCs w:val="21"/>
                <w:highlight w:val="none"/>
              </w:rPr>
              <w:t>工程款按工程进度支付：</w:t>
            </w:r>
          </w:p>
          <w:p w14:paraId="427C73F7">
            <w:pPr>
              <w:spacing w:line="380" w:lineRule="exact"/>
              <w:jc w:val="left"/>
              <w:rPr>
                <w:rFonts w:hint="eastAsia" w:ascii="宋体" w:hAnsi="宋体" w:cs="宋体"/>
                <w:bCs/>
                <w:color w:val="auto"/>
                <w:szCs w:val="21"/>
                <w:highlight w:val="none"/>
              </w:rPr>
            </w:pPr>
            <w:r>
              <w:rPr>
                <w:rFonts w:hint="eastAsia" w:ascii="宋体" w:hAnsi="宋体" w:cs="宋体"/>
                <w:bCs/>
                <w:color w:val="auto"/>
                <w:szCs w:val="21"/>
                <w:highlight w:val="none"/>
              </w:rPr>
              <w:t>1.合同签订后，凭成交供应商提供的等额正式发票，采购人10个工作日之内支付10%预付款。</w:t>
            </w:r>
          </w:p>
          <w:p w14:paraId="160E9834">
            <w:pPr>
              <w:spacing w:line="380" w:lineRule="exact"/>
              <w:jc w:val="left"/>
              <w:rPr>
                <w:rFonts w:hint="eastAsia" w:ascii="宋体" w:hAnsi="宋体" w:cs="宋体"/>
                <w:bCs/>
                <w:color w:val="auto"/>
                <w:szCs w:val="21"/>
                <w:highlight w:val="none"/>
              </w:rPr>
            </w:pPr>
            <w:r>
              <w:rPr>
                <w:rFonts w:hint="eastAsia" w:ascii="宋体" w:hAnsi="宋体" w:cs="宋体"/>
                <w:bCs/>
                <w:color w:val="auto"/>
                <w:szCs w:val="21"/>
                <w:highlight w:val="none"/>
              </w:rPr>
              <w:t>2.工程进度完成工程量的50%时，工程款支付的限额标准为已完成工作量的80%。</w:t>
            </w:r>
          </w:p>
          <w:p w14:paraId="23275746">
            <w:pPr>
              <w:spacing w:line="360" w:lineRule="auto"/>
              <w:rPr>
                <w:rFonts w:hint="eastAsia" w:ascii="宋体" w:hAnsi="宋体" w:cs="宋体"/>
                <w:color w:val="auto"/>
                <w:szCs w:val="21"/>
                <w:highlight w:val="none"/>
              </w:rPr>
            </w:pPr>
            <w:r>
              <w:rPr>
                <w:rFonts w:hint="eastAsia" w:ascii="宋体" w:hAnsi="宋体" w:cs="宋体"/>
                <w:bCs/>
                <w:color w:val="auto"/>
                <w:szCs w:val="21"/>
                <w:highlight w:val="none"/>
              </w:rPr>
              <w:t>3.施工完成并经验收合格结算后支付到结算价款的97%，</w:t>
            </w:r>
            <w:r>
              <w:rPr>
                <w:rFonts w:hint="eastAsia" w:ascii="宋体" w:hAnsi="宋体" w:cs="宋体"/>
                <w:color w:val="auto"/>
                <w:szCs w:val="21"/>
                <w:highlight w:val="none"/>
              </w:rPr>
              <w:t>工程结算价款的3%作为质量保证金，期满后1个月内支付，不计利息。质量缺陷责任期内，如工程出现质量问题，致使采购人受损的， 并有权要求成交供应商承担赔偿责任。</w:t>
            </w:r>
          </w:p>
        </w:tc>
      </w:tr>
      <w:tr w14:paraId="004CF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2368" w:type="dxa"/>
            <w:tcBorders>
              <w:top w:val="single" w:color="auto" w:sz="4" w:space="0"/>
              <w:left w:val="single" w:color="auto" w:sz="4" w:space="0"/>
              <w:bottom w:val="single" w:color="auto" w:sz="4" w:space="0"/>
              <w:right w:val="single" w:color="auto" w:sz="4" w:space="0"/>
            </w:tcBorders>
            <w:vAlign w:val="center"/>
          </w:tcPr>
          <w:p w14:paraId="26A7D6D0">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工程量清单</w:t>
            </w:r>
          </w:p>
        </w:tc>
        <w:tc>
          <w:tcPr>
            <w:tcW w:w="6704" w:type="dxa"/>
            <w:tcBorders>
              <w:top w:val="single" w:color="auto" w:sz="4" w:space="0"/>
              <w:left w:val="single" w:color="auto" w:sz="4" w:space="0"/>
              <w:bottom w:val="single" w:color="auto" w:sz="4" w:space="0"/>
              <w:right w:val="single" w:color="auto" w:sz="4" w:space="0"/>
            </w:tcBorders>
            <w:vAlign w:val="center"/>
          </w:tcPr>
          <w:p w14:paraId="0FE7E504">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说明：采购人确认后统一公布的工程量清单子目工程量（或采购人对工程量清单不进行修正），为采购人施工图纸结算的最终工程量，供应商必须按照施工图纸完成全部工程，增减工程量按合同约定的计量方法进行计量。供应商如认为采购人提供的工程量清单子目仍有漏项或工程量数量仍有偏差，供应商需将其造价综合考虑在综合单价中。</w:t>
            </w:r>
          </w:p>
          <w:p w14:paraId="29DB2497">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成交供应商必须按照施工图纸完成全部工程，增减工程量按合同约定的计量方法进行计量。除因合同专用条款中的变更工程量条款约定变更的范围和内容变更的工程量进行计量外，不再对工程量进行计量。</w:t>
            </w:r>
          </w:p>
        </w:tc>
      </w:tr>
      <w:tr w14:paraId="2739D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2368" w:type="dxa"/>
            <w:tcBorders>
              <w:top w:val="single" w:color="auto" w:sz="4" w:space="0"/>
              <w:left w:val="single" w:color="auto" w:sz="4" w:space="0"/>
              <w:bottom w:val="single" w:color="auto" w:sz="4" w:space="0"/>
              <w:right w:val="single" w:color="auto" w:sz="4" w:space="0"/>
            </w:tcBorders>
            <w:vAlign w:val="center"/>
          </w:tcPr>
          <w:p w14:paraId="320DD47F">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缺陷责任期</w:t>
            </w:r>
          </w:p>
        </w:tc>
        <w:tc>
          <w:tcPr>
            <w:tcW w:w="6704" w:type="dxa"/>
            <w:tcBorders>
              <w:top w:val="single" w:color="auto" w:sz="4" w:space="0"/>
              <w:left w:val="single" w:color="auto" w:sz="4" w:space="0"/>
              <w:bottom w:val="single" w:color="auto" w:sz="4" w:space="0"/>
              <w:right w:val="single" w:color="auto" w:sz="4" w:space="0"/>
            </w:tcBorders>
            <w:vAlign w:val="center"/>
          </w:tcPr>
          <w:p w14:paraId="0D87B244">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自实际交工日期起计算</w:t>
            </w:r>
            <w:r>
              <w:rPr>
                <w:rFonts w:hint="eastAsia" w:ascii="宋体" w:hAnsi="宋体" w:cs="宋体"/>
                <w:color w:val="auto"/>
                <w:szCs w:val="21"/>
                <w:highlight w:val="none"/>
                <w:u w:val="single"/>
              </w:rPr>
              <w:t>1</w:t>
            </w:r>
            <w:r>
              <w:rPr>
                <w:rFonts w:hint="eastAsia" w:ascii="宋体" w:hAnsi="宋体" w:cs="宋体"/>
                <w:color w:val="auto"/>
                <w:szCs w:val="21"/>
                <w:highlight w:val="none"/>
              </w:rPr>
              <w:t>年</w:t>
            </w:r>
          </w:p>
        </w:tc>
      </w:tr>
      <w:tr w14:paraId="51EA5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2368" w:type="dxa"/>
            <w:tcBorders>
              <w:top w:val="single" w:color="auto" w:sz="4" w:space="0"/>
              <w:left w:val="single" w:color="auto" w:sz="4" w:space="0"/>
              <w:bottom w:val="single" w:color="auto" w:sz="4" w:space="0"/>
              <w:right w:val="single" w:color="auto" w:sz="4" w:space="0"/>
            </w:tcBorders>
            <w:vAlign w:val="center"/>
          </w:tcPr>
          <w:p w14:paraId="1D9CE4E3">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保修要求</w:t>
            </w:r>
          </w:p>
        </w:tc>
        <w:tc>
          <w:tcPr>
            <w:tcW w:w="6704" w:type="dxa"/>
            <w:tcBorders>
              <w:top w:val="single" w:color="auto" w:sz="4" w:space="0"/>
              <w:left w:val="single" w:color="auto" w:sz="4" w:space="0"/>
              <w:bottom w:val="single" w:color="auto" w:sz="4" w:space="0"/>
              <w:right w:val="single" w:color="auto" w:sz="4" w:space="0"/>
            </w:tcBorders>
            <w:vAlign w:val="center"/>
          </w:tcPr>
          <w:p w14:paraId="4D959D57">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按照有关法律规定和合同约定，承担工程质量保修责任。</w:t>
            </w:r>
          </w:p>
        </w:tc>
      </w:tr>
      <w:tr w14:paraId="29C0D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2368" w:type="dxa"/>
            <w:tcBorders>
              <w:top w:val="single" w:color="auto" w:sz="4" w:space="0"/>
              <w:left w:val="single" w:color="auto" w:sz="4" w:space="0"/>
              <w:bottom w:val="single" w:color="auto" w:sz="4" w:space="0"/>
              <w:right w:val="single" w:color="auto" w:sz="4" w:space="0"/>
            </w:tcBorders>
            <w:vAlign w:val="center"/>
          </w:tcPr>
          <w:p w14:paraId="527D270F">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其他要求</w:t>
            </w:r>
          </w:p>
        </w:tc>
        <w:tc>
          <w:tcPr>
            <w:tcW w:w="6704" w:type="dxa"/>
            <w:tcBorders>
              <w:top w:val="single" w:color="auto" w:sz="4" w:space="0"/>
              <w:left w:val="single" w:color="auto" w:sz="4" w:space="0"/>
              <w:bottom w:val="single" w:color="auto" w:sz="4" w:space="0"/>
              <w:right w:val="single" w:color="auto" w:sz="4" w:space="0"/>
            </w:tcBorders>
            <w:vAlign w:val="center"/>
          </w:tcPr>
          <w:p w14:paraId="66A9CFAA">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成交供应商根据《广西壮族自治区交通运输厅关于推进实施行业工程建设领域安全生产责任保险工作的通知》（桂交安监函〔2021〕89号）必须购买安全生产责任险。</w:t>
            </w:r>
          </w:p>
        </w:tc>
      </w:tr>
      <w:tr w14:paraId="73285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2368" w:type="dxa"/>
            <w:tcBorders>
              <w:top w:val="single" w:color="auto" w:sz="4" w:space="0"/>
              <w:left w:val="single" w:color="auto" w:sz="4" w:space="0"/>
              <w:bottom w:val="single" w:color="auto" w:sz="4" w:space="0"/>
              <w:right w:val="single" w:color="auto" w:sz="4" w:space="0"/>
            </w:tcBorders>
            <w:vAlign w:val="center"/>
          </w:tcPr>
          <w:p w14:paraId="00835A2E">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技术标准和要求</w:t>
            </w:r>
          </w:p>
        </w:tc>
        <w:tc>
          <w:tcPr>
            <w:tcW w:w="6704" w:type="dxa"/>
            <w:tcBorders>
              <w:top w:val="single" w:color="auto" w:sz="4" w:space="0"/>
              <w:left w:val="single" w:color="auto" w:sz="4" w:space="0"/>
              <w:bottom w:val="single" w:color="auto" w:sz="4" w:space="0"/>
              <w:right w:val="single" w:color="auto" w:sz="4" w:space="0"/>
            </w:tcBorders>
            <w:vAlign w:val="center"/>
          </w:tcPr>
          <w:p w14:paraId="00A999F5">
            <w:pPr>
              <w:pStyle w:val="391"/>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1.按照根据国家行业和地方现行标准、规范和规程等施工；</w:t>
            </w:r>
          </w:p>
          <w:p w14:paraId="4534B6E4">
            <w:pPr>
              <w:pStyle w:val="391"/>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2.工程项目按国家或行业的施工验收规范、工程质量检验评定标准及设计文件等检验评定标准；</w:t>
            </w:r>
          </w:p>
          <w:p w14:paraId="26E515E1">
            <w:pPr>
              <w:pStyle w:val="391"/>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3.标准产品按选定的国家或行业检验评定标准。</w:t>
            </w:r>
          </w:p>
        </w:tc>
      </w:tr>
      <w:tr w14:paraId="04BB7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2368" w:type="dxa"/>
            <w:tcBorders>
              <w:top w:val="single" w:color="auto" w:sz="4" w:space="0"/>
              <w:left w:val="single" w:color="auto" w:sz="4" w:space="0"/>
              <w:bottom w:val="single" w:color="auto" w:sz="4" w:space="0"/>
              <w:right w:val="single" w:color="auto" w:sz="4" w:space="0"/>
            </w:tcBorders>
            <w:vAlign w:val="center"/>
          </w:tcPr>
          <w:p w14:paraId="0C73816F">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验收标准</w:t>
            </w:r>
          </w:p>
        </w:tc>
        <w:tc>
          <w:tcPr>
            <w:tcW w:w="6704" w:type="dxa"/>
            <w:tcBorders>
              <w:top w:val="single" w:color="auto" w:sz="4" w:space="0"/>
              <w:left w:val="single" w:color="auto" w:sz="4" w:space="0"/>
              <w:bottom w:val="single" w:color="auto" w:sz="4" w:space="0"/>
              <w:right w:val="single" w:color="auto" w:sz="4" w:space="0"/>
            </w:tcBorders>
            <w:vAlign w:val="center"/>
          </w:tcPr>
          <w:p w14:paraId="1BEF0E7A">
            <w:pPr>
              <w:pStyle w:val="391"/>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按照《关于印发广西壮族自治区政府采购项目履约验收管理办法的通知》（桂财采〔2015〕22号）、《财政部关于进一步加强政府采购需求和履约验收管理的指导意见》（财库〔2016〕205号）、符合现行国家相关标准、行业标准、地方标准或者其他标准、规范的相关规定执行。</w:t>
            </w:r>
          </w:p>
        </w:tc>
      </w:tr>
    </w:tbl>
    <w:p w14:paraId="08550633">
      <w:pPr>
        <w:rPr>
          <w:rFonts w:hint="eastAsia" w:ascii="宋体" w:hAnsi="宋体" w:cs="宋体"/>
          <w:color w:val="auto"/>
          <w:highlight w:val="none"/>
        </w:rPr>
      </w:pPr>
    </w:p>
    <w:p w14:paraId="66BE27BB">
      <w:pPr>
        <w:pStyle w:val="43"/>
        <w:spacing w:line="460" w:lineRule="exact"/>
        <w:rPr>
          <w:rFonts w:hint="eastAsia" w:ascii="宋体" w:hAnsi="宋体" w:cs="宋体"/>
          <w:color w:val="auto"/>
          <w:sz w:val="32"/>
          <w:szCs w:val="32"/>
          <w:highlight w:val="none"/>
        </w:rPr>
      </w:pPr>
    </w:p>
    <w:p w14:paraId="39D1A24F">
      <w:pPr>
        <w:pStyle w:val="43"/>
        <w:spacing w:line="460" w:lineRule="exact"/>
        <w:rPr>
          <w:rFonts w:hint="eastAsia" w:ascii="宋体" w:hAnsi="宋体" w:cs="宋体"/>
          <w:color w:val="auto"/>
          <w:sz w:val="32"/>
          <w:szCs w:val="32"/>
          <w:highlight w:val="none"/>
        </w:rPr>
      </w:pPr>
      <w:r>
        <w:rPr>
          <w:rFonts w:hint="eastAsia" w:ascii="宋体" w:hAnsi="宋体" w:cs="宋体"/>
          <w:color w:val="auto"/>
          <w:sz w:val="32"/>
          <w:szCs w:val="32"/>
          <w:highlight w:val="none"/>
        </w:rPr>
        <w:br w:type="page" w:clear="all"/>
      </w:r>
      <w:r>
        <w:rPr>
          <w:rFonts w:hint="eastAsia" w:ascii="宋体" w:hAnsi="宋体" w:cs="宋体"/>
          <w:color w:val="auto"/>
          <w:sz w:val="32"/>
          <w:szCs w:val="32"/>
          <w:highlight w:val="none"/>
        </w:rPr>
        <w:t>附件：</w:t>
      </w:r>
    </w:p>
    <w:p w14:paraId="56D0C998">
      <w:pPr>
        <w:pStyle w:val="217"/>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t>中小企业划型标准规定</w:t>
      </w:r>
    </w:p>
    <w:p w14:paraId="70E6A7B9">
      <w:pPr>
        <w:pStyle w:val="217"/>
        <w:jc w:val="center"/>
        <w:rPr>
          <w:rFonts w:hint="eastAsia" w:ascii="宋体" w:hAnsi="宋体" w:cs="宋体"/>
          <w:color w:val="auto"/>
          <w:szCs w:val="21"/>
          <w:highlight w:val="none"/>
        </w:rPr>
      </w:pPr>
      <w:r>
        <w:rPr>
          <w:rFonts w:hint="eastAsia" w:ascii="宋体" w:hAnsi="宋体" w:cs="宋体"/>
          <w:color w:val="auto"/>
          <w:szCs w:val="21"/>
          <w:highlight w:val="none"/>
        </w:rPr>
        <w:t>工信部联企业〔2011〕300号</w:t>
      </w:r>
    </w:p>
    <w:p w14:paraId="6E358F3C">
      <w:pPr>
        <w:pStyle w:val="217"/>
        <w:rPr>
          <w:rFonts w:hint="eastAsia" w:ascii="宋体" w:hAnsi="宋体" w:cs="宋体"/>
          <w:color w:val="auto"/>
          <w:szCs w:val="21"/>
          <w:highlight w:val="none"/>
        </w:rPr>
      </w:pPr>
    </w:p>
    <w:p w14:paraId="4F505383">
      <w:pPr>
        <w:pStyle w:val="217"/>
        <w:rPr>
          <w:rFonts w:hint="eastAsia" w:ascii="宋体" w:hAnsi="宋体" w:cs="宋体"/>
          <w:color w:val="auto"/>
          <w:szCs w:val="21"/>
          <w:highlight w:val="none"/>
        </w:rPr>
      </w:pPr>
      <w:r>
        <w:rPr>
          <w:rFonts w:hint="eastAsia" w:ascii="宋体" w:hAnsi="宋体" w:cs="宋体"/>
          <w:color w:val="auto"/>
          <w:szCs w:val="21"/>
          <w:highlight w:val="none"/>
        </w:rPr>
        <w:t>　　一、根据《中华人民共和国中小企业促进法》和《国务院关于进一步促进中小企业发展的若干意见》(国发〔2009〕36号)，制定本规定。</w:t>
      </w:r>
    </w:p>
    <w:p w14:paraId="78ACA22D">
      <w:pPr>
        <w:pStyle w:val="217"/>
        <w:rPr>
          <w:rFonts w:hint="eastAsia" w:ascii="宋体" w:hAnsi="宋体" w:cs="宋体"/>
          <w:color w:val="auto"/>
          <w:szCs w:val="21"/>
          <w:highlight w:val="none"/>
        </w:rPr>
      </w:pPr>
      <w:r>
        <w:rPr>
          <w:rFonts w:hint="eastAsia" w:ascii="宋体" w:hAnsi="宋体" w:cs="宋体"/>
          <w:color w:val="auto"/>
          <w:szCs w:val="21"/>
          <w:highlight w:val="none"/>
        </w:rPr>
        <w:t>　　二、中小企业划分为中型、小型、微型三种类型，具体标准根据企业从业人员、营业收入、资产总额等指标，结合行业特点制定。</w:t>
      </w:r>
    </w:p>
    <w:p w14:paraId="41E5D045">
      <w:pPr>
        <w:pStyle w:val="217"/>
        <w:rPr>
          <w:rFonts w:hint="eastAsia" w:ascii="宋体" w:hAnsi="宋体" w:cs="宋体"/>
          <w:color w:val="auto"/>
          <w:szCs w:val="21"/>
          <w:highlight w:val="none"/>
        </w:rPr>
      </w:pPr>
      <w:r>
        <w:rPr>
          <w:rFonts w:hint="eastAsia" w:ascii="宋体" w:hAnsi="宋体" w:cs="宋体"/>
          <w:color w:val="auto"/>
          <w:szCs w:val="21"/>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713F1996">
      <w:pPr>
        <w:pStyle w:val="217"/>
        <w:rPr>
          <w:rFonts w:hint="eastAsia" w:ascii="宋体" w:hAnsi="宋体" w:cs="宋体"/>
          <w:color w:val="auto"/>
          <w:szCs w:val="21"/>
          <w:highlight w:val="none"/>
        </w:rPr>
      </w:pPr>
      <w:r>
        <w:rPr>
          <w:rFonts w:hint="eastAsia" w:ascii="宋体" w:hAnsi="宋体" w:cs="宋体"/>
          <w:color w:val="auto"/>
          <w:szCs w:val="21"/>
          <w:highlight w:val="none"/>
        </w:rPr>
        <w:t>　　四、各行业划型标准为：</w:t>
      </w:r>
    </w:p>
    <w:p w14:paraId="00066E7F">
      <w:pPr>
        <w:pStyle w:val="217"/>
        <w:rPr>
          <w:rFonts w:hint="eastAsia" w:ascii="宋体" w:hAnsi="宋体" w:cs="宋体"/>
          <w:color w:val="auto"/>
          <w:szCs w:val="21"/>
          <w:highlight w:val="none"/>
        </w:rPr>
      </w:pPr>
      <w:r>
        <w:rPr>
          <w:rFonts w:hint="eastAsia" w:ascii="宋体" w:hAnsi="宋体" w:cs="宋体"/>
          <w:color w:val="auto"/>
          <w:szCs w:val="21"/>
          <w:highlight w:val="none"/>
        </w:rPr>
        <w:t>　　（一）农、林、牧、渔业。营业收入20000万元以下的为中小微型企业。其中，营业收入500万元及以上的为中型企业，营业收入50万元及以上的为小型企业，营业收入50万元以下的为微型企业。</w:t>
      </w:r>
    </w:p>
    <w:p w14:paraId="21D44E5A">
      <w:pPr>
        <w:pStyle w:val="217"/>
        <w:rPr>
          <w:rFonts w:hint="eastAsia" w:ascii="宋体" w:hAnsi="宋体" w:cs="宋体"/>
          <w:color w:val="auto"/>
          <w:szCs w:val="21"/>
          <w:highlight w:val="none"/>
        </w:rPr>
      </w:pPr>
      <w:r>
        <w:rPr>
          <w:rFonts w:hint="eastAsia" w:ascii="宋体" w:hAnsi="宋体" w:cs="宋体"/>
          <w:color w:val="auto"/>
          <w:szCs w:val="21"/>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3CDF4D4F">
      <w:pPr>
        <w:pStyle w:val="217"/>
        <w:rPr>
          <w:rFonts w:hint="eastAsia" w:ascii="宋体" w:hAnsi="宋体" w:cs="宋体"/>
          <w:color w:val="auto"/>
          <w:szCs w:val="21"/>
          <w:highlight w:val="none"/>
        </w:rPr>
      </w:pPr>
      <w:r>
        <w:rPr>
          <w:rFonts w:hint="eastAsia" w:ascii="宋体" w:hAnsi="宋体" w:cs="宋体"/>
          <w:color w:val="auto"/>
          <w:szCs w:val="21"/>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09A5C7FD">
      <w:pPr>
        <w:pStyle w:val="217"/>
        <w:rPr>
          <w:rFonts w:hint="eastAsia" w:ascii="宋体" w:hAnsi="宋体" w:cs="宋体"/>
          <w:color w:val="auto"/>
          <w:szCs w:val="21"/>
          <w:highlight w:val="none"/>
        </w:rPr>
      </w:pPr>
      <w:r>
        <w:rPr>
          <w:rFonts w:hint="eastAsia" w:ascii="宋体" w:hAnsi="宋体" w:cs="宋体"/>
          <w:color w:val="auto"/>
          <w:szCs w:val="21"/>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108CDE2A">
      <w:pPr>
        <w:pStyle w:val="217"/>
        <w:rPr>
          <w:rFonts w:hint="eastAsia" w:ascii="宋体" w:hAnsi="宋体" w:cs="宋体"/>
          <w:color w:val="auto"/>
          <w:szCs w:val="21"/>
          <w:highlight w:val="none"/>
        </w:rPr>
      </w:pPr>
      <w:r>
        <w:rPr>
          <w:rFonts w:hint="eastAsia" w:ascii="宋体" w:hAnsi="宋体" w:cs="宋体"/>
          <w:color w:val="auto"/>
          <w:szCs w:val="21"/>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4986F64A">
      <w:pPr>
        <w:pStyle w:val="217"/>
        <w:rPr>
          <w:rFonts w:hint="eastAsia" w:ascii="宋体" w:hAnsi="宋体" w:cs="宋体"/>
          <w:color w:val="auto"/>
          <w:szCs w:val="21"/>
          <w:highlight w:val="none"/>
        </w:rPr>
      </w:pPr>
      <w:r>
        <w:rPr>
          <w:rFonts w:hint="eastAsia" w:ascii="宋体" w:hAnsi="宋体" w:cs="宋体"/>
          <w:color w:val="auto"/>
          <w:szCs w:val="21"/>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0131B314">
      <w:pPr>
        <w:pStyle w:val="217"/>
        <w:rPr>
          <w:rFonts w:hint="eastAsia" w:ascii="宋体" w:hAnsi="宋体" w:cs="宋体"/>
          <w:color w:val="auto"/>
          <w:szCs w:val="21"/>
          <w:highlight w:val="none"/>
        </w:rPr>
      </w:pPr>
      <w:r>
        <w:rPr>
          <w:rFonts w:hint="eastAsia" w:ascii="宋体" w:hAnsi="宋体" w:cs="宋体"/>
          <w:color w:val="auto"/>
          <w:szCs w:val="21"/>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6C938CAE">
      <w:pPr>
        <w:pStyle w:val="217"/>
        <w:rPr>
          <w:rFonts w:hint="eastAsia" w:ascii="宋体" w:hAnsi="宋体" w:cs="宋体"/>
          <w:color w:val="auto"/>
          <w:szCs w:val="21"/>
          <w:highlight w:val="none"/>
        </w:rPr>
      </w:pPr>
      <w:r>
        <w:rPr>
          <w:rFonts w:hint="eastAsia" w:ascii="宋体" w:hAnsi="宋体" w:cs="宋体"/>
          <w:color w:val="auto"/>
          <w:szCs w:val="21"/>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03FBDFA9">
      <w:pPr>
        <w:pStyle w:val="217"/>
        <w:rPr>
          <w:rFonts w:hint="eastAsia" w:ascii="宋体" w:hAnsi="宋体" w:cs="宋体"/>
          <w:color w:val="auto"/>
          <w:szCs w:val="21"/>
          <w:highlight w:val="none"/>
        </w:rPr>
      </w:pPr>
      <w:r>
        <w:rPr>
          <w:rFonts w:hint="eastAsia" w:ascii="宋体" w:hAnsi="宋体" w:cs="宋体"/>
          <w:color w:val="auto"/>
          <w:szCs w:val="21"/>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EB9C44F">
      <w:pPr>
        <w:pStyle w:val="217"/>
        <w:rPr>
          <w:rFonts w:hint="eastAsia" w:ascii="宋体" w:hAnsi="宋体" w:cs="宋体"/>
          <w:color w:val="auto"/>
          <w:szCs w:val="21"/>
          <w:highlight w:val="none"/>
        </w:rPr>
      </w:pPr>
      <w:r>
        <w:rPr>
          <w:rFonts w:hint="eastAsia" w:ascii="宋体" w:hAnsi="宋体" w:cs="宋体"/>
          <w:color w:val="auto"/>
          <w:szCs w:val="21"/>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8F6BCED">
      <w:pPr>
        <w:pStyle w:val="217"/>
        <w:rPr>
          <w:rFonts w:hint="eastAsia" w:ascii="宋体" w:hAnsi="宋体" w:cs="宋体"/>
          <w:color w:val="auto"/>
          <w:szCs w:val="21"/>
          <w:highlight w:val="none"/>
        </w:rPr>
      </w:pPr>
      <w:r>
        <w:rPr>
          <w:rFonts w:hint="eastAsia" w:ascii="宋体" w:hAnsi="宋体" w:cs="宋体"/>
          <w:color w:val="auto"/>
          <w:szCs w:val="21"/>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6B62FA5D">
      <w:pPr>
        <w:pStyle w:val="217"/>
        <w:rPr>
          <w:rFonts w:hint="eastAsia" w:ascii="宋体" w:hAnsi="宋体" w:cs="宋体"/>
          <w:color w:val="auto"/>
          <w:szCs w:val="21"/>
          <w:highlight w:val="none"/>
        </w:rPr>
      </w:pPr>
      <w:r>
        <w:rPr>
          <w:rFonts w:hint="eastAsia" w:ascii="宋体" w:hAnsi="宋体" w:cs="宋体"/>
          <w:color w:val="auto"/>
          <w:szCs w:val="21"/>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19FFF59C">
      <w:pPr>
        <w:pStyle w:val="217"/>
        <w:rPr>
          <w:rFonts w:hint="eastAsia" w:ascii="宋体" w:hAnsi="宋体" w:cs="宋体"/>
          <w:color w:val="auto"/>
          <w:szCs w:val="21"/>
          <w:highlight w:val="none"/>
        </w:rPr>
      </w:pPr>
      <w:r>
        <w:rPr>
          <w:rFonts w:hint="eastAsia" w:ascii="宋体" w:hAnsi="宋体" w:cs="宋体"/>
          <w:color w:val="auto"/>
          <w:szCs w:val="21"/>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1A80FC8A">
      <w:pPr>
        <w:pStyle w:val="217"/>
        <w:rPr>
          <w:rFonts w:hint="eastAsia" w:ascii="宋体" w:hAnsi="宋体" w:cs="宋体"/>
          <w:color w:val="auto"/>
          <w:szCs w:val="21"/>
          <w:highlight w:val="none"/>
        </w:rPr>
      </w:pPr>
      <w:r>
        <w:rPr>
          <w:rFonts w:hint="eastAsia" w:ascii="宋体" w:hAnsi="宋体" w:cs="宋体"/>
          <w:color w:val="auto"/>
          <w:szCs w:val="21"/>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7B4705F5">
      <w:pPr>
        <w:pStyle w:val="217"/>
        <w:rPr>
          <w:rFonts w:hint="eastAsia" w:ascii="宋体" w:hAnsi="宋体" w:cs="宋体"/>
          <w:color w:val="auto"/>
          <w:szCs w:val="21"/>
          <w:highlight w:val="none"/>
        </w:rPr>
      </w:pPr>
      <w:r>
        <w:rPr>
          <w:rFonts w:hint="eastAsia" w:ascii="宋体" w:hAnsi="宋体" w:cs="宋体"/>
          <w:color w:val="auto"/>
          <w:szCs w:val="21"/>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4B919B30">
      <w:pPr>
        <w:pStyle w:val="217"/>
        <w:rPr>
          <w:rFonts w:hint="eastAsia" w:ascii="宋体" w:hAnsi="宋体" w:cs="宋体"/>
          <w:color w:val="auto"/>
          <w:szCs w:val="21"/>
          <w:highlight w:val="none"/>
        </w:rPr>
      </w:pPr>
      <w:r>
        <w:rPr>
          <w:rFonts w:hint="eastAsia" w:ascii="宋体" w:hAnsi="宋体" w:cs="宋体"/>
          <w:color w:val="auto"/>
          <w:szCs w:val="21"/>
          <w:highlight w:val="none"/>
        </w:rPr>
        <w:t>　　（十六）其他未列明行业。从业人员300人以下的为中小微型企业。其中，从业人员100人及以上的为中型企业；从业人员10人及以上的为小型企业；从业人员10人以下的为微型企业。</w:t>
      </w:r>
    </w:p>
    <w:p w14:paraId="11FC7008">
      <w:pPr>
        <w:pStyle w:val="217"/>
        <w:rPr>
          <w:rFonts w:hint="eastAsia" w:ascii="宋体" w:hAnsi="宋体" w:cs="宋体"/>
          <w:color w:val="auto"/>
          <w:szCs w:val="21"/>
          <w:highlight w:val="none"/>
        </w:rPr>
      </w:pPr>
      <w:r>
        <w:rPr>
          <w:rFonts w:hint="eastAsia" w:ascii="宋体" w:hAnsi="宋体" w:cs="宋体"/>
          <w:color w:val="auto"/>
          <w:szCs w:val="21"/>
          <w:highlight w:val="none"/>
        </w:rPr>
        <w:t>　　五、企业类型的划分以统计部门的统计数据为依据。</w:t>
      </w:r>
    </w:p>
    <w:p w14:paraId="2ABB1F11">
      <w:pPr>
        <w:pStyle w:val="217"/>
        <w:rPr>
          <w:rFonts w:hint="eastAsia" w:ascii="宋体" w:hAnsi="宋体" w:cs="宋体"/>
          <w:color w:val="auto"/>
          <w:szCs w:val="21"/>
          <w:highlight w:val="none"/>
        </w:rPr>
      </w:pPr>
      <w:r>
        <w:rPr>
          <w:rFonts w:hint="eastAsia" w:ascii="宋体" w:hAnsi="宋体" w:cs="宋体"/>
          <w:color w:val="auto"/>
          <w:szCs w:val="21"/>
          <w:highlight w:val="none"/>
        </w:rPr>
        <w:t>　　六、本规定适用于在中华人民共和国境内依法设立的各类所有制和各种组织形式的企业。个体工商户和本规定以外的行业，参照本规定进行划型。</w:t>
      </w:r>
    </w:p>
    <w:p w14:paraId="4467D61F">
      <w:pPr>
        <w:pStyle w:val="217"/>
        <w:rPr>
          <w:rFonts w:hint="eastAsia" w:ascii="宋体" w:hAnsi="宋体" w:cs="宋体"/>
          <w:color w:val="auto"/>
          <w:szCs w:val="21"/>
          <w:highlight w:val="none"/>
        </w:rPr>
      </w:pPr>
      <w:r>
        <w:rPr>
          <w:rFonts w:hint="eastAsia" w:ascii="宋体" w:hAnsi="宋体" w:cs="宋体"/>
          <w:color w:val="auto"/>
          <w:szCs w:val="21"/>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14:paraId="15C6D47E">
      <w:pPr>
        <w:pStyle w:val="217"/>
        <w:rPr>
          <w:rFonts w:hint="eastAsia" w:ascii="宋体" w:hAnsi="宋体" w:cs="宋体"/>
          <w:color w:val="auto"/>
          <w:szCs w:val="21"/>
          <w:highlight w:val="none"/>
        </w:rPr>
      </w:pPr>
      <w:r>
        <w:rPr>
          <w:rFonts w:hint="eastAsia" w:ascii="宋体" w:hAnsi="宋体" w:cs="宋体"/>
          <w:color w:val="auto"/>
          <w:szCs w:val="21"/>
          <w:highlight w:val="none"/>
        </w:rPr>
        <w:t>　　八、本规定由工业和信息化部、国家统计局会同有关部门根据《国民经济行业分类》修订情况和企业发展变化情况适时修订。</w:t>
      </w:r>
    </w:p>
    <w:p w14:paraId="1EAFAEF6">
      <w:pPr>
        <w:pStyle w:val="217"/>
        <w:rPr>
          <w:rFonts w:hint="eastAsia" w:ascii="宋体" w:hAnsi="宋体" w:cs="宋体"/>
          <w:color w:val="auto"/>
          <w:szCs w:val="21"/>
          <w:highlight w:val="none"/>
        </w:rPr>
      </w:pPr>
      <w:r>
        <w:rPr>
          <w:rFonts w:hint="eastAsia" w:ascii="宋体" w:hAnsi="宋体" w:cs="宋体"/>
          <w:color w:val="auto"/>
          <w:szCs w:val="21"/>
          <w:highlight w:val="none"/>
        </w:rPr>
        <w:t>　　九、本规定由工业和信息化部、国家统计局会同有关部门负责解释。</w:t>
      </w:r>
    </w:p>
    <w:p w14:paraId="68B0C50E">
      <w:pPr>
        <w:pStyle w:val="217"/>
        <w:ind w:firstLine="420"/>
        <w:rPr>
          <w:rFonts w:hint="eastAsia" w:ascii="宋体" w:hAnsi="宋体" w:cs="宋体"/>
          <w:color w:val="auto"/>
          <w:szCs w:val="21"/>
          <w:highlight w:val="none"/>
        </w:rPr>
      </w:pPr>
      <w:r>
        <w:rPr>
          <w:rFonts w:hint="eastAsia" w:ascii="宋体" w:hAnsi="宋体" w:cs="宋体"/>
          <w:color w:val="auto"/>
          <w:szCs w:val="21"/>
          <w:highlight w:val="none"/>
        </w:rPr>
        <w:t>十、本规定自发布之日起执行，原国家经贸委、原国家计委、财政部和国家统计局2003年颁布的《中小企业标准暂行规定》同时废止。</w:t>
      </w:r>
    </w:p>
    <w:p w14:paraId="3B0CB22D">
      <w:pPr>
        <w:pStyle w:val="187"/>
        <w:spacing w:before="0" w:after="0" w:line="360" w:lineRule="auto"/>
        <w:jc w:val="left"/>
        <w:rPr>
          <w:rFonts w:hint="eastAsia" w:ascii="宋体" w:hAnsi="宋体" w:cs="宋体"/>
          <w:color w:val="auto"/>
          <w:highlight w:val="none"/>
        </w:rPr>
      </w:pPr>
    </w:p>
    <w:p w14:paraId="4F191391">
      <w:pPr>
        <w:pStyle w:val="187"/>
        <w:spacing w:before="0" w:after="0" w:line="360" w:lineRule="auto"/>
        <w:ind w:firstLine="442"/>
        <w:jc w:val="left"/>
        <w:rPr>
          <w:rFonts w:hint="eastAsia" w:ascii="宋体" w:hAnsi="宋体" w:cs="宋体"/>
          <w:color w:val="auto"/>
          <w:highlight w:val="none"/>
        </w:rPr>
      </w:pPr>
    </w:p>
    <w:p w14:paraId="45B26DEE">
      <w:pPr>
        <w:pStyle w:val="187"/>
        <w:spacing w:before="0" w:after="0" w:line="360" w:lineRule="auto"/>
        <w:ind w:firstLine="442"/>
        <w:jc w:val="left"/>
        <w:rPr>
          <w:rFonts w:hint="eastAsia" w:ascii="宋体" w:hAnsi="宋体" w:cs="宋体"/>
          <w:color w:val="auto"/>
          <w:highlight w:val="none"/>
        </w:rPr>
      </w:pPr>
    </w:p>
    <w:p w14:paraId="1BE4084B">
      <w:pPr>
        <w:pStyle w:val="187"/>
        <w:spacing w:before="0" w:after="0" w:line="360" w:lineRule="auto"/>
        <w:ind w:firstLine="442"/>
        <w:jc w:val="left"/>
        <w:rPr>
          <w:rFonts w:hint="eastAsia" w:ascii="宋体" w:hAnsi="宋体" w:cs="宋体"/>
          <w:color w:val="auto"/>
          <w:highlight w:val="none"/>
        </w:rPr>
      </w:pPr>
    </w:p>
    <w:p w14:paraId="54851162">
      <w:pPr>
        <w:pStyle w:val="187"/>
        <w:spacing w:before="0" w:after="0" w:line="360" w:lineRule="auto"/>
        <w:ind w:firstLine="442"/>
        <w:jc w:val="left"/>
        <w:rPr>
          <w:rFonts w:hint="eastAsia" w:ascii="宋体" w:hAnsi="宋体" w:cs="宋体"/>
          <w:color w:val="auto"/>
          <w:highlight w:val="none"/>
        </w:rPr>
      </w:pPr>
    </w:p>
    <w:p w14:paraId="3AF62DA7">
      <w:pPr>
        <w:pStyle w:val="187"/>
        <w:spacing w:before="0" w:after="0" w:line="360" w:lineRule="auto"/>
        <w:ind w:firstLine="442"/>
        <w:jc w:val="left"/>
        <w:rPr>
          <w:rFonts w:hint="eastAsia" w:ascii="宋体" w:hAnsi="宋体" w:cs="宋体"/>
          <w:color w:val="auto"/>
          <w:highlight w:val="none"/>
        </w:rPr>
      </w:pPr>
    </w:p>
    <w:p w14:paraId="03283094">
      <w:pPr>
        <w:pStyle w:val="187"/>
        <w:spacing w:before="0" w:after="0" w:line="360" w:lineRule="auto"/>
        <w:ind w:firstLine="442"/>
        <w:jc w:val="left"/>
        <w:rPr>
          <w:rFonts w:hint="eastAsia" w:ascii="宋体" w:hAnsi="宋体" w:cs="宋体"/>
          <w:color w:val="auto"/>
          <w:highlight w:val="none"/>
        </w:rPr>
      </w:pPr>
    </w:p>
    <w:p w14:paraId="3A253A39">
      <w:pPr>
        <w:pStyle w:val="187"/>
        <w:spacing w:before="0" w:after="0" w:line="360" w:lineRule="auto"/>
        <w:ind w:firstLine="442"/>
        <w:jc w:val="left"/>
        <w:rPr>
          <w:rFonts w:hint="eastAsia" w:ascii="宋体" w:hAnsi="宋体" w:cs="宋体"/>
          <w:color w:val="auto"/>
          <w:highlight w:val="none"/>
        </w:rPr>
      </w:pPr>
    </w:p>
    <w:p w14:paraId="0CD28219">
      <w:pPr>
        <w:pStyle w:val="187"/>
        <w:spacing w:before="0" w:after="0" w:line="360" w:lineRule="auto"/>
        <w:ind w:firstLine="442"/>
        <w:jc w:val="center"/>
        <w:rPr>
          <w:rFonts w:hint="eastAsia" w:ascii="宋体" w:hAnsi="宋体" w:cs="宋体"/>
          <w:color w:val="auto"/>
          <w:highlight w:val="none"/>
        </w:rPr>
      </w:pPr>
      <w:r>
        <w:rPr>
          <w:rFonts w:hint="eastAsia" w:ascii="宋体" w:hAnsi="宋体" w:cs="宋体"/>
          <w:color w:val="auto"/>
          <w:highlight w:val="none"/>
        </w:rPr>
        <w:t>第四章  评审程序、评审方法和评审标准</w:t>
      </w:r>
      <w:bookmarkEnd w:id="91"/>
    </w:p>
    <w:p w14:paraId="412DD625">
      <w:pPr>
        <w:spacing w:line="360" w:lineRule="auto"/>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br w:type="page" w:clear="all"/>
      </w:r>
      <w:r>
        <w:rPr>
          <w:rFonts w:hint="eastAsia" w:ascii="宋体" w:hAnsi="宋体" w:cs="宋体"/>
          <w:b/>
          <w:color w:val="auto"/>
          <w:sz w:val="32"/>
          <w:szCs w:val="32"/>
          <w:highlight w:val="none"/>
        </w:rPr>
        <w:t>一、评审程序和评审方法</w:t>
      </w:r>
    </w:p>
    <w:p w14:paraId="7360224A">
      <w:pPr>
        <w:spacing w:line="360" w:lineRule="auto"/>
        <w:ind w:firstLine="482"/>
        <w:rPr>
          <w:rFonts w:hint="eastAsia" w:ascii="宋体" w:hAnsi="宋体" w:cs="宋体"/>
          <w:b/>
          <w:bCs/>
          <w:color w:val="auto"/>
          <w:sz w:val="24"/>
          <w:highlight w:val="none"/>
        </w:rPr>
      </w:pPr>
      <w:r>
        <w:rPr>
          <w:rFonts w:hint="eastAsia" w:ascii="宋体" w:hAnsi="宋体" w:cs="宋体"/>
          <w:b/>
          <w:bCs/>
          <w:color w:val="auto"/>
          <w:sz w:val="24"/>
          <w:highlight w:val="none"/>
        </w:rPr>
        <w:t>1.资格审查</w:t>
      </w:r>
    </w:p>
    <w:p w14:paraId="69846D33">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1.1响应文件开启后，磋商小组依法对供应商的资格证明文件进行审查。</w:t>
      </w:r>
    </w:p>
    <w:p w14:paraId="5C737B8D">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注：</w:t>
      </w:r>
      <w:r>
        <w:rPr>
          <w:rFonts w:hint="eastAsia" w:ascii="宋体" w:hAnsi="宋体" w:cs="宋体"/>
          <w:color w:val="auto"/>
          <w:highlight w:val="none"/>
        </w:rPr>
        <w:t>磋商小组</w:t>
      </w:r>
      <w:r>
        <w:rPr>
          <w:rFonts w:hint="eastAsia" w:ascii="宋体" w:hAnsi="宋体" w:cs="宋体"/>
          <w:color w:val="auto"/>
          <w:szCs w:val="21"/>
          <w:highlight w:val="none"/>
        </w:rPr>
        <w:t>在资格审查结束前，对供应商进行信用查询。</w:t>
      </w:r>
    </w:p>
    <w:p w14:paraId="0430DAFF">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（1）查询渠道：广西政府采购云平台“信用中国”网站（www.creditchina.gov.cn）、中国政府采购网（www.ccgp.gov.cn）链接入口。</w:t>
      </w:r>
    </w:p>
    <w:p w14:paraId="4D4CB259">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（2）信用查询截止时点：资格审查结束前。</w:t>
      </w:r>
    </w:p>
    <w:p w14:paraId="140C6E4D">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（3）查询记录和证据留存方式：在查询网站中直接查询，截图另存为电子文档作为评审资料保存。</w:t>
      </w:r>
    </w:p>
    <w:p w14:paraId="16330091">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（4）信用信息使用规则：对在“信用中国”网站（www.creditchina.gov.cn）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p>
    <w:p w14:paraId="7638EF1C">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1.2资格审查标准为本磋商文件中载明对供应商资格要求的条件。资格审查采用合格制，凡符合磋商文件规定的供应商资格要求的响应文件均通过资格审查。</w:t>
      </w:r>
    </w:p>
    <w:p w14:paraId="0B579DFA">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1.3供应商有下列情形之一的，资格审查不通过，其响应文件按无效处理：</w:t>
      </w:r>
    </w:p>
    <w:p w14:paraId="7B66AA5A">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（1）不具备磋商文件中规定的资格要求的；</w:t>
      </w:r>
    </w:p>
    <w:p w14:paraId="7AAEEFA0">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（2）未按磋商文件规定的方式获取本磋商文件的供应商；</w:t>
      </w:r>
    </w:p>
    <w:p w14:paraId="73FA7A19">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（3）响应文件的资格证明文件缺少任一项“供应商须知前附表”资格证明文件规定的“必须提供”的文件资料的；</w:t>
      </w:r>
    </w:p>
    <w:p w14:paraId="095203E1">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（4）响应文件中的资格证明文件出现任一项不符合“供应商须知前附表”资格证明文件规定的“必须提供”的文件资料要求或者无效的；</w:t>
      </w:r>
    </w:p>
    <w:p w14:paraId="3DACF0A8">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（5）有第二章“供应商须知”第3.2项规定的任何一种情形的。</w:t>
      </w:r>
    </w:p>
    <w:p w14:paraId="33B41812">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1.4通过资格审查的合格供应商不足3家的，不得进入符合性审查环节，应当重新开展采购活动。</w:t>
      </w:r>
    </w:p>
    <w:p w14:paraId="2649DBC0">
      <w:pPr>
        <w:spacing w:line="360" w:lineRule="auto"/>
        <w:ind w:firstLine="482"/>
        <w:rPr>
          <w:rFonts w:hint="eastAsia" w:ascii="宋体" w:hAnsi="宋体" w:cs="宋体"/>
          <w:b/>
          <w:bCs/>
          <w:color w:val="auto"/>
          <w:sz w:val="24"/>
          <w:highlight w:val="none"/>
        </w:rPr>
      </w:pPr>
      <w:r>
        <w:rPr>
          <w:rFonts w:hint="eastAsia" w:ascii="宋体" w:hAnsi="宋体" w:cs="宋体"/>
          <w:b/>
          <w:bCs/>
          <w:color w:val="auto"/>
          <w:sz w:val="24"/>
          <w:highlight w:val="none"/>
        </w:rPr>
        <w:t>2.符合性审查</w:t>
      </w:r>
    </w:p>
    <w:p w14:paraId="365505C8">
      <w:pPr>
        <w:spacing w:line="360" w:lineRule="auto"/>
        <w:ind w:firstLine="420"/>
        <w:rPr>
          <w:rFonts w:hint="eastAsia" w:ascii="宋体" w:hAnsi="宋体" w:cs="宋体"/>
          <w:color w:val="auto"/>
          <w:szCs w:val="21"/>
          <w:highlight w:val="none"/>
        </w:rPr>
      </w:pPr>
      <w:bookmarkStart w:id="92" w:name="_Hlk42528882"/>
      <w:r>
        <w:rPr>
          <w:rFonts w:hint="eastAsia" w:ascii="宋体" w:hAnsi="宋体" w:cs="宋体"/>
          <w:color w:val="auto"/>
          <w:szCs w:val="21"/>
          <w:highlight w:val="none"/>
        </w:rPr>
        <w:t>2.1磋商小组对通过资格审查的合格供应商的响应文件的竞标报价、商务、技术等实质性要求进行符合性审查，以确定其是否满足磋商文件的实质性要求。</w:t>
      </w:r>
    </w:p>
    <w:bookmarkEnd w:id="92"/>
    <w:p w14:paraId="0D9A4562">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2.2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CDC4395">
      <w:pPr>
        <w:spacing w:line="360" w:lineRule="auto"/>
        <w:ind w:firstLine="420"/>
        <w:rPr>
          <w:rFonts w:hint="eastAsia" w:ascii="宋体" w:hAnsi="宋体" w:cs="宋体"/>
          <w:color w:val="auto"/>
          <w:spacing w:val="-6"/>
          <w:szCs w:val="21"/>
          <w:highlight w:val="none"/>
        </w:rPr>
      </w:pPr>
      <w:r>
        <w:rPr>
          <w:rFonts w:hint="eastAsia" w:ascii="宋体" w:hAnsi="宋体" w:cs="宋体"/>
          <w:color w:val="auto"/>
          <w:szCs w:val="21"/>
          <w:highlight w:val="none"/>
        </w:rPr>
        <w:t>2.3磋商小组要求供应商澄清、说明或者更正响应文件应当以电子澄清函形式作出。供应商的澄清、说明或者更正应当</w:t>
      </w:r>
      <w:r>
        <w:rPr>
          <w:rFonts w:hint="eastAsia" w:ascii="宋体" w:hAnsi="宋体" w:cs="宋体"/>
          <w:color w:val="auto"/>
          <w:highlight w:val="none"/>
        </w:rPr>
        <w:t>以</w:t>
      </w:r>
      <w:r>
        <w:rPr>
          <w:rFonts w:hint="eastAsia" w:ascii="宋体" w:hAnsi="宋体" w:cs="宋体"/>
          <w:color w:val="auto"/>
          <w:szCs w:val="21"/>
          <w:highlight w:val="none"/>
        </w:rPr>
        <w:t>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w:t>
      </w:r>
      <w:r>
        <w:rPr>
          <w:rFonts w:hint="eastAsia" w:ascii="宋体" w:hAnsi="宋体" w:cs="宋体"/>
          <w:color w:val="auto"/>
          <w:highlight w:val="none"/>
        </w:rPr>
        <w:t>签章</w:t>
      </w:r>
      <w:r>
        <w:rPr>
          <w:rFonts w:hint="eastAsia" w:ascii="宋体" w:hAnsi="宋体" w:cs="宋体"/>
          <w:color w:val="auto"/>
          <w:spacing w:val="-6"/>
          <w:szCs w:val="21"/>
          <w:highlight w:val="none"/>
        </w:rPr>
        <w:t>。</w:t>
      </w:r>
    </w:p>
    <w:p w14:paraId="301D13CD">
      <w:pPr>
        <w:spacing w:line="360" w:lineRule="auto"/>
        <w:ind w:firstLine="420"/>
        <w:rPr>
          <w:rFonts w:hint="eastAsia" w:ascii="宋体" w:hAnsi="宋体" w:cs="宋体"/>
          <w:color w:val="auto"/>
          <w:spacing w:val="-6"/>
          <w:szCs w:val="21"/>
          <w:highlight w:val="none"/>
        </w:rPr>
      </w:pPr>
      <w:r>
        <w:rPr>
          <w:rFonts w:hint="eastAsia" w:ascii="宋体" w:hAnsi="宋体" w:cs="宋体"/>
          <w:color w:val="auto"/>
          <w:szCs w:val="21"/>
          <w:highlight w:val="none"/>
        </w:rPr>
        <w:t>异常情况处理：如遇无法正常使用线上发送澄清函的情况，将启动书面形式办理。启动书面形式办理的情况下，磋商小组以书面形式要求供应商在规定时间内作出必要的澄清、说明或者补正。供应商的澄清、说明或者补正必须采用书面形式，并加盖公章，或者由法定代表人或者其授权的代表签字。</w:t>
      </w:r>
    </w:p>
    <w:p w14:paraId="18BF351D">
      <w:pPr>
        <w:spacing w:line="360" w:lineRule="auto"/>
        <w:ind w:firstLine="396"/>
        <w:rPr>
          <w:rFonts w:hint="eastAsia" w:ascii="宋体" w:hAnsi="宋体" w:cs="宋体"/>
          <w:color w:val="auto"/>
          <w:szCs w:val="21"/>
          <w:highlight w:val="none"/>
        </w:rPr>
      </w:pPr>
      <w:r>
        <w:rPr>
          <w:rFonts w:hint="eastAsia" w:ascii="宋体" w:hAnsi="宋体" w:cs="宋体"/>
          <w:color w:val="auto"/>
          <w:spacing w:val="-6"/>
          <w:szCs w:val="21"/>
          <w:highlight w:val="none"/>
        </w:rPr>
        <w:t>2.4</w:t>
      </w:r>
      <w:r>
        <w:rPr>
          <w:rFonts w:hint="eastAsia" w:ascii="宋体" w:hAnsi="宋体" w:cs="宋体"/>
          <w:color w:val="auto"/>
          <w:szCs w:val="21"/>
          <w:highlight w:val="none"/>
        </w:rPr>
        <w:t xml:space="preserve">首次响应文件报价出现前后不一致的，按照下列规定修正： </w:t>
      </w:r>
    </w:p>
    <w:p w14:paraId="563CFC93">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（1）响应文件中报价表内容与响应文件中相应内容不一致的，以报价表为准；</w:t>
      </w:r>
    </w:p>
    <w:p w14:paraId="55A078A3">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（2）大写金额和小写金额不一致的，以大写金额为准；</w:t>
      </w:r>
    </w:p>
    <w:p w14:paraId="32FF6030">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（3）单价金额小数点或者百分比有明显错位的，以报价表的总价为准，并修改单价；</w:t>
      </w:r>
    </w:p>
    <w:p w14:paraId="376ACF34">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（4）总价金额与按单价汇总金额不一致的，以单价金额计算结果为准。</w:t>
      </w:r>
    </w:p>
    <w:p w14:paraId="577E7A49">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同时出现两种以上不一致的，按照以上（1）-（4）规定的顺序逐条进行修正。修正后的报价经供应商确认后产生约束力，供应商不确认的，其响应文件按无效处理。</w:t>
      </w:r>
    </w:p>
    <w:p w14:paraId="3EE7E260">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2.5商务技术报价评审</w:t>
      </w:r>
    </w:p>
    <w:p w14:paraId="78412E85">
      <w:pPr>
        <w:spacing w:line="360" w:lineRule="auto"/>
        <w:ind w:firstLine="422"/>
        <w:rPr>
          <w:rFonts w:hint="eastAsia" w:ascii="宋体" w:hAnsi="宋体" w:cs="宋体"/>
          <w:b/>
          <w:color w:val="auto"/>
          <w:szCs w:val="21"/>
          <w:highlight w:val="none"/>
        </w:rPr>
      </w:pPr>
      <w:r>
        <w:rPr>
          <w:rFonts w:hint="eastAsia" w:ascii="宋体" w:hAnsi="宋体" w:cs="宋体"/>
          <w:b/>
          <w:color w:val="auto"/>
          <w:szCs w:val="21"/>
          <w:highlight w:val="none"/>
        </w:rPr>
        <w:t>在评审时，如发现下列情形之一的，将被视为响应文件无效处理：</w:t>
      </w:r>
    </w:p>
    <w:p w14:paraId="6E7C5E31">
      <w:pPr>
        <w:spacing w:line="360" w:lineRule="auto"/>
        <w:ind w:firstLine="422"/>
        <w:rPr>
          <w:rFonts w:hint="eastAsia" w:ascii="宋体" w:hAnsi="宋体" w:cs="宋体"/>
          <w:b/>
          <w:color w:val="auto"/>
          <w:szCs w:val="21"/>
          <w:highlight w:val="none"/>
        </w:rPr>
      </w:pPr>
      <w:r>
        <w:rPr>
          <w:rFonts w:hint="eastAsia" w:ascii="宋体" w:hAnsi="宋体" w:cs="宋体"/>
          <w:b/>
          <w:color w:val="auto"/>
          <w:szCs w:val="21"/>
          <w:highlight w:val="none"/>
        </w:rPr>
        <w:t>（1）商务技术评审</w:t>
      </w:r>
    </w:p>
    <w:p w14:paraId="522C2148">
      <w:pPr>
        <w:spacing w:line="360" w:lineRule="auto"/>
        <w:ind w:firstLine="422"/>
        <w:rPr>
          <w:rFonts w:hint="eastAsia" w:ascii="宋体" w:hAnsi="宋体" w:cs="宋体"/>
          <w:b/>
          <w:color w:val="auto"/>
          <w:szCs w:val="21"/>
          <w:highlight w:val="none"/>
        </w:rPr>
      </w:pPr>
      <w:r>
        <w:rPr>
          <w:rFonts w:hint="eastAsia" w:ascii="宋体" w:hAnsi="宋体" w:cs="宋体"/>
          <w:b/>
          <w:color w:val="auto"/>
          <w:szCs w:val="21"/>
          <w:highlight w:val="none"/>
        </w:rPr>
        <w:t>1）响应文件未按磋商文件要求签署、盖章的；</w:t>
      </w:r>
    </w:p>
    <w:p w14:paraId="674289D9">
      <w:pPr>
        <w:spacing w:line="360" w:lineRule="auto"/>
        <w:ind w:firstLine="422"/>
        <w:rPr>
          <w:rFonts w:hint="eastAsia" w:ascii="宋体" w:hAnsi="宋体" w:cs="宋体"/>
          <w:b/>
          <w:color w:val="auto"/>
          <w:szCs w:val="21"/>
          <w:highlight w:val="none"/>
        </w:rPr>
      </w:pPr>
      <w:r>
        <w:rPr>
          <w:rFonts w:hint="eastAsia" w:ascii="宋体" w:hAnsi="宋体" w:cs="宋体"/>
          <w:b/>
          <w:color w:val="auto"/>
          <w:szCs w:val="21"/>
          <w:highlight w:val="none"/>
        </w:rPr>
        <w:t xml:space="preserve">2）委托代理人未能出具有效身份证或者出具的身份证与授权委托书中的信息不符的； </w:t>
      </w:r>
    </w:p>
    <w:p w14:paraId="6FDC5621">
      <w:pPr>
        <w:spacing w:line="360" w:lineRule="auto"/>
        <w:ind w:firstLine="422"/>
        <w:rPr>
          <w:rFonts w:hint="eastAsia" w:ascii="宋体" w:hAnsi="宋体" w:cs="宋体"/>
          <w:b/>
          <w:color w:val="auto"/>
          <w:szCs w:val="21"/>
          <w:highlight w:val="none"/>
        </w:rPr>
      </w:pPr>
      <w:r>
        <w:rPr>
          <w:rFonts w:hint="eastAsia" w:ascii="宋体" w:hAnsi="宋体" w:cs="宋体"/>
          <w:b/>
          <w:color w:val="auto"/>
          <w:szCs w:val="21"/>
          <w:highlight w:val="none"/>
        </w:rPr>
        <w:t>3）提交的磋商保证金无效的或者未按照磋商文件的规定提交磋商保证金的；</w:t>
      </w:r>
    </w:p>
    <w:p w14:paraId="6C49CC19">
      <w:pPr>
        <w:spacing w:line="360" w:lineRule="auto"/>
        <w:ind w:firstLine="422"/>
        <w:rPr>
          <w:rFonts w:hint="eastAsia" w:ascii="宋体" w:hAnsi="宋体" w:cs="宋体"/>
          <w:b/>
          <w:color w:val="auto"/>
          <w:szCs w:val="21"/>
          <w:highlight w:val="none"/>
        </w:rPr>
      </w:pPr>
      <w:r>
        <w:rPr>
          <w:rFonts w:hint="eastAsia" w:ascii="宋体" w:hAnsi="宋体" w:cs="宋体"/>
          <w:b/>
          <w:color w:val="auto"/>
          <w:szCs w:val="21"/>
          <w:highlight w:val="none"/>
        </w:rPr>
        <w:t>4）响应文件未提供任一项“供应商须知前附表”商务技术文件中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“必须提供”或者“委托时必须提供”文件资料要求的规定或者提供的商务技术文件无效的。</w:t>
      </w:r>
    </w:p>
    <w:p w14:paraId="0DB699F9">
      <w:pPr>
        <w:spacing w:line="360" w:lineRule="auto"/>
        <w:ind w:firstLine="422"/>
        <w:rPr>
          <w:rFonts w:hint="eastAsia" w:ascii="宋体" w:hAnsi="宋体" w:cs="宋体"/>
          <w:b/>
          <w:color w:val="auto"/>
          <w:szCs w:val="21"/>
          <w:highlight w:val="none"/>
        </w:rPr>
      </w:pPr>
      <w:r>
        <w:rPr>
          <w:rFonts w:hint="eastAsia" w:ascii="宋体" w:hAnsi="宋体" w:cs="宋体"/>
          <w:b/>
          <w:color w:val="auto"/>
          <w:szCs w:val="21"/>
          <w:highlight w:val="none"/>
        </w:rPr>
        <w:t>5）未对竞标有效期作出响应或者响应文件承诺的竞标有效期不满足磋商文件要求的；</w:t>
      </w:r>
    </w:p>
    <w:p w14:paraId="3E64C76F">
      <w:pPr>
        <w:spacing w:line="360" w:lineRule="auto"/>
        <w:ind w:firstLine="422"/>
        <w:rPr>
          <w:rFonts w:hint="eastAsia" w:ascii="宋体" w:hAnsi="宋体" w:cs="宋体"/>
          <w:b/>
          <w:color w:val="auto"/>
          <w:szCs w:val="21"/>
          <w:highlight w:val="none"/>
        </w:rPr>
      </w:pPr>
      <w:r>
        <w:rPr>
          <w:rFonts w:hint="eastAsia" w:ascii="宋体" w:hAnsi="宋体" w:cs="宋体"/>
          <w:b/>
          <w:color w:val="auto"/>
          <w:szCs w:val="21"/>
          <w:highlight w:val="none"/>
        </w:rPr>
        <w:t>6）响应文件的实质性内容未使用中文表述、使用计量单位不符合磋商文件要求的；</w:t>
      </w:r>
    </w:p>
    <w:p w14:paraId="4D9BDBDB">
      <w:pPr>
        <w:spacing w:line="360" w:lineRule="auto"/>
        <w:ind w:firstLine="422"/>
        <w:rPr>
          <w:rFonts w:hint="eastAsia" w:ascii="宋体" w:hAnsi="宋体" w:cs="宋体"/>
          <w:b/>
          <w:color w:val="auto"/>
          <w:szCs w:val="21"/>
          <w:highlight w:val="none"/>
        </w:rPr>
      </w:pPr>
      <w:r>
        <w:rPr>
          <w:rFonts w:hint="eastAsia" w:ascii="宋体" w:hAnsi="宋体" w:cs="宋体"/>
          <w:b/>
          <w:color w:val="auto"/>
          <w:szCs w:val="21"/>
          <w:highlight w:val="none"/>
        </w:rPr>
        <w:t>7）响应文件中的文件资料因填写不齐全或者内容虚假或者出现其他情形而导致被磋商小组认定无效的；</w:t>
      </w:r>
    </w:p>
    <w:p w14:paraId="510C92E1">
      <w:pPr>
        <w:spacing w:line="360" w:lineRule="auto"/>
        <w:ind w:firstLine="422"/>
        <w:rPr>
          <w:rFonts w:hint="eastAsia" w:ascii="宋体" w:hAnsi="宋体" w:cs="宋体"/>
          <w:b/>
          <w:color w:val="auto"/>
          <w:szCs w:val="21"/>
          <w:highlight w:val="none"/>
        </w:rPr>
      </w:pPr>
      <w:r>
        <w:rPr>
          <w:rFonts w:hint="eastAsia" w:ascii="宋体" w:hAnsi="宋体" w:cs="宋体"/>
          <w:b/>
          <w:color w:val="auto"/>
          <w:szCs w:val="21"/>
          <w:highlight w:val="none"/>
        </w:rPr>
        <w:t>8）响应文件含有采购人不能接受的附加条件的；</w:t>
      </w:r>
    </w:p>
    <w:p w14:paraId="5182ADAC">
      <w:pPr>
        <w:spacing w:line="360" w:lineRule="auto"/>
        <w:ind w:firstLine="422"/>
        <w:rPr>
          <w:rFonts w:hint="eastAsia" w:ascii="宋体" w:hAnsi="宋体" w:cs="宋体"/>
          <w:b/>
          <w:color w:val="auto"/>
          <w:szCs w:val="21"/>
          <w:highlight w:val="none"/>
        </w:rPr>
      </w:pPr>
      <w:r>
        <w:rPr>
          <w:rFonts w:hint="eastAsia" w:ascii="宋体" w:hAnsi="宋体" w:cs="宋体"/>
          <w:b/>
          <w:color w:val="auto"/>
          <w:szCs w:val="21"/>
          <w:highlight w:val="none"/>
        </w:rPr>
        <w:t>9）属于“供应商须知正文”第7.5条供应商相互串通竞标情形的；</w:t>
      </w:r>
    </w:p>
    <w:p w14:paraId="77D2BBFD">
      <w:pPr>
        <w:spacing w:line="360" w:lineRule="auto"/>
        <w:ind w:firstLine="422"/>
        <w:rPr>
          <w:rFonts w:hint="eastAsia" w:ascii="宋体" w:hAnsi="宋体" w:cs="宋体"/>
          <w:b/>
          <w:color w:val="auto"/>
          <w:szCs w:val="21"/>
          <w:highlight w:val="none"/>
        </w:rPr>
      </w:pPr>
      <w:r>
        <w:rPr>
          <w:rFonts w:hint="eastAsia" w:ascii="宋体" w:hAnsi="宋体" w:cs="宋体"/>
          <w:b/>
          <w:color w:val="auto"/>
          <w:szCs w:val="21"/>
          <w:highlight w:val="none"/>
        </w:rPr>
        <w:t>10）虚假竞标，或者出现其他情形而导致被磋商小组认定无效的；</w:t>
      </w:r>
    </w:p>
    <w:p w14:paraId="7359F4B3">
      <w:pPr>
        <w:spacing w:line="360" w:lineRule="auto"/>
        <w:ind w:firstLine="422"/>
        <w:rPr>
          <w:rFonts w:hint="eastAsia" w:ascii="宋体" w:hAnsi="宋体" w:cs="宋体"/>
          <w:b/>
          <w:color w:val="auto"/>
          <w:szCs w:val="21"/>
          <w:highlight w:val="none"/>
        </w:rPr>
      </w:pPr>
      <w:r>
        <w:rPr>
          <w:rFonts w:hint="eastAsia" w:ascii="宋体" w:hAnsi="宋体" w:cs="宋体"/>
          <w:b/>
          <w:color w:val="auto"/>
          <w:szCs w:val="21"/>
          <w:highlight w:val="none"/>
        </w:rPr>
        <w:t>11）</w:t>
      </w:r>
      <w:bookmarkStart w:id="93" w:name="_Hlk71704147"/>
      <w:r>
        <w:rPr>
          <w:rFonts w:hint="eastAsia" w:ascii="宋体" w:hAnsi="宋体" w:cs="宋体"/>
          <w:b/>
          <w:color w:val="auto"/>
          <w:szCs w:val="21"/>
          <w:highlight w:val="none"/>
        </w:rPr>
        <w:t>磋商文件未载明允许提供备选（替代）竞标方案或明确不允许提供备选（替代）竞标方案时，供应商提供了备选（替代）竞标方案的；</w:t>
      </w:r>
      <w:bookmarkEnd w:id="93"/>
    </w:p>
    <w:p w14:paraId="13907876">
      <w:pPr>
        <w:spacing w:line="360" w:lineRule="auto"/>
        <w:ind w:firstLine="422"/>
        <w:rPr>
          <w:rFonts w:hint="eastAsia" w:ascii="宋体" w:hAnsi="宋体" w:cs="宋体"/>
          <w:b/>
          <w:color w:val="auto"/>
          <w:szCs w:val="21"/>
          <w:highlight w:val="none"/>
        </w:rPr>
      </w:pPr>
      <w:r>
        <w:rPr>
          <w:rFonts w:hint="eastAsia" w:ascii="宋体" w:hAnsi="宋体" w:cs="宋体"/>
          <w:b/>
          <w:color w:val="auto"/>
          <w:szCs w:val="21"/>
          <w:highlight w:val="none"/>
        </w:rPr>
        <w:t>12）响应文件标注的项目名称或者项目编号与磋商文件标注的项目名称或者项目编号不一致的；</w:t>
      </w:r>
    </w:p>
    <w:p w14:paraId="7907EAD4">
      <w:pPr>
        <w:spacing w:line="360" w:lineRule="auto"/>
        <w:ind w:firstLine="422"/>
        <w:rPr>
          <w:rFonts w:hint="eastAsia" w:ascii="宋体" w:hAnsi="宋体" w:cs="宋体"/>
          <w:b/>
          <w:color w:val="auto"/>
          <w:szCs w:val="21"/>
          <w:highlight w:val="none"/>
        </w:rPr>
      </w:pPr>
      <w:r>
        <w:rPr>
          <w:rFonts w:hint="eastAsia" w:ascii="宋体" w:hAnsi="宋体" w:cs="宋体"/>
          <w:b/>
          <w:color w:val="auto"/>
          <w:szCs w:val="21"/>
          <w:highlight w:val="none"/>
        </w:rPr>
        <w:t>13）竞争性磋商文件明确不允许分包，响应文件拟分包的；</w:t>
      </w:r>
    </w:p>
    <w:p w14:paraId="02E38B5F">
      <w:pPr>
        <w:spacing w:line="360" w:lineRule="auto"/>
        <w:ind w:firstLine="422"/>
        <w:rPr>
          <w:rFonts w:hint="eastAsia" w:ascii="宋体" w:hAnsi="宋体" w:cs="宋体"/>
          <w:b/>
          <w:color w:val="auto"/>
          <w:szCs w:val="21"/>
          <w:highlight w:val="none"/>
        </w:rPr>
      </w:pPr>
      <w:r>
        <w:rPr>
          <w:rFonts w:hint="eastAsia" w:ascii="宋体" w:hAnsi="宋体" w:cs="宋体"/>
          <w:b/>
          <w:color w:val="auto"/>
          <w:szCs w:val="21"/>
          <w:highlight w:val="none"/>
        </w:rPr>
        <w:t>14）未响应磋商文件实质性要求的；</w:t>
      </w:r>
    </w:p>
    <w:p w14:paraId="64A77F3E">
      <w:pPr>
        <w:spacing w:line="360" w:lineRule="auto"/>
        <w:ind w:firstLine="422"/>
        <w:rPr>
          <w:rFonts w:hint="eastAsia" w:ascii="宋体" w:hAnsi="宋体" w:cs="宋体"/>
          <w:b/>
          <w:color w:val="auto"/>
          <w:szCs w:val="21"/>
          <w:highlight w:val="none"/>
        </w:rPr>
      </w:pPr>
      <w:r>
        <w:rPr>
          <w:rFonts w:hint="eastAsia" w:ascii="宋体" w:hAnsi="宋体" w:cs="宋体"/>
          <w:b/>
          <w:color w:val="auto"/>
          <w:szCs w:val="21"/>
          <w:highlight w:val="none"/>
        </w:rPr>
        <w:t>15）法律、法规和磋商文件规定的其他无效情形。</w:t>
      </w:r>
    </w:p>
    <w:p w14:paraId="2913DA79">
      <w:pPr>
        <w:spacing w:line="360" w:lineRule="auto"/>
        <w:ind w:firstLine="422"/>
        <w:rPr>
          <w:rFonts w:hint="eastAsia" w:ascii="宋体" w:hAnsi="宋体" w:cs="宋体"/>
          <w:b/>
          <w:color w:val="auto"/>
          <w:szCs w:val="21"/>
          <w:highlight w:val="none"/>
        </w:rPr>
      </w:pPr>
      <w:r>
        <w:rPr>
          <w:rFonts w:hint="eastAsia" w:ascii="宋体" w:hAnsi="宋体" w:cs="宋体"/>
          <w:b/>
          <w:color w:val="auto"/>
          <w:szCs w:val="21"/>
          <w:highlight w:val="none"/>
        </w:rPr>
        <w:t>（2）报价评审</w:t>
      </w:r>
    </w:p>
    <w:p w14:paraId="6605DAF5">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1）</w:t>
      </w:r>
      <w:r>
        <w:rPr>
          <w:rFonts w:ascii="宋体" w:hAnsi="宋体" w:cs="宋体"/>
          <w:b/>
          <w:color w:val="auto"/>
          <w:szCs w:val="21"/>
          <w:highlight w:val="none"/>
        </w:rPr>
        <w:t xml:space="preserve"> </w:t>
      </w:r>
      <w:r>
        <w:rPr>
          <w:rFonts w:hint="eastAsia" w:ascii="宋体" w:hAnsi="宋体" w:cs="宋体"/>
          <w:b/>
          <w:color w:val="auto"/>
          <w:szCs w:val="21"/>
          <w:highlight w:val="none"/>
        </w:rPr>
        <w:t>响应文件未提供“供应商须知前附表” 报价文件中规定的“竞标报价表”的；</w:t>
      </w:r>
    </w:p>
    <w:p w14:paraId="34B17087">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2）未采用人民币报价或者未按照磋商文件标明的币种报价的；</w:t>
      </w:r>
    </w:p>
    <w:p w14:paraId="38D1E528">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3）供应商未就所竞标分标进行报价或者存在漏项报价；供应商未就所竞标分标的单项内容作唯一报价；供应商未就所竞标分标的全部内容作完整唯一总价报价；供应商响应文件中存在有选择、有条件报价的（磋商文件允许有备选方案或者其他约定的除外）；</w:t>
      </w:r>
    </w:p>
    <w:p w14:paraId="38AF9CC3">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4）竞标报价（包含首次报价、最后报价）超过所竞标分标规定的采购预算金额或者最高限价的（如本项目公布了最高限价）；</w:t>
      </w:r>
      <w:bookmarkStart w:id="94" w:name="_Hlk42596405"/>
      <w:r>
        <w:rPr>
          <w:rFonts w:hint="eastAsia" w:ascii="宋体" w:hAnsi="宋体" w:cs="宋体"/>
          <w:b/>
          <w:color w:val="auto"/>
          <w:szCs w:val="21"/>
          <w:highlight w:val="none"/>
        </w:rPr>
        <w:t>竞标报价（包含首次报价、最后报价）</w:t>
      </w:r>
      <w:bookmarkEnd w:id="94"/>
      <w:bookmarkStart w:id="95" w:name="_Hlk42596276"/>
      <w:r>
        <w:rPr>
          <w:rFonts w:hint="eastAsia" w:ascii="宋体" w:hAnsi="宋体" w:cs="宋体"/>
          <w:b/>
          <w:color w:val="auto"/>
          <w:szCs w:val="21"/>
          <w:highlight w:val="none"/>
        </w:rPr>
        <w:t>超过磋商文件分项采购预算金额或者单价最高限价的</w:t>
      </w:r>
      <w:bookmarkEnd w:id="95"/>
      <w:r>
        <w:rPr>
          <w:rFonts w:hint="eastAsia" w:ascii="宋体" w:hAnsi="宋体" w:cs="宋体"/>
          <w:b/>
          <w:color w:val="auto"/>
          <w:szCs w:val="21"/>
          <w:highlight w:val="none"/>
        </w:rPr>
        <w:t>（如项目有要求并公布了分项采购预算金额或者单价最高限价）；</w:t>
      </w:r>
    </w:p>
    <w:p w14:paraId="2C2E51C7">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5）修正后的报价，供应商不确认的；或者经供应商确认修正后的竞标报价（包含首次报价、最后报价）超过所竞标分标规定的采购预算金额或者最高限价（如本项目公布了最高限价）；或者经供应商确认修正后竞标报价（包含首次报价、最后报价）超过磋商文件分项采购预算金额或者最高限价的（如本项目有要求并公布了分项采购预算金额或者最高限价）；</w:t>
      </w:r>
    </w:p>
    <w:p w14:paraId="34B1984C">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6）在单价合同工程中供应商采用总价优惠或以总价百分比优惠的方式进行竞标报价的；</w:t>
      </w:r>
    </w:p>
    <w:p w14:paraId="706E614C">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7）竞标总报价与已标价工程量清单汇总表不一致的；</w:t>
      </w:r>
    </w:p>
    <w:p w14:paraId="0F664A2F">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8）已标价工程量清单说明文字与磋商文件规定不一致，进行了实质性修改和删减的；供应商若填写工程量固化清单，填写完毕的工程量固化清单对工程量固化清单电子文件中的数据、格式和运算定义进行修改的；</w:t>
      </w:r>
    </w:p>
    <w:p w14:paraId="51A2FD0D">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9）设有暂估价、暂列金额的，竞标时未按工程量清单给出的暂估价总价、暂列金额总价计入竞标总报价中的；</w:t>
      </w:r>
    </w:p>
    <w:p w14:paraId="6C48204D">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10）供应商对工程量清单内容进行增减或对竞标范围进行调整的；</w:t>
      </w:r>
    </w:p>
    <w:p w14:paraId="5DEEDEB1">
      <w:pPr>
        <w:spacing w:line="360" w:lineRule="auto"/>
        <w:ind w:firstLine="422" w:firstLineChars="200"/>
        <w:rPr>
          <w:rFonts w:hint="eastAsia" w:ascii="宋体" w:hAnsi="宋体"/>
          <w:b/>
          <w:color w:val="auto"/>
          <w:szCs w:val="21"/>
          <w:highlight w:val="none"/>
        </w:rPr>
      </w:pPr>
      <w:r>
        <w:rPr>
          <w:rFonts w:hint="eastAsia" w:ascii="宋体" w:hAnsi="宋体" w:cs="宋体"/>
          <w:b/>
          <w:color w:val="auto"/>
          <w:szCs w:val="21"/>
          <w:highlight w:val="none"/>
        </w:rPr>
        <w:t>11）</w:t>
      </w:r>
      <w:r>
        <w:rPr>
          <w:rFonts w:hint="eastAsia" w:ascii="宋体" w:hAnsi="宋体"/>
          <w:b/>
          <w:color w:val="auto"/>
          <w:szCs w:val="21"/>
          <w:highlight w:val="none"/>
        </w:rPr>
        <w:t>响应文件响应的标的数量及单位与竞争性磋商采购文件要求实质性不一致的；</w:t>
      </w:r>
    </w:p>
    <w:p w14:paraId="42C8B90B">
      <w:pPr>
        <w:spacing w:line="360" w:lineRule="auto"/>
        <w:ind w:firstLine="422" w:firstLineChars="200"/>
        <w:rPr>
          <w:rFonts w:hint="eastAsia" w:ascii="宋体" w:hAnsi="宋体"/>
          <w:b/>
          <w:color w:val="auto"/>
          <w:szCs w:val="21"/>
          <w:highlight w:val="none"/>
        </w:rPr>
      </w:pPr>
      <w:bookmarkStart w:id="96" w:name="_Hlk188371373"/>
      <w:r>
        <w:rPr>
          <w:rFonts w:hint="eastAsia" w:ascii="宋体" w:hAnsi="宋体"/>
          <w:b/>
          <w:color w:val="auto"/>
          <w:szCs w:val="21"/>
          <w:highlight w:val="none"/>
        </w:rPr>
        <w:t>12）竞标函附录的承诺</w:t>
      </w:r>
      <w:bookmarkStart w:id="97" w:name="_Hlk188372203"/>
      <w:r>
        <w:rPr>
          <w:rFonts w:hint="eastAsia" w:ascii="宋体" w:hAnsi="宋体"/>
          <w:b/>
          <w:color w:val="auto"/>
          <w:szCs w:val="21"/>
          <w:highlight w:val="none"/>
        </w:rPr>
        <w:t>不</w:t>
      </w:r>
      <w:bookmarkEnd w:id="97"/>
      <w:r>
        <w:rPr>
          <w:rFonts w:hint="eastAsia" w:ascii="宋体" w:hAnsi="宋体"/>
          <w:b/>
          <w:color w:val="auto"/>
          <w:szCs w:val="21"/>
          <w:highlight w:val="none"/>
        </w:rPr>
        <w:t>符合磋商文件规定的；</w:t>
      </w:r>
      <w:bookmarkEnd w:id="96"/>
    </w:p>
    <w:p w14:paraId="456B6E20">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13）</w:t>
      </w:r>
      <w:bookmarkStart w:id="98" w:name="_Hlk220404454"/>
      <w:r>
        <w:rPr>
          <w:rFonts w:hint="eastAsia" w:ascii="宋体" w:hAnsi="宋体"/>
          <w:b/>
          <w:color w:val="auto"/>
          <w:szCs w:val="21"/>
          <w:highlight w:val="none"/>
        </w:rPr>
        <w:t>磋商小组启动异常低价响应审查后，供应商不能提供书面说明、证明材料，或者提供的书面说明、证明材料不能证明其报价合理性的</w:t>
      </w:r>
      <w:bookmarkEnd w:id="98"/>
      <w:r>
        <w:rPr>
          <w:rFonts w:hint="eastAsia" w:ascii="宋体" w:hAnsi="宋体"/>
          <w:b/>
          <w:color w:val="auto"/>
          <w:szCs w:val="21"/>
          <w:highlight w:val="none"/>
        </w:rPr>
        <w:t>；</w:t>
      </w:r>
    </w:p>
    <w:p w14:paraId="49396B1B">
      <w:pPr>
        <w:spacing w:line="360" w:lineRule="auto"/>
        <w:ind w:firstLine="422" w:firstLineChars="200"/>
        <w:rPr>
          <w:rFonts w:hint="eastAsia" w:ascii="宋体" w:hAnsi="宋体" w:cs="宋体"/>
          <w:b/>
          <w:color w:val="auto"/>
          <w:szCs w:val="21"/>
          <w:highlight w:val="none"/>
        </w:rPr>
      </w:pPr>
      <w:r>
        <w:rPr>
          <w:rFonts w:ascii="宋体" w:hAnsi="宋体" w:cs="宋体"/>
          <w:b/>
          <w:color w:val="auto"/>
          <w:szCs w:val="21"/>
          <w:highlight w:val="none"/>
        </w:rPr>
        <w:t>1</w:t>
      </w:r>
      <w:r>
        <w:rPr>
          <w:rFonts w:hint="eastAsia" w:ascii="宋体" w:hAnsi="宋体" w:cs="宋体"/>
          <w:b/>
          <w:color w:val="auto"/>
          <w:szCs w:val="21"/>
          <w:highlight w:val="none"/>
        </w:rPr>
        <w:t>4）未响应磋商文件实质性要求的。</w:t>
      </w:r>
    </w:p>
    <w:p w14:paraId="11AC1264">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2.6磋商小组对响应文件进行评审，未实质性响应磋商文件的响应文件按无效处理，磋商小组应当将资格和符合性不通过的情况告知有关供应商。</w:t>
      </w:r>
    </w:p>
    <w:p w14:paraId="3C3A0A35">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2.7通过符合性审查的合格供应商不足3家的，不得进入磋商环节，应当重新开展采购活动。</w:t>
      </w:r>
    </w:p>
    <w:p w14:paraId="665DAFC9">
      <w:pPr>
        <w:spacing w:line="360" w:lineRule="auto"/>
        <w:ind w:firstLine="482"/>
        <w:rPr>
          <w:rFonts w:hint="eastAsia" w:ascii="宋体" w:hAnsi="宋体" w:cs="宋体"/>
          <w:b/>
          <w:bCs/>
          <w:color w:val="auto"/>
          <w:sz w:val="24"/>
          <w:highlight w:val="none"/>
        </w:rPr>
      </w:pPr>
      <w:r>
        <w:rPr>
          <w:rFonts w:hint="eastAsia" w:ascii="宋体" w:hAnsi="宋体" w:cs="宋体"/>
          <w:b/>
          <w:bCs/>
          <w:color w:val="auto"/>
          <w:sz w:val="24"/>
          <w:highlight w:val="none"/>
        </w:rPr>
        <w:t>3.磋商程序</w:t>
      </w:r>
    </w:p>
    <w:p w14:paraId="50173CB2">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3.1磋商小组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处理。</w:t>
      </w:r>
    </w:p>
    <w:p w14:paraId="4D93D7D2">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3.2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475A1A0C">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3.3对磋商文件作出的实质性变动是磋商文件的有效组成部分，由磋商小组及时以电子澄清函形式同时通知所有参加磋商的供应商。</w:t>
      </w:r>
    </w:p>
    <w:p w14:paraId="32F38813">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3.4供应商必须按照磋商文件的变动情况和磋商小组的要求以回函的形式重新提交响应文件，并加盖电子签章。参加磋商的供应商未在规定时间内重新提交响应文件的，视同退出磋商，其响应文件按无效处理。</w:t>
      </w:r>
    </w:p>
    <w:p w14:paraId="5FD12713">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3.5磋商中，磋商的任何一方不得透露与磋商有关的其他供应商的技术资料、价格和其他信息</w:t>
      </w:r>
      <w:r>
        <w:rPr>
          <w:rFonts w:hint="eastAsia" w:ascii="宋体" w:hAnsi="宋体" w:cs="宋体"/>
          <w:color w:val="auto"/>
          <w:spacing w:val="-6"/>
          <w:szCs w:val="21"/>
          <w:highlight w:val="none"/>
        </w:rPr>
        <w:t>。</w:t>
      </w:r>
    </w:p>
    <w:p w14:paraId="6251B986">
      <w:pPr>
        <w:widowControl/>
        <w:tabs>
          <w:tab w:val="left" w:pos="540"/>
        </w:tabs>
        <w:spacing w:line="360"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rPr>
        <w:t>3.6采购代理机构对磋商过程和磋商内容进行记录。</w:t>
      </w:r>
    </w:p>
    <w:p w14:paraId="18F46FF1">
      <w:pPr>
        <w:widowControl/>
        <w:tabs>
          <w:tab w:val="left" w:pos="540"/>
        </w:tabs>
        <w:spacing w:line="360"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rPr>
        <w:t>3.7</w:t>
      </w:r>
      <w:r>
        <w:rPr>
          <w:rFonts w:hint="eastAsia" w:ascii="宋体" w:hAnsi="宋体" w:cs="宋体"/>
          <w:color w:val="auto"/>
          <w:highlight w:val="none"/>
        </w:rPr>
        <w:t>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33ECCFAD">
      <w:pPr>
        <w:tabs>
          <w:tab w:val="left" w:pos="2835"/>
        </w:tabs>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3.8除</w:t>
      </w:r>
      <w:r>
        <w:rPr>
          <w:rFonts w:hint="eastAsia" w:ascii="宋体" w:hAnsi="宋体" w:cs="宋体"/>
          <w:color w:val="auto"/>
          <w:highlight w:val="none"/>
        </w:rPr>
        <w:t>本章第3.7条规定的情形外，</w:t>
      </w:r>
      <w:r>
        <w:rPr>
          <w:rFonts w:hint="eastAsia" w:ascii="宋体" w:hAnsi="宋体" w:cs="宋体"/>
          <w:color w:val="auto"/>
          <w:szCs w:val="21"/>
          <w:highlight w:val="none"/>
        </w:rPr>
        <w:t>对磋商过程提交的响应文件进行有效性、完整性和响应程度审查，通过审查的合格供应商不足3家的，应当重新开展采购活动。</w:t>
      </w:r>
    </w:p>
    <w:p w14:paraId="55223357">
      <w:pPr>
        <w:spacing w:line="360" w:lineRule="auto"/>
        <w:ind w:firstLine="482"/>
        <w:rPr>
          <w:rFonts w:hint="eastAsia" w:ascii="宋体" w:hAnsi="宋体" w:cs="宋体"/>
          <w:color w:val="auto"/>
          <w:szCs w:val="21"/>
          <w:highlight w:val="none"/>
        </w:rPr>
      </w:pPr>
      <w:r>
        <w:rPr>
          <w:rFonts w:hint="eastAsia" w:ascii="宋体" w:hAnsi="宋体" w:cs="宋体"/>
          <w:b/>
          <w:bCs/>
          <w:color w:val="auto"/>
          <w:sz w:val="24"/>
          <w:highlight w:val="none"/>
        </w:rPr>
        <w:t>4. 最后报价</w:t>
      </w:r>
    </w:p>
    <w:p w14:paraId="188793E2">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4.1磋商文件能够详细列明采购标的的技术、服务要求的，磋商结束后，磋商小组应当要求所有继续参加磋商的供应商在规定时间内在广西政府采购云平台开标大厅提交加盖供应商电子签章的最后报价，除本章第4.3条规定的情形外，提交最后报价的供应商不得少于3家，否则应当重新开展采购活动。</w:t>
      </w:r>
    </w:p>
    <w:p w14:paraId="474B9CAA">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4.2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在广西政府采购云平台开标大厅提交最后报价。</w:t>
      </w:r>
      <w:r>
        <w:rPr>
          <w:rFonts w:hint="eastAsia" w:ascii="宋体" w:hAnsi="宋体" w:cs="宋体"/>
          <w:b/>
          <w:color w:val="auto"/>
          <w:szCs w:val="21"/>
          <w:highlight w:val="none"/>
        </w:rPr>
        <w:t>如果供应商的最后报价与首次报价不一致的，不能只报竞标总报价，必须同时提供“已标价工程量清单”，否则做无效响应处理。</w:t>
      </w:r>
    </w:p>
    <w:p w14:paraId="5FE5DC32">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4.3 最后报价是供应商响应文件的有效组成部分。</w:t>
      </w:r>
    </w:p>
    <w:p w14:paraId="5C1913BF">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符合《政府采购竞争性磋商采购方式管理暂行办法》（财库〔2014〕214号）第三条第四项“市场竞争不充分的科研项目，以及需要扶持的科技成果转化项目”和</w:t>
      </w:r>
      <w:r>
        <w:rPr>
          <w:rFonts w:hint="eastAsia" w:ascii="宋体" w:hAnsi="宋体" w:cs="宋体"/>
          <w:color w:val="auto"/>
          <w:highlight w:val="none"/>
        </w:rPr>
        <w:t>本章第3.7条</w:t>
      </w:r>
      <w:r>
        <w:rPr>
          <w:rFonts w:hint="eastAsia" w:ascii="宋体" w:hAnsi="宋体" w:cs="宋体"/>
          <w:color w:val="auto"/>
          <w:szCs w:val="21"/>
          <w:highlight w:val="none"/>
        </w:rPr>
        <w:t>规定</w:t>
      </w:r>
      <w:r>
        <w:rPr>
          <w:rFonts w:hint="eastAsia" w:ascii="宋体" w:hAnsi="宋体" w:cs="宋体"/>
          <w:color w:val="auto"/>
          <w:highlight w:val="none"/>
        </w:rPr>
        <w:t>情形的，</w:t>
      </w:r>
      <w:r>
        <w:rPr>
          <w:rFonts w:hint="eastAsia" w:ascii="宋体" w:hAnsi="宋体" w:cs="宋体"/>
          <w:color w:val="auto"/>
          <w:szCs w:val="21"/>
          <w:highlight w:val="none"/>
        </w:rPr>
        <w:t>提交最后报价的供应商可以为2家。</w:t>
      </w:r>
    </w:p>
    <w:p w14:paraId="269E261F">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4.4已经提交响应文件的供应商，在提交最后报价之前，可以根据磋商情况退出磋商，退出磋商的供应商的响应文件按无效处理。采购人、采购代理机构将退还退出磋商的供应商的保证金。</w:t>
      </w:r>
    </w:p>
    <w:p w14:paraId="59970636">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4.5供应商未在规定时间内提交最后报价的，视同退出磋商，其响应文件按无效处理。</w:t>
      </w:r>
    </w:p>
    <w:p w14:paraId="692938EE">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4.6最后报价统一开启后，磋商小组对最后报价进行有效性、完整性和响应程度的审查。</w:t>
      </w:r>
    </w:p>
    <w:p w14:paraId="4225F43D">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 xml:space="preserve">4.7最后报价出现前后不一致的，按照本章第2.4条的规定修正。 </w:t>
      </w:r>
    </w:p>
    <w:p w14:paraId="3FB44CD0">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4.8修正后的报价出现下列情形的，按无效响应处理：</w:t>
      </w:r>
    </w:p>
    <w:p w14:paraId="0CDF14D7">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（1）供应商不确认的（全流程电子化评标采取在线确认）；</w:t>
      </w:r>
    </w:p>
    <w:p w14:paraId="3E9E4713">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（2）经供应商确认修正后的竞标报价（包含首次报价、最后报价）超过所竞标分标规定的采购预算金额或者最高限价的（如本项目公布了最高限价）；</w:t>
      </w:r>
    </w:p>
    <w:p w14:paraId="77FA7E04">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（3）经供应商确认修正后的竞标报价（包含首次报价、最后报价）超过分项采购预算金额或者单价最高限价的（如项目有要求并公布了分项采购预算金额或者单价最高限价）。</w:t>
      </w:r>
    </w:p>
    <w:p w14:paraId="59534702">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4.9经供应商确认修正后的最后报价作为评审及签订合同的依据。</w:t>
      </w:r>
    </w:p>
    <w:p w14:paraId="654706FF">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4.10异常低价响应审查</w:t>
      </w:r>
    </w:p>
    <w:p w14:paraId="5C3AE945">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（1）磋商小组在评审中发现下列情形之一的，应当启动异常低价响应审查程序：</w:t>
      </w:r>
    </w:p>
    <w:p w14:paraId="48BBA014">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①响应报价低于全部通过符合性审查供应商响应报价平均值</w:t>
      </w:r>
      <w:r>
        <w:rPr>
          <w:rFonts w:ascii="宋体" w:hAnsi="宋体"/>
          <w:color w:val="auto"/>
          <w:szCs w:val="21"/>
          <w:highlight w:val="none"/>
          <w:u w:val="single"/>
        </w:rPr>
        <w:t xml:space="preserve"> 65% </w:t>
      </w:r>
      <w:r>
        <w:rPr>
          <w:rFonts w:hint="eastAsia" w:ascii="宋体" w:hAnsi="宋体"/>
          <w:color w:val="auto"/>
          <w:szCs w:val="21"/>
          <w:highlight w:val="none"/>
        </w:rPr>
        <w:t>的，即响应报价＜全部通过符合性审查供应商响应报价平均值×</w:t>
      </w:r>
      <w:r>
        <w:rPr>
          <w:rFonts w:ascii="宋体" w:hAnsi="宋体"/>
          <w:color w:val="auto"/>
          <w:szCs w:val="21"/>
          <w:highlight w:val="none"/>
          <w:u w:val="single"/>
        </w:rPr>
        <w:t xml:space="preserve"> 65% </w:t>
      </w:r>
      <w:r>
        <w:rPr>
          <w:rFonts w:hint="eastAsia" w:ascii="宋体" w:hAnsi="宋体"/>
          <w:color w:val="auto"/>
          <w:szCs w:val="21"/>
          <w:highlight w:val="none"/>
        </w:rPr>
        <w:t>；</w:t>
      </w:r>
    </w:p>
    <w:p w14:paraId="00737955">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②响应报价低于通过符合性审查的次低报价供应商响应报价</w:t>
      </w:r>
      <w:r>
        <w:rPr>
          <w:rFonts w:ascii="宋体" w:hAnsi="宋体"/>
          <w:color w:val="auto"/>
          <w:szCs w:val="21"/>
          <w:highlight w:val="none"/>
          <w:u w:val="single"/>
        </w:rPr>
        <w:t xml:space="preserve"> 65% </w:t>
      </w:r>
      <w:r>
        <w:rPr>
          <w:rFonts w:hint="eastAsia" w:ascii="宋体" w:hAnsi="宋体"/>
          <w:color w:val="auto"/>
          <w:szCs w:val="21"/>
          <w:highlight w:val="none"/>
        </w:rPr>
        <w:t>的，即响应报价＜通过符合性审查的次低报价供应商响应报价×</w:t>
      </w:r>
      <w:r>
        <w:rPr>
          <w:rFonts w:ascii="宋体" w:hAnsi="宋体"/>
          <w:color w:val="auto"/>
          <w:szCs w:val="21"/>
          <w:highlight w:val="none"/>
          <w:u w:val="single"/>
        </w:rPr>
        <w:t xml:space="preserve"> 65% </w:t>
      </w:r>
      <w:r>
        <w:rPr>
          <w:rFonts w:hint="eastAsia" w:ascii="宋体" w:hAnsi="宋体"/>
          <w:color w:val="auto"/>
          <w:szCs w:val="21"/>
          <w:highlight w:val="none"/>
        </w:rPr>
        <w:t>；</w:t>
      </w:r>
    </w:p>
    <w:p w14:paraId="7CEB931B">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③响应报价低于采购项目最高限价</w:t>
      </w:r>
      <w:r>
        <w:rPr>
          <w:rFonts w:ascii="宋体" w:hAnsi="宋体"/>
          <w:color w:val="auto"/>
          <w:szCs w:val="21"/>
          <w:highlight w:val="none"/>
          <w:u w:val="single"/>
        </w:rPr>
        <w:t xml:space="preserve"> 65% </w:t>
      </w:r>
      <w:r>
        <w:rPr>
          <w:rFonts w:hint="eastAsia" w:ascii="宋体" w:hAnsi="宋体"/>
          <w:color w:val="auto"/>
          <w:szCs w:val="21"/>
          <w:highlight w:val="none"/>
        </w:rPr>
        <w:t>的，即响应报价＜采购项目最高限价×</w:t>
      </w:r>
      <w:r>
        <w:rPr>
          <w:rFonts w:ascii="宋体" w:hAnsi="宋体"/>
          <w:color w:val="auto"/>
          <w:szCs w:val="21"/>
          <w:highlight w:val="none"/>
          <w:u w:val="single"/>
        </w:rPr>
        <w:t xml:space="preserve"> 65% </w:t>
      </w:r>
      <w:r>
        <w:rPr>
          <w:rFonts w:hint="eastAsia" w:ascii="宋体" w:hAnsi="宋体"/>
          <w:color w:val="auto"/>
          <w:szCs w:val="21"/>
          <w:highlight w:val="none"/>
        </w:rPr>
        <w:t>；</w:t>
      </w:r>
    </w:p>
    <w:p w14:paraId="75E008BA">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④磋商小组基于专业判断，认为供应商报价过低，有可能影响产品质量或者不能诚信履约的其他情形。</w:t>
      </w:r>
    </w:p>
    <w:p w14:paraId="20E47B14">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2）磋商小组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③项情形，供应商已随响应文件一并提交相关书面说明及必要的证明材料的，可不再重复提交。</w:t>
      </w:r>
    </w:p>
    <w:p w14:paraId="4EEFD166">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磋商小组依据专业经验，参考同类项目中标（成交）价格、类似产品市场价格水平、行业人工费用标准、国家有关部门指导行业协会发布的行业平均成本等情况，对报价合理性进行判断。</w:t>
      </w:r>
      <w:r>
        <w:rPr>
          <w:rFonts w:hint="eastAsia" w:ascii="宋体" w:hAnsi="宋体"/>
          <w:b/>
          <w:color w:val="auto"/>
          <w:szCs w:val="21"/>
          <w:highlight w:val="none"/>
        </w:rPr>
        <w:t>相关供应商不能提供书面说明、证明材料，或者提供的书面说明、证明材料不能证明其报价合理性的，磋商小组应当将其作为无效响应处理。</w:t>
      </w:r>
    </w:p>
    <w:p w14:paraId="68823EDB">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采购人、采购代理机构应当为磋商小组在评审现场及时获取同类项目中标（成交）价格、类似产品市场价格水平、行业人工费用标准、国家有关部门指导行业协会发布的行业平均成本等相关信息资料提供便利。磋商小组借助互联网等渠道查询相关信息的，应当严格遵守评审工作纪律，不得实施影响评审公正的行为。</w:t>
      </w:r>
    </w:p>
    <w:p w14:paraId="799DD419">
      <w:pPr>
        <w:spacing w:line="360" w:lineRule="auto"/>
        <w:ind w:firstLine="420"/>
        <w:rPr>
          <w:rFonts w:hint="eastAsia" w:ascii="宋体" w:hAnsi="宋体" w:cs="宋体"/>
          <w:color w:val="auto"/>
          <w:szCs w:val="21"/>
          <w:highlight w:val="none"/>
        </w:rPr>
      </w:pPr>
      <w:r>
        <w:rPr>
          <w:rFonts w:hint="eastAsia" w:ascii="宋体" w:hAnsi="宋体"/>
          <w:color w:val="auto"/>
          <w:szCs w:val="21"/>
          <w:highlight w:val="none"/>
        </w:rPr>
        <w:t>异常低价响应审查的启动原因、审查意见和审查结果应当在评审报告中记录，并随供应商提供的相关书面说明及证明材料，以及磋商小组有关互联网浏览、查询历史一并归档。</w:t>
      </w:r>
    </w:p>
    <w:p w14:paraId="1A24206C">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4.11供应商出现最后报价按无效响应处理或者响应文件按无效处理时</w:t>
      </w:r>
      <w:r>
        <w:rPr>
          <w:rFonts w:hint="eastAsia" w:ascii="宋体" w:hAnsi="宋体"/>
          <w:color w:val="auto"/>
          <w:szCs w:val="21"/>
          <w:highlight w:val="none"/>
        </w:rPr>
        <w:t>，磋商小组应当告知有关供应商</w:t>
      </w:r>
      <w:r>
        <w:rPr>
          <w:rFonts w:hint="eastAsia" w:ascii="宋体" w:hAnsi="宋体" w:cs="宋体"/>
          <w:color w:val="auto"/>
          <w:szCs w:val="21"/>
          <w:highlight w:val="none"/>
        </w:rPr>
        <w:t>。</w:t>
      </w:r>
    </w:p>
    <w:p w14:paraId="27C11108">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.1</w:t>
      </w:r>
      <w:r>
        <w:rPr>
          <w:rFonts w:hint="eastAsia" w:ascii="宋体" w:hAnsi="宋体" w:cs="宋体"/>
          <w:color w:val="auto"/>
          <w:szCs w:val="21"/>
          <w:highlight w:val="none"/>
        </w:rPr>
        <w:t>2最后报价结束后，磋商小组不得再与供应商进行任何形式的商谈。</w:t>
      </w:r>
    </w:p>
    <w:p w14:paraId="3C901F0B">
      <w:pPr>
        <w:spacing w:line="360" w:lineRule="auto"/>
        <w:ind w:firstLine="482"/>
        <w:rPr>
          <w:rFonts w:hint="eastAsia" w:ascii="宋体" w:hAnsi="宋体" w:cs="宋体"/>
          <w:b/>
          <w:bCs/>
          <w:color w:val="auto"/>
          <w:sz w:val="24"/>
          <w:highlight w:val="none"/>
        </w:rPr>
      </w:pPr>
      <w:r>
        <w:rPr>
          <w:rFonts w:hint="eastAsia" w:ascii="宋体" w:hAnsi="宋体" w:cs="宋体"/>
          <w:b/>
          <w:bCs/>
          <w:color w:val="auto"/>
          <w:sz w:val="24"/>
          <w:highlight w:val="none"/>
        </w:rPr>
        <w:t>5.比较与评价</w:t>
      </w:r>
    </w:p>
    <w:p w14:paraId="1EA582A7">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5.1评审方法：综合评分法。</w:t>
      </w:r>
    </w:p>
    <w:p w14:paraId="14CF320D">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5.2经磋商确定最终采购需求和提交最后报价的供应商后，由磋商小组采用综合评分法对提交最后报价的供应商的响应文件和最后报价进行综合评分。</w:t>
      </w:r>
    </w:p>
    <w:p w14:paraId="00589572">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5.3评审时，磋商小组各成员应当独立对每个有效响应的文件进行评价、打分，然后汇总每个供应商每项评分因素的得分。</w:t>
      </w:r>
    </w:p>
    <w:p w14:paraId="197ADF15">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（1）磋商小组按照磋商文件中规定的评审标准计算各供应商的报价得分。项目评审过程中，不得去掉最后报价中的最高报价和最低报价。</w:t>
      </w:r>
    </w:p>
    <w:p w14:paraId="6146F6A5">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（2）各供应商的得分为磋商小组所有成员的有效评分的算术平均数。</w:t>
      </w:r>
    </w:p>
    <w:p w14:paraId="1FA70B14">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5.4评审价为供应商的最后报价进行政策性扣除后的价格，评审价只是作为评审时使用。最终成交供应商的成交金额等于最后报价（如有修正，以确认修正后的最后报价为准）。</w:t>
      </w:r>
    </w:p>
    <w:p w14:paraId="00C2D69E">
      <w:pPr>
        <w:spacing w:line="360" w:lineRule="auto"/>
        <w:ind w:firstLine="482"/>
        <w:rPr>
          <w:rFonts w:hint="eastAsia" w:ascii="宋体" w:hAnsi="宋体" w:cs="宋体"/>
          <w:b/>
          <w:bCs/>
          <w:color w:val="auto"/>
          <w:sz w:val="24"/>
          <w:highlight w:val="none"/>
        </w:rPr>
      </w:pPr>
      <w:r>
        <w:rPr>
          <w:rFonts w:hint="eastAsia" w:ascii="宋体" w:hAnsi="宋体" w:cs="宋体"/>
          <w:b/>
          <w:bCs/>
          <w:color w:val="auto"/>
          <w:sz w:val="24"/>
          <w:highlight w:val="none"/>
        </w:rPr>
        <w:t>6. 成交供应商推荐原则</w:t>
      </w:r>
    </w:p>
    <w:p w14:paraId="58650A47">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6.1</w:t>
      </w:r>
      <w:r>
        <w:rPr>
          <w:rFonts w:hint="eastAsia" w:ascii="宋体" w:hAnsi="宋体" w:cs="宋体"/>
          <w:bCs/>
          <w:color w:val="auto"/>
          <w:szCs w:val="21"/>
          <w:highlight w:val="none"/>
        </w:rPr>
        <w:t>由磋商小组根据综合评分情况，按照评审得分由高到低顺序推荐3名以上成交候选供应商，并编写评审报告，</w:t>
      </w:r>
      <w:r>
        <w:rPr>
          <w:rFonts w:hint="eastAsia" w:ascii="宋体" w:hAnsi="宋体" w:cs="宋体"/>
          <w:color w:val="auto"/>
          <w:highlight w:val="none"/>
        </w:rPr>
        <w:t>评审报告通过电子交易平台向采购人、采购代理机构提交。</w:t>
      </w:r>
      <w:r>
        <w:rPr>
          <w:rFonts w:hint="eastAsia" w:ascii="宋体" w:hAnsi="宋体" w:cs="宋体"/>
          <w:bCs/>
          <w:color w:val="auto"/>
          <w:szCs w:val="21"/>
          <w:highlight w:val="none"/>
        </w:rPr>
        <w:t>符合本章第4.3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技术要求偏离分由高到低排序）。评审得分、最后报价（不计算价格折扣）、技术得分、技术要求偏离分均相同的，由磋商小组随机抽取推荐</w:t>
      </w:r>
      <w:r>
        <w:rPr>
          <w:rFonts w:hint="eastAsia" w:ascii="宋体" w:hAnsi="宋体" w:cs="宋体"/>
          <w:color w:val="auto"/>
          <w:szCs w:val="21"/>
          <w:highlight w:val="none"/>
        </w:rPr>
        <w:t>。</w:t>
      </w:r>
    </w:p>
    <w:p w14:paraId="36465897">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6.2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4F0D3BC9">
      <w:pPr>
        <w:spacing w:line="360" w:lineRule="auto"/>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二、评审标准</w:t>
      </w:r>
    </w:p>
    <w:p w14:paraId="59BEC2A0">
      <w:pPr>
        <w:spacing w:line="360" w:lineRule="auto"/>
        <w:ind w:firstLine="420"/>
        <w:rPr>
          <w:rFonts w:hint="eastAsia" w:ascii="宋体" w:hAnsi="宋体" w:cs="宋体"/>
          <w:bCs/>
          <w:color w:val="auto"/>
          <w:szCs w:val="21"/>
          <w:highlight w:val="none"/>
        </w:rPr>
      </w:pPr>
      <w:r>
        <w:rPr>
          <w:rFonts w:hint="eastAsia" w:ascii="宋体" w:hAnsi="宋体" w:cs="宋体"/>
          <w:bCs/>
          <w:color w:val="auto"/>
          <w:szCs w:val="21"/>
          <w:highlight w:val="none"/>
        </w:rPr>
        <w:t>7.评审依据：磋商小组以磋商文件为评审依据，对供应商的报价、技术、商务等方面内容按百分制打分。（计分方法按四舍五入取至百分位）</w:t>
      </w:r>
    </w:p>
    <w:p w14:paraId="1F45D00E">
      <w:pPr>
        <w:pStyle w:val="235"/>
        <w:rPr>
          <w:rFonts w:hint="eastAsia" w:ascii="宋体" w:hAnsi="宋体" w:cs="宋体"/>
          <w:bCs/>
          <w:color w:val="auto"/>
          <w:szCs w:val="21"/>
          <w:highlight w:val="none"/>
        </w:rPr>
      </w:pPr>
    </w:p>
    <w:p w14:paraId="358D1780">
      <w:pPr>
        <w:rPr>
          <w:rFonts w:hint="eastAsia" w:ascii="宋体" w:hAnsi="宋体" w:cs="宋体"/>
          <w:color w:val="auto"/>
          <w:highlight w:val="none"/>
        </w:rPr>
      </w:pPr>
    </w:p>
    <w:tbl>
      <w:tblPr>
        <w:tblStyle w:val="33"/>
        <w:tblW w:w="90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4"/>
        <w:gridCol w:w="993"/>
        <w:gridCol w:w="6654"/>
        <w:gridCol w:w="829"/>
      </w:tblGrid>
      <w:tr w14:paraId="32A82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14" w:type="dxa"/>
            <w:tcBorders>
              <w:top w:val="single" w:color="auto" w:sz="4" w:space="0"/>
              <w:left w:val="single" w:color="auto" w:sz="4" w:space="0"/>
              <w:bottom w:val="single" w:color="auto" w:sz="4" w:space="0"/>
              <w:right w:val="single" w:color="auto" w:sz="4" w:space="0"/>
            </w:tcBorders>
            <w:vAlign w:val="center"/>
          </w:tcPr>
          <w:p w14:paraId="10B107B9">
            <w:pPr>
              <w:widowControl/>
              <w:spacing w:line="360" w:lineRule="auto"/>
              <w:jc w:val="center"/>
              <w:rPr>
                <w:rFonts w:hint="eastAsia" w:ascii="宋体" w:hAnsi="宋体" w:cs="Tahoma"/>
                <w:b/>
                <w:bCs/>
                <w:color w:val="auto"/>
                <w:szCs w:val="21"/>
                <w:highlight w:val="none"/>
              </w:rPr>
            </w:pPr>
            <w:r>
              <w:rPr>
                <w:rFonts w:hint="eastAsia" w:ascii="宋体" w:hAnsi="宋体" w:cs="Tahoma"/>
                <w:b/>
                <w:bCs/>
                <w:color w:val="auto"/>
                <w:szCs w:val="21"/>
                <w:highlight w:val="none"/>
              </w:rPr>
              <w:t>序号</w:t>
            </w:r>
          </w:p>
        </w:tc>
        <w:tc>
          <w:tcPr>
            <w:tcW w:w="993" w:type="dxa"/>
            <w:tcBorders>
              <w:top w:val="single" w:color="auto" w:sz="4" w:space="0"/>
              <w:left w:val="single" w:color="auto" w:sz="4" w:space="0"/>
              <w:bottom w:val="single" w:color="auto" w:sz="4" w:space="0"/>
              <w:right w:val="single" w:color="auto" w:sz="4" w:space="0"/>
            </w:tcBorders>
            <w:vAlign w:val="center"/>
          </w:tcPr>
          <w:p w14:paraId="3296D2FE">
            <w:pPr>
              <w:widowControl/>
              <w:spacing w:line="360" w:lineRule="auto"/>
              <w:jc w:val="center"/>
              <w:rPr>
                <w:rFonts w:hint="eastAsia" w:ascii="宋体" w:hAnsi="宋体" w:cs="Tahoma"/>
                <w:b/>
                <w:bCs/>
                <w:color w:val="auto"/>
                <w:szCs w:val="21"/>
                <w:highlight w:val="none"/>
              </w:rPr>
            </w:pPr>
            <w:r>
              <w:rPr>
                <w:rFonts w:hint="eastAsia" w:ascii="宋体" w:hAnsi="宋体" w:cs="Tahoma"/>
                <w:b/>
                <w:bCs/>
                <w:color w:val="auto"/>
                <w:szCs w:val="21"/>
                <w:highlight w:val="none"/>
              </w:rPr>
              <w:t>评审因素</w:t>
            </w:r>
          </w:p>
        </w:tc>
        <w:tc>
          <w:tcPr>
            <w:tcW w:w="6654" w:type="dxa"/>
            <w:tcBorders>
              <w:top w:val="single" w:color="auto" w:sz="4" w:space="0"/>
              <w:left w:val="single" w:color="auto" w:sz="4" w:space="0"/>
              <w:bottom w:val="single" w:color="auto" w:sz="4" w:space="0"/>
              <w:right w:val="single" w:color="auto" w:sz="4" w:space="0"/>
            </w:tcBorders>
            <w:vAlign w:val="center"/>
          </w:tcPr>
          <w:p w14:paraId="23222C5D">
            <w:pPr>
              <w:widowControl/>
              <w:spacing w:line="360" w:lineRule="auto"/>
              <w:jc w:val="center"/>
              <w:rPr>
                <w:rFonts w:hint="eastAsia" w:ascii="宋体" w:hAnsi="宋体" w:cs="Tahoma"/>
                <w:b/>
                <w:bCs/>
                <w:color w:val="auto"/>
                <w:szCs w:val="21"/>
                <w:highlight w:val="none"/>
              </w:rPr>
            </w:pPr>
            <w:r>
              <w:rPr>
                <w:rFonts w:hint="eastAsia" w:ascii="宋体" w:hAnsi="宋体" w:cs="Tahoma"/>
                <w:b/>
                <w:bCs/>
                <w:color w:val="auto"/>
                <w:szCs w:val="21"/>
                <w:highlight w:val="none"/>
              </w:rPr>
              <w:t>评审标准</w:t>
            </w:r>
          </w:p>
        </w:tc>
        <w:tc>
          <w:tcPr>
            <w:tcW w:w="829" w:type="dxa"/>
            <w:tcBorders>
              <w:top w:val="single" w:color="auto" w:sz="4" w:space="0"/>
              <w:left w:val="single" w:color="auto" w:sz="4" w:space="0"/>
              <w:bottom w:val="single" w:color="auto" w:sz="4" w:space="0"/>
              <w:right w:val="single" w:color="auto" w:sz="4" w:space="0"/>
            </w:tcBorders>
            <w:vAlign w:val="center"/>
          </w:tcPr>
          <w:p w14:paraId="454B86DE">
            <w:pPr>
              <w:widowControl/>
              <w:spacing w:line="360" w:lineRule="auto"/>
              <w:jc w:val="center"/>
              <w:rPr>
                <w:rFonts w:hint="eastAsia" w:ascii="宋体" w:hAnsi="宋体" w:cs="Tahoma"/>
                <w:b/>
                <w:bCs/>
                <w:color w:val="auto"/>
                <w:szCs w:val="21"/>
                <w:highlight w:val="none"/>
              </w:rPr>
            </w:pPr>
            <w:r>
              <w:rPr>
                <w:rFonts w:hint="eastAsia" w:ascii="宋体" w:hAnsi="宋体" w:cs="Tahoma"/>
                <w:b/>
                <w:bCs/>
                <w:color w:val="auto"/>
                <w:szCs w:val="21"/>
                <w:highlight w:val="none"/>
              </w:rPr>
              <w:t>分值</w:t>
            </w:r>
          </w:p>
        </w:tc>
      </w:tr>
      <w:tr w14:paraId="2F573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14" w:type="dxa"/>
            <w:tcBorders>
              <w:top w:val="single" w:color="auto" w:sz="4" w:space="0"/>
              <w:left w:val="single" w:color="auto" w:sz="4" w:space="0"/>
              <w:bottom w:val="single" w:color="auto" w:sz="4" w:space="0"/>
              <w:right w:val="single" w:color="auto" w:sz="4" w:space="0"/>
            </w:tcBorders>
            <w:vAlign w:val="center"/>
          </w:tcPr>
          <w:p w14:paraId="329FFE05">
            <w:pPr>
              <w:widowControl/>
              <w:spacing w:line="360" w:lineRule="auto"/>
              <w:jc w:val="center"/>
              <w:rPr>
                <w:rFonts w:hint="eastAsia" w:ascii="宋体" w:hAnsi="宋体" w:cs="Tahoma"/>
                <w:b/>
                <w:bCs/>
                <w:color w:val="auto"/>
                <w:szCs w:val="21"/>
                <w:highlight w:val="none"/>
              </w:rPr>
            </w:pPr>
            <w:r>
              <w:rPr>
                <w:rFonts w:hint="eastAsia" w:ascii="宋体" w:hAnsi="宋体" w:cs="Tahoma"/>
                <w:b/>
                <w:bCs/>
                <w:color w:val="auto"/>
                <w:szCs w:val="21"/>
                <w:highlight w:val="none"/>
              </w:rPr>
              <w:t>1</w:t>
            </w:r>
          </w:p>
        </w:tc>
        <w:tc>
          <w:tcPr>
            <w:tcW w:w="993" w:type="dxa"/>
            <w:tcBorders>
              <w:top w:val="single" w:color="auto" w:sz="4" w:space="0"/>
              <w:left w:val="single" w:color="auto" w:sz="4" w:space="0"/>
              <w:bottom w:val="single" w:color="auto" w:sz="4" w:space="0"/>
              <w:right w:val="single" w:color="auto" w:sz="4" w:space="0"/>
            </w:tcBorders>
            <w:vAlign w:val="center"/>
          </w:tcPr>
          <w:p w14:paraId="149E8CB7">
            <w:pPr>
              <w:widowControl/>
              <w:spacing w:line="360" w:lineRule="auto"/>
              <w:jc w:val="center"/>
              <w:rPr>
                <w:rFonts w:hint="eastAsia" w:ascii="宋体" w:hAnsi="宋体" w:cs="Tahoma"/>
                <w:b/>
                <w:bCs/>
                <w:color w:val="auto"/>
                <w:szCs w:val="21"/>
                <w:highlight w:val="none"/>
              </w:rPr>
            </w:pPr>
            <w:r>
              <w:rPr>
                <w:rFonts w:hint="eastAsia" w:ascii="宋体" w:hAnsi="宋体" w:cs="Tahoma"/>
                <w:b/>
                <w:bCs/>
                <w:color w:val="auto"/>
                <w:szCs w:val="21"/>
                <w:highlight w:val="none"/>
              </w:rPr>
              <w:t>价格分</w:t>
            </w:r>
            <w:r>
              <w:rPr>
                <w:rFonts w:hint="eastAsia" w:ascii="宋体" w:hAnsi="宋体" w:cs="宋体"/>
                <w:b/>
                <w:bCs/>
                <w:color w:val="auto"/>
                <w:szCs w:val="21"/>
                <w:highlight w:val="none"/>
              </w:rPr>
              <w:t>（满分30 分）</w:t>
            </w:r>
          </w:p>
        </w:tc>
        <w:tc>
          <w:tcPr>
            <w:tcW w:w="6654" w:type="dxa"/>
            <w:tcBorders>
              <w:top w:val="single" w:color="auto" w:sz="4" w:space="0"/>
              <w:left w:val="single" w:color="auto" w:sz="4" w:space="0"/>
              <w:bottom w:val="single" w:color="auto" w:sz="4" w:space="0"/>
              <w:right w:val="single" w:color="auto" w:sz="4" w:space="0"/>
            </w:tcBorders>
          </w:tcPr>
          <w:p w14:paraId="3F60CACA">
            <w:pPr>
              <w:spacing w:line="360" w:lineRule="auto"/>
              <w:ind w:firstLine="420"/>
              <w:rPr>
                <w:rFonts w:hint="eastAsia" w:ascii="宋体" w:hAnsi="宋体"/>
                <w:color w:val="auto"/>
                <w:szCs w:val="21"/>
                <w:highlight w:val="none"/>
              </w:rPr>
            </w:pPr>
            <w:r>
              <w:rPr>
                <w:rFonts w:hint="eastAsia" w:ascii="宋体" w:hAnsi="宋体" w:cs="Courier New"/>
                <w:bCs/>
                <w:color w:val="auto"/>
                <w:szCs w:val="21"/>
                <w:highlight w:val="none"/>
              </w:rPr>
              <w:t>（1）因本项目属于专门面向</w:t>
            </w:r>
            <w:r>
              <w:rPr>
                <w:rFonts w:hint="eastAsia" w:ascii="宋体" w:hAnsi="宋体" w:cs="Courier New"/>
                <w:bCs/>
                <w:color w:val="auto"/>
                <w:szCs w:val="21"/>
                <w:highlight w:val="none"/>
                <w:lang w:val="en-US" w:eastAsia="zh-CN"/>
              </w:rPr>
              <w:t>中小</w:t>
            </w:r>
            <w:r>
              <w:rPr>
                <w:rFonts w:hint="eastAsia" w:ascii="宋体" w:hAnsi="宋体" w:cs="Courier New"/>
                <w:bCs/>
                <w:color w:val="auto"/>
                <w:szCs w:val="21"/>
                <w:highlight w:val="none"/>
              </w:rPr>
              <w:t>企业采购，不享受价格扣除优惠政策。</w:t>
            </w:r>
            <w:r>
              <w:rPr>
                <w:rFonts w:hint="eastAsia" w:ascii="宋体" w:hAnsi="宋体"/>
                <w:color w:val="auto"/>
                <w:szCs w:val="21"/>
                <w:highlight w:val="none"/>
              </w:rPr>
              <w:t>评审价为供应商的最后报价，最终成交供应商的成交金额等于最后报价（如有修正，以确认修正后的最后报价为准）。</w:t>
            </w:r>
          </w:p>
          <w:p w14:paraId="64B78085">
            <w:pPr>
              <w:pStyle w:val="226"/>
              <w:spacing w:line="360" w:lineRule="auto"/>
              <w:ind w:firstLine="420"/>
              <w:rPr>
                <w:rFonts w:hint="eastAsia" w:hAnsi="宋体" w:cs="Courier New"/>
                <w:bCs/>
                <w:color w:val="auto"/>
                <w:sz w:val="21"/>
                <w:highlight w:val="none"/>
              </w:rPr>
            </w:pPr>
            <w:r>
              <w:rPr>
                <w:rFonts w:hint="eastAsia" w:hAnsi="宋体" w:cs="Courier New"/>
                <w:bCs/>
                <w:color w:val="auto"/>
                <w:sz w:val="21"/>
                <w:highlight w:val="none"/>
              </w:rPr>
              <w:t>（2）以进入比较与评价环节的最低的评审价为基准价，基准价得分为</w:t>
            </w:r>
            <w:r>
              <w:rPr>
                <w:rFonts w:hint="eastAsia" w:hAnsi="宋体" w:cs="Courier New"/>
                <w:bCs/>
                <w:color w:val="auto"/>
                <w:sz w:val="21"/>
                <w:highlight w:val="none"/>
                <w:u w:val="single"/>
              </w:rPr>
              <w:t>30</w:t>
            </w:r>
            <w:r>
              <w:rPr>
                <w:rFonts w:hint="eastAsia" w:hAnsi="宋体" w:cs="Courier New"/>
                <w:bCs/>
                <w:color w:val="auto"/>
                <w:sz w:val="21"/>
                <w:highlight w:val="none"/>
              </w:rPr>
              <w:t>分。</w:t>
            </w:r>
          </w:p>
          <w:p w14:paraId="277DB46D">
            <w:pPr>
              <w:pStyle w:val="226"/>
              <w:spacing w:line="360" w:lineRule="auto"/>
              <w:ind w:firstLine="420"/>
              <w:rPr>
                <w:rFonts w:hint="eastAsia" w:hAnsi="宋体" w:cs="Courier New"/>
                <w:bCs/>
                <w:color w:val="auto"/>
                <w:sz w:val="21"/>
                <w:highlight w:val="none"/>
              </w:rPr>
            </w:pPr>
            <w:r>
              <w:rPr>
                <w:rFonts w:hint="eastAsia" w:hAnsi="宋体" w:cs="Courier New"/>
                <w:bCs/>
                <w:color w:val="auto"/>
                <w:sz w:val="21"/>
                <w:highlight w:val="none"/>
              </w:rPr>
              <w:t>（3）价格分计算公式：</w:t>
            </w:r>
          </w:p>
          <w:p w14:paraId="02BD5512">
            <w:pPr>
              <w:pStyle w:val="226"/>
              <w:spacing w:line="360" w:lineRule="auto"/>
              <w:ind w:firstLine="420"/>
              <w:rPr>
                <w:rFonts w:hint="eastAsia" w:hAnsi="宋体" w:cs="Courier New"/>
                <w:bCs/>
                <w:color w:val="auto"/>
                <w:sz w:val="21"/>
                <w:highlight w:val="none"/>
              </w:rPr>
            </w:pPr>
            <w:r>
              <w:rPr>
                <w:rFonts w:hint="eastAsia" w:hAnsi="宋体" w:cs="Courier New"/>
                <w:bCs/>
                <w:color w:val="auto"/>
                <w:sz w:val="21"/>
                <w:highlight w:val="none"/>
              </w:rPr>
              <w:t>报价得分=（基准价/最后报价）×</w:t>
            </w:r>
            <w:r>
              <w:rPr>
                <w:rFonts w:hint="eastAsia" w:hAnsi="宋体" w:cs="Courier New"/>
                <w:bCs/>
                <w:color w:val="auto"/>
                <w:sz w:val="21"/>
                <w:highlight w:val="none"/>
                <w:u w:val="single"/>
              </w:rPr>
              <w:t>30</w:t>
            </w:r>
            <w:r>
              <w:rPr>
                <w:rFonts w:hint="eastAsia" w:hAnsi="宋体" w:cs="Courier New"/>
                <w:bCs/>
                <w:color w:val="auto"/>
                <w:sz w:val="21"/>
                <w:highlight w:val="none"/>
              </w:rPr>
              <w:t>分</w:t>
            </w:r>
          </w:p>
        </w:tc>
        <w:tc>
          <w:tcPr>
            <w:tcW w:w="829" w:type="dxa"/>
            <w:tcBorders>
              <w:top w:val="single" w:color="auto" w:sz="4" w:space="0"/>
              <w:left w:val="single" w:color="auto" w:sz="4" w:space="0"/>
              <w:bottom w:val="single" w:color="auto" w:sz="4" w:space="0"/>
              <w:right w:val="single" w:color="auto" w:sz="4" w:space="0"/>
            </w:tcBorders>
            <w:vAlign w:val="center"/>
          </w:tcPr>
          <w:p w14:paraId="67B47F2B">
            <w:pPr>
              <w:widowControl/>
              <w:spacing w:line="360" w:lineRule="auto"/>
              <w:jc w:val="center"/>
              <w:rPr>
                <w:rFonts w:hint="eastAsia" w:ascii="宋体" w:hAnsi="宋体" w:cs="Tahoma"/>
                <w:color w:val="auto"/>
                <w:szCs w:val="21"/>
                <w:highlight w:val="none"/>
              </w:rPr>
            </w:pPr>
            <w:r>
              <w:rPr>
                <w:rFonts w:hint="eastAsia" w:ascii="宋体" w:hAnsi="宋体" w:cs="Tahoma"/>
                <w:color w:val="auto"/>
                <w:szCs w:val="21"/>
                <w:highlight w:val="none"/>
              </w:rPr>
              <w:t>30分</w:t>
            </w:r>
          </w:p>
        </w:tc>
      </w:tr>
      <w:tr w14:paraId="7E49A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614" w:type="dxa"/>
            <w:tcBorders>
              <w:top w:val="single" w:color="auto" w:sz="4" w:space="0"/>
              <w:left w:val="single" w:color="auto" w:sz="4" w:space="0"/>
              <w:bottom w:val="single" w:color="auto" w:sz="4" w:space="0"/>
              <w:right w:val="single" w:color="auto" w:sz="4" w:space="0"/>
            </w:tcBorders>
            <w:vAlign w:val="center"/>
          </w:tcPr>
          <w:p w14:paraId="1649000F">
            <w:pPr>
              <w:widowControl/>
              <w:spacing w:line="360" w:lineRule="auto"/>
              <w:jc w:val="center"/>
              <w:rPr>
                <w:rFonts w:hint="eastAsia" w:ascii="宋体" w:hAnsi="宋体" w:cs="Tahoma"/>
                <w:b/>
                <w:bCs/>
                <w:color w:val="auto"/>
                <w:szCs w:val="21"/>
                <w:highlight w:val="none"/>
              </w:rPr>
            </w:pPr>
            <w:r>
              <w:rPr>
                <w:rFonts w:hint="eastAsia" w:ascii="宋体" w:hAnsi="宋体"/>
                <w:b/>
                <w:bCs/>
                <w:color w:val="auto"/>
                <w:szCs w:val="21"/>
                <w:highlight w:val="none"/>
              </w:rPr>
              <w:t>2</w:t>
            </w:r>
          </w:p>
        </w:tc>
        <w:tc>
          <w:tcPr>
            <w:tcW w:w="993" w:type="dxa"/>
            <w:tcBorders>
              <w:top w:val="single" w:color="auto" w:sz="4" w:space="0"/>
              <w:left w:val="single" w:color="auto" w:sz="4" w:space="0"/>
              <w:bottom w:val="single" w:color="auto" w:sz="4" w:space="0"/>
              <w:right w:val="single" w:color="auto" w:sz="4" w:space="0"/>
            </w:tcBorders>
            <w:vAlign w:val="center"/>
          </w:tcPr>
          <w:p w14:paraId="4AC4C620">
            <w:pPr>
              <w:widowControl/>
              <w:spacing w:line="360" w:lineRule="auto"/>
              <w:jc w:val="center"/>
              <w:rPr>
                <w:rFonts w:hint="eastAsia" w:ascii="宋体" w:hAnsi="宋体" w:cs="Tahoma"/>
                <w:b/>
                <w:bCs/>
                <w:color w:val="auto"/>
                <w:szCs w:val="21"/>
                <w:highlight w:val="none"/>
              </w:rPr>
            </w:pPr>
            <w:r>
              <w:rPr>
                <w:rFonts w:hint="eastAsia" w:ascii="宋体" w:hAnsi="宋体"/>
                <w:b/>
                <w:bCs/>
                <w:color w:val="auto"/>
                <w:szCs w:val="21"/>
                <w:highlight w:val="none"/>
              </w:rPr>
              <w:t>技术分</w:t>
            </w:r>
          </w:p>
        </w:tc>
        <w:tc>
          <w:tcPr>
            <w:tcW w:w="7483" w:type="dxa"/>
            <w:gridSpan w:val="2"/>
            <w:tcBorders>
              <w:top w:val="single" w:color="auto" w:sz="4" w:space="0"/>
              <w:left w:val="single" w:color="auto" w:sz="4" w:space="0"/>
              <w:bottom w:val="single" w:color="auto" w:sz="4" w:space="0"/>
              <w:right w:val="single" w:color="auto" w:sz="4" w:space="0"/>
            </w:tcBorders>
            <w:vAlign w:val="center"/>
          </w:tcPr>
          <w:p w14:paraId="2EE863C9">
            <w:pPr>
              <w:spacing w:line="360" w:lineRule="auto"/>
              <w:jc w:val="center"/>
              <w:rPr>
                <w:rFonts w:hint="eastAsia" w:ascii="宋体" w:hAnsi="宋体" w:cs="Tahoma"/>
                <w:color w:val="auto"/>
                <w:szCs w:val="21"/>
                <w:highlight w:val="none"/>
              </w:rPr>
            </w:pPr>
            <w:r>
              <w:rPr>
                <w:rFonts w:hint="eastAsia" w:hAnsi="宋体"/>
                <w:bCs/>
                <w:color w:val="auto"/>
                <w:highlight w:val="none"/>
              </w:rPr>
              <w:t>评审标准</w:t>
            </w:r>
          </w:p>
        </w:tc>
      </w:tr>
      <w:tr w14:paraId="78E7B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4" w:type="dxa"/>
            <w:vMerge w:val="restart"/>
            <w:tcBorders>
              <w:top w:val="single" w:color="auto" w:sz="4" w:space="0"/>
              <w:left w:val="single" w:color="auto" w:sz="4" w:space="0"/>
              <w:bottom w:val="single" w:color="auto" w:sz="4" w:space="0"/>
              <w:right w:val="single" w:color="auto" w:sz="4" w:space="0"/>
            </w:tcBorders>
            <w:vAlign w:val="center"/>
          </w:tcPr>
          <w:p w14:paraId="3F864CDB">
            <w:pPr>
              <w:spacing w:line="360" w:lineRule="auto"/>
              <w:ind w:left="-105" w:right="-105"/>
              <w:jc w:val="center"/>
              <w:rPr>
                <w:rFonts w:hint="eastAsia" w:ascii="宋体" w:hAnsi="宋体"/>
                <w:b/>
                <w:color w:val="auto"/>
                <w:szCs w:val="21"/>
                <w:highlight w:val="none"/>
              </w:rPr>
            </w:pPr>
            <w:r>
              <w:rPr>
                <w:rFonts w:hint="eastAsia" w:ascii="宋体" w:hAnsi="宋体"/>
                <w:b/>
                <w:color w:val="auto"/>
                <w:szCs w:val="21"/>
                <w:highlight w:val="none"/>
              </w:rPr>
              <w:t>2.1</w:t>
            </w:r>
          </w:p>
        </w:tc>
        <w:tc>
          <w:tcPr>
            <w:tcW w:w="993" w:type="dxa"/>
            <w:vMerge w:val="restart"/>
            <w:tcBorders>
              <w:top w:val="single" w:color="auto" w:sz="4" w:space="0"/>
              <w:left w:val="single" w:color="auto" w:sz="4" w:space="0"/>
              <w:bottom w:val="single" w:color="auto" w:sz="4" w:space="0"/>
              <w:right w:val="single" w:color="auto" w:sz="4" w:space="0"/>
            </w:tcBorders>
            <w:vAlign w:val="center"/>
          </w:tcPr>
          <w:p w14:paraId="3BCFA68F">
            <w:pPr>
              <w:spacing w:line="360" w:lineRule="auto"/>
              <w:jc w:val="center"/>
              <w:rPr>
                <w:rFonts w:hint="eastAsia" w:ascii="宋体" w:hAnsi="宋体"/>
                <w:b/>
                <w:color w:val="auto"/>
                <w:szCs w:val="21"/>
                <w:highlight w:val="none"/>
              </w:rPr>
            </w:pPr>
            <w:r>
              <w:rPr>
                <w:rFonts w:hint="eastAsia" w:ascii="宋体" w:hAnsi="宋体"/>
                <w:b/>
                <w:color w:val="auto"/>
                <w:szCs w:val="21"/>
                <w:highlight w:val="none"/>
              </w:rPr>
              <w:t>施工组织设计分</w:t>
            </w:r>
            <w:r>
              <w:rPr>
                <w:rFonts w:hint="eastAsia" w:ascii="宋体" w:hAnsi="宋体" w:cs="宋体"/>
                <w:b/>
                <w:color w:val="auto"/>
                <w:szCs w:val="21"/>
                <w:highlight w:val="none"/>
              </w:rPr>
              <w:t>（满分6</w:t>
            </w:r>
            <w:r>
              <w:rPr>
                <w:rFonts w:hint="eastAsia" w:ascii="宋体" w:hAnsi="宋体" w:cs="宋体"/>
                <w:b/>
                <w:color w:val="auto"/>
                <w:szCs w:val="21"/>
                <w:highlight w:val="none"/>
                <w:lang w:val="en-US" w:eastAsia="zh-CN"/>
              </w:rPr>
              <w:t>4</w:t>
            </w:r>
            <w:r>
              <w:rPr>
                <w:rFonts w:hint="eastAsia" w:ascii="宋体" w:hAnsi="宋体" w:cs="宋体"/>
                <w:b/>
                <w:color w:val="auto"/>
                <w:szCs w:val="21"/>
                <w:highlight w:val="none"/>
              </w:rPr>
              <w:t>分）</w:t>
            </w:r>
          </w:p>
        </w:tc>
        <w:tc>
          <w:tcPr>
            <w:tcW w:w="6654" w:type="dxa"/>
            <w:tcBorders>
              <w:top w:val="single" w:color="auto" w:sz="4" w:space="0"/>
              <w:left w:val="single" w:color="auto" w:sz="4" w:space="0"/>
              <w:bottom w:val="single" w:color="auto" w:sz="4" w:space="0"/>
              <w:right w:val="single" w:color="auto" w:sz="4" w:space="0"/>
            </w:tcBorders>
            <w:vAlign w:val="center"/>
          </w:tcPr>
          <w:p w14:paraId="7D90FDEE">
            <w:pPr>
              <w:pStyle w:val="226"/>
              <w:spacing w:line="360" w:lineRule="auto"/>
              <w:ind w:firstLine="420"/>
              <w:rPr>
                <w:rFonts w:hint="eastAsia" w:hAnsi="宋体" w:cs="Courier New"/>
                <w:b/>
                <w:color w:val="auto"/>
                <w:sz w:val="21"/>
                <w:highlight w:val="none"/>
              </w:rPr>
            </w:pPr>
            <w:r>
              <w:rPr>
                <w:rFonts w:hint="eastAsia" w:hAnsi="宋体" w:cs="Courier New"/>
                <w:b/>
                <w:color w:val="auto"/>
                <w:sz w:val="21"/>
                <w:highlight w:val="none"/>
              </w:rPr>
              <w:t>（1）总体施工组织布置及规划（满分8分）</w:t>
            </w:r>
          </w:p>
          <w:p w14:paraId="106DDCFC">
            <w:pPr>
              <w:pStyle w:val="226"/>
              <w:spacing w:line="360" w:lineRule="auto"/>
              <w:ind w:firstLine="420"/>
              <w:rPr>
                <w:rFonts w:hint="eastAsia" w:hAnsi="宋体" w:cs="Courier New"/>
                <w:bCs/>
                <w:color w:val="auto"/>
                <w:sz w:val="21"/>
                <w:highlight w:val="none"/>
              </w:rPr>
            </w:pPr>
            <w:r>
              <w:rPr>
                <w:rFonts w:hint="eastAsia" w:hAnsi="宋体" w:cs="Courier New"/>
                <w:bCs/>
                <w:color w:val="auto"/>
                <w:sz w:val="21"/>
                <w:highlight w:val="none"/>
              </w:rPr>
              <w:t>一档（8分）：有施工总平面布置图，安排科学合理，符合本项目施工实际要求。</w:t>
            </w:r>
          </w:p>
          <w:p w14:paraId="081FEEB7">
            <w:pPr>
              <w:pStyle w:val="226"/>
              <w:spacing w:line="360" w:lineRule="auto"/>
              <w:ind w:firstLine="420"/>
              <w:rPr>
                <w:rFonts w:hint="eastAsia" w:hAnsi="宋体" w:cs="Courier New"/>
                <w:bCs/>
                <w:color w:val="auto"/>
                <w:sz w:val="21"/>
                <w:highlight w:val="none"/>
              </w:rPr>
            </w:pPr>
            <w:r>
              <w:rPr>
                <w:rFonts w:hint="eastAsia" w:hAnsi="宋体" w:cs="Courier New"/>
                <w:bCs/>
                <w:color w:val="auto"/>
                <w:sz w:val="21"/>
                <w:highlight w:val="none"/>
              </w:rPr>
              <w:t>二档（</w:t>
            </w:r>
            <w:r>
              <w:rPr>
                <w:rFonts w:hint="eastAsia" w:hAnsi="宋体" w:cs="Courier New"/>
                <w:bCs/>
                <w:color w:val="auto"/>
                <w:sz w:val="21"/>
                <w:highlight w:val="none"/>
                <w:lang w:val="en-US" w:eastAsia="zh-CN"/>
              </w:rPr>
              <w:t>6</w:t>
            </w:r>
            <w:r>
              <w:rPr>
                <w:rFonts w:hint="eastAsia" w:hAnsi="宋体" w:cs="Courier New"/>
                <w:bCs/>
                <w:color w:val="auto"/>
                <w:sz w:val="21"/>
                <w:highlight w:val="none"/>
              </w:rPr>
              <w:t>分）：有施工总平面布置图，安排基本科学合理，基本符合本项目施工实际要求。</w:t>
            </w:r>
          </w:p>
          <w:p w14:paraId="51C8A1BB">
            <w:pPr>
              <w:pStyle w:val="226"/>
              <w:spacing w:line="360" w:lineRule="auto"/>
              <w:ind w:firstLine="420"/>
              <w:rPr>
                <w:rFonts w:hint="eastAsia" w:hAnsi="宋体"/>
                <w:color w:val="auto"/>
                <w:highlight w:val="none"/>
              </w:rPr>
            </w:pPr>
            <w:r>
              <w:rPr>
                <w:rFonts w:hint="eastAsia" w:hAnsi="宋体" w:cs="Courier New"/>
                <w:bCs/>
                <w:color w:val="auto"/>
                <w:sz w:val="21"/>
                <w:highlight w:val="none"/>
              </w:rPr>
              <w:t>三档（</w:t>
            </w:r>
            <w:r>
              <w:rPr>
                <w:rFonts w:hint="eastAsia" w:hAnsi="宋体" w:cs="Courier New"/>
                <w:bCs/>
                <w:color w:val="auto"/>
                <w:sz w:val="21"/>
                <w:highlight w:val="none"/>
                <w:lang w:val="en-US" w:eastAsia="zh-CN"/>
              </w:rPr>
              <w:t>4</w:t>
            </w:r>
            <w:r>
              <w:rPr>
                <w:rFonts w:hint="eastAsia" w:hAnsi="宋体" w:cs="Courier New"/>
                <w:bCs/>
                <w:color w:val="auto"/>
                <w:sz w:val="21"/>
                <w:highlight w:val="none"/>
              </w:rPr>
              <w:t>分）：无施工总平面布置图，或安排不科学合理，不符合本项目施工实际要求或不符合安全、文明生产要求。</w:t>
            </w:r>
          </w:p>
        </w:tc>
        <w:tc>
          <w:tcPr>
            <w:tcW w:w="829" w:type="dxa"/>
            <w:tcBorders>
              <w:top w:val="single" w:color="auto" w:sz="4" w:space="0"/>
              <w:left w:val="single" w:color="auto" w:sz="4" w:space="0"/>
              <w:bottom w:val="single" w:color="auto" w:sz="4" w:space="0"/>
              <w:right w:val="single" w:color="auto" w:sz="4" w:space="0"/>
            </w:tcBorders>
            <w:vAlign w:val="center"/>
          </w:tcPr>
          <w:p w14:paraId="5698AE04">
            <w:pPr>
              <w:spacing w:line="360" w:lineRule="auto"/>
              <w:jc w:val="center"/>
              <w:rPr>
                <w:rFonts w:hint="eastAsia" w:ascii="宋体" w:hAnsi="宋体" w:cs="Tahoma"/>
                <w:color w:val="auto"/>
                <w:szCs w:val="21"/>
                <w:highlight w:val="none"/>
              </w:rPr>
            </w:pPr>
            <w:r>
              <w:rPr>
                <w:rFonts w:hint="eastAsia" w:ascii="宋体" w:hAnsi="宋体" w:cs="Tahoma"/>
                <w:color w:val="auto"/>
                <w:szCs w:val="21"/>
                <w:highlight w:val="none"/>
              </w:rPr>
              <w:t>8分</w:t>
            </w:r>
          </w:p>
        </w:tc>
      </w:tr>
      <w:tr w14:paraId="6D89A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614" w:type="dxa"/>
            <w:vMerge w:val="continue"/>
            <w:tcBorders>
              <w:top w:val="single" w:color="auto" w:sz="4" w:space="0"/>
              <w:left w:val="single" w:color="auto" w:sz="4" w:space="0"/>
              <w:bottom w:val="single" w:color="auto" w:sz="4" w:space="0"/>
              <w:right w:val="single" w:color="auto" w:sz="4" w:space="0"/>
            </w:tcBorders>
            <w:vAlign w:val="center"/>
          </w:tcPr>
          <w:p w14:paraId="75DAFF71">
            <w:pPr>
              <w:spacing w:line="360" w:lineRule="auto"/>
              <w:ind w:left="-105" w:right="-105"/>
              <w:jc w:val="center"/>
              <w:rPr>
                <w:rFonts w:hint="eastAsia" w:ascii="宋体" w:hAnsi="宋体"/>
                <w:bCs/>
                <w:color w:val="auto"/>
                <w:szCs w:val="21"/>
                <w:highlight w:val="none"/>
              </w:rPr>
            </w:pPr>
          </w:p>
        </w:tc>
        <w:tc>
          <w:tcPr>
            <w:tcW w:w="993" w:type="dxa"/>
            <w:vMerge w:val="continue"/>
            <w:tcBorders>
              <w:top w:val="single" w:color="auto" w:sz="4" w:space="0"/>
              <w:left w:val="single" w:color="auto" w:sz="4" w:space="0"/>
              <w:bottom w:val="single" w:color="auto" w:sz="4" w:space="0"/>
              <w:right w:val="single" w:color="auto" w:sz="4" w:space="0"/>
            </w:tcBorders>
            <w:vAlign w:val="center"/>
          </w:tcPr>
          <w:p w14:paraId="5E16C21D">
            <w:pPr>
              <w:spacing w:line="360" w:lineRule="auto"/>
              <w:jc w:val="center"/>
              <w:rPr>
                <w:rFonts w:hint="eastAsia" w:ascii="宋体" w:hAnsi="宋体"/>
                <w:bCs/>
                <w:color w:val="auto"/>
                <w:szCs w:val="21"/>
                <w:highlight w:val="none"/>
              </w:rPr>
            </w:pPr>
          </w:p>
        </w:tc>
        <w:tc>
          <w:tcPr>
            <w:tcW w:w="6654" w:type="dxa"/>
            <w:tcBorders>
              <w:top w:val="single" w:color="auto" w:sz="4" w:space="0"/>
              <w:left w:val="single" w:color="auto" w:sz="4" w:space="0"/>
              <w:bottom w:val="single" w:color="auto" w:sz="4" w:space="0"/>
              <w:right w:val="single" w:color="auto" w:sz="4" w:space="0"/>
            </w:tcBorders>
            <w:vAlign w:val="center"/>
          </w:tcPr>
          <w:p w14:paraId="3F2B6F41">
            <w:pPr>
              <w:pStyle w:val="411"/>
              <w:spacing w:line="360" w:lineRule="auto"/>
              <w:ind w:firstLine="422"/>
              <w:rPr>
                <w:rFonts w:hint="eastAsia" w:ascii="宋体" w:hAnsi="宋体" w:cs="宋体"/>
                <w:b/>
                <w:bCs/>
                <w:color w:val="auto"/>
                <w:highlight w:val="none"/>
              </w:rPr>
            </w:pPr>
            <w:r>
              <w:rPr>
                <w:rFonts w:hint="eastAsia" w:ascii="宋体" w:hAnsi="宋体" w:cs="宋体"/>
                <w:b/>
                <w:bCs/>
                <w:color w:val="auto"/>
                <w:highlight w:val="none"/>
              </w:rPr>
              <w:t>（2）主要工程项目的施工方案、方法与技术措施</w:t>
            </w:r>
            <w:r>
              <w:rPr>
                <w:rFonts w:hint="eastAsia" w:ascii="宋体" w:hAnsi="宋体" w:cs="宋体"/>
                <w:b/>
                <w:bCs/>
                <w:color w:val="auto"/>
                <w:spacing w:val="-3"/>
                <w:highlight w:val="none"/>
              </w:rPr>
              <w:t>（</w:t>
            </w:r>
            <w:r>
              <w:rPr>
                <w:rFonts w:hint="eastAsia" w:ascii="宋体" w:hAnsi="宋体" w:cs="宋体"/>
                <w:b/>
                <w:bCs/>
                <w:color w:val="auto"/>
                <w:spacing w:val="-20"/>
                <w:highlight w:val="none"/>
              </w:rPr>
              <w:t>满分8</w:t>
            </w:r>
            <w:r>
              <w:rPr>
                <w:rFonts w:hint="eastAsia" w:ascii="宋体" w:hAnsi="宋体" w:cs="宋体"/>
                <w:b/>
                <w:bCs/>
                <w:color w:val="auto"/>
                <w:spacing w:val="-27"/>
                <w:highlight w:val="none"/>
              </w:rPr>
              <w:t>分</w:t>
            </w:r>
            <w:r>
              <w:rPr>
                <w:rFonts w:hint="eastAsia" w:ascii="宋体" w:hAnsi="宋体" w:cs="宋体"/>
                <w:b/>
                <w:bCs/>
                <w:color w:val="auto"/>
                <w:highlight w:val="none"/>
              </w:rPr>
              <w:t>）</w:t>
            </w:r>
          </w:p>
          <w:p w14:paraId="48F4EFAA">
            <w:pPr>
              <w:spacing w:line="360" w:lineRule="auto"/>
              <w:ind w:firstLine="420"/>
              <w:rPr>
                <w:rFonts w:hint="eastAsia" w:ascii="宋体" w:hAnsi="宋体" w:cs="宋体"/>
                <w:color w:val="auto"/>
                <w:highlight w:val="none"/>
              </w:rPr>
            </w:pPr>
            <w:r>
              <w:rPr>
                <w:rFonts w:hint="eastAsia" w:ascii="宋体" w:hAnsi="宋体" w:cs="宋体"/>
                <w:color w:val="auto"/>
                <w:highlight w:val="none"/>
              </w:rPr>
              <w:t>一档（8分）：各主要分部施工方法符合项目实际，有详尽的施工技术方案，工艺先进、方法科学合理、可行，能指导具体施工并确保安全。</w:t>
            </w:r>
          </w:p>
          <w:p w14:paraId="54714DB5">
            <w:pPr>
              <w:spacing w:line="360" w:lineRule="auto"/>
              <w:ind w:firstLine="420"/>
              <w:rPr>
                <w:rFonts w:hint="eastAsia" w:ascii="宋体" w:hAnsi="宋体" w:cs="宋体"/>
                <w:color w:val="auto"/>
                <w:highlight w:val="none"/>
              </w:rPr>
            </w:pPr>
            <w:bookmarkStart w:id="99" w:name="_Hlk101696827"/>
            <w:bookmarkEnd w:id="99"/>
            <w:r>
              <w:rPr>
                <w:rFonts w:hint="eastAsia" w:ascii="宋体" w:hAnsi="宋体" w:cs="宋体"/>
                <w:color w:val="auto"/>
                <w:highlight w:val="none"/>
              </w:rPr>
              <w:t>二档（</w:t>
            </w:r>
            <w:r>
              <w:rPr>
                <w:rFonts w:hint="eastAsia" w:ascii="宋体" w:hAnsi="宋体" w:cs="宋体"/>
                <w:color w:val="auto"/>
                <w:highlight w:val="none"/>
                <w:lang w:val="en-US" w:eastAsia="zh-CN"/>
              </w:rPr>
              <w:t>6</w:t>
            </w:r>
            <w:r>
              <w:rPr>
                <w:rFonts w:hint="eastAsia" w:ascii="宋体" w:hAnsi="宋体" w:cs="宋体"/>
                <w:color w:val="auto"/>
                <w:highlight w:val="none"/>
              </w:rPr>
              <w:t>分）：施工方法、施工技术方案基本可行，基本满足项目要求及确保安全。</w:t>
            </w:r>
          </w:p>
          <w:p w14:paraId="37C348ED">
            <w:pPr>
              <w:spacing w:line="360" w:lineRule="auto"/>
              <w:ind w:firstLine="420"/>
              <w:rPr>
                <w:rFonts w:hint="eastAsia" w:ascii="宋体" w:hAnsi="宋体"/>
                <w:color w:val="auto"/>
                <w:szCs w:val="21"/>
                <w:highlight w:val="none"/>
              </w:rPr>
            </w:pPr>
            <w:r>
              <w:rPr>
                <w:rFonts w:hint="eastAsia" w:ascii="宋体" w:hAnsi="宋体" w:cs="宋体"/>
                <w:color w:val="auto"/>
                <w:highlight w:val="none"/>
              </w:rPr>
              <w:t>三档（</w:t>
            </w:r>
            <w:r>
              <w:rPr>
                <w:rFonts w:hint="eastAsia" w:ascii="宋体" w:hAnsi="宋体" w:cs="宋体"/>
                <w:color w:val="auto"/>
                <w:highlight w:val="none"/>
                <w:lang w:val="en-US" w:eastAsia="zh-CN"/>
              </w:rPr>
              <w:t>4</w:t>
            </w:r>
            <w:r>
              <w:rPr>
                <w:rFonts w:hint="eastAsia" w:ascii="宋体" w:hAnsi="宋体" w:cs="宋体"/>
                <w:color w:val="auto"/>
                <w:highlight w:val="none"/>
              </w:rPr>
              <w:t>分）：施工方法、施工技术方案不可行，或不能满足项目要求或不能确保安全。</w:t>
            </w:r>
          </w:p>
        </w:tc>
        <w:tc>
          <w:tcPr>
            <w:tcW w:w="829" w:type="dxa"/>
            <w:tcBorders>
              <w:top w:val="single" w:color="auto" w:sz="4" w:space="0"/>
              <w:left w:val="single" w:color="auto" w:sz="4" w:space="0"/>
              <w:bottom w:val="single" w:color="auto" w:sz="4" w:space="0"/>
              <w:right w:val="single" w:color="auto" w:sz="4" w:space="0"/>
            </w:tcBorders>
            <w:vAlign w:val="center"/>
          </w:tcPr>
          <w:p w14:paraId="326DB4F6">
            <w:pPr>
              <w:spacing w:line="360" w:lineRule="auto"/>
              <w:jc w:val="center"/>
              <w:rPr>
                <w:rFonts w:hint="eastAsia" w:ascii="宋体" w:hAnsi="宋体" w:cs="Tahoma"/>
                <w:color w:val="auto"/>
                <w:szCs w:val="21"/>
                <w:highlight w:val="none"/>
              </w:rPr>
            </w:pPr>
            <w:r>
              <w:rPr>
                <w:rFonts w:hint="eastAsia" w:ascii="宋体" w:hAnsi="宋体" w:cs="Tahoma"/>
                <w:color w:val="auto"/>
                <w:szCs w:val="21"/>
                <w:highlight w:val="none"/>
              </w:rPr>
              <w:t>8分</w:t>
            </w:r>
          </w:p>
        </w:tc>
      </w:tr>
      <w:tr w14:paraId="1CBE3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614" w:type="dxa"/>
            <w:vMerge w:val="continue"/>
            <w:tcBorders>
              <w:top w:val="single" w:color="auto" w:sz="4" w:space="0"/>
              <w:left w:val="single" w:color="auto" w:sz="4" w:space="0"/>
              <w:bottom w:val="single" w:color="auto" w:sz="4" w:space="0"/>
              <w:right w:val="single" w:color="auto" w:sz="4" w:space="0"/>
            </w:tcBorders>
            <w:vAlign w:val="center"/>
          </w:tcPr>
          <w:p w14:paraId="1EA8E8A6">
            <w:pPr>
              <w:spacing w:line="360" w:lineRule="auto"/>
              <w:ind w:left="-105" w:right="-105"/>
              <w:jc w:val="center"/>
              <w:rPr>
                <w:rFonts w:hint="eastAsia" w:ascii="宋体" w:hAnsi="宋体"/>
                <w:bCs/>
                <w:color w:val="auto"/>
                <w:szCs w:val="21"/>
                <w:highlight w:val="none"/>
              </w:rPr>
            </w:pPr>
          </w:p>
        </w:tc>
        <w:tc>
          <w:tcPr>
            <w:tcW w:w="993" w:type="dxa"/>
            <w:vMerge w:val="continue"/>
            <w:tcBorders>
              <w:top w:val="single" w:color="auto" w:sz="4" w:space="0"/>
              <w:left w:val="single" w:color="auto" w:sz="4" w:space="0"/>
              <w:bottom w:val="single" w:color="auto" w:sz="4" w:space="0"/>
              <w:right w:val="single" w:color="auto" w:sz="4" w:space="0"/>
            </w:tcBorders>
            <w:vAlign w:val="center"/>
          </w:tcPr>
          <w:p w14:paraId="37332D3B">
            <w:pPr>
              <w:spacing w:line="360" w:lineRule="auto"/>
              <w:jc w:val="center"/>
              <w:rPr>
                <w:rFonts w:hint="eastAsia" w:ascii="宋体" w:hAnsi="宋体"/>
                <w:bCs/>
                <w:color w:val="auto"/>
                <w:szCs w:val="21"/>
                <w:highlight w:val="none"/>
              </w:rPr>
            </w:pPr>
          </w:p>
        </w:tc>
        <w:tc>
          <w:tcPr>
            <w:tcW w:w="6654" w:type="dxa"/>
            <w:tcBorders>
              <w:top w:val="single" w:color="auto" w:sz="4" w:space="0"/>
              <w:left w:val="single" w:color="auto" w:sz="4" w:space="0"/>
              <w:bottom w:val="single" w:color="auto" w:sz="4" w:space="0"/>
              <w:right w:val="single" w:color="auto" w:sz="4" w:space="0"/>
            </w:tcBorders>
          </w:tcPr>
          <w:p w14:paraId="3A1192F6">
            <w:pPr>
              <w:pStyle w:val="411"/>
              <w:spacing w:line="360" w:lineRule="auto"/>
              <w:ind w:firstLine="414"/>
              <w:rPr>
                <w:rFonts w:hint="eastAsia" w:ascii="宋体" w:hAnsi="宋体" w:cs="宋体"/>
                <w:b/>
                <w:bCs/>
                <w:color w:val="auto"/>
                <w:highlight w:val="none"/>
              </w:rPr>
            </w:pPr>
            <w:r>
              <w:rPr>
                <w:rFonts w:hint="eastAsia" w:ascii="宋体" w:hAnsi="宋体" w:cs="宋体"/>
                <w:b/>
                <w:bCs/>
                <w:color w:val="auto"/>
                <w:spacing w:val="-2"/>
                <w:highlight w:val="none"/>
              </w:rPr>
              <w:t>（3）工程质量管理体系及保证措施</w:t>
            </w:r>
            <w:r>
              <w:rPr>
                <w:rFonts w:hint="eastAsia" w:ascii="宋体" w:hAnsi="宋体" w:cs="宋体"/>
                <w:b/>
                <w:bCs/>
                <w:color w:val="auto"/>
                <w:highlight w:val="none"/>
              </w:rPr>
              <w:t>（</w:t>
            </w:r>
            <w:r>
              <w:rPr>
                <w:rFonts w:hint="eastAsia" w:ascii="宋体" w:hAnsi="宋体" w:cs="宋体"/>
                <w:b/>
                <w:bCs/>
                <w:color w:val="auto"/>
                <w:spacing w:val="-18"/>
                <w:highlight w:val="none"/>
              </w:rPr>
              <w:t>满分</w:t>
            </w:r>
            <w:r>
              <w:rPr>
                <w:rFonts w:hint="eastAsia" w:ascii="宋体" w:hAnsi="宋体" w:cs="宋体"/>
                <w:b/>
                <w:bCs/>
                <w:color w:val="auto"/>
                <w:highlight w:val="none"/>
              </w:rPr>
              <w:t>8</w:t>
            </w:r>
            <w:r>
              <w:rPr>
                <w:rFonts w:hint="eastAsia" w:ascii="宋体" w:hAnsi="宋体" w:cs="宋体"/>
                <w:b/>
                <w:bCs/>
                <w:color w:val="auto"/>
                <w:spacing w:val="-27"/>
                <w:highlight w:val="none"/>
              </w:rPr>
              <w:t>分）</w:t>
            </w:r>
          </w:p>
          <w:p w14:paraId="17B338E5">
            <w:pPr>
              <w:spacing w:line="360" w:lineRule="auto"/>
              <w:ind w:firstLine="420"/>
              <w:rPr>
                <w:rFonts w:hint="eastAsia" w:ascii="宋体" w:hAnsi="宋体" w:cs="宋体"/>
                <w:color w:val="auto"/>
                <w:spacing w:val="-4"/>
                <w:highlight w:val="none"/>
              </w:rPr>
            </w:pPr>
            <w:r>
              <w:rPr>
                <w:rFonts w:hint="eastAsia" w:ascii="宋体" w:hAnsi="宋体" w:cs="宋体"/>
                <w:color w:val="auto"/>
                <w:highlight w:val="none"/>
              </w:rPr>
              <w:t>一档（8</w:t>
            </w:r>
            <w:r>
              <w:rPr>
                <w:rFonts w:hint="eastAsia" w:ascii="宋体" w:hAnsi="宋体" w:cs="宋体"/>
                <w:color w:val="auto"/>
                <w:spacing w:val="-12"/>
                <w:highlight w:val="none"/>
              </w:rPr>
              <w:t>分</w:t>
            </w:r>
            <w:r>
              <w:rPr>
                <w:rFonts w:hint="eastAsia" w:ascii="宋体" w:hAnsi="宋体" w:cs="宋体"/>
                <w:color w:val="auto"/>
                <w:spacing w:val="-4"/>
                <w:highlight w:val="none"/>
              </w:rPr>
              <w:t>）：主要工序有质量技术保证措施和手段，自控体系完整，能有效保证技术质量，达到承诺的质量标准。</w:t>
            </w:r>
          </w:p>
          <w:p w14:paraId="55A945C8">
            <w:pPr>
              <w:spacing w:line="360" w:lineRule="auto"/>
              <w:ind w:firstLine="420"/>
              <w:rPr>
                <w:rFonts w:hint="eastAsia" w:ascii="宋体" w:hAnsi="宋体" w:cs="宋体"/>
                <w:color w:val="auto"/>
                <w:highlight w:val="none"/>
              </w:rPr>
            </w:pPr>
            <w:r>
              <w:rPr>
                <w:rFonts w:hint="eastAsia" w:ascii="宋体" w:hAnsi="宋体" w:cs="宋体"/>
                <w:color w:val="auto"/>
                <w:highlight w:val="none"/>
              </w:rPr>
              <w:t>二档（</w:t>
            </w:r>
            <w:r>
              <w:rPr>
                <w:rFonts w:hint="eastAsia" w:ascii="宋体" w:hAnsi="宋体" w:cs="宋体"/>
                <w:color w:val="auto"/>
                <w:highlight w:val="none"/>
                <w:lang w:val="en-US" w:eastAsia="zh-CN"/>
              </w:rPr>
              <w:t>6</w:t>
            </w:r>
            <w:r>
              <w:rPr>
                <w:rFonts w:hint="eastAsia" w:ascii="宋体" w:hAnsi="宋体" w:cs="宋体"/>
                <w:color w:val="auto"/>
                <w:highlight w:val="none"/>
              </w:rPr>
              <w:t>分）：主要工序有质量技术保证措施和手段，自控体系基本完整，基本能有效保证技术质量，达到承诺的质量标准。</w:t>
            </w:r>
          </w:p>
          <w:p w14:paraId="032BD32C">
            <w:pPr>
              <w:spacing w:line="360" w:lineRule="auto"/>
              <w:ind w:firstLine="420"/>
              <w:rPr>
                <w:rFonts w:hint="eastAsia" w:ascii="宋体" w:hAnsi="宋体"/>
                <w:color w:val="auto"/>
                <w:szCs w:val="21"/>
                <w:highlight w:val="none"/>
              </w:rPr>
            </w:pPr>
            <w:r>
              <w:rPr>
                <w:rFonts w:hint="eastAsia" w:ascii="宋体" w:hAnsi="宋体" w:cs="宋体"/>
                <w:color w:val="auto"/>
                <w:highlight w:val="none"/>
              </w:rPr>
              <w:t>三档（</w:t>
            </w:r>
            <w:r>
              <w:rPr>
                <w:rFonts w:hint="eastAsia" w:ascii="宋体" w:hAnsi="宋体" w:cs="宋体"/>
                <w:color w:val="auto"/>
                <w:highlight w:val="none"/>
                <w:lang w:val="en-US" w:eastAsia="zh-CN"/>
              </w:rPr>
              <w:t>4</w:t>
            </w:r>
            <w:r>
              <w:rPr>
                <w:rFonts w:hint="eastAsia" w:ascii="宋体" w:hAnsi="宋体" w:cs="宋体"/>
                <w:color w:val="auto"/>
                <w:highlight w:val="none"/>
              </w:rPr>
              <w:t>分）：主要工序无质量技术保证措施和手段，自控体系不完整，或不能有效保证技术质量，达到承诺的质量标准。</w:t>
            </w:r>
          </w:p>
        </w:tc>
        <w:tc>
          <w:tcPr>
            <w:tcW w:w="829" w:type="dxa"/>
            <w:tcBorders>
              <w:top w:val="single" w:color="auto" w:sz="4" w:space="0"/>
              <w:left w:val="single" w:color="auto" w:sz="4" w:space="0"/>
              <w:bottom w:val="single" w:color="auto" w:sz="4" w:space="0"/>
              <w:right w:val="single" w:color="auto" w:sz="4" w:space="0"/>
            </w:tcBorders>
            <w:vAlign w:val="center"/>
          </w:tcPr>
          <w:p w14:paraId="55E4C742">
            <w:pPr>
              <w:spacing w:line="360" w:lineRule="auto"/>
              <w:jc w:val="center"/>
              <w:rPr>
                <w:rFonts w:hint="eastAsia" w:ascii="宋体" w:hAnsi="宋体" w:cs="Tahoma"/>
                <w:color w:val="auto"/>
                <w:szCs w:val="21"/>
                <w:highlight w:val="none"/>
              </w:rPr>
            </w:pPr>
            <w:r>
              <w:rPr>
                <w:rFonts w:hint="eastAsia" w:ascii="宋体" w:hAnsi="宋体" w:cs="Tahoma"/>
                <w:color w:val="auto"/>
                <w:szCs w:val="21"/>
                <w:highlight w:val="none"/>
              </w:rPr>
              <w:t>8分</w:t>
            </w:r>
          </w:p>
        </w:tc>
      </w:tr>
      <w:tr w14:paraId="47642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614" w:type="dxa"/>
            <w:vMerge w:val="continue"/>
            <w:tcBorders>
              <w:top w:val="single" w:color="auto" w:sz="4" w:space="0"/>
              <w:left w:val="single" w:color="auto" w:sz="4" w:space="0"/>
              <w:bottom w:val="single" w:color="auto" w:sz="4" w:space="0"/>
              <w:right w:val="single" w:color="auto" w:sz="4" w:space="0"/>
            </w:tcBorders>
            <w:vAlign w:val="center"/>
          </w:tcPr>
          <w:p w14:paraId="2308809D">
            <w:pPr>
              <w:spacing w:line="360" w:lineRule="auto"/>
              <w:ind w:left="-105" w:right="-105"/>
              <w:jc w:val="center"/>
              <w:rPr>
                <w:rFonts w:hint="eastAsia" w:ascii="宋体" w:hAnsi="宋体"/>
                <w:bCs/>
                <w:color w:val="auto"/>
                <w:szCs w:val="21"/>
                <w:highlight w:val="none"/>
              </w:rPr>
            </w:pPr>
          </w:p>
        </w:tc>
        <w:tc>
          <w:tcPr>
            <w:tcW w:w="993" w:type="dxa"/>
            <w:vMerge w:val="continue"/>
            <w:tcBorders>
              <w:top w:val="single" w:color="auto" w:sz="4" w:space="0"/>
              <w:left w:val="single" w:color="auto" w:sz="4" w:space="0"/>
              <w:bottom w:val="single" w:color="auto" w:sz="4" w:space="0"/>
              <w:right w:val="single" w:color="auto" w:sz="4" w:space="0"/>
            </w:tcBorders>
            <w:vAlign w:val="center"/>
          </w:tcPr>
          <w:p w14:paraId="3FAF1365">
            <w:pPr>
              <w:spacing w:line="360" w:lineRule="auto"/>
              <w:jc w:val="center"/>
              <w:rPr>
                <w:rFonts w:hint="eastAsia" w:ascii="宋体" w:hAnsi="宋体"/>
                <w:bCs/>
                <w:color w:val="auto"/>
                <w:szCs w:val="21"/>
                <w:highlight w:val="none"/>
              </w:rPr>
            </w:pPr>
          </w:p>
        </w:tc>
        <w:tc>
          <w:tcPr>
            <w:tcW w:w="6654" w:type="dxa"/>
            <w:tcBorders>
              <w:top w:val="single" w:color="auto" w:sz="4" w:space="0"/>
              <w:left w:val="single" w:color="auto" w:sz="4" w:space="0"/>
              <w:bottom w:val="single" w:color="auto" w:sz="4" w:space="0"/>
              <w:right w:val="single" w:color="auto" w:sz="4" w:space="0"/>
            </w:tcBorders>
            <w:vAlign w:val="center"/>
          </w:tcPr>
          <w:p w14:paraId="58AF7B3F">
            <w:pPr>
              <w:pStyle w:val="411"/>
              <w:spacing w:line="360" w:lineRule="auto"/>
              <w:ind w:firstLine="414"/>
              <w:rPr>
                <w:rFonts w:hint="eastAsia" w:ascii="宋体" w:hAnsi="宋体" w:cs="宋体"/>
                <w:b/>
                <w:bCs/>
                <w:color w:val="auto"/>
                <w:highlight w:val="none"/>
              </w:rPr>
            </w:pPr>
            <w:r>
              <w:rPr>
                <w:rFonts w:hint="eastAsia" w:ascii="宋体" w:hAnsi="宋体" w:cs="宋体"/>
                <w:b/>
                <w:bCs/>
                <w:color w:val="auto"/>
                <w:spacing w:val="-2"/>
                <w:highlight w:val="none"/>
              </w:rPr>
              <w:t>（4）工程施工的重点和难点及保证措施</w:t>
            </w:r>
            <w:r>
              <w:rPr>
                <w:rFonts w:hint="eastAsia" w:ascii="宋体" w:hAnsi="宋体" w:cs="宋体"/>
                <w:b/>
                <w:bCs/>
                <w:color w:val="auto"/>
                <w:highlight w:val="none"/>
              </w:rPr>
              <w:t>（</w:t>
            </w:r>
            <w:r>
              <w:rPr>
                <w:rFonts w:hint="eastAsia" w:ascii="宋体" w:hAnsi="宋体" w:cs="宋体"/>
                <w:b/>
                <w:bCs/>
                <w:color w:val="auto"/>
                <w:spacing w:val="-18"/>
                <w:highlight w:val="none"/>
              </w:rPr>
              <w:t>满分</w:t>
            </w:r>
            <w:r>
              <w:rPr>
                <w:rFonts w:hint="eastAsia" w:ascii="宋体" w:hAnsi="宋体" w:cs="宋体"/>
                <w:b/>
                <w:bCs/>
                <w:color w:val="auto"/>
                <w:highlight w:val="none"/>
              </w:rPr>
              <w:t>8</w:t>
            </w:r>
            <w:r>
              <w:rPr>
                <w:rFonts w:hint="eastAsia" w:ascii="宋体" w:hAnsi="宋体" w:cs="宋体"/>
                <w:b/>
                <w:bCs/>
                <w:color w:val="auto"/>
                <w:spacing w:val="-27"/>
                <w:highlight w:val="none"/>
              </w:rPr>
              <w:t>分</w:t>
            </w:r>
            <w:r>
              <w:rPr>
                <w:rFonts w:hint="eastAsia" w:ascii="宋体" w:hAnsi="宋体" w:cs="宋体"/>
                <w:b/>
                <w:bCs/>
                <w:color w:val="auto"/>
                <w:highlight w:val="none"/>
              </w:rPr>
              <w:t xml:space="preserve">）   </w:t>
            </w:r>
          </w:p>
          <w:p w14:paraId="1F90A21D">
            <w:pPr>
              <w:spacing w:line="360" w:lineRule="auto"/>
              <w:ind w:firstLine="420"/>
              <w:rPr>
                <w:rFonts w:hint="eastAsia" w:ascii="宋体" w:hAnsi="宋体" w:cs="宋体"/>
                <w:color w:val="auto"/>
                <w:spacing w:val="-5"/>
                <w:highlight w:val="none"/>
              </w:rPr>
            </w:pPr>
            <w:r>
              <w:rPr>
                <w:rFonts w:hint="eastAsia" w:ascii="宋体" w:hAnsi="宋体" w:cs="宋体"/>
                <w:color w:val="auto"/>
                <w:highlight w:val="none"/>
              </w:rPr>
              <w:t>一档（8分</w:t>
            </w:r>
            <w:r>
              <w:rPr>
                <w:rFonts w:hint="eastAsia" w:ascii="宋体" w:hAnsi="宋体" w:cs="宋体"/>
                <w:color w:val="auto"/>
                <w:spacing w:val="-4"/>
                <w:highlight w:val="none"/>
              </w:rPr>
              <w:t>）</w:t>
            </w:r>
            <w:r>
              <w:rPr>
                <w:rFonts w:hint="eastAsia" w:ascii="宋体" w:hAnsi="宋体" w:cs="宋体"/>
                <w:color w:val="auto"/>
                <w:spacing w:val="-3"/>
                <w:highlight w:val="none"/>
              </w:rPr>
              <w:t>：针对本工程的特点，阐述本工程的重点和难点，解决重点和难点问题的方法具体、合理、可行</w:t>
            </w:r>
            <w:r>
              <w:rPr>
                <w:rFonts w:hint="eastAsia" w:ascii="宋体" w:hAnsi="宋体" w:cs="宋体"/>
                <w:color w:val="auto"/>
                <w:spacing w:val="-5"/>
                <w:highlight w:val="none"/>
              </w:rPr>
              <w:t>。</w:t>
            </w:r>
          </w:p>
          <w:p w14:paraId="423036DB">
            <w:pPr>
              <w:spacing w:line="360" w:lineRule="auto"/>
              <w:ind w:firstLine="420"/>
              <w:rPr>
                <w:rFonts w:hint="eastAsia" w:ascii="宋体" w:hAnsi="宋体" w:cs="宋体"/>
                <w:color w:val="auto"/>
                <w:spacing w:val="-3"/>
                <w:highlight w:val="none"/>
              </w:rPr>
            </w:pPr>
            <w:r>
              <w:rPr>
                <w:rFonts w:hint="eastAsia" w:ascii="宋体" w:hAnsi="宋体" w:cs="宋体"/>
                <w:color w:val="auto"/>
                <w:highlight w:val="none"/>
              </w:rPr>
              <w:t>二档（</w:t>
            </w:r>
            <w:r>
              <w:rPr>
                <w:rFonts w:hint="eastAsia" w:ascii="宋体" w:hAnsi="宋体" w:cs="宋体"/>
                <w:color w:val="auto"/>
                <w:highlight w:val="none"/>
                <w:lang w:val="en-US" w:eastAsia="zh-CN"/>
              </w:rPr>
              <w:t>6</w:t>
            </w:r>
            <w:r>
              <w:rPr>
                <w:rFonts w:hint="eastAsia" w:ascii="宋体" w:hAnsi="宋体" w:cs="宋体"/>
                <w:color w:val="auto"/>
                <w:spacing w:val="-15"/>
                <w:highlight w:val="none"/>
              </w:rPr>
              <w:t>分</w:t>
            </w:r>
            <w:r>
              <w:rPr>
                <w:rFonts w:hint="eastAsia" w:ascii="宋体" w:hAnsi="宋体" w:cs="宋体"/>
                <w:color w:val="auto"/>
                <w:spacing w:val="-4"/>
                <w:highlight w:val="none"/>
              </w:rPr>
              <w:t>）</w:t>
            </w:r>
            <w:r>
              <w:rPr>
                <w:rFonts w:hint="eastAsia" w:ascii="宋体" w:hAnsi="宋体" w:cs="宋体"/>
                <w:color w:val="auto"/>
                <w:spacing w:val="-3"/>
                <w:highlight w:val="none"/>
              </w:rPr>
              <w:t>：针对本工程的特点，阐述本工程的重点和难点，解决重点和难点问题的方法基本合理、可行。</w:t>
            </w:r>
          </w:p>
          <w:p w14:paraId="2A058977">
            <w:pPr>
              <w:spacing w:line="360" w:lineRule="auto"/>
              <w:ind w:firstLine="420"/>
              <w:rPr>
                <w:rFonts w:hint="eastAsia" w:ascii="宋体" w:hAnsi="宋体" w:cs="宋体"/>
                <w:color w:val="auto"/>
                <w:szCs w:val="21"/>
                <w:highlight w:val="none"/>
                <w:lang w:bidi="ar"/>
              </w:rPr>
            </w:pPr>
            <w:bookmarkStart w:id="100" w:name="_Hlk102813289"/>
            <w:r>
              <w:rPr>
                <w:rFonts w:hint="eastAsia" w:ascii="宋体" w:hAnsi="宋体" w:cs="宋体"/>
                <w:color w:val="auto"/>
                <w:highlight w:val="none"/>
              </w:rPr>
              <w:t>三档（</w:t>
            </w:r>
            <w:bookmarkEnd w:id="100"/>
            <w:r>
              <w:rPr>
                <w:rFonts w:hint="eastAsia" w:ascii="宋体" w:hAnsi="宋体" w:cs="宋体"/>
                <w:color w:val="auto"/>
                <w:highlight w:val="none"/>
                <w:lang w:val="en-US" w:eastAsia="zh-CN"/>
              </w:rPr>
              <w:t>4</w:t>
            </w:r>
            <w:r>
              <w:rPr>
                <w:rFonts w:hint="eastAsia" w:ascii="宋体" w:hAnsi="宋体" w:cs="宋体"/>
                <w:color w:val="auto"/>
                <w:highlight w:val="none"/>
              </w:rPr>
              <w:t>分</w:t>
            </w:r>
            <w:r>
              <w:rPr>
                <w:rFonts w:hint="eastAsia" w:ascii="宋体" w:hAnsi="宋体" w:cs="宋体"/>
                <w:color w:val="auto"/>
                <w:spacing w:val="-4"/>
                <w:highlight w:val="none"/>
              </w:rPr>
              <w:t>）</w:t>
            </w:r>
            <w:r>
              <w:rPr>
                <w:rFonts w:hint="eastAsia" w:ascii="宋体" w:hAnsi="宋体" w:cs="宋体"/>
                <w:color w:val="auto"/>
                <w:spacing w:val="-3"/>
                <w:highlight w:val="none"/>
              </w:rPr>
              <w:t>：阐述本工程的重点和难点无针对性，或未提出解决重点和难点问题的方法或解决重点和难点问题的方法不合理、不可行。</w:t>
            </w:r>
          </w:p>
        </w:tc>
        <w:tc>
          <w:tcPr>
            <w:tcW w:w="829" w:type="dxa"/>
            <w:tcBorders>
              <w:top w:val="single" w:color="auto" w:sz="4" w:space="0"/>
              <w:left w:val="single" w:color="auto" w:sz="4" w:space="0"/>
              <w:bottom w:val="single" w:color="auto" w:sz="4" w:space="0"/>
              <w:right w:val="single" w:color="auto" w:sz="4" w:space="0"/>
            </w:tcBorders>
            <w:vAlign w:val="center"/>
          </w:tcPr>
          <w:p w14:paraId="3B5E1A85">
            <w:pPr>
              <w:spacing w:line="360" w:lineRule="auto"/>
              <w:jc w:val="center"/>
              <w:rPr>
                <w:rFonts w:hint="eastAsia" w:ascii="宋体" w:hAnsi="宋体" w:cs="Tahoma"/>
                <w:color w:val="auto"/>
                <w:szCs w:val="21"/>
                <w:highlight w:val="none"/>
              </w:rPr>
            </w:pPr>
            <w:r>
              <w:rPr>
                <w:rFonts w:hint="eastAsia" w:ascii="宋体" w:hAnsi="宋体" w:cs="Tahoma"/>
                <w:color w:val="auto"/>
                <w:szCs w:val="21"/>
                <w:highlight w:val="none"/>
              </w:rPr>
              <w:t>8分</w:t>
            </w:r>
          </w:p>
        </w:tc>
      </w:tr>
      <w:tr w14:paraId="522CE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614" w:type="dxa"/>
            <w:vMerge w:val="continue"/>
            <w:tcBorders>
              <w:top w:val="single" w:color="auto" w:sz="4" w:space="0"/>
              <w:left w:val="single" w:color="auto" w:sz="4" w:space="0"/>
              <w:bottom w:val="single" w:color="auto" w:sz="4" w:space="0"/>
              <w:right w:val="single" w:color="auto" w:sz="4" w:space="0"/>
            </w:tcBorders>
            <w:vAlign w:val="center"/>
          </w:tcPr>
          <w:p w14:paraId="5DF21D8E">
            <w:pPr>
              <w:spacing w:line="360" w:lineRule="auto"/>
              <w:ind w:left="-105" w:right="-105"/>
              <w:jc w:val="center"/>
              <w:rPr>
                <w:rFonts w:hint="eastAsia" w:ascii="宋体" w:hAnsi="宋体"/>
                <w:bCs/>
                <w:color w:val="auto"/>
                <w:szCs w:val="21"/>
                <w:highlight w:val="none"/>
              </w:rPr>
            </w:pPr>
          </w:p>
        </w:tc>
        <w:tc>
          <w:tcPr>
            <w:tcW w:w="993" w:type="dxa"/>
            <w:vMerge w:val="continue"/>
            <w:tcBorders>
              <w:top w:val="single" w:color="auto" w:sz="4" w:space="0"/>
              <w:left w:val="single" w:color="auto" w:sz="4" w:space="0"/>
              <w:bottom w:val="single" w:color="auto" w:sz="4" w:space="0"/>
              <w:right w:val="single" w:color="auto" w:sz="4" w:space="0"/>
            </w:tcBorders>
            <w:vAlign w:val="center"/>
          </w:tcPr>
          <w:p w14:paraId="102A864D">
            <w:pPr>
              <w:spacing w:line="360" w:lineRule="auto"/>
              <w:jc w:val="center"/>
              <w:rPr>
                <w:rFonts w:hint="eastAsia" w:ascii="宋体" w:hAnsi="宋体"/>
                <w:bCs/>
                <w:color w:val="auto"/>
                <w:szCs w:val="21"/>
                <w:highlight w:val="none"/>
              </w:rPr>
            </w:pPr>
          </w:p>
        </w:tc>
        <w:tc>
          <w:tcPr>
            <w:tcW w:w="6654" w:type="dxa"/>
            <w:tcBorders>
              <w:top w:val="single" w:color="auto" w:sz="4" w:space="0"/>
              <w:left w:val="single" w:color="auto" w:sz="4" w:space="0"/>
              <w:bottom w:val="single" w:color="auto" w:sz="4" w:space="0"/>
              <w:right w:val="single" w:color="auto" w:sz="4" w:space="0"/>
            </w:tcBorders>
            <w:vAlign w:val="center"/>
          </w:tcPr>
          <w:p w14:paraId="78261E04">
            <w:pPr>
              <w:pStyle w:val="411"/>
              <w:spacing w:line="360" w:lineRule="auto"/>
              <w:ind w:firstLine="414"/>
              <w:rPr>
                <w:rFonts w:hint="eastAsia" w:ascii="宋体" w:hAnsi="宋体" w:cs="宋体"/>
                <w:b/>
                <w:bCs/>
                <w:color w:val="auto"/>
                <w:highlight w:val="none"/>
              </w:rPr>
            </w:pPr>
            <w:r>
              <w:rPr>
                <w:rFonts w:hint="eastAsia" w:ascii="宋体" w:hAnsi="宋体" w:cs="宋体"/>
                <w:b/>
                <w:bCs/>
                <w:color w:val="auto"/>
                <w:spacing w:val="-2"/>
                <w:highlight w:val="none"/>
              </w:rPr>
              <w:t>（5）安全生产管理体系及保证措施</w:t>
            </w:r>
            <w:r>
              <w:rPr>
                <w:rFonts w:hint="eastAsia" w:ascii="宋体" w:hAnsi="宋体" w:cs="宋体"/>
                <w:b/>
                <w:bCs/>
                <w:color w:val="auto"/>
                <w:highlight w:val="none"/>
              </w:rPr>
              <w:t>（</w:t>
            </w:r>
            <w:r>
              <w:rPr>
                <w:rFonts w:hint="eastAsia" w:ascii="宋体" w:hAnsi="宋体" w:cs="宋体"/>
                <w:b/>
                <w:bCs/>
                <w:color w:val="auto"/>
                <w:spacing w:val="-18"/>
                <w:highlight w:val="none"/>
              </w:rPr>
              <w:t>满分</w:t>
            </w:r>
            <w:r>
              <w:rPr>
                <w:rFonts w:hint="eastAsia" w:ascii="宋体" w:hAnsi="宋体" w:cs="宋体"/>
                <w:b/>
                <w:bCs/>
                <w:color w:val="auto"/>
                <w:highlight w:val="none"/>
              </w:rPr>
              <w:t>8</w:t>
            </w:r>
            <w:r>
              <w:rPr>
                <w:rFonts w:hint="eastAsia" w:ascii="宋体" w:hAnsi="宋体" w:cs="宋体"/>
                <w:b/>
                <w:bCs/>
                <w:color w:val="auto"/>
                <w:spacing w:val="-27"/>
                <w:highlight w:val="none"/>
              </w:rPr>
              <w:t>分</w:t>
            </w:r>
            <w:r>
              <w:rPr>
                <w:rFonts w:hint="eastAsia" w:ascii="宋体" w:hAnsi="宋体" w:cs="宋体"/>
                <w:b/>
                <w:bCs/>
                <w:color w:val="auto"/>
                <w:highlight w:val="none"/>
              </w:rPr>
              <w:t>）</w:t>
            </w:r>
          </w:p>
          <w:p w14:paraId="2E8F43F8">
            <w:pPr>
              <w:pStyle w:val="411"/>
              <w:spacing w:line="360" w:lineRule="auto"/>
              <w:rPr>
                <w:rFonts w:hint="eastAsia" w:ascii="宋体" w:hAnsi="宋体" w:cs="宋体"/>
                <w:color w:val="auto"/>
                <w:highlight w:val="none"/>
              </w:rPr>
            </w:pPr>
            <w:r>
              <w:rPr>
                <w:rFonts w:hint="eastAsia" w:ascii="宋体" w:hAnsi="宋体" w:cs="宋体"/>
                <w:color w:val="auto"/>
                <w:highlight w:val="none"/>
              </w:rPr>
              <w:t xml:space="preserve">一档（8分）：有专门的安全管理人员和制度，且人员配备合理，制度健全，各道工序安全技术措施针对性强，符合实际且满足有关安全技术标准要求；现场防火、应急救援、社会治安安全措施得力。 </w:t>
            </w:r>
          </w:p>
          <w:p w14:paraId="61521CD9">
            <w:pPr>
              <w:pStyle w:val="411"/>
              <w:spacing w:line="360" w:lineRule="auto"/>
              <w:rPr>
                <w:rFonts w:hint="eastAsia" w:ascii="宋体" w:hAnsi="宋体" w:cs="宋体"/>
                <w:color w:val="auto"/>
                <w:highlight w:val="none"/>
              </w:rPr>
            </w:pPr>
            <w:r>
              <w:rPr>
                <w:rFonts w:hint="eastAsia" w:ascii="宋体" w:hAnsi="宋体" w:cs="宋体"/>
                <w:color w:val="auto"/>
                <w:highlight w:val="none"/>
              </w:rPr>
              <w:t>二档（</w:t>
            </w:r>
            <w:r>
              <w:rPr>
                <w:rFonts w:hint="eastAsia" w:ascii="宋体" w:hAnsi="宋体" w:cs="宋体"/>
                <w:color w:val="auto"/>
                <w:highlight w:val="none"/>
                <w:lang w:val="en-US" w:eastAsia="zh-CN"/>
              </w:rPr>
              <w:t>6</w:t>
            </w:r>
            <w:r>
              <w:rPr>
                <w:rFonts w:hint="eastAsia" w:ascii="宋体" w:hAnsi="宋体" w:cs="宋体"/>
                <w:color w:val="auto"/>
                <w:highlight w:val="none"/>
              </w:rPr>
              <w:t>分）：有专门的安全管理人员和制度，且人员配备基本合理，制度基本健全，各道工序安全技术措施有针对性，符合实际且基本满足有关安全技术标准要求；现场防火、应急救援、社会治安安全措施基本可行。</w:t>
            </w:r>
          </w:p>
          <w:p w14:paraId="3C32DCC3">
            <w:pPr>
              <w:pStyle w:val="411"/>
              <w:spacing w:line="360" w:lineRule="auto"/>
              <w:rPr>
                <w:color w:val="auto"/>
                <w:highlight w:val="none"/>
              </w:rPr>
            </w:pPr>
            <w:r>
              <w:rPr>
                <w:rFonts w:hint="eastAsia" w:ascii="宋体" w:hAnsi="宋体" w:cs="宋体"/>
                <w:color w:val="auto"/>
                <w:highlight w:val="none"/>
              </w:rPr>
              <w:t>三档（</w:t>
            </w:r>
            <w:r>
              <w:rPr>
                <w:rFonts w:hint="eastAsia" w:ascii="宋体" w:hAnsi="宋体" w:cs="宋体"/>
                <w:color w:val="auto"/>
                <w:highlight w:val="none"/>
                <w:lang w:val="en-US" w:eastAsia="zh-CN"/>
              </w:rPr>
              <w:t>4</w:t>
            </w:r>
            <w:r>
              <w:rPr>
                <w:rFonts w:hint="eastAsia" w:ascii="宋体" w:hAnsi="宋体" w:cs="宋体"/>
                <w:color w:val="auto"/>
                <w:highlight w:val="none"/>
              </w:rPr>
              <w:t>分）：无专门的安全管理人员或制度，或人员配备不合理，制度不健全，或各道工序安全技术措施无针对性，不符合实际不满足有关安全技术标准要求；或现场防火、应急救援、社会治安安全措施不可行。</w:t>
            </w:r>
          </w:p>
        </w:tc>
        <w:tc>
          <w:tcPr>
            <w:tcW w:w="829" w:type="dxa"/>
            <w:tcBorders>
              <w:top w:val="single" w:color="auto" w:sz="4" w:space="0"/>
              <w:left w:val="single" w:color="auto" w:sz="4" w:space="0"/>
              <w:bottom w:val="single" w:color="auto" w:sz="4" w:space="0"/>
              <w:right w:val="single" w:color="auto" w:sz="4" w:space="0"/>
            </w:tcBorders>
            <w:vAlign w:val="center"/>
          </w:tcPr>
          <w:p w14:paraId="4B276DC3">
            <w:pPr>
              <w:spacing w:line="360" w:lineRule="auto"/>
              <w:jc w:val="center"/>
              <w:rPr>
                <w:rFonts w:hint="eastAsia" w:ascii="宋体" w:hAnsi="宋体" w:cs="Tahoma"/>
                <w:color w:val="auto"/>
                <w:szCs w:val="21"/>
                <w:highlight w:val="none"/>
              </w:rPr>
            </w:pPr>
            <w:r>
              <w:rPr>
                <w:rFonts w:hint="eastAsia" w:ascii="宋体" w:hAnsi="宋体" w:cs="Tahoma"/>
                <w:color w:val="auto"/>
                <w:szCs w:val="21"/>
                <w:highlight w:val="none"/>
              </w:rPr>
              <w:t>8分</w:t>
            </w:r>
          </w:p>
        </w:tc>
      </w:tr>
      <w:tr w14:paraId="21AB2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614" w:type="dxa"/>
            <w:vMerge w:val="continue"/>
            <w:tcBorders>
              <w:top w:val="single" w:color="auto" w:sz="4" w:space="0"/>
              <w:left w:val="single" w:color="auto" w:sz="4" w:space="0"/>
              <w:bottom w:val="single" w:color="auto" w:sz="4" w:space="0"/>
              <w:right w:val="single" w:color="auto" w:sz="4" w:space="0"/>
            </w:tcBorders>
            <w:vAlign w:val="center"/>
          </w:tcPr>
          <w:p w14:paraId="7841D487">
            <w:pPr>
              <w:spacing w:line="360" w:lineRule="auto"/>
              <w:ind w:left="-105" w:right="-105"/>
              <w:jc w:val="center"/>
              <w:rPr>
                <w:rFonts w:hint="eastAsia" w:ascii="宋体" w:hAnsi="宋体"/>
                <w:bCs/>
                <w:color w:val="auto"/>
                <w:szCs w:val="21"/>
                <w:highlight w:val="none"/>
              </w:rPr>
            </w:pPr>
          </w:p>
        </w:tc>
        <w:tc>
          <w:tcPr>
            <w:tcW w:w="993" w:type="dxa"/>
            <w:vMerge w:val="continue"/>
            <w:tcBorders>
              <w:top w:val="single" w:color="auto" w:sz="4" w:space="0"/>
              <w:left w:val="single" w:color="auto" w:sz="4" w:space="0"/>
              <w:bottom w:val="single" w:color="auto" w:sz="4" w:space="0"/>
              <w:right w:val="single" w:color="auto" w:sz="4" w:space="0"/>
            </w:tcBorders>
            <w:vAlign w:val="center"/>
          </w:tcPr>
          <w:p w14:paraId="4574F5DD">
            <w:pPr>
              <w:spacing w:line="360" w:lineRule="auto"/>
              <w:jc w:val="center"/>
              <w:rPr>
                <w:rFonts w:hint="eastAsia" w:ascii="宋体" w:hAnsi="宋体"/>
                <w:bCs/>
                <w:color w:val="auto"/>
                <w:szCs w:val="21"/>
                <w:highlight w:val="none"/>
              </w:rPr>
            </w:pPr>
          </w:p>
        </w:tc>
        <w:tc>
          <w:tcPr>
            <w:tcW w:w="6654" w:type="dxa"/>
            <w:tcBorders>
              <w:top w:val="single" w:color="auto" w:sz="4" w:space="0"/>
              <w:left w:val="single" w:color="auto" w:sz="4" w:space="0"/>
              <w:bottom w:val="single" w:color="auto" w:sz="4" w:space="0"/>
              <w:right w:val="single" w:color="auto" w:sz="4" w:space="0"/>
            </w:tcBorders>
            <w:vAlign w:val="center"/>
          </w:tcPr>
          <w:p w14:paraId="12A4D455">
            <w:pPr>
              <w:pStyle w:val="411"/>
              <w:spacing w:line="360" w:lineRule="auto"/>
              <w:ind w:firstLine="414"/>
              <w:rPr>
                <w:rFonts w:hint="eastAsia" w:ascii="宋体" w:hAnsi="宋体" w:cs="宋体"/>
                <w:b/>
                <w:bCs/>
                <w:color w:val="auto"/>
                <w:highlight w:val="none"/>
              </w:rPr>
            </w:pPr>
            <w:r>
              <w:rPr>
                <w:rFonts w:hint="eastAsia" w:ascii="宋体" w:hAnsi="宋体" w:cs="宋体"/>
                <w:b/>
                <w:bCs/>
                <w:color w:val="auto"/>
                <w:spacing w:val="-2"/>
                <w:highlight w:val="none"/>
              </w:rPr>
              <w:t>（6）确保工期的技术组织措施</w:t>
            </w:r>
            <w:r>
              <w:rPr>
                <w:rFonts w:hint="eastAsia" w:ascii="宋体" w:hAnsi="宋体" w:cs="宋体"/>
                <w:b/>
                <w:bCs/>
                <w:color w:val="auto"/>
                <w:highlight w:val="none"/>
              </w:rPr>
              <w:t>（</w:t>
            </w:r>
            <w:r>
              <w:rPr>
                <w:rFonts w:hint="eastAsia" w:ascii="宋体" w:hAnsi="宋体" w:cs="宋体"/>
                <w:b/>
                <w:bCs/>
                <w:color w:val="auto"/>
                <w:spacing w:val="-18"/>
                <w:highlight w:val="none"/>
              </w:rPr>
              <w:t>满分</w:t>
            </w:r>
            <w:r>
              <w:rPr>
                <w:rFonts w:hint="eastAsia" w:ascii="宋体" w:hAnsi="宋体" w:cs="宋体"/>
                <w:b/>
                <w:bCs/>
                <w:color w:val="auto"/>
                <w:highlight w:val="none"/>
              </w:rPr>
              <w:t>8</w:t>
            </w:r>
            <w:r>
              <w:rPr>
                <w:rFonts w:hint="eastAsia" w:ascii="宋体" w:hAnsi="宋体" w:cs="宋体"/>
                <w:b/>
                <w:bCs/>
                <w:color w:val="auto"/>
                <w:spacing w:val="-27"/>
                <w:highlight w:val="none"/>
              </w:rPr>
              <w:t>分</w:t>
            </w:r>
            <w:r>
              <w:rPr>
                <w:rFonts w:hint="eastAsia" w:ascii="宋体" w:hAnsi="宋体" w:cs="宋体"/>
                <w:b/>
                <w:bCs/>
                <w:color w:val="auto"/>
                <w:highlight w:val="none"/>
              </w:rPr>
              <w:t>）</w:t>
            </w:r>
          </w:p>
          <w:p w14:paraId="47CE21D8">
            <w:pPr>
              <w:pStyle w:val="411"/>
              <w:spacing w:line="360" w:lineRule="auto"/>
              <w:rPr>
                <w:rFonts w:hint="eastAsia" w:ascii="宋体" w:hAnsi="宋体" w:cs="宋体"/>
                <w:color w:val="auto"/>
                <w:highlight w:val="none"/>
              </w:rPr>
            </w:pPr>
            <w:bookmarkStart w:id="101" w:name="_bookmark6"/>
            <w:bookmarkEnd w:id="101"/>
            <w:r>
              <w:rPr>
                <w:rFonts w:hint="eastAsia" w:ascii="宋体" w:hAnsi="宋体" w:cs="宋体"/>
                <w:color w:val="auto"/>
                <w:highlight w:val="none"/>
              </w:rPr>
              <w:t>一档（8分）：在施工工艺、施工方法、材料选用、劳动力安排、技术等方面有保证工期的具体措施且措施得当；有控制工期的施工进度计划；有施工总进度表或施工网络图，各项计划图表编制完善，安排科学合理，符合本项目施工实际要求。</w:t>
            </w:r>
          </w:p>
          <w:p w14:paraId="5D157EFF">
            <w:pPr>
              <w:pStyle w:val="411"/>
              <w:spacing w:line="360" w:lineRule="auto"/>
              <w:rPr>
                <w:rFonts w:hint="eastAsia" w:ascii="宋体" w:hAnsi="宋体" w:cs="宋体"/>
                <w:color w:val="auto"/>
                <w:highlight w:val="none"/>
              </w:rPr>
            </w:pPr>
            <w:r>
              <w:rPr>
                <w:rFonts w:hint="eastAsia" w:ascii="宋体" w:hAnsi="宋体" w:cs="宋体"/>
                <w:color w:val="auto"/>
                <w:highlight w:val="none"/>
              </w:rPr>
              <w:t>二档（</w:t>
            </w:r>
            <w:r>
              <w:rPr>
                <w:rFonts w:hint="eastAsia" w:ascii="宋体" w:hAnsi="宋体" w:cs="宋体"/>
                <w:color w:val="auto"/>
                <w:highlight w:val="none"/>
                <w:lang w:val="en-US" w:eastAsia="zh-CN"/>
              </w:rPr>
              <w:t>6</w:t>
            </w:r>
            <w:r>
              <w:rPr>
                <w:rFonts w:hint="eastAsia" w:ascii="宋体" w:hAnsi="宋体" w:cs="宋体"/>
                <w:color w:val="auto"/>
                <w:highlight w:val="none"/>
              </w:rPr>
              <w:t>分）：在施工工艺、施工方法、材料选用、劳动力安排、技术等方面有保证工期的具体措施且措施基本得当；有控制工期的施工进度计划；有施工总进度表或施工网络图，各项计划图表编制较完善，安排基本科学合理，基本符合本项目施工实际要求。</w:t>
            </w:r>
          </w:p>
          <w:p w14:paraId="165BDD05">
            <w:pPr>
              <w:pStyle w:val="411"/>
              <w:spacing w:line="360" w:lineRule="auto"/>
              <w:rPr>
                <w:color w:val="auto"/>
                <w:highlight w:val="none"/>
              </w:rPr>
            </w:pPr>
            <w:r>
              <w:rPr>
                <w:rFonts w:hint="eastAsia" w:ascii="宋体" w:hAnsi="宋体" w:cs="宋体"/>
                <w:color w:val="auto"/>
                <w:highlight w:val="none"/>
              </w:rPr>
              <w:t>三档（</w:t>
            </w:r>
            <w:r>
              <w:rPr>
                <w:rFonts w:hint="eastAsia" w:ascii="宋体" w:hAnsi="宋体" w:cs="宋体"/>
                <w:color w:val="auto"/>
                <w:highlight w:val="none"/>
                <w:lang w:val="en-US" w:eastAsia="zh-CN"/>
              </w:rPr>
              <w:t>4</w:t>
            </w:r>
            <w:r>
              <w:rPr>
                <w:rFonts w:hint="eastAsia" w:ascii="宋体" w:hAnsi="宋体" w:cs="宋体"/>
                <w:color w:val="auto"/>
                <w:highlight w:val="none"/>
              </w:rPr>
              <w:t>分）：无保证工期的具体措施或措施不得当；或者无控制工期的施工进度计划；或者无施工总进度表或施工网络图；或各项计划图表编制不完善，安排不合理， 不符合本项目施工实际要求。</w:t>
            </w:r>
          </w:p>
        </w:tc>
        <w:tc>
          <w:tcPr>
            <w:tcW w:w="829" w:type="dxa"/>
            <w:tcBorders>
              <w:top w:val="single" w:color="auto" w:sz="4" w:space="0"/>
              <w:left w:val="single" w:color="auto" w:sz="4" w:space="0"/>
              <w:bottom w:val="single" w:color="auto" w:sz="4" w:space="0"/>
              <w:right w:val="single" w:color="auto" w:sz="4" w:space="0"/>
            </w:tcBorders>
            <w:vAlign w:val="center"/>
          </w:tcPr>
          <w:p w14:paraId="7DE1FAB3">
            <w:pPr>
              <w:spacing w:line="360" w:lineRule="auto"/>
              <w:jc w:val="center"/>
              <w:rPr>
                <w:rFonts w:hint="eastAsia" w:ascii="宋体" w:hAnsi="宋体" w:cs="Tahoma"/>
                <w:color w:val="auto"/>
                <w:szCs w:val="21"/>
                <w:highlight w:val="none"/>
              </w:rPr>
            </w:pPr>
            <w:r>
              <w:rPr>
                <w:rFonts w:hint="eastAsia" w:ascii="宋体" w:hAnsi="宋体" w:cs="Tahoma"/>
                <w:color w:val="auto"/>
                <w:szCs w:val="21"/>
                <w:highlight w:val="none"/>
              </w:rPr>
              <w:t>8分</w:t>
            </w:r>
          </w:p>
        </w:tc>
      </w:tr>
      <w:tr w14:paraId="5A48F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614" w:type="dxa"/>
            <w:vMerge w:val="continue"/>
            <w:tcBorders>
              <w:top w:val="single" w:color="auto" w:sz="4" w:space="0"/>
              <w:left w:val="single" w:color="auto" w:sz="4" w:space="0"/>
              <w:bottom w:val="single" w:color="auto" w:sz="4" w:space="0"/>
              <w:right w:val="single" w:color="auto" w:sz="4" w:space="0"/>
            </w:tcBorders>
            <w:vAlign w:val="center"/>
          </w:tcPr>
          <w:p w14:paraId="1CE64472">
            <w:pPr>
              <w:spacing w:line="360" w:lineRule="auto"/>
              <w:ind w:left="-105" w:right="-105"/>
              <w:jc w:val="center"/>
              <w:rPr>
                <w:rFonts w:hint="eastAsia" w:ascii="宋体" w:hAnsi="宋体"/>
                <w:bCs/>
                <w:color w:val="auto"/>
                <w:szCs w:val="21"/>
                <w:highlight w:val="none"/>
              </w:rPr>
            </w:pPr>
          </w:p>
        </w:tc>
        <w:tc>
          <w:tcPr>
            <w:tcW w:w="993" w:type="dxa"/>
            <w:vMerge w:val="continue"/>
            <w:tcBorders>
              <w:top w:val="single" w:color="auto" w:sz="4" w:space="0"/>
              <w:left w:val="single" w:color="auto" w:sz="4" w:space="0"/>
              <w:bottom w:val="single" w:color="auto" w:sz="4" w:space="0"/>
              <w:right w:val="single" w:color="auto" w:sz="4" w:space="0"/>
            </w:tcBorders>
            <w:vAlign w:val="center"/>
          </w:tcPr>
          <w:p w14:paraId="43AC69DB">
            <w:pPr>
              <w:spacing w:line="360" w:lineRule="auto"/>
              <w:jc w:val="center"/>
              <w:rPr>
                <w:rFonts w:hint="eastAsia" w:ascii="宋体" w:hAnsi="宋体"/>
                <w:bCs/>
                <w:color w:val="auto"/>
                <w:szCs w:val="21"/>
                <w:highlight w:val="none"/>
              </w:rPr>
            </w:pPr>
          </w:p>
        </w:tc>
        <w:tc>
          <w:tcPr>
            <w:tcW w:w="6654" w:type="dxa"/>
            <w:tcBorders>
              <w:top w:val="single" w:color="auto" w:sz="4" w:space="0"/>
              <w:left w:val="single" w:color="auto" w:sz="4" w:space="0"/>
              <w:bottom w:val="single" w:color="auto" w:sz="4" w:space="0"/>
              <w:right w:val="single" w:color="auto" w:sz="4" w:space="0"/>
            </w:tcBorders>
            <w:vAlign w:val="center"/>
          </w:tcPr>
          <w:p w14:paraId="0B9E2C45">
            <w:pPr>
              <w:pStyle w:val="411"/>
              <w:spacing w:line="360" w:lineRule="auto"/>
              <w:ind w:firstLine="414"/>
              <w:rPr>
                <w:rFonts w:hint="eastAsia" w:ascii="宋体" w:hAnsi="宋体" w:cs="宋体"/>
                <w:b/>
                <w:bCs/>
                <w:color w:val="auto"/>
                <w:highlight w:val="none"/>
              </w:rPr>
            </w:pPr>
            <w:r>
              <w:rPr>
                <w:rFonts w:hint="eastAsia" w:ascii="宋体" w:hAnsi="宋体" w:cs="宋体"/>
                <w:b/>
                <w:bCs/>
                <w:color w:val="auto"/>
                <w:spacing w:val="-2"/>
                <w:highlight w:val="none"/>
              </w:rPr>
              <w:t>（7）文明施工、文物保护保证体系及保证措施</w:t>
            </w:r>
            <w:r>
              <w:rPr>
                <w:rFonts w:hint="eastAsia" w:ascii="宋体" w:hAnsi="宋体" w:cs="宋体"/>
                <w:b/>
                <w:bCs/>
                <w:color w:val="auto"/>
                <w:highlight w:val="none"/>
              </w:rPr>
              <w:t>（</w:t>
            </w:r>
            <w:r>
              <w:rPr>
                <w:rFonts w:hint="eastAsia" w:ascii="宋体" w:hAnsi="宋体" w:cs="宋体"/>
                <w:b/>
                <w:bCs/>
                <w:color w:val="auto"/>
                <w:spacing w:val="-18"/>
                <w:highlight w:val="none"/>
              </w:rPr>
              <w:t xml:space="preserve">满分 </w:t>
            </w:r>
            <w:r>
              <w:rPr>
                <w:rFonts w:hint="eastAsia" w:ascii="宋体" w:hAnsi="宋体" w:cs="宋体"/>
                <w:b/>
                <w:bCs/>
                <w:color w:val="auto"/>
                <w:highlight w:val="none"/>
                <w:lang w:val="en-US" w:eastAsia="zh-CN"/>
              </w:rPr>
              <w:t>8</w:t>
            </w:r>
            <w:r>
              <w:rPr>
                <w:rFonts w:hint="eastAsia" w:ascii="宋体" w:hAnsi="宋体" w:cs="宋体"/>
                <w:b/>
                <w:bCs/>
                <w:color w:val="auto"/>
                <w:spacing w:val="-29"/>
                <w:highlight w:val="none"/>
              </w:rPr>
              <w:t>分</w:t>
            </w:r>
            <w:r>
              <w:rPr>
                <w:rFonts w:hint="eastAsia" w:ascii="宋体" w:hAnsi="宋体" w:cs="宋体"/>
                <w:b/>
                <w:bCs/>
                <w:color w:val="auto"/>
                <w:highlight w:val="none"/>
              </w:rPr>
              <w:t>）</w:t>
            </w:r>
          </w:p>
          <w:p w14:paraId="5B43C463">
            <w:pPr>
              <w:spacing w:line="360" w:lineRule="auto"/>
              <w:ind w:firstLine="420"/>
              <w:rPr>
                <w:rFonts w:hint="eastAsia" w:ascii="宋体" w:hAnsi="宋体" w:cs="宋体"/>
                <w:color w:val="auto"/>
                <w:highlight w:val="none"/>
              </w:rPr>
            </w:pPr>
            <w:bookmarkStart w:id="102" w:name="_Hlk102813412"/>
            <w:bookmarkEnd w:id="102"/>
            <w:r>
              <w:rPr>
                <w:rFonts w:hint="eastAsia" w:ascii="宋体" w:hAnsi="宋体" w:cs="宋体"/>
                <w:color w:val="auto"/>
                <w:highlight w:val="none"/>
              </w:rPr>
              <w:t>一档（</w:t>
            </w:r>
            <w:r>
              <w:rPr>
                <w:rFonts w:hint="eastAsia" w:ascii="宋体" w:hAnsi="宋体" w:cs="宋体"/>
                <w:color w:val="auto"/>
                <w:highlight w:val="none"/>
                <w:lang w:val="en-US" w:eastAsia="zh-CN"/>
              </w:rPr>
              <w:t>8</w:t>
            </w:r>
            <w:r>
              <w:rPr>
                <w:rFonts w:hint="eastAsia" w:ascii="宋体" w:hAnsi="宋体" w:cs="宋体"/>
                <w:color w:val="auto"/>
                <w:highlight w:val="none"/>
              </w:rPr>
              <w:t>分）：针对本工程项目特点，有现场文明施工、环境保护措施，且各项措施内容周全、具体、有效。</w:t>
            </w:r>
          </w:p>
          <w:p w14:paraId="6F4E6CBE">
            <w:pPr>
              <w:spacing w:line="360" w:lineRule="auto"/>
              <w:ind w:firstLine="420"/>
              <w:rPr>
                <w:rFonts w:hint="eastAsia" w:ascii="宋体" w:hAnsi="宋体" w:cs="宋体"/>
                <w:color w:val="auto"/>
                <w:highlight w:val="none"/>
              </w:rPr>
            </w:pPr>
            <w:r>
              <w:rPr>
                <w:rFonts w:hint="eastAsia" w:ascii="宋体" w:hAnsi="宋体" w:cs="宋体"/>
                <w:color w:val="auto"/>
                <w:highlight w:val="none"/>
              </w:rPr>
              <w:t>二档（</w:t>
            </w:r>
            <w:r>
              <w:rPr>
                <w:rFonts w:hint="eastAsia" w:ascii="宋体" w:hAnsi="宋体" w:cs="宋体"/>
                <w:color w:val="auto"/>
                <w:highlight w:val="none"/>
                <w:lang w:val="en-US" w:eastAsia="zh-CN"/>
              </w:rPr>
              <w:t>6</w:t>
            </w:r>
            <w:r>
              <w:rPr>
                <w:rFonts w:hint="eastAsia" w:ascii="宋体" w:hAnsi="宋体" w:cs="宋体"/>
                <w:color w:val="auto"/>
                <w:highlight w:val="none"/>
              </w:rPr>
              <w:t>分）：有现场文明施工、环境保护措施，且各项措施内容具体、基本可行。</w:t>
            </w:r>
          </w:p>
          <w:p w14:paraId="595F5540">
            <w:pPr>
              <w:spacing w:line="360" w:lineRule="auto"/>
              <w:ind w:firstLine="420"/>
              <w:rPr>
                <w:color w:val="auto"/>
                <w:highlight w:val="none"/>
              </w:rPr>
            </w:pPr>
            <w:r>
              <w:rPr>
                <w:rFonts w:hint="eastAsia" w:ascii="宋体" w:hAnsi="宋体" w:cs="宋体"/>
                <w:color w:val="auto"/>
                <w:highlight w:val="none"/>
              </w:rPr>
              <w:t>三档（</w:t>
            </w:r>
            <w:r>
              <w:rPr>
                <w:rFonts w:hint="eastAsia" w:ascii="宋体" w:hAnsi="宋体" w:cs="宋体"/>
                <w:color w:val="auto"/>
                <w:highlight w:val="none"/>
                <w:lang w:val="en-US" w:eastAsia="zh-CN"/>
              </w:rPr>
              <w:t>4</w:t>
            </w:r>
            <w:r>
              <w:rPr>
                <w:rFonts w:hint="eastAsia" w:ascii="宋体" w:hAnsi="宋体" w:cs="宋体"/>
                <w:color w:val="auto"/>
                <w:highlight w:val="none"/>
              </w:rPr>
              <w:t>分）：无现场文明施工、环境保护措施或措施内容达不到要求；或各项措施不可行。</w:t>
            </w:r>
          </w:p>
        </w:tc>
        <w:tc>
          <w:tcPr>
            <w:tcW w:w="829" w:type="dxa"/>
            <w:tcBorders>
              <w:top w:val="single" w:color="auto" w:sz="4" w:space="0"/>
              <w:left w:val="single" w:color="auto" w:sz="4" w:space="0"/>
              <w:bottom w:val="single" w:color="auto" w:sz="4" w:space="0"/>
              <w:right w:val="single" w:color="auto" w:sz="4" w:space="0"/>
            </w:tcBorders>
            <w:vAlign w:val="center"/>
          </w:tcPr>
          <w:p w14:paraId="6564B0BD">
            <w:pPr>
              <w:spacing w:line="360" w:lineRule="auto"/>
              <w:jc w:val="center"/>
              <w:rPr>
                <w:rFonts w:hint="eastAsia" w:ascii="宋体" w:hAnsi="宋体" w:cs="Tahoma"/>
                <w:color w:val="auto"/>
                <w:szCs w:val="21"/>
                <w:highlight w:val="none"/>
              </w:rPr>
            </w:pPr>
            <w:r>
              <w:rPr>
                <w:rFonts w:hint="eastAsia" w:ascii="宋体" w:hAnsi="宋体" w:cs="Tahoma"/>
                <w:color w:val="auto"/>
                <w:szCs w:val="21"/>
                <w:highlight w:val="none"/>
                <w:lang w:val="en-US" w:eastAsia="zh-CN"/>
              </w:rPr>
              <w:t>8</w:t>
            </w:r>
            <w:r>
              <w:rPr>
                <w:rFonts w:hint="eastAsia" w:ascii="宋体" w:hAnsi="宋体" w:cs="Tahoma"/>
                <w:color w:val="auto"/>
                <w:szCs w:val="21"/>
                <w:highlight w:val="none"/>
              </w:rPr>
              <w:t>分</w:t>
            </w:r>
          </w:p>
        </w:tc>
      </w:tr>
      <w:tr w14:paraId="16135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614" w:type="dxa"/>
            <w:vMerge w:val="continue"/>
            <w:tcBorders>
              <w:top w:val="single" w:color="auto" w:sz="4" w:space="0"/>
              <w:left w:val="single" w:color="auto" w:sz="4" w:space="0"/>
              <w:bottom w:val="single" w:color="auto" w:sz="4" w:space="0"/>
              <w:right w:val="single" w:color="auto" w:sz="4" w:space="0"/>
            </w:tcBorders>
            <w:vAlign w:val="center"/>
          </w:tcPr>
          <w:p w14:paraId="6D4800F7">
            <w:pPr>
              <w:spacing w:line="360" w:lineRule="auto"/>
              <w:ind w:left="-105" w:right="-105"/>
              <w:jc w:val="center"/>
              <w:rPr>
                <w:rFonts w:hint="eastAsia" w:ascii="宋体" w:hAnsi="宋体"/>
                <w:bCs/>
                <w:color w:val="auto"/>
                <w:szCs w:val="21"/>
                <w:highlight w:val="none"/>
              </w:rPr>
            </w:pPr>
          </w:p>
        </w:tc>
        <w:tc>
          <w:tcPr>
            <w:tcW w:w="993" w:type="dxa"/>
            <w:vMerge w:val="continue"/>
            <w:tcBorders>
              <w:top w:val="single" w:color="auto" w:sz="4" w:space="0"/>
              <w:left w:val="single" w:color="auto" w:sz="4" w:space="0"/>
              <w:bottom w:val="single" w:color="auto" w:sz="4" w:space="0"/>
              <w:right w:val="single" w:color="auto" w:sz="4" w:space="0"/>
            </w:tcBorders>
            <w:vAlign w:val="center"/>
          </w:tcPr>
          <w:p w14:paraId="1B99C365">
            <w:pPr>
              <w:spacing w:line="360" w:lineRule="auto"/>
              <w:jc w:val="center"/>
              <w:rPr>
                <w:rFonts w:hint="eastAsia" w:ascii="宋体" w:hAnsi="宋体"/>
                <w:bCs/>
                <w:color w:val="auto"/>
                <w:szCs w:val="21"/>
                <w:highlight w:val="none"/>
              </w:rPr>
            </w:pPr>
          </w:p>
        </w:tc>
        <w:tc>
          <w:tcPr>
            <w:tcW w:w="6654" w:type="dxa"/>
            <w:tcBorders>
              <w:top w:val="single" w:color="auto" w:sz="4" w:space="0"/>
              <w:left w:val="single" w:color="auto" w:sz="4" w:space="0"/>
              <w:bottom w:val="single" w:color="auto" w:sz="4" w:space="0"/>
              <w:right w:val="single" w:color="auto" w:sz="4" w:space="0"/>
            </w:tcBorders>
            <w:vAlign w:val="center"/>
          </w:tcPr>
          <w:p w14:paraId="3DAC3CBE">
            <w:pPr>
              <w:pStyle w:val="411"/>
              <w:spacing w:line="360" w:lineRule="auto"/>
              <w:ind w:firstLine="422"/>
              <w:rPr>
                <w:rFonts w:hint="eastAsia" w:ascii="宋体" w:hAnsi="宋体" w:cs="宋体"/>
                <w:b/>
                <w:bCs/>
                <w:color w:val="auto"/>
                <w:highlight w:val="none"/>
              </w:rPr>
            </w:pPr>
            <w:r>
              <w:rPr>
                <w:rFonts w:hint="eastAsia" w:ascii="宋体" w:hAnsi="宋体" w:cs="宋体"/>
                <w:b/>
                <w:bCs/>
                <w:color w:val="auto"/>
                <w:highlight w:val="none"/>
              </w:rPr>
              <w:t>（8）项目风险预测与防范，事故应急预案</w:t>
            </w:r>
            <w:r>
              <w:rPr>
                <w:rFonts w:hint="eastAsia" w:ascii="宋体" w:hAnsi="宋体" w:cs="宋体"/>
                <w:b/>
                <w:bCs/>
                <w:color w:val="auto"/>
                <w:spacing w:val="-3"/>
                <w:highlight w:val="none"/>
              </w:rPr>
              <w:t>（</w:t>
            </w:r>
            <w:r>
              <w:rPr>
                <w:rFonts w:hint="eastAsia" w:ascii="宋体" w:hAnsi="宋体" w:cs="宋体"/>
                <w:b/>
                <w:bCs/>
                <w:color w:val="auto"/>
                <w:spacing w:val="-18"/>
                <w:highlight w:val="none"/>
              </w:rPr>
              <w:t>满分</w:t>
            </w:r>
            <w:r>
              <w:rPr>
                <w:rFonts w:hint="eastAsia" w:ascii="宋体" w:hAnsi="宋体" w:cs="宋体"/>
                <w:b/>
                <w:bCs/>
                <w:color w:val="auto"/>
                <w:spacing w:val="-18"/>
                <w:highlight w:val="none"/>
                <w:lang w:val="en-US" w:eastAsia="zh-CN"/>
              </w:rPr>
              <w:t>8</w:t>
            </w:r>
            <w:r>
              <w:rPr>
                <w:rFonts w:hint="eastAsia" w:ascii="宋体" w:hAnsi="宋体" w:cs="宋体"/>
                <w:b/>
                <w:bCs/>
                <w:color w:val="auto"/>
                <w:spacing w:val="-27"/>
                <w:highlight w:val="none"/>
              </w:rPr>
              <w:t>分</w:t>
            </w:r>
            <w:r>
              <w:rPr>
                <w:rFonts w:hint="eastAsia" w:ascii="宋体" w:hAnsi="宋体" w:cs="宋体"/>
                <w:b/>
                <w:bCs/>
                <w:color w:val="auto"/>
                <w:highlight w:val="none"/>
              </w:rPr>
              <w:t>）</w:t>
            </w:r>
          </w:p>
          <w:p w14:paraId="02A947E9">
            <w:pPr>
              <w:spacing w:line="360" w:lineRule="auto"/>
              <w:ind w:firstLine="420"/>
              <w:rPr>
                <w:rFonts w:hint="eastAsia" w:ascii="宋体" w:hAnsi="宋体" w:cs="宋体"/>
                <w:color w:val="auto"/>
                <w:highlight w:val="none"/>
              </w:rPr>
            </w:pPr>
            <w:r>
              <w:rPr>
                <w:rFonts w:hint="eastAsia" w:ascii="宋体" w:hAnsi="宋体" w:cs="宋体"/>
                <w:color w:val="auto"/>
                <w:highlight w:val="none"/>
              </w:rPr>
              <w:t>一档（</w:t>
            </w:r>
            <w:r>
              <w:rPr>
                <w:rFonts w:hint="eastAsia" w:ascii="宋体" w:hAnsi="宋体" w:cs="宋体"/>
                <w:color w:val="auto"/>
                <w:highlight w:val="none"/>
                <w:lang w:val="en-US" w:eastAsia="zh-CN"/>
              </w:rPr>
              <w:t>8</w:t>
            </w:r>
            <w:r>
              <w:rPr>
                <w:rFonts w:hint="eastAsia" w:ascii="宋体" w:hAnsi="宋体" w:cs="宋体"/>
                <w:color w:val="auto"/>
                <w:highlight w:val="none"/>
              </w:rPr>
              <w:t>分）：针对本工程项目特点，有风险预测和应急预案及防范风险事故措施，且各项措施周全、具体、有效。</w:t>
            </w:r>
          </w:p>
          <w:p w14:paraId="22BAA777">
            <w:pPr>
              <w:spacing w:line="360" w:lineRule="auto"/>
              <w:ind w:firstLine="420"/>
              <w:rPr>
                <w:rFonts w:hint="eastAsia" w:ascii="宋体" w:hAnsi="宋体" w:cs="宋体"/>
                <w:color w:val="auto"/>
                <w:highlight w:val="none"/>
              </w:rPr>
            </w:pPr>
            <w:r>
              <w:rPr>
                <w:rFonts w:hint="eastAsia" w:ascii="宋体" w:hAnsi="宋体" w:cs="宋体"/>
                <w:color w:val="auto"/>
                <w:highlight w:val="none"/>
              </w:rPr>
              <w:t>二档（</w:t>
            </w:r>
            <w:r>
              <w:rPr>
                <w:rFonts w:hint="eastAsia" w:ascii="宋体" w:hAnsi="宋体" w:cs="宋体"/>
                <w:color w:val="auto"/>
                <w:highlight w:val="none"/>
                <w:lang w:val="en-US" w:eastAsia="zh-CN"/>
              </w:rPr>
              <w:t>6</w:t>
            </w:r>
            <w:r>
              <w:rPr>
                <w:rFonts w:hint="eastAsia" w:ascii="宋体" w:hAnsi="宋体" w:cs="宋体"/>
                <w:color w:val="auto"/>
                <w:highlight w:val="none"/>
              </w:rPr>
              <w:t>分）：针对本工程项目特点，有风险预测和应急预案及防范风险事故措施。</w:t>
            </w:r>
          </w:p>
          <w:p w14:paraId="585D139B">
            <w:pPr>
              <w:spacing w:line="360" w:lineRule="auto"/>
              <w:ind w:firstLine="420"/>
              <w:rPr>
                <w:color w:val="auto"/>
                <w:highlight w:val="none"/>
              </w:rPr>
            </w:pPr>
            <w:r>
              <w:rPr>
                <w:rFonts w:hint="eastAsia" w:ascii="宋体" w:hAnsi="宋体" w:cs="宋体"/>
                <w:color w:val="auto"/>
                <w:highlight w:val="none"/>
              </w:rPr>
              <w:t>三档（</w:t>
            </w:r>
            <w:r>
              <w:rPr>
                <w:rFonts w:hint="eastAsia" w:ascii="宋体" w:hAnsi="宋体" w:cs="宋体"/>
                <w:color w:val="auto"/>
                <w:highlight w:val="none"/>
                <w:lang w:val="en-US" w:eastAsia="zh-CN"/>
              </w:rPr>
              <w:t>4</w:t>
            </w:r>
            <w:r>
              <w:rPr>
                <w:rFonts w:hint="eastAsia" w:ascii="宋体" w:hAnsi="宋体" w:cs="宋体"/>
                <w:color w:val="auto"/>
                <w:highlight w:val="none"/>
              </w:rPr>
              <w:t>分）：针对本工程项目特点，风险预测和应急预案及防范风险事故措施不具体。</w:t>
            </w:r>
          </w:p>
        </w:tc>
        <w:tc>
          <w:tcPr>
            <w:tcW w:w="829" w:type="dxa"/>
            <w:tcBorders>
              <w:top w:val="single" w:color="auto" w:sz="4" w:space="0"/>
              <w:left w:val="single" w:color="auto" w:sz="4" w:space="0"/>
              <w:bottom w:val="single" w:color="auto" w:sz="4" w:space="0"/>
              <w:right w:val="single" w:color="auto" w:sz="4" w:space="0"/>
            </w:tcBorders>
            <w:vAlign w:val="center"/>
          </w:tcPr>
          <w:p w14:paraId="28EBC39E">
            <w:pPr>
              <w:spacing w:line="360" w:lineRule="auto"/>
              <w:jc w:val="center"/>
              <w:rPr>
                <w:rFonts w:hint="eastAsia" w:ascii="宋体" w:hAnsi="宋体" w:cs="Tahoma"/>
                <w:color w:val="auto"/>
                <w:szCs w:val="21"/>
                <w:highlight w:val="none"/>
              </w:rPr>
            </w:pPr>
            <w:r>
              <w:rPr>
                <w:rFonts w:hint="eastAsia" w:ascii="宋体" w:hAnsi="宋体" w:cs="Tahoma"/>
                <w:color w:val="auto"/>
                <w:szCs w:val="21"/>
                <w:highlight w:val="none"/>
                <w:lang w:val="en-US" w:eastAsia="zh-CN"/>
              </w:rPr>
              <w:t>8</w:t>
            </w:r>
            <w:r>
              <w:rPr>
                <w:rFonts w:hint="eastAsia" w:ascii="宋体" w:hAnsi="宋体" w:cs="Tahoma"/>
                <w:color w:val="auto"/>
                <w:szCs w:val="21"/>
                <w:highlight w:val="none"/>
              </w:rPr>
              <w:t>分</w:t>
            </w:r>
          </w:p>
        </w:tc>
      </w:tr>
      <w:tr w14:paraId="2E662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614" w:type="dxa"/>
            <w:tcBorders>
              <w:top w:val="single" w:color="auto" w:sz="4" w:space="0"/>
              <w:left w:val="single" w:color="auto" w:sz="4" w:space="0"/>
              <w:bottom w:val="single" w:color="auto" w:sz="4" w:space="0"/>
              <w:right w:val="single" w:color="auto" w:sz="4" w:space="0"/>
            </w:tcBorders>
            <w:vAlign w:val="center"/>
          </w:tcPr>
          <w:p w14:paraId="0CA55E3D">
            <w:pPr>
              <w:widowControl/>
              <w:spacing w:line="360" w:lineRule="auto"/>
              <w:jc w:val="center"/>
              <w:rPr>
                <w:rFonts w:hint="eastAsia" w:ascii="宋体" w:hAnsi="宋体" w:cs="Tahoma"/>
                <w:color w:val="auto"/>
                <w:szCs w:val="21"/>
                <w:highlight w:val="none"/>
              </w:rPr>
            </w:pPr>
            <w:r>
              <w:rPr>
                <w:rFonts w:hint="eastAsia" w:ascii="宋体" w:hAnsi="宋体" w:cs="Tahoma"/>
                <w:color w:val="auto"/>
                <w:szCs w:val="21"/>
                <w:highlight w:val="none"/>
              </w:rPr>
              <w:t>3</w:t>
            </w:r>
          </w:p>
        </w:tc>
        <w:tc>
          <w:tcPr>
            <w:tcW w:w="993" w:type="dxa"/>
            <w:tcBorders>
              <w:top w:val="single" w:color="auto" w:sz="4" w:space="0"/>
              <w:left w:val="single" w:color="auto" w:sz="4" w:space="0"/>
              <w:bottom w:val="single" w:color="auto" w:sz="4" w:space="0"/>
              <w:right w:val="single" w:color="auto" w:sz="4" w:space="0"/>
            </w:tcBorders>
            <w:vAlign w:val="center"/>
          </w:tcPr>
          <w:p w14:paraId="08342183">
            <w:pPr>
              <w:widowControl/>
              <w:spacing w:line="360" w:lineRule="auto"/>
              <w:jc w:val="center"/>
              <w:rPr>
                <w:rFonts w:hint="eastAsia" w:ascii="宋体" w:hAnsi="宋体" w:cs="Courier New"/>
                <w:bCs/>
                <w:color w:val="auto"/>
                <w:szCs w:val="21"/>
                <w:highlight w:val="none"/>
              </w:rPr>
            </w:pPr>
            <w:r>
              <w:rPr>
                <w:rFonts w:hint="eastAsia" w:ascii="宋体" w:hAnsi="宋体" w:cs="Courier New"/>
                <w:bCs/>
                <w:color w:val="auto"/>
                <w:szCs w:val="21"/>
                <w:highlight w:val="none"/>
              </w:rPr>
              <w:t>商务分</w:t>
            </w:r>
          </w:p>
        </w:tc>
        <w:tc>
          <w:tcPr>
            <w:tcW w:w="7483" w:type="dxa"/>
            <w:gridSpan w:val="2"/>
            <w:tcBorders>
              <w:top w:val="single" w:color="auto" w:sz="4" w:space="0"/>
              <w:left w:val="single" w:color="auto" w:sz="4" w:space="0"/>
              <w:bottom w:val="single" w:color="auto" w:sz="4" w:space="0"/>
              <w:right w:val="single" w:color="auto" w:sz="4" w:space="0"/>
            </w:tcBorders>
            <w:vAlign w:val="center"/>
          </w:tcPr>
          <w:p w14:paraId="1FE49264">
            <w:pPr>
              <w:widowControl/>
              <w:spacing w:line="360" w:lineRule="auto"/>
              <w:jc w:val="center"/>
              <w:rPr>
                <w:rFonts w:hint="eastAsia" w:ascii="宋体" w:hAnsi="宋体" w:cs="Tahoma"/>
                <w:color w:val="auto"/>
                <w:szCs w:val="21"/>
                <w:highlight w:val="none"/>
              </w:rPr>
            </w:pPr>
            <w:r>
              <w:rPr>
                <w:rFonts w:hint="eastAsia" w:ascii="宋体" w:hAnsi="宋体" w:cs="Tahoma"/>
                <w:color w:val="auto"/>
                <w:szCs w:val="21"/>
                <w:highlight w:val="none"/>
              </w:rPr>
              <w:t>评审标准</w:t>
            </w:r>
          </w:p>
        </w:tc>
      </w:tr>
      <w:tr w14:paraId="48039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4" w:hRule="atLeast"/>
          <w:jc w:val="center"/>
        </w:trPr>
        <w:tc>
          <w:tcPr>
            <w:tcW w:w="614" w:type="dxa"/>
            <w:tcBorders>
              <w:top w:val="single" w:color="auto" w:sz="4" w:space="0"/>
              <w:left w:val="single" w:color="auto" w:sz="4" w:space="0"/>
              <w:bottom w:val="single" w:color="auto" w:sz="4" w:space="0"/>
              <w:right w:val="single" w:color="auto" w:sz="4" w:space="0"/>
            </w:tcBorders>
            <w:vAlign w:val="center"/>
          </w:tcPr>
          <w:p w14:paraId="38309F75">
            <w:pPr>
              <w:widowControl/>
              <w:spacing w:line="360" w:lineRule="auto"/>
              <w:jc w:val="center"/>
              <w:rPr>
                <w:rFonts w:hint="eastAsia" w:ascii="宋体" w:hAnsi="宋体" w:cs="Tahoma"/>
                <w:b/>
                <w:bCs/>
                <w:color w:val="auto"/>
                <w:szCs w:val="21"/>
                <w:highlight w:val="none"/>
              </w:rPr>
            </w:pPr>
            <w:r>
              <w:rPr>
                <w:rFonts w:hint="eastAsia" w:ascii="宋体" w:hAnsi="宋体" w:cs="Tahoma"/>
                <w:b/>
                <w:bCs/>
                <w:color w:val="auto"/>
                <w:szCs w:val="21"/>
                <w:highlight w:val="none"/>
              </w:rPr>
              <w:t>3.1</w:t>
            </w:r>
          </w:p>
        </w:tc>
        <w:tc>
          <w:tcPr>
            <w:tcW w:w="993" w:type="dxa"/>
            <w:tcBorders>
              <w:top w:val="single" w:color="auto" w:sz="4" w:space="0"/>
              <w:left w:val="single" w:color="auto" w:sz="4" w:space="0"/>
              <w:bottom w:val="single" w:color="auto" w:sz="4" w:space="0"/>
              <w:right w:val="single" w:color="auto" w:sz="4" w:space="0"/>
            </w:tcBorders>
            <w:vAlign w:val="center"/>
          </w:tcPr>
          <w:p w14:paraId="114C22A6">
            <w:pPr>
              <w:spacing w:line="360" w:lineRule="auto"/>
              <w:jc w:val="center"/>
              <w:rPr>
                <w:rFonts w:hint="eastAsia" w:ascii="宋体" w:hAnsi="宋体" w:cs="Tahoma"/>
                <w:b/>
                <w:bCs/>
                <w:color w:val="auto"/>
                <w:szCs w:val="21"/>
                <w:highlight w:val="none"/>
              </w:rPr>
            </w:pPr>
            <w:r>
              <w:rPr>
                <w:rFonts w:hint="eastAsia" w:ascii="宋体" w:hAnsi="宋体"/>
                <w:b/>
                <w:bCs/>
                <w:color w:val="auto"/>
                <w:szCs w:val="21"/>
                <w:highlight w:val="none"/>
              </w:rPr>
              <w:t>商务分（满分</w:t>
            </w:r>
            <w:r>
              <w:rPr>
                <w:rFonts w:hint="eastAsia" w:ascii="宋体" w:hAnsi="宋体"/>
                <w:b/>
                <w:bCs/>
                <w:color w:val="auto"/>
                <w:szCs w:val="21"/>
                <w:highlight w:val="none"/>
                <w:lang w:val="en-US" w:eastAsia="zh-CN"/>
              </w:rPr>
              <w:t>6</w:t>
            </w:r>
            <w:r>
              <w:rPr>
                <w:rFonts w:hint="eastAsia" w:ascii="宋体" w:hAnsi="宋体"/>
                <w:b/>
                <w:bCs/>
                <w:color w:val="auto"/>
                <w:szCs w:val="21"/>
                <w:highlight w:val="none"/>
              </w:rPr>
              <w:t>分）</w:t>
            </w:r>
          </w:p>
        </w:tc>
        <w:tc>
          <w:tcPr>
            <w:tcW w:w="6654" w:type="dxa"/>
            <w:tcBorders>
              <w:top w:val="single" w:color="auto" w:sz="4" w:space="0"/>
              <w:left w:val="single" w:color="auto" w:sz="4" w:space="0"/>
              <w:bottom w:val="single" w:color="auto" w:sz="4" w:space="0"/>
              <w:right w:val="single" w:color="auto" w:sz="4" w:space="0"/>
            </w:tcBorders>
            <w:vAlign w:val="center"/>
          </w:tcPr>
          <w:p w14:paraId="7357C72F">
            <w:pPr>
              <w:pStyle w:val="190"/>
              <w:rPr>
                <w:rFonts w:hint="eastAsia" w:ascii="宋体" w:hAnsi="宋体" w:cs="宋体"/>
                <w:bCs w:val="0"/>
                <w:color w:val="auto"/>
                <w:sz w:val="21"/>
                <w:szCs w:val="21"/>
                <w:highlight w:val="none"/>
              </w:rPr>
            </w:pPr>
            <w:r>
              <w:rPr>
                <w:rFonts w:hint="eastAsia" w:ascii="宋体" w:hAnsi="宋体" w:cs="宋体"/>
                <w:bCs w:val="0"/>
                <w:color w:val="auto"/>
                <w:sz w:val="21"/>
                <w:szCs w:val="21"/>
                <w:highlight w:val="none"/>
              </w:rPr>
              <w:t>业绩分（满分</w:t>
            </w:r>
            <w:r>
              <w:rPr>
                <w:rFonts w:hint="eastAsia" w:ascii="宋体" w:hAnsi="宋体" w:cs="宋体"/>
                <w:bCs w:val="0"/>
                <w:color w:val="auto"/>
                <w:sz w:val="21"/>
                <w:szCs w:val="21"/>
                <w:highlight w:val="none"/>
                <w:lang w:val="en-US" w:eastAsia="zh-CN"/>
              </w:rPr>
              <w:t>6</w:t>
            </w:r>
            <w:r>
              <w:rPr>
                <w:rFonts w:hint="eastAsia" w:ascii="宋体" w:hAnsi="宋体" w:cs="宋体"/>
                <w:bCs w:val="0"/>
                <w:color w:val="auto"/>
                <w:sz w:val="21"/>
                <w:szCs w:val="21"/>
                <w:highlight w:val="none"/>
              </w:rPr>
              <w:t>分）</w:t>
            </w:r>
          </w:p>
          <w:p w14:paraId="25B83F0E">
            <w:pPr>
              <w:pStyle w:val="190"/>
              <w:rPr>
                <w:rFonts w:hint="eastAsia" w:ascii="宋体" w:hAnsi="宋体" w:cs="Tahoma"/>
                <w:color w:val="auto"/>
                <w:szCs w:val="21"/>
                <w:highlight w:val="none"/>
              </w:rPr>
            </w:pPr>
            <w:r>
              <w:rPr>
                <w:rFonts w:hint="eastAsia" w:ascii="宋体" w:hAnsi="宋体" w:cs="宋体"/>
                <w:b w:val="0"/>
                <w:color w:val="auto"/>
                <w:sz w:val="21"/>
                <w:szCs w:val="21"/>
                <w:highlight w:val="none"/>
              </w:rPr>
              <w:t>供应商从202</w:t>
            </w:r>
            <w:r>
              <w:rPr>
                <w:rFonts w:hint="eastAsia" w:ascii="宋体" w:hAnsi="宋体" w:cs="宋体"/>
                <w:b w:val="0"/>
                <w:color w:val="auto"/>
                <w:sz w:val="21"/>
                <w:szCs w:val="21"/>
                <w:highlight w:val="none"/>
                <w:lang w:val="en-US" w:eastAsia="zh-CN"/>
              </w:rPr>
              <w:t>3</w:t>
            </w:r>
            <w:r>
              <w:rPr>
                <w:rFonts w:hint="eastAsia" w:ascii="宋体" w:hAnsi="宋体" w:cs="宋体"/>
                <w:b w:val="0"/>
                <w:color w:val="auto"/>
                <w:sz w:val="21"/>
                <w:szCs w:val="21"/>
                <w:highlight w:val="none"/>
              </w:rPr>
              <w:t>年1月1日至响应截止时间止承接过公路工程施工项目业绩，每个得</w:t>
            </w:r>
            <w:r>
              <w:rPr>
                <w:rFonts w:hint="eastAsia" w:ascii="宋体" w:hAnsi="宋体" w:cs="宋体"/>
                <w:b w:val="0"/>
                <w:color w:val="auto"/>
                <w:sz w:val="21"/>
                <w:szCs w:val="21"/>
                <w:highlight w:val="none"/>
                <w:lang w:val="en-US" w:eastAsia="zh-CN"/>
              </w:rPr>
              <w:t>2</w:t>
            </w:r>
            <w:r>
              <w:rPr>
                <w:rFonts w:hint="eastAsia" w:ascii="宋体" w:hAnsi="宋体" w:cs="宋体"/>
                <w:b w:val="0"/>
                <w:color w:val="auto"/>
                <w:sz w:val="21"/>
                <w:szCs w:val="21"/>
                <w:highlight w:val="none"/>
              </w:rPr>
              <w:t>分，满分</w:t>
            </w:r>
            <w:r>
              <w:rPr>
                <w:rFonts w:hint="eastAsia" w:ascii="宋体" w:hAnsi="宋体" w:cs="宋体"/>
                <w:b w:val="0"/>
                <w:color w:val="auto"/>
                <w:sz w:val="21"/>
                <w:szCs w:val="21"/>
                <w:highlight w:val="none"/>
                <w:lang w:val="en-US" w:eastAsia="zh-CN"/>
              </w:rPr>
              <w:t>6</w:t>
            </w:r>
            <w:r>
              <w:rPr>
                <w:rFonts w:hint="eastAsia" w:ascii="宋体" w:hAnsi="宋体" w:cs="宋体"/>
                <w:b w:val="0"/>
                <w:color w:val="auto"/>
                <w:sz w:val="21"/>
                <w:szCs w:val="21"/>
                <w:highlight w:val="none"/>
              </w:rPr>
              <w:t>分。【需在响应文件中提供中标（成交）通知书复印件或合同复印件】。</w:t>
            </w:r>
          </w:p>
        </w:tc>
        <w:tc>
          <w:tcPr>
            <w:tcW w:w="829" w:type="dxa"/>
            <w:tcBorders>
              <w:top w:val="single" w:color="auto" w:sz="4" w:space="0"/>
              <w:left w:val="single" w:color="auto" w:sz="4" w:space="0"/>
              <w:bottom w:val="single" w:color="auto" w:sz="4" w:space="0"/>
              <w:right w:val="single" w:color="auto" w:sz="4" w:space="0"/>
            </w:tcBorders>
            <w:vAlign w:val="center"/>
          </w:tcPr>
          <w:p w14:paraId="14F095FB">
            <w:pPr>
              <w:widowControl/>
              <w:spacing w:line="360" w:lineRule="auto"/>
              <w:jc w:val="center"/>
              <w:rPr>
                <w:rFonts w:hint="eastAsia" w:ascii="宋体" w:hAnsi="宋体" w:cs="Tahoma"/>
                <w:color w:val="auto"/>
                <w:szCs w:val="21"/>
                <w:highlight w:val="none"/>
              </w:rPr>
            </w:pPr>
            <w:r>
              <w:rPr>
                <w:rFonts w:hint="eastAsia" w:ascii="宋体" w:hAnsi="宋体" w:cs="Tahoma"/>
                <w:color w:val="auto"/>
                <w:szCs w:val="21"/>
                <w:highlight w:val="none"/>
                <w:lang w:val="en-US" w:eastAsia="zh-CN"/>
              </w:rPr>
              <w:t>6</w:t>
            </w:r>
            <w:r>
              <w:rPr>
                <w:rFonts w:hint="eastAsia" w:ascii="宋体" w:hAnsi="宋体" w:cs="Tahoma"/>
                <w:color w:val="auto"/>
                <w:szCs w:val="21"/>
                <w:highlight w:val="none"/>
              </w:rPr>
              <w:t>分</w:t>
            </w:r>
          </w:p>
        </w:tc>
      </w:tr>
      <w:tr w14:paraId="0C235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261" w:type="dxa"/>
            <w:gridSpan w:val="3"/>
            <w:tcBorders>
              <w:top w:val="single" w:color="auto" w:sz="4" w:space="0"/>
              <w:left w:val="single" w:color="auto" w:sz="4" w:space="0"/>
              <w:bottom w:val="single" w:color="auto" w:sz="4" w:space="0"/>
              <w:right w:val="single" w:color="auto" w:sz="4" w:space="0"/>
            </w:tcBorders>
            <w:vAlign w:val="center"/>
          </w:tcPr>
          <w:p w14:paraId="5D366B66">
            <w:pPr>
              <w:pStyle w:val="226"/>
              <w:spacing w:line="360" w:lineRule="auto"/>
              <w:ind w:firstLine="422"/>
              <w:jc w:val="center"/>
              <w:rPr>
                <w:rFonts w:hint="eastAsia" w:hAnsi="宋体" w:cs="Courier New"/>
                <w:bCs/>
                <w:color w:val="auto"/>
                <w:sz w:val="21"/>
                <w:highlight w:val="none"/>
              </w:rPr>
            </w:pPr>
            <w:r>
              <w:rPr>
                <w:rFonts w:hint="eastAsia" w:hAnsi="宋体" w:cs="Courier New"/>
                <w:b/>
                <w:color w:val="auto"/>
                <w:sz w:val="21"/>
                <w:highlight w:val="none"/>
              </w:rPr>
              <w:t>总得分为以上各项评审因素合计</w:t>
            </w:r>
          </w:p>
        </w:tc>
        <w:tc>
          <w:tcPr>
            <w:tcW w:w="829" w:type="dxa"/>
            <w:tcBorders>
              <w:top w:val="single" w:color="auto" w:sz="4" w:space="0"/>
              <w:left w:val="single" w:color="auto" w:sz="4" w:space="0"/>
              <w:bottom w:val="single" w:color="auto" w:sz="4" w:space="0"/>
              <w:right w:val="single" w:color="auto" w:sz="4" w:space="0"/>
            </w:tcBorders>
            <w:vAlign w:val="center"/>
          </w:tcPr>
          <w:p w14:paraId="4C4F7F62">
            <w:pPr>
              <w:widowControl/>
              <w:spacing w:line="360" w:lineRule="auto"/>
              <w:jc w:val="center"/>
              <w:rPr>
                <w:rFonts w:hint="eastAsia" w:ascii="宋体" w:hAnsi="宋体" w:cs="Tahoma"/>
                <w:color w:val="auto"/>
                <w:szCs w:val="21"/>
                <w:highlight w:val="none"/>
              </w:rPr>
            </w:pPr>
            <w:r>
              <w:rPr>
                <w:rFonts w:hint="eastAsia" w:ascii="宋体" w:hAnsi="宋体" w:cs="Tahoma"/>
                <w:color w:val="auto"/>
                <w:szCs w:val="21"/>
                <w:highlight w:val="none"/>
              </w:rPr>
              <w:t>100分</w:t>
            </w:r>
          </w:p>
        </w:tc>
      </w:tr>
    </w:tbl>
    <w:p w14:paraId="76BB7B08">
      <w:pPr>
        <w:spacing w:line="400" w:lineRule="exact"/>
        <w:rPr>
          <w:rFonts w:hint="eastAsia" w:ascii="宋体" w:hAnsi="宋体" w:cs="宋体"/>
          <w:color w:val="auto"/>
          <w:highlight w:val="none"/>
        </w:rPr>
      </w:pPr>
    </w:p>
    <w:p w14:paraId="52FD0ECD">
      <w:pPr>
        <w:pStyle w:val="187"/>
        <w:jc w:val="center"/>
        <w:rPr>
          <w:rFonts w:hint="eastAsia" w:ascii="宋体" w:hAnsi="宋体" w:cs="宋体"/>
          <w:color w:val="auto"/>
          <w:highlight w:val="none"/>
        </w:rPr>
      </w:pPr>
      <w:r>
        <w:rPr>
          <w:rFonts w:hint="eastAsia" w:ascii="宋体" w:hAnsi="宋体" w:cs="宋体"/>
          <w:color w:val="auto"/>
          <w:highlight w:val="none"/>
        </w:rPr>
        <w:br w:type="page" w:clear="all"/>
      </w:r>
    </w:p>
    <w:p w14:paraId="6E5AA3E6">
      <w:pPr>
        <w:pStyle w:val="187"/>
        <w:jc w:val="center"/>
        <w:rPr>
          <w:rFonts w:hint="eastAsia" w:ascii="宋体" w:hAnsi="宋体" w:cs="宋体"/>
          <w:color w:val="auto"/>
          <w:highlight w:val="none"/>
        </w:rPr>
      </w:pPr>
    </w:p>
    <w:p w14:paraId="0BDB3807">
      <w:pPr>
        <w:pStyle w:val="187"/>
        <w:jc w:val="center"/>
        <w:rPr>
          <w:rFonts w:hint="eastAsia" w:ascii="宋体" w:hAnsi="宋体" w:cs="宋体"/>
          <w:color w:val="auto"/>
          <w:highlight w:val="none"/>
        </w:rPr>
      </w:pPr>
    </w:p>
    <w:p w14:paraId="527D82BE">
      <w:pPr>
        <w:rPr>
          <w:rFonts w:hint="eastAsia" w:ascii="宋体" w:hAnsi="宋体" w:cs="宋体"/>
          <w:color w:val="auto"/>
          <w:highlight w:val="none"/>
        </w:rPr>
      </w:pPr>
    </w:p>
    <w:p w14:paraId="11FB548F">
      <w:pPr>
        <w:pStyle w:val="187"/>
        <w:jc w:val="center"/>
        <w:rPr>
          <w:rFonts w:hint="eastAsia" w:ascii="宋体" w:hAnsi="宋体" w:cs="宋体"/>
          <w:color w:val="auto"/>
          <w:highlight w:val="none"/>
        </w:rPr>
      </w:pPr>
      <w:bookmarkStart w:id="103" w:name="_Toc122424248"/>
      <w:r>
        <w:rPr>
          <w:rFonts w:hint="eastAsia" w:ascii="宋体" w:hAnsi="宋体" w:cs="宋体"/>
          <w:color w:val="auto"/>
          <w:highlight w:val="none"/>
        </w:rPr>
        <w:t>第五章 工程量清单及图纸</w:t>
      </w:r>
      <w:bookmarkEnd w:id="103"/>
    </w:p>
    <w:p w14:paraId="2D038782">
      <w:pPr>
        <w:pStyle w:val="187"/>
        <w:jc w:val="center"/>
        <w:rPr>
          <w:rFonts w:hint="eastAsia" w:ascii="宋体" w:hAnsi="宋体" w:cs="宋体"/>
          <w:color w:val="auto"/>
          <w:highlight w:val="none"/>
        </w:rPr>
      </w:pPr>
    </w:p>
    <w:p w14:paraId="688ECC83">
      <w:pPr>
        <w:pStyle w:val="189"/>
        <w:spacing w:before="0" w:after="0" w:line="360" w:lineRule="auto"/>
        <w:jc w:val="center"/>
        <w:rPr>
          <w:rFonts w:hint="eastAsia" w:ascii="宋体" w:hAnsi="宋体" w:cs="宋体"/>
          <w:color w:val="auto"/>
          <w:highlight w:val="none"/>
        </w:rPr>
      </w:pPr>
      <w:r>
        <w:rPr>
          <w:rFonts w:hint="eastAsia" w:ascii="宋体" w:hAnsi="宋体" w:cs="宋体"/>
          <w:color w:val="auto"/>
          <w:highlight w:val="none"/>
        </w:rPr>
        <w:br w:type="page" w:clear="all"/>
      </w:r>
    </w:p>
    <w:p w14:paraId="0DFE8634">
      <w:pPr>
        <w:pStyle w:val="189"/>
        <w:spacing w:before="0" w:after="0" w:line="360" w:lineRule="auto"/>
        <w:rPr>
          <w:rFonts w:hint="eastAsia" w:ascii="宋体" w:hAnsi="宋体" w:cs="宋体"/>
          <w:color w:val="auto"/>
          <w:highlight w:val="none"/>
        </w:rPr>
      </w:pPr>
      <w:bookmarkStart w:id="104" w:name="_Toc122424260"/>
      <w:bookmarkStart w:id="105" w:name="_Toc122424011"/>
      <w:r>
        <w:rPr>
          <w:rFonts w:hint="eastAsia" w:ascii="宋体" w:hAnsi="宋体" w:cs="宋体"/>
          <w:color w:val="auto"/>
          <w:highlight w:val="none"/>
        </w:rPr>
        <w:t>1.工程量清单说明</w:t>
      </w:r>
      <w:bookmarkEnd w:id="104"/>
      <w:bookmarkEnd w:id="105"/>
    </w:p>
    <w:p w14:paraId="75F9C28C">
      <w:pPr>
        <w:spacing w:line="360" w:lineRule="auto"/>
        <w:ind w:firstLine="480"/>
        <w:rPr>
          <w:rFonts w:hint="eastAsia" w:ascii="宋体" w:hAnsi="宋体" w:cs="宋体"/>
          <w:color w:val="auto"/>
          <w:highlight w:val="none"/>
        </w:rPr>
      </w:pPr>
      <w:r>
        <w:rPr>
          <w:rFonts w:hint="eastAsia" w:ascii="宋体" w:hAnsi="宋体" w:cs="宋体"/>
          <w:color w:val="auto"/>
          <w:highlight w:val="none"/>
        </w:rPr>
        <w:t>1.1本工程量清单是根据磋商文件中包括的有合同约束力的工程量清单计量规则、图纸以及有关工程量清单的国家标准、行业标准、合同条款中约定的其他规则编制。约定计量规则中没有的子目，其工程量按照有合同约束力的图纸所标示尺寸的理论净量计算。计量采用中华人民共和国法定计量单位。</w:t>
      </w:r>
    </w:p>
    <w:p w14:paraId="7686D6DC">
      <w:pPr>
        <w:spacing w:line="360" w:lineRule="auto"/>
        <w:ind w:firstLine="480"/>
        <w:rPr>
          <w:rFonts w:hint="eastAsia" w:ascii="宋体" w:hAnsi="宋体" w:cs="宋体"/>
          <w:color w:val="auto"/>
          <w:highlight w:val="none"/>
        </w:rPr>
      </w:pPr>
      <w:r>
        <w:rPr>
          <w:rFonts w:hint="eastAsia" w:ascii="宋体" w:hAnsi="宋体" w:cs="宋体"/>
          <w:color w:val="auto"/>
          <w:highlight w:val="none"/>
        </w:rPr>
        <w:t>1.2本工程量清单应与磋商文件中的供应商须知、通用合同条款、专用合同条款、工程量清单计量规则、技术规范及图纸等一起阅读和理解。</w:t>
      </w:r>
    </w:p>
    <w:p w14:paraId="648EB73D">
      <w:pPr>
        <w:spacing w:line="360" w:lineRule="auto"/>
        <w:ind w:firstLine="480"/>
        <w:rPr>
          <w:rFonts w:hint="eastAsia" w:ascii="宋体" w:hAnsi="宋体" w:cs="宋体"/>
          <w:color w:val="auto"/>
          <w:highlight w:val="none"/>
        </w:rPr>
      </w:pPr>
      <w:r>
        <w:rPr>
          <w:rFonts w:hint="eastAsia" w:ascii="宋体" w:hAnsi="宋体" w:cs="宋体"/>
          <w:color w:val="auto"/>
          <w:highlight w:val="none"/>
        </w:rPr>
        <w:t>1.3本工程量清单中所列工程数量是估算的或设计的预计数量，仅作为竞标报价的共同基础，不能作为最终结算与支付的依据。实际支付应按实际完成的工程量， 由承包人按工程量清单计量规则规定的计量方法，以监理人认可的尺寸、断面计量， 按本工程量清单的单价和总额价计算支付金额；或根据具体情况，按合同条款第 15.4 款的规定，按监理人确定的单价或总额价计算支付额。</w:t>
      </w:r>
    </w:p>
    <w:p w14:paraId="4DF51526">
      <w:pPr>
        <w:spacing w:line="360" w:lineRule="auto"/>
        <w:ind w:firstLine="480"/>
        <w:rPr>
          <w:rFonts w:hint="eastAsia" w:ascii="宋体" w:hAnsi="宋体" w:cs="宋体"/>
          <w:color w:val="auto"/>
          <w:highlight w:val="none"/>
        </w:rPr>
      </w:pPr>
      <w:r>
        <w:rPr>
          <w:rFonts w:hint="eastAsia" w:ascii="宋体" w:hAnsi="宋体" w:cs="宋体"/>
          <w:color w:val="auto"/>
          <w:highlight w:val="none"/>
        </w:rPr>
        <w:t>1.4工程量清单各章是按《公路工程标准施工招标文件》（2018年版）第八章“工程量清单计量规则”、第七章“技术规范”的相应章次编号的，因此，工程量清单中各章的工程子目的范围与计量等应与“工程量清单计量规则” “技术规范”相应章节的范围、计量与支付条款结合起来理解或解释。</w:t>
      </w:r>
    </w:p>
    <w:p w14:paraId="65C9FF46">
      <w:pPr>
        <w:spacing w:line="360" w:lineRule="auto"/>
        <w:ind w:firstLine="480"/>
        <w:rPr>
          <w:rFonts w:hint="eastAsia" w:ascii="宋体" w:hAnsi="宋体" w:cs="宋体"/>
          <w:color w:val="auto"/>
          <w:highlight w:val="none"/>
        </w:rPr>
      </w:pPr>
      <w:r>
        <w:rPr>
          <w:rFonts w:hint="eastAsia" w:ascii="宋体" w:hAnsi="宋体" w:cs="宋体"/>
          <w:color w:val="auto"/>
          <w:highlight w:val="none"/>
        </w:rPr>
        <w:t>1.5对作业和材料的一般说明或规定，未重复写入工程量清单内，在给工程量清单各子目标价前，应参阅第七章“技术规范”的有关内容。</w:t>
      </w:r>
    </w:p>
    <w:p w14:paraId="3F5EFA5C">
      <w:pPr>
        <w:spacing w:line="360" w:lineRule="auto"/>
        <w:ind w:firstLine="480"/>
        <w:rPr>
          <w:rFonts w:hint="eastAsia" w:ascii="宋体" w:hAnsi="宋体" w:cs="宋体"/>
          <w:color w:val="auto"/>
          <w:highlight w:val="none"/>
        </w:rPr>
      </w:pPr>
      <w:r>
        <w:rPr>
          <w:rFonts w:hint="eastAsia" w:ascii="宋体" w:hAnsi="宋体" w:cs="宋体"/>
          <w:color w:val="auto"/>
          <w:highlight w:val="none"/>
        </w:rPr>
        <w:t>1.6工程量清单中所列工程量的变动，丝毫不会降低或影响合同条款的效力， 也不免除承包人按规定的标准进行施工和修复缺陷的责任。</w:t>
      </w:r>
    </w:p>
    <w:p w14:paraId="245A4816">
      <w:pPr>
        <w:spacing w:line="360" w:lineRule="auto"/>
        <w:ind w:firstLine="480"/>
        <w:rPr>
          <w:rFonts w:hint="eastAsia" w:ascii="宋体" w:hAnsi="宋体" w:cs="宋体"/>
          <w:color w:val="auto"/>
          <w:highlight w:val="none"/>
        </w:rPr>
      </w:pPr>
      <w:r>
        <w:rPr>
          <w:rFonts w:hint="eastAsia" w:ascii="宋体" w:hAnsi="宋体" w:cs="宋体"/>
          <w:color w:val="auto"/>
          <w:highlight w:val="none"/>
        </w:rPr>
        <w:t>1.7图纸中所列的工程数量表及数量汇总表仅是提供资料，不是工程量清单的外延。当图纸与工程量清单所列数量不一致时，以工程量清单所列数量作为报价的依据。</w:t>
      </w:r>
    </w:p>
    <w:p w14:paraId="65C54D88">
      <w:pPr>
        <w:pStyle w:val="189"/>
        <w:spacing w:before="0" w:after="0" w:line="360" w:lineRule="auto"/>
        <w:rPr>
          <w:rFonts w:hint="eastAsia" w:ascii="宋体" w:hAnsi="宋体" w:cs="宋体"/>
          <w:color w:val="auto"/>
          <w:highlight w:val="none"/>
        </w:rPr>
      </w:pPr>
      <w:bookmarkStart w:id="106" w:name="_Toc122424012"/>
      <w:bookmarkStart w:id="107" w:name="_Toc122424261"/>
      <w:bookmarkStart w:id="108" w:name="_Toc5517"/>
      <w:r>
        <w:rPr>
          <w:rFonts w:hint="eastAsia" w:ascii="宋体" w:hAnsi="宋体" w:cs="宋体"/>
          <w:color w:val="auto"/>
          <w:highlight w:val="none"/>
        </w:rPr>
        <w:t>2.竞标报价说明</w:t>
      </w:r>
      <w:bookmarkEnd w:id="106"/>
      <w:bookmarkEnd w:id="107"/>
      <w:bookmarkEnd w:id="108"/>
    </w:p>
    <w:p w14:paraId="059B12C2">
      <w:pPr>
        <w:spacing w:line="360" w:lineRule="auto"/>
        <w:ind w:firstLine="480"/>
        <w:rPr>
          <w:rFonts w:hint="eastAsia" w:ascii="宋体" w:hAnsi="宋体" w:cs="宋体"/>
          <w:color w:val="auto"/>
          <w:highlight w:val="none"/>
        </w:rPr>
      </w:pPr>
      <w:r>
        <w:rPr>
          <w:rFonts w:hint="eastAsia" w:ascii="宋体" w:hAnsi="宋体" w:cs="宋体"/>
          <w:color w:val="auto"/>
          <w:highlight w:val="none"/>
        </w:rPr>
        <w:t>2.1工程量清单中的每一子目须填入单价或价格，且只允许有一个报价。</w:t>
      </w:r>
    </w:p>
    <w:p w14:paraId="041FAEFF">
      <w:pPr>
        <w:spacing w:line="360" w:lineRule="auto"/>
        <w:ind w:firstLine="480"/>
        <w:rPr>
          <w:rFonts w:hint="eastAsia" w:ascii="宋体" w:hAnsi="宋体" w:cs="宋体"/>
          <w:color w:val="auto"/>
          <w:highlight w:val="none"/>
        </w:rPr>
      </w:pPr>
      <w:r>
        <w:rPr>
          <w:rFonts w:hint="eastAsia" w:ascii="宋体" w:hAnsi="宋体" w:cs="宋体"/>
          <w:color w:val="auto"/>
          <w:highlight w:val="none"/>
        </w:rPr>
        <w:t>2.2除非合同另有规定，工程量清单中有标价的单价和总额价均已包括了为实施和完成合同工程所需的劳务、材料、机械、质检（自检）、安装、缺陷修复、管理、保险、税费、利润等费用，以及合同明示或暗示的所有责任、义务和一般风险。</w:t>
      </w:r>
    </w:p>
    <w:p w14:paraId="30C61268">
      <w:pPr>
        <w:spacing w:line="360" w:lineRule="auto"/>
        <w:ind w:firstLine="480"/>
        <w:rPr>
          <w:rFonts w:hint="eastAsia" w:ascii="宋体" w:hAnsi="宋体" w:cs="宋体"/>
          <w:color w:val="auto"/>
          <w:highlight w:val="none"/>
        </w:rPr>
      </w:pPr>
      <w:r>
        <w:rPr>
          <w:rFonts w:hint="eastAsia" w:ascii="宋体" w:hAnsi="宋体" w:cs="宋体"/>
          <w:color w:val="auto"/>
          <w:highlight w:val="none"/>
        </w:rPr>
        <w:t>2.3工程量清单中供应商没有填入单价或价格的子目，其费用视为已分摊在工程量清单中其他相关子目的单价或价格之中。承包人必须按监理人指令完成工程量清单中未填入单价或价格的子目，但不能得到结算与支付。</w:t>
      </w:r>
    </w:p>
    <w:p w14:paraId="6C39695A">
      <w:pPr>
        <w:spacing w:line="360" w:lineRule="auto"/>
        <w:ind w:firstLine="480"/>
        <w:rPr>
          <w:rFonts w:hint="eastAsia" w:ascii="宋体" w:hAnsi="宋体" w:cs="宋体"/>
          <w:color w:val="auto"/>
          <w:highlight w:val="none"/>
        </w:rPr>
      </w:pPr>
      <w:r>
        <w:rPr>
          <w:rFonts w:hint="eastAsia" w:ascii="宋体" w:hAnsi="宋体" w:cs="宋体"/>
          <w:color w:val="auto"/>
          <w:highlight w:val="none"/>
        </w:rPr>
        <w:t>2.4符合合同条款规定的全部费用应认为已被计入有标价的工程量清单所列各子目之中，未列子目不予计量的工作，其费用应视为已分摊在本合同工程的有关子目的单价或总额价之中。</w:t>
      </w:r>
    </w:p>
    <w:p w14:paraId="6FD53FFC">
      <w:pPr>
        <w:spacing w:line="360" w:lineRule="auto"/>
        <w:ind w:firstLine="480"/>
        <w:rPr>
          <w:rFonts w:hint="eastAsia" w:ascii="宋体" w:hAnsi="宋体" w:cs="宋体"/>
          <w:color w:val="auto"/>
          <w:highlight w:val="none"/>
        </w:rPr>
      </w:pPr>
      <w:r>
        <w:rPr>
          <w:rFonts w:hint="eastAsia" w:ascii="宋体" w:hAnsi="宋体" w:cs="宋体"/>
          <w:color w:val="auto"/>
          <w:highlight w:val="none"/>
        </w:rPr>
        <w:t>2.5承包人用于本合同工程的各类装备的提供、运输、维护、拆卸、拼装等支付的费用，已包括在工程量清单的单价与总额价之中。</w:t>
      </w:r>
    </w:p>
    <w:p w14:paraId="5C763845">
      <w:pPr>
        <w:spacing w:line="360" w:lineRule="auto"/>
        <w:ind w:firstLine="480"/>
        <w:rPr>
          <w:rFonts w:hint="eastAsia" w:ascii="宋体" w:hAnsi="宋体" w:cs="宋体"/>
          <w:color w:val="auto"/>
          <w:highlight w:val="none"/>
        </w:rPr>
      </w:pPr>
      <w:r>
        <w:rPr>
          <w:rFonts w:hint="eastAsia" w:ascii="宋体" w:hAnsi="宋体" w:cs="宋体"/>
          <w:color w:val="auto"/>
          <w:highlight w:val="none"/>
        </w:rPr>
        <w:t>2.6供应商应根据《公路水运工程安全生产监督管理办法》，在竞标总价中计入安全生产费用，安全生产费用应符合合同条款第 9.2.5 项的规定。工程量清单第 100 章内列有上述安全生产费的支付子目，由供应商按磋商文件的规定填写总额价。</w:t>
      </w:r>
    </w:p>
    <w:p w14:paraId="776776FD">
      <w:pPr>
        <w:spacing w:line="360" w:lineRule="auto"/>
        <w:ind w:firstLine="480"/>
        <w:rPr>
          <w:rFonts w:hint="eastAsia" w:ascii="宋体" w:hAnsi="宋体" w:cs="宋体"/>
          <w:color w:val="auto"/>
          <w:highlight w:val="none"/>
        </w:rPr>
      </w:pPr>
      <w:r>
        <w:rPr>
          <w:rFonts w:hint="eastAsia" w:ascii="宋体" w:hAnsi="宋体" w:cs="宋体"/>
          <w:color w:val="auto"/>
          <w:highlight w:val="none"/>
        </w:rPr>
        <w:t>2.7工程量清单中各项金额均以人民币（元）结算。</w:t>
      </w:r>
    </w:p>
    <w:p w14:paraId="589E1360">
      <w:pPr>
        <w:spacing w:line="360" w:lineRule="auto"/>
        <w:ind w:firstLine="480"/>
        <w:rPr>
          <w:rFonts w:hint="eastAsia" w:ascii="宋体" w:hAnsi="宋体" w:cs="宋体"/>
          <w:color w:val="auto"/>
          <w:highlight w:val="none"/>
        </w:rPr>
      </w:pPr>
      <w:r>
        <w:rPr>
          <w:rFonts w:hint="eastAsia" w:ascii="宋体" w:hAnsi="宋体" w:cs="宋体"/>
          <w:color w:val="auto"/>
          <w:highlight w:val="none"/>
        </w:rPr>
        <w:t>2.8暂列金额（不含计日工总额）的数量及拟用子目的说明：</w:t>
      </w:r>
      <w:r>
        <w:rPr>
          <w:rFonts w:hint="eastAsia" w:ascii="宋体" w:hAnsi="宋体" w:cs="宋体"/>
          <w:color w:val="auto"/>
          <w:highlight w:val="none"/>
          <w:u w:val="single"/>
        </w:rPr>
        <w:tab/>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48465B87">
      <w:pPr>
        <w:spacing w:line="360" w:lineRule="auto"/>
        <w:ind w:firstLine="480"/>
        <w:rPr>
          <w:rFonts w:hint="eastAsia" w:ascii="宋体" w:hAnsi="宋体" w:cs="宋体"/>
          <w:color w:val="auto"/>
          <w:highlight w:val="none"/>
        </w:rPr>
      </w:pPr>
      <w:r>
        <w:rPr>
          <w:rFonts w:hint="eastAsia" w:ascii="宋体" w:hAnsi="宋体" w:cs="宋体"/>
          <w:color w:val="auto"/>
          <w:highlight w:val="none"/>
        </w:rPr>
        <w:t>2.9暂估价的数量及拟用子目的说明：</w:t>
      </w:r>
      <w:r>
        <w:rPr>
          <w:rFonts w:hint="eastAsia" w:ascii="宋体" w:hAnsi="宋体" w:cs="宋体"/>
          <w:color w:val="auto"/>
          <w:highlight w:val="none"/>
          <w:u w:val="single"/>
        </w:rPr>
        <w:t xml:space="preserve"> 无 </w:t>
      </w:r>
      <w:r>
        <w:rPr>
          <w:rFonts w:hint="eastAsia" w:ascii="宋体" w:hAnsi="宋体" w:cs="宋体"/>
          <w:color w:val="auto"/>
          <w:highlight w:val="none"/>
        </w:rPr>
        <w:t>。</w:t>
      </w:r>
    </w:p>
    <w:p w14:paraId="6EB49158">
      <w:pPr>
        <w:pStyle w:val="189"/>
        <w:spacing w:before="0" w:after="0" w:line="360" w:lineRule="auto"/>
        <w:rPr>
          <w:rFonts w:hint="eastAsia" w:ascii="宋体" w:hAnsi="宋体" w:cs="宋体"/>
          <w:color w:val="auto"/>
          <w:highlight w:val="none"/>
        </w:rPr>
      </w:pPr>
      <w:bookmarkStart w:id="109" w:name="_Toc122424262"/>
      <w:bookmarkStart w:id="110" w:name="_Toc122424013"/>
      <w:bookmarkStart w:id="111" w:name="_Toc16130"/>
      <w:r>
        <w:rPr>
          <w:rFonts w:hint="eastAsia" w:ascii="宋体" w:hAnsi="宋体" w:cs="宋体"/>
          <w:color w:val="auto"/>
          <w:highlight w:val="none"/>
        </w:rPr>
        <w:t>3.计日工说明</w:t>
      </w:r>
      <w:bookmarkEnd w:id="109"/>
      <w:bookmarkEnd w:id="110"/>
      <w:bookmarkEnd w:id="111"/>
    </w:p>
    <w:p w14:paraId="5B77D80B">
      <w:pPr>
        <w:pStyle w:val="190"/>
        <w:rPr>
          <w:rFonts w:hint="eastAsia" w:ascii="宋体" w:hAnsi="宋体" w:cs="宋体"/>
          <w:color w:val="auto"/>
          <w:highlight w:val="none"/>
        </w:rPr>
      </w:pPr>
      <w:bookmarkStart w:id="112" w:name="_Toc2050"/>
      <w:r>
        <w:rPr>
          <w:rFonts w:hint="eastAsia" w:ascii="宋体" w:hAnsi="宋体" w:cs="宋体"/>
          <w:color w:val="auto"/>
          <w:highlight w:val="none"/>
        </w:rPr>
        <w:t>3.1总则</w:t>
      </w:r>
      <w:bookmarkEnd w:id="112"/>
    </w:p>
    <w:p w14:paraId="17169444">
      <w:pPr>
        <w:spacing w:line="360" w:lineRule="auto"/>
        <w:ind w:firstLine="480"/>
        <w:rPr>
          <w:rFonts w:hint="eastAsia" w:ascii="宋体" w:hAnsi="宋体" w:cs="宋体"/>
          <w:color w:val="auto"/>
          <w:highlight w:val="none"/>
        </w:rPr>
      </w:pPr>
      <w:r>
        <w:rPr>
          <w:rFonts w:hint="eastAsia" w:ascii="宋体" w:hAnsi="宋体" w:cs="宋体"/>
          <w:color w:val="auto"/>
          <w:highlight w:val="none"/>
        </w:rPr>
        <w:t>（1）本说明应参照通用合同条款第 15.7 款一并理解。</w:t>
      </w:r>
    </w:p>
    <w:p w14:paraId="58D2F553">
      <w:pPr>
        <w:spacing w:line="360" w:lineRule="auto"/>
        <w:ind w:firstLine="480"/>
        <w:rPr>
          <w:rFonts w:hint="eastAsia" w:ascii="宋体" w:hAnsi="宋体" w:cs="宋体"/>
          <w:color w:val="auto"/>
          <w:highlight w:val="none"/>
        </w:rPr>
      </w:pPr>
      <w:r>
        <w:rPr>
          <w:rFonts w:hint="eastAsia" w:ascii="宋体" w:hAnsi="宋体" w:cs="宋体"/>
          <w:color w:val="auto"/>
          <w:highlight w:val="none"/>
        </w:rPr>
        <w:t>（2）未经监理人书面指令，任何工程不得按计日工施工；接到监理人按计日工施工的书面指令，承包人也不得拒绝。</w:t>
      </w:r>
    </w:p>
    <w:p w14:paraId="7CB9D950">
      <w:pPr>
        <w:spacing w:line="360" w:lineRule="auto"/>
        <w:ind w:firstLine="480"/>
        <w:rPr>
          <w:rFonts w:hint="eastAsia" w:ascii="宋体" w:hAnsi="宋体" w:cs="宋体"/>
          <w:color w:val="auto"/>
          <w:highlight w:val="none"/>
        </w:rPr>
      </w:pPr>
      <w:r>
        <w:rPr>
          <w:rFonts w:hint="eastAsia" w:ascii="宋体" w:hAnsi="宋体" w:cs="宋体"/>
          <w:color w:val="auto"/>
          <w:highlight w:val="none"/>
        </w:rPr>
        <w:t>（3）供应商应在计日工单价表中填列计日工子目的基本单价或租价，该基本单价或租价适用于监理人指令的任何数量的计日工的结算与支付。计日工的劳务、材料和施工机械由采购人（或发包人）列出正常的估计数量，供应商报出单价，计算出计日工总额后列入工程量清单汇总表中并进入评审价。</w:t>
      </w:r>
    </w:p>
    <w:p w14:paraId="000769AD">
      <w:pPr>
        <w:spacing w:line="360" w:lineRule="auto"/>
        <w:ind w:firstLine="480"/>
        <w:rPr>
          <w:rFonts w:hint="eastAsia" w:ascii="宋体" w:hAnsi="宋体" w:cs="宋体"/>
          <w:color w:val="auto"/>
          <w:highlight w:val="none"/>
        </w:rPr>
      </w:pPr>
      <w:r>
        <w:rPr>
          <w:rFonts w:hint="eastAsia" w:ascii="宋体" w:hAnsi="宋体" w:cs="宋体"/>
          <w:color w:val="auto"/>
          <w:highlight w:val="none"/>
        </w:rPr>
        <w:t>（4）计日工不调价。</w:t>
      </w:r>
    </w:p>
    <w:p w14:paraId="5EAB479F">
      <w:pPr>
        <w:pStyle w:val="190"/>
        <w:rPr>
          <w:rFonts w:hint="eastAsia" w:ascii="宋体" w:hAnsi="宋体" w:cs="宋体"/>
          <w:color w:val="auto"/>
          <w:highlight w:val="none"/>
        </w:rPr>
      </w:pPr>
      <w:bookmarkStart w:id="113" w:name="_Toc13076"/>
      <w:r>
        <w:rPr>
          <w:rFonts w:hint="eastAsia" w:ascii="宋体" w:hAnsi="宋体" w:cs="宋体"/>
          <w:color w:val="auto"/>
          <w:highlight w:val="none"/>
        </w:rPr>
        <w:t>3.2计日工劳务</w:t>
      </w:r>
      <w:bookmarkEnd w:id="113"/>
    </w:p>
    <w:p w14:paraId="1D53F873">
      <w:pPr>
        <w:spacing w:line="360" w:lineRule="auto"/>
        <w:ind w:firstLine="480"/>
        <w:rPr>
          <w:rFonts w:hint="eastAsia" w:ascii="宋体" w:hAnsi="宋体" w:cs="宋体"/>
          <w:color w:val="auto"/>
          <w:highlight w:val="none"/>
        </w:rPr>
      </w:pPr>
      <w:r>
        <w:rPr>
          <w:rFonts w:hint="eastAsia" w:ascii="宋体" w:hAnsi="宋体" w:cs="宋体"/>
          <w:color w:val="auto"/>
          <w:highlight w:val="none"/>
        </w:rPr>
        <w:t>（1）在计算应付给承包人的计日工工资时，工时应从工人到达施工现场，并开始从事指定的工作算起，到返回原出发地点为止，扣去用餐和休息的时间。只有直接从事指定的工作，且能胜任该工作的工人才能计工，随同工人一起做工的班长应计算在内，但不包括领工（工长）和其他质检管理人员。</w:t>
      </w:r>
    </w:p>
    <w:p w14:paraId="463EDA23">
      <w:pPr>
        <w:spacing w:line="360" w:lineRule="auto"/>
        <w:ind w:firstLine="480"/>
        <w:rPr>
          <w:rFonts w:hint="eastAsia" w:ascii="宋体" w:hAnsi="宋体" w:cs="宋体"/>
          <w:color w:val="auto"/>
          <w:highlight w:val="none"/>
        </w:rPr>
      </w:pPr>
      <w:r>
        <w:rPr>
          <w:rFonts w:hint="eastAsia" w:ascii="宋体" w:hAnsi="宋体" w:cs="宋体"/>
          <w:color w:val="auto"/>
          <w:highlight w:val="none"/>
        </w:rPr>
        <w:t>（2）承包人可以得到用于计日工劳务的全部工时的支付，此支付按承包人填报的“计日工劳务单价表”所列单价计算，该单价应包括基本单价及承包人的管理费、税费、利润等所有附加费，说明如下：</w:t>
      </w:r>
    </w:p>
    <w:p w14:paraId="2EE639C4">
      <w:pPr>
        <w:spacing w:line="360" w:lineRule="auto"/>
        <w:ind w:firstLine="480"/>
        <w:rPr>
          <w:rFonts w:hint="eastAsia" w:ascii="宋体" w:hAnsi="宋体" w:cs="宋体"/>
          <w:color w:val="auto"/>
          <w:highlight w:val="none"/>
        </w:rPr>
      </w:pPr>
      <w:r>
        <w:rPr>
          <w:rFonts w:hint="eastAsia" w:ascii="宋体" w:hAnsi="宋体" w:cs="宋体"/>
          <w:color w:val="auto"/>
          <w:highlight w:val="none"/>
        </w:rPr>
        <w:t>a.劳务基本单价包括：承包人劳务的全部直接费用，如：工资、加班费、津贴、福利费及劳动保护费等。</w:t>
      </w:r>
    </w:p>
    <w:p w14:paraId="6AEC9779">
      <w:pPr>
        <w:spacing w:line="360" w:lineRule="auto"/>
        <w:ind w:firstLine="480"/>
        <w:rPr>
          <w:rFonts w:hint="eastAsia" w:ascii="宋体" w:hAnsi="宋体" w:cs="宋体"/>
          <w:color w:val="auto"/>
          <w:highlight w:val="none"/>
        </w:rPr>
      </w:pPr>
      <w:r>
        <w:rPr>
          <w:rFonts w:hint="eastAsia" w:ascii="宋体" w:hAnsi="宋体" w:cs="宋体"/>
          <w:color w:val="auto"/>
          <w:highlight w:val="none"/>
        </w:rPr>
        <w:t>b.承包人的利润、管理、质检、保险、税费；易耗品的使用，水电及照明费， 工作台、脚手架、临时设施费，手动机具与工具的使用及维修，以及上述各项伴随而来的费用。</w:t>
      </w:r>
    </w:p>
    <w:p w14:paraId="050FCE67">
      <w:pPr>
        <w:pStyle w:val="190"/>
        <w:rPr>
          <w:rFonts w:hint="eastAsia" w:ascii="宋体" w:hAnsi="宋体" w:cs="宋体"/>
          <w:color w:val="auto"/>
          <w:highlight w:val="none"/>
        </w:rPr>
      </w:pPr>
      <w:bookmarkStart w:id="114" w:name="_Toc23837"/>
      <w:r>
        <w:rPr>
          <w:rFonts w:hint="eastAsia" w:ascii="宋体" w:hAnsi="宋体" w:cs="宋体"/>
          <w:color w:val="auto"/>
          <w:highlight w:val="none"/>
        </w:rPr>
        <w:t>3.3计日工材料</w:t>
      </w:r>
      <w:bookmarkEnd w:id="114"/>
    </w:p>
    <w:p w14:paraId="27CDB95A">
      <w:pPr>
        <w:spacing w:line="360" w:lineRule="auto"/>
        <w:ind w:firstLine="480"/>
        <w:rPr>
          <w:rFonts w:hint="eastAsia" w:ascii="宋体" w:hAnsi="宋体" w:cs="宋体"/>
          <w:color w:val="auto"/>
          <w:highlight w:val="none"/>
        </w:rPr>
      </w:pPr>
      <w:r>
        <w:rPr>
          <w:rFonts w:hint="eastAsia" w:ascii="宋体" w:hAnsi="宋体" w:cs="宋体"/>
          <w:color w:val="auto"/>
          <w:highlight w:val="none"/>
        </w:rPr>
        <w:t>承包人可以得到计日工使用的材料费用（上述 3.2 款已计入劳务费内的材料费用除外）的支付，此费用按承包人“计日工材料单价表”中所填报的单价计算，该单价应包括基本单价及承包人的管理费、税费、利润等所有附加费，说明如下：</w:t>
      </w:r>
    </w:p>
    <w:p w14:paraId="22E9786D">
      <w:pPr>
        <w:spacing w:line="360" w:lineRule="auto"/>
        <w:ind w:firstLine="480"/>
        <w:rPr>
          <w:rFonts w:hint="eastAsia" w:ascii="宋体" w:hAnsi="宋体" w:cs="宋体"/>
          <w:color w:val="auto"/>
          <w:highlight w:val="none"/>
        </w:rPr>
      </w:pPr>
      <w:r>
        <w:rPr>
          <w:rFonts w:hint="eastAsia" w:ascii="宋体" w:hAnsi="宋体" w:cs="宋体"/>
          <w:color w:val="auto"/>
          <w:highlight w:val="none"/>
        </w:rPr>
        <w:t>（1）材料基本单价按供货价加运杂费（到达承包人现场仓库）、保险费、仓库管理费以及运输损耗等计算；</w:t>
      </w:r>
    </w:p>
    <w:p w14:paraId="7E1026F5">
      <w:pPr>
        <w:spacing w:line="360" w:lineRule="auto"/>
        <w:ind w:firstLine="480"/>
        <w:rPr>
          <w:rFonts w:hint="eastAsia" w:ascii="宋体" w:hAnsi="宋体" w:cs="宋体"/>
          <w:color w:val="auto"/>
          <w:highlight w:val="none"/>
        </w:rPr>
      </w:pPr>
      <w:r>
        <w:rPr>
          <w:rFonts w:hint="eastAsia" w:ascii="宋体" w:hAnsi="宋体" w:cs="宋体"/>
          <w:color w:val="auto"/>
          <w:highlight w:val="none"/>
        </w:rPr>
        <w:t>（2）承包人的利润、管理、质检、保险、税费及其他附加费；</w:t>
      </w:r>
    </w:p>
    <w:p w14:paraId="4E679EDA">
      <w:pPr>
        <w:spacing w:line="360" w:lineRule="auto"/>
        <w:ind w:firstLine="480"/>
        <w:rPr>
          <w:rFonts w:hint="eastAsia" w:ascii="宋体" w:hAnsi="宋体" w:cs="宋体"/>
          <w:color w:val="auto"/>
          <w:highlight w:val="none"/>
        </w:rPr>
      </w:pPr>
      <w:r>
        <w:rPr>
          <w:rFonts w:hint="eastAsia" w:ascii="宋体" w:hAnsi="宋体" w:cs="宋体"/>
          <w:color w:val="auto"/>
          <w:highlight w:val="none"/>
        </w:rPr>
        <w:t>（3）从现场运至使用地点的人工费和施工机械使用费不包括在上述基本单价</w:t>
      </w:r>
    </w:p>
    <w:p w14:paraId="181E92CD">
      <w:pPr>
        <w:spacing w:line="360" w:lineRule="auto"/>
        <w:ind w:firstLine="480"/>
        <w:rPr>
          <w:rFonts w:hint="eastAsia" w:ascii="宋体" w:hAnsi="宋体" w:cs="宋体"/>
          <w:color w:val="auto"/>
          <w:highlight w:val="none"/>
        </w:rPr>
      </w:pPr>
      <w:r>
        <w:rPr>
          <w:rFonts w:hint="eastAsia" w:ascii="宋体" w:hAnsi="宋体" w:cs="宋体"/>
          <w:color w:val="auto"/>
          <w:highlight w:val="none"/>
        </w:rPr>
        <w:t>内。</w:t>
      </w:r>
    </w:p>
    <w:p w14:paraId="21232669">
      <w:pPr>
        <w:pStyle w:val="190"/>
        <w:rPr>
          <w:rFonts w:hint="eastAsia" w:ascii="宋体" w:hAnsi="宋体" w:cs="宋体"/>
          <w:color w:val="auto"/>
          <w:highlight w:val="none"/>
        </w:rPr>
      </w:pPr>
      <w:r>
        <w:rPr>
          <w:rFonts w:hint="eastAsia" w:ascii="宋体" w:hAnsi="宋体" w:cs="宋体"/>
          <w:color w:val="auto"/>
          <w:highlight w:val="none"/>
        </w:rPr>
        <w:t>3.4计日工施工机械</w:t>
      </w:r>
    </w:p>
    <w:p w14:paraId="714427E9">
      <w:pPr>
        <w:spacing w:line="360" w:lineRule="auto"/>
        <w:ind w:firstLine="480"/>
        <w:rPr>
          <w:rFonts w:hint="eastAsia" w:ascii="宋体" w:hAnsi="宋体" w:cs="宋体"/>
          <w:color w:val="auto"/>
          <w:highlight w:val="none"/>
        </w:rPr>
      </w:pPr>
      <w:r>
        <w:rPr>
          <w:rFonts w:hint="eastAsia" w:ascii="宋体" w:hAnsi="宋体" w:cs="宋体"/>
          <w:color w:val="auto"/>
          <w:highlight w:val="none"/>
        </w:rPr>
        <w:t>（1）承包人可以得到用于计日工作业的施工机械费用的支付，该费用按承包</w:t>
      </w:r>
    </w:p>
    <w:p w14:paraId="7DF04C74">
      <w:pPr>
        <w:spacing w:line="360" w:lineRule="auto"/>
        <w:ind w:firstLine="480"/>
        <w:rPr>
          <w:rFonts w:hint="eastAsia" w:ascii="宋体" w:hAnsi="宋体" w:cs="宋体"/>
          <w:color w:val="auto"/>
          <w:highlight w:val="none"/>
        </w:rPr>
      </w:pPr>
      <w:r>
        <w:rPr>
          <w:rFonts w:hint="eastAsia" w:ascii="宋体" w:hAnsi="宋体" w:cs="宋体"/>
          <w:color w:val="auto"/>
          <w:highlight w:val="none"/>
        </w:rPr>
        <w:t>人填报的“计日工施工机械单价表”中的租价计算。该租价应包括施工机械的折旧、利息、维修、保养、零配件、油燃料、保险和其他消耗品的费用以及全部有关使用这些机械的管理费、税费、利润和司机与助手的劳务费等费用。</w:t>
      </w:r>
    </w:p>
    <w:p w14:paraId="4E57AEF3">
      <w:pPr>
        <w:spacing w:line="360" w:lineRule="auto"/>
        <w:ind w:firstLine="480"/>
        <w:rPr>
          <w:rFonts w:hint="eastAsia" w:ascii="宋体" w:hAnsi="宋体" w:cs="宋体"/>
          <w:color w:val="auto"/>
          <w:highlight w:val="none"/>
        </w:rPr>
      </w:pPr>
      <w:r>
        <w:rPr>
          <w:rFonts w:hint="eastAsia" w:ascii="宋体" w:hAnsi="宋体" w:cs="宋体"/>
          <w:color w:val="auto"/>
          <w:highlight w:val="none"/>
        </w:rPr>
        <w:t>（2）在计日工作业中，承包人计算所用的施工机械费用时，应按实际工作小时支付。除非经监理人的同意，计算的工作小时才能将施工机械从现场某处运到监理人指令的计日工作业的另一现场往返运送时间包括在内。</w:t>
      </w:r>
    </w:p>
    <w:p w14:paraId="653BBBCA">
      <w:pPr>
        <w:pStyle w:val="189"/>
        <w:spacing w:before="0" w:after="0" w:line="360" w:lineRule="auto"/>
        <w:rPr>
          <w:rFonts w:hint="eastAsia" w:ascii="宋体" w:hAnsi="宋体" w:cs="宋体"/>
          <w:color w:val="auto"/>
          <w:highlight w:val="none"/>
        </w:rPr>
      </w:pPr>
      <w:bookmarkStart w:id="115" w:name="_Toc122424263"/>
      <w:bookmarkStart w:id="116" w:name="_Toc25846"/>
      <w:bookmarkStart w:id="117" w:name="_Toc122424014"/>
      <w:r>
        <w:rPr>
          <w:rFonts w:hint="eastAsia" w:ascii="宋体" w:hAnsi="宋体" w:cs="宋体"/>
          <w:color w:val="auto"/>
          <w:highlight w:val="none"/>
        </w:rPr>
        <w:t>4.其他说明</w:t>
      </w:r>
      <w:bookmarkEnd w:id="115"/>
      <w:bookmarkEnd w:id="116"/>
      <w:bookmarkEnd w:id="117"/>
    </w:p>
    <w:p w14:paraId="538C4802">
      <w:pPr>
        <w:pStyle w:val="189"/>
        <w:spacing w:before="0" w:after="0" w:line="360" w:lineRule="auto"/>
        <w:rPr>
          <w:rFonts w:hint="eastAsia" w:ascii="宋体" w:hAnsi="宋体" w:cs="宋体"/>
          <w:color w:val="auto"/>
          <w:highlight w:val="none"/>
        </w:rPr>
      </w:pPr>
      <w:bookmarkStart w:id="118" w:name="_Toc122424264"/>
      <w:bookmarkStart w:id="119" w:name="_Toc122424015"/>
      <w:r>
        <w:rPr>
          <w:rFonts w:hint="eastAsia" w:ascii="宋体" w:hAnsi="宋体" w:cs="宋体"/>
          <w:color w:val="auto"/>
          <w:highlight w:val="none"/>
        </w:rPr>
        <w:t>5.图纸（另册）</w:t>
      </w:r>
      <w:bookmarkEnd w:id="118"/>
      <w:bookmarkEnd w:id="119"/>
    </w:p>
    <w:p w14:paraId="77AE97C9">
      <w:pPr>
        <w:ind w:firstLine="420"/>
        <w:rPr>
          <w:rFonts w:hint="eastAsia" w:ascii="宋体" w:hAnsi="宋体" w:cs="宋体"/>
          <w:color w:val="auto"/>
          <w:highlight w:val="none"/>
        </w:rPr>
      </w:pPr>
    </w:p>
    <w:p w14:paraId="078564EB">
      <w:pPr>
        <w:pStyle w:val="189"/>
        <w:spacing w:before="0" w:after="0" w:line="360" w:lineRule="auto"/>
        <w:rPr>
          <w:rFonts w:hint="eastAsia" w:ascii="宋体" w:hAnsi="宋体" w:cs="宋体"/>
          <w:color w:val="auto"/>
          <w:highlight w:val="none"/>
        </w:rPr>
      </w:pPr>
      <w:r>
        <w:rPr>
          <w:rFonts w:hint="eastAsia" w:ascii="宋体" w:hAnsi="宋体" w:cs="宋体"/>
          <w:color w:val="auto"/>
          <w:highlight w:val="none"/>
        </w:rPr>
        <w:br w:type="page" w:clear="all"/>
      </w:r>
    </w:p>
    <w:p w14:paraId="6B2555C3">
      <w:pPr>
        <w:rPr>
          <w:rFonts w:hint="eastAsia" w:ascii="宋体" w:hAnsi="宋体" w:cs="宋体"/>
          <w:color w:val="auto"/>
          <w:highlight w:val="none"/>
        </w:rPr>
      </w:pPr>
    </w:p>
    <w:p w14:paraId="1635B866">
      <w:pPr>
        <w:rPr>
          <w:rFonts w:hint="eastAsia" w:ascii="宋体" w:hAnsi="宋体" w:cs="宋体"/>
          <w:color w:val="auto"/>
          <w:highlight w:val="none"/>
        </w:rPr>
      </w:pPr>
    </w:p>
    <w:p w14:paraId="26A61DFD">
      <w:pPr>
        <w:rPr>
          <w:rFonts w:hint="eastAsia" w:ascii="宋体" w:hAnsi="宋体" w:cs="宋体"/>
          <w:color w:val="auto"/>
          <w:highlight w:val="none"/>
        </w:rPr>
      </w:pPr>
    </w:p>
    <w:p w14:paraId="1EE39E3B">
      <w:pPr>
        <w:rPr>
          <w:rFonts w:hint="eastAsia" w:ascii="宋体" w:hAnsi="宋体" w:cs="宋体"/>
          <w:color w:val="auto"/>
          <w:highlight w:val="none"/>
        </w:rPr>
      </w:pPr>
    </w:p>
    <w:p w14:paraId="694F9EE3">
      <w:pPr>
        <w:rPr>
          <w:rFonts w:hint="eastAsia" w:ascii="宋体" w:hAnsi="宋体" w:cs="宋体"/>
          <w:color w:val="auto"/>
          <w:highlight w:val="none"/>
        </w:rPr>
      </w:pPr>
    </w:p>
    <w:p w14:paraId="023B6E10">
      <w:pPr>
        <w:rPr>
          <w:rFonts w:hint="eastAsia" w:ascii="宋体" w:hAnsi="宋体" w:cs="宋体"/>
          <w:color w:val="auto"/>
          <w:highlight w:val="none"/>
        </w:rPr>
      </w:pPr>
    </w:p>
    <w:p w14:paraId="3BCBB2A4">
      <w:pPr>
        <w:rPr>
          <w:rFonts w:hint="eastAsia" w:ascii="宋体" w:hAnsi="宋体" w:cs="宋体"/>
          <w:color w:val="auto"/>
          <w:highlight w:val="none"/>
        </w:rPr>
      </w:pPr>
    </w:p>
    <w:p w14:paraId="755AC722">
      <w:pPr>
        <w:rPr>
          <w:rFonts w:hint="eastAsia" w:ascii="宋体" w:hAnsi="宋体" w:cs="宋体"/>
          <w:color w:val="auto"/>
          <w:highlight w:val="none"/>
        </w:rPr>
      </w:pPr>
    </w:p>
    <w:p w14:paraId="57CF08B6">
      <w:pPr>
        <w:rPr>
          <w:rFonts w:hint="eastAsia" w:ascii="宋体" w:hAnsi="宋体" w:cs="宋体"/>
          <w:color w:val="auto"/>
          <w:highlight w:val="none"/>
        </w:rPr>
      </w:pPr>
    </w:p>
    <w:p w14:paraId="031135F9">
      <w:pPr>
        <w:rPr>
          <w:rFonts w:hint="eastAsia" w:ascii="宋体" w:hAnsi="宋体" w:cs="宋体"/>
          <w:color w:val="auto"/>
          <w:highlight w:val="none"/>
        </w:rPr>
      </w:pPr>
    </w:p>
    <w:p w14:paraId="2636B8D1">
      <w:pPr>
        <w:rPr>
          <w:rFonts w:hint="eastAsia" w:ascii="宋体" w:hAnsi="宋体" w:cs="宋体"/>
          <w:color w:val="auto"/>
          <w:highlight w:val="none"/>
        </w:rPr>
      </w:pPr>
    </w:p>
    <w:p w14:paraId="2B657753">
      <w:pPr>
        <w:rPr>
          <w:rFonts w:hint="eastAsia" w:ascii="宋体" w:hAnsi="宋体" w:cs="宋体"/>
          <w:color w:val="auto"/>
          <w:highlight w:val="none"/>
        </w:rPr>
      </w:pPr>
    </w:p>
    <w:p w14:paraId="48E81B4B">
      <w:pPr>
        <w:rPr>
          <w:rFonts w:hint="eastAsia" w:ascii="宋体" w:hAnsi="宋体" w:cs="宋体"/>
          <w:color w:val="auto"/>
          <w:highlight w:val="none"/>
        </w:rPr>
      </w:pPr>
    </w:p>
    <w:p w14:paraId="01823660">
      <w:pPr>
        <w:rPr>
          <w:rFonts w:hint="eastAsia" w:ascii="宋体" w:hAnsi="宋体" w:cs="宋体"/>
          <w:color w:val="auto"/>
          <w:highlight w:val="none"/>
        </w:rPr>
      </w:pPr>
    </w:p>
    <w:p w14:paraId="0F8AE4BF">
      <w:pPr>
        <w:rPr>
          <w:rFonts w:hint="eastAsia" w:ascii="宋体" w:hAnsi="宋体" w:cs="宋体"/>
          <w:color w:val="auto"/>
          <w:highlight w:val="none"/>
        </w:rPr>
      </w:pPr>
    </w:p>
    <w:p w14:paraId="725D067F">
      <w:pPr>
        <w:rPr>
          <w:rFonts w:hint="eastAsia" w:ascii="宋体" w:hAnsi="宋体" w:cs="宋体"/>
          <w:color w:val="auto"/>
          <w:highlight w:val="none"/>
        </w:rPr>
      </w:pPr>
    </w:p>
    <w:p w14:paraId="7808DA68">
      <w:pPr>
        <w:rPr>
          <w:rFonts w:hint="eastAsia" w:ascii="宋体" w:hAnsi="宋体" w:cs="宋体"/>
          <w:color w:val="auto"/>
          <w:highlight w:val="none"/>
        </w:rPr>
      </w:pPr>
    </w:p>
    <w:p w14:paraId="1469E039">
      <w:pPr>
        <w:pStyle w:val="187"/>
        <w:jc w:val="center"/>
        <w:rPr>
          <w:rFonts w:hint="eastAsia" w:ascii="宋体" w:hAnsi="宋体" w:cs="宋体"/>
          <w:color w:val="auto"/>
          <w:highlight w:val="none"/>
        </w:rPr>
      </w:pPr>
      <w:bookmarkStart w:id="120" w:name="_Toc122424265"/>
      <w:r>
        <w:rPr>
          <w:rFonts w:hint="eastAsia" w:ascii="宋体" w:hAnsi="宋体" w:cs="宋体"/>
          <w:color w:val="auto"/>
          <w:highlight w:val="none"/>
        </w:rPr>
        <w:t>第六章 响应文件格式</w:t>
      </w:r>
      <w:bookmarkEnd w:id="120"/>
    </w:p>
    <w:p w14:paraId="1ACD5514">
      <w:pPr>
        <w:spacing w:line="240" w:lineRule="atLeast"/>
        <w:rPr>
          <w:rFonts w:hint="eastAsia" w:ascii="宋体" w:hAnsi="宋体" w:cs="宋体"/>
          <w:b/>
          <w:color w:val="auto"/>
          <w:sz w:val="32"/>
          <w:szCs w:val="32"/>
          <w:highlight w:val="none"/>
        </w:rPr>
      </w:pPr>
    </w:p>
    <w:p w14:paraId="4248107E">
      <w:pPr>
        <w:spacing w:line="240" w:lineRule="atLeast"/>
        <w:rPr>
          <w:rFonts w:hint="eastAsia" w:ascii="宋体" w:hAnsi="宋体" w:cs="宋体"/>
          <w:b/>
          <w:color w:val="auto"/>
          <w:sz w:val="32"/>
          <w:szCs w:val="32"/>
          <w:highlight w:val="none"/>
        </w:rPr>
      </w:pPr>
    </w:p>
    <w:p w14:paraId="6245325C">
      <w:pPr>
        <w:spacing w:line="240" w:lineRule="atLeast"/>
        <w:rPr>
          <w:rFonts w:hint="eastAsia" w:ascii="宋体" w:hAnsi="宋体" w:cs="宋体"/>
          <w:b/>
          <w:color w:val="auto"/>
          <w:sz w:val="32"/>
          <w:szCs w:val="32"/>
          <w:highlight w:val="none"/>
        </w:rPr>
      </w:pPr>
    </w:p>
    <w:p w14:paraId="3B5C5A5B">
      <w:pPr>
        <w:spacing w:line="240" w:lineRule="atLeast"/>
        <w:rPr>
          <w:rFonts w:hint="eastAsia" w:ascii="宋体" w:hAnsi="宋体" w:cs="宋体"/>
          <w:b/>
          <w:color w:val="auto"/>
          <w:sz w:val="32"/>
          <w:szCs w:val="32"/>
          <w:highlight w:val="none"/>
        </w:rPr>
      </w:pPr>
    </w:p>
    <w:p w14:paraId="329E75EB">
      <w:pPr>
        <w:spacing w:line="240" w:lineRule="atLeast"/>
        <w:rPr>
          <w:rFonts w:hint="eastAsia" w:ascii="宋体" w:hAnsi="宋体" w:cs="宋体"/>
          <w:b/>
          <w:color w:val="auto"/>
          <w:sz w:val="32"/>
          <w:szCs w:val="32"/>
          <w:highlight w:val="none"/>
        </w:rPr>
      </w:pPr>
    </w:p>
    <w:p w14:paraId="0185E7B7">
      <w:pPr>
        <w:spacing w:line="240" w:lineRule="atLeast"/>
        <w:rPr>
          <w:rFonts w:hint="eastAsia" w:ascii="宋体" w:hAnsi="宋体" w:cs="宋体"/>
          <w:b/>
          <w:color w:val="auto"/>
          <w:sz w:val="32"/>
          <w:szCs w:val="32"/>
          <w:highlight w:val="none"/>
        </w:rPr>
      </w:pPr>
    </w:p>
    <w:p w14:paraId="60CE5EAF">
      <w:pPr>
        <w:spacing w:line="240" w:lineRule="atLeast"/>
        <w:rPr>
          <w:rFonts w:hint="eastAsia" w:ascii="宋体" w:hAnsi="宋体" w:cs="宋体"/>
          <w:b/>
          <w:color w:val="auto"/>
          <w:sz w:val="32"/>
          <w:szCs w:val="32"/>
          <w:highlight w:val="none"/>
        </w:rPr>
      </w:pPr>
    </w:p>
    <w:p w14:paraId="1C075629">
      <w:pPr>
        <w:spacing w:line="240" w:lineRule="atLeast"/>
        <w:rPr>
          <w:rFonts w:hint="eastAsia" w:ascii="宋体" w:hAnsi="宋体" w:cs="宋体"/>
          <w:b/>
          <w:color w:val="auto"/>
          <w:sz w:val="32"/>
          <w:szCs w:val="32"/>
          <w:highlight w:val="none"/>
        </w:rPr>
      </w:pPr>
    </w:p>
    <w:p w14:paraId="69EA729F">
      <w:pPr>
        <w:spacing w:line="240" w:lineRule="atLeast"/>
        <w:rPr>
          <w:rFonts w:hint="eastAsia" w:ascii="宋体" w:hAnsi="宋体" w:cs="宋体"/>
          <w:b/>
          <w:color w:val="auto"/>
          <w:sz w:val="32"/>
          <w:szCs w:val="32"/>
          <w:highlight w:val="none"/>
        </w:rPr>
      </w:pPr>
    </w:p>
    <w:p w14:paraId="5D3C3E63">
      <w:pPr>
        <w:spacing w:line="240" w:lineRule="atLeast"/>
        <w:rPr>
          <w:rFonts w:hint="eastAsia" w:ascii="宋体" w:hAnsi="宋体" w:cs="宋体"/>
          <w:b/>
          <w:color w:val="auto"/>
          <w:sz w:val="32"/>
          <w:szCs w:val="32"/>
          <w:highlight w:val="none"/>
        </w:rPr>
      </w:pPr>
    </w:p>
    <w:p w14:paraId="4E525AC4">
      <w:pPr>
        <w:spacing w:line="240" w:lineRule="atLeast"/>
        <w:rPr>
          <w:rFonts w:hint="eastAsia" w:ascii="宋体" w:hAnsi="宋体" w:cs="宋体"/>
          <w:b/>
          <w:color w:val="auto"/>
          <w:sz w:val="32"/>
          <w:szCs w:val="32"/>
          <w:highlight w:val="none"/>
        </w:rPr>
      </w:pPr>
    </w:p>
    <w:p w14:paraId="7CFE9B33">
      <w:pPr>
        <w:spacing w:before="50" w:after="50"/>
        <w:outlineLvl w:val="1"/>
        <w:rPr>
          <w:rFonts w:hint="eastAsia" w:ascii="宋体" w:hAnsi="宋体" w:cs="宋体"/>
          <w:b/>
          <w:bCs/>
          <w:color w:val="auto"/>
          <w:sz w:val="24"/>
          <w:highlight w:val="none"/>
        </w:rPr>
      </w:pPr>
      <w:r>
        <w:rPr>
          <w:rFonts w:hint="eastAsia" w:ascii="宋体" w:hAnsi="宋体" w:cs="宋体"/>
          <w:b/>
          <w:bCs/>
          <w:color w:val="auto"/>
          <w:sz w:val="24"/>
          <w:highlight w:val="none"/>
        </w:rPr>
        <w:br w:type="page" w:clear="all"/>
      </w:r>
    </w:p>
    <w:p w14:paraId="503FD832">
      <w:pPr>
        <w:spacing w:before="120" w:after="50"/>
        <w:jc w:val="center"/>
        <w:rPr>
          <w:rFonts w:hint="eastAsia" w:ascii="宋体" w:hAnsi="宋体" w:cs="宋体"/>
          <w:bCs/>
          <w:color w:val="auto"/>
          <w:sz w:val="32"/>
          <w:szCs w:val="32"/>
          <w:highlight w:val="none"/>
        </w:rPr>
      </w:pPr>
    </w:p>
    <w:p w14:paraId="6510A63C">
      <w:pPr>
        <w:rPr>
          <w:rFonts w:hint="eastAsia" w:ascii="宋体" w:hAnsi="宋体" w:cs="宋体"/>
          <w:b/>
          <w:color w:val="auto"/>
          <w:sz w:val="32"/>
          <w:szCs w:val="32"/>
          <w:highlight w:val="none"/>
        </w:rPr>
      </w:pPr>
      <w:bookmarkStart w:id="121" w:name="_Toc71366186"/>
      <w:bookmarkStart w:id="122" w:name="_Toc31728084"/>
      <w:bookmarkStart w:id="123" w:name="_Toc35611438"/>
      <w:bookmarkStart w:id="124" w:name="_Toc35611516"/>
      <w:bookmarkStart w:id="125" w:name="_Toc44229899"/>
      <w:bookmarkStart w:id="126" w:name="_Toc31723070"/>
      <w:r>
        <w:rPr>
          <w:rFonts w:hint="eastAsia" w:ascii="宋体" w:hAnsi="宋体" w:cs="宋体"/>
          <w:b/>
          <w:color w:val="auto"/>
          <w:sz w:val="32"/>
          <w:szCs w:val="32"/>
          <w:highlight w:val="none"/>
        </w:rPr>
        <w:t>一、资格证明文件格式</w:t>
      </w:r>
      <w:bookmarkEnd w:id="121"/>
      <w:bookmarkEnd w:id="122"/>
      <w:bookmarkEnd w:id="123"/>
      <w:bookmarkEnd w:id="124"/>
      <w:bookmarkEnd w:id="125"/>
      <w:bookmarkEnd w:id="126"/>
    </w:p>
    <w:p w14:paraId="748ED314">
      <w:pPr>
        <w:spacing w:before="120" w:after="50" w:line="360" w:lineRule="auto"/>
        <w:jc w:val="left"/>
        <w:rPr>
          <w:rFonts w:hint="eastAsia" w:ascii="宋体" w:hAnsi="宋体" w:cs="宋体"/>
          <w:b/>
          <w:color w:val="auto"/>
          <w:sz w:val="24"/>
          <w:highlight w:val="none"/>
        </w:rPr>
      </w:pPr>
      <w:r>
        <w:rPr>
          <w:rFonts w:hint="eastAsia" w:ascii="宋体" w:hAnsi="宋体" w:cs="宋体"/>
          <w:b/>
          <w:color w:val="auto"/>
          <w:sz w:val="32"/>
          <w:szCs w:val="32"/>
          <w:highlight w:val="none"/>
        </w:rPr>
        <w:t>1.资格证明文件封面格式：</w:t>
      </w:r>
      <w:r>
        <w:rPr>
          <w:rFonts w:hint="eastAsia" w:ascii="宋体" w:hAnsi="宋体" w:cs="宋体"/>
          <w:b/>
          <w:color w:val="auto"/>
          <w:sz w:val="24"/>
          <w:highlight w:val="none"/>
        </w:rPr>
        <w:t xml:space="preserve"> </w:t>
      </w:r>
    </w:p>
    <w:p w14:paraId="38E56CB4">
      <w:pPr>
        <w:spacing w:before="120" w:after="50"/>
        <w:jc w:val="center"/>
        <w:rPr>
          <w:rFonts w:hint="eastAsia" w:ascii="宋体" w:hAnsi="宋体" w:cs="宋体"/>
          <w:color w:val="auto"/>
          <w:sz w:val="44"/>
          <w:szCs w:val="44"/>
          <w:highlight w:val="none"/>
        </w:rPr>
      </w:pPr>
    </w:p>
    <w:p w14:paraId="7ED2C37D">
      <w:pPr>
        <w:spacing w:before="120" w:after="50"/>
        <w:jc w:val="center"/>
        <w:rPr>
          <w:rFonts w:hint="eastAsia" w:ascii="宋体" w:hAnsi="宋体" w:cs="宋体"/>
          <w:color w:val="auto"/>
          <w:sz w:val="44"/>
          <w:szCs w:val="44"/>
          <w:highlight w:val="none"/>
        </w:rPr>
      </w:pPr>
      <w:r>
        <w:rPr>
          <w:rFonts w:hint="eastAsia" w:ascii="宋体" w:hAnsi="宋体" w:cs="宋体"/>
          <w:color w:val="auto"/>
          <w:sz w:val="44"/>
          <w:szCs w:val="44"/>
          <w:highlight w:val="none"/>
        </w:rPr>
        <w:t>电 子 响 应 文 件</w:t>
      </w:r>
    </w:p>
    <w:p w14:paraId="5054E893">
      <w:pPr>
        <w:spacing w:before="120" w:after="50"/>
        <w:rPr>
          <w:rFonts w:hint="eastAsia" w:ascii="宋体" w:hAnsi="宋体" w:cs="宋体"/>
          <w:color w:val="auto"/>
          <w:sz w:val="24"/>
          <w:szCs w:val="20"/>
          <w:highlight w:val="none"/>
        </w:rPr>
      </w:pPr>
    </w:p>
    <w:p w14:paraId="3900ADB1">
      <w:pPr>
        <w:spacing w:before="120" w:after="50"/>
        <w:jc w:val="center"/>
        <w:rPr>
          <w:rFonts w:hint="eastAsia" w:ascii="宋体" w:hAnsi="宋体" w:cs="宋体"/>
          <w:bCs/>
          <w:color w:val="auto"/>
          <w:sz w:val="44"/>
          <w:szCs w:val="44"/>
          <w:highlight w:val="none"/>
        </w:rPr>
      </w:pPr>
      <w:r>
        <w:rPr>
          <w:rFonts w:hint="eastAsia" w:ascii="宋体" w:hAnsi="宋体" w:cs="宋体"/>
          <w:bCs/>
          <w:color w:val="auto"/>
          <w:sz w:val="44"/>
          <w:szCs w:val="44"/>
          <w:highlight w:val="none"/>
        </w:rPr>
        <w:t>资  格  证  明  文  件</w:t>
      </w:r>
    </w:p>
    <w:p w14:paraId="63906CF8">
      <w:pPr>
        <w:spacing w:before="120" w:after="50"/>
        <w:rPr>
          <w:rFonts w:hint="eastAsia" w:ascii="宋体" w:hAnsi="宋体" w:cs="宋体"/>
          <w:bCs/>
          <w:color w:val="auto"/>
          <w:sz w:val="24"/>
          <w:szCs w:val="20"/>
          <w:highlight w:val="none"/>
        </w:rPr>
      </w:pPr>
    </w:p>
    <w:p w14:paraId="12F47F48">
      <w:pPr>
        <w:spacing w:before="120" w:after="50"/>
        <w:rPr>
          <w:rFonts w:hint="eastAsia" w:ascii="宋体" w:hAnsi="宋体" w:cs="宋体"/>
          <w:bCs/>
          <w:color w:val="auto"/>
          <w:sz w:val="24"/>
          <w:szCs w:val="20"/>
          <w:highlight w:val="none"/>
        </w:rPr>
      </w:pPr>
    </w:p>
    <w:p w14:paraId="678E78B6">
      <w:pPr>
        <w:spacing w:before="120" w:after="50"/>
        <w:rPr>
          <w:rFonts w:hint="eastAsia" w:ascii="宋体" w:hAnsi="宋体" w:cs="宋体"/>
          <w:bCs/>
          <w:color w:val="auto"/>
          <w:sz w:val="24"/>
          <w:szCs w:val="20"/>
          <w:highlight w:val="none"/>
        </w:rPr>
      </w:pPr>
    </w:p>
    <w:p w14:paraId="30C1BF4D">
      <w:pPr>
        <w:spacing w:before="120" w:after="50"/>
        <w:rPr>
          <w:rFonts w:hint="eastAsia" w:ascii="宋体" w:hAnsi="宋体" w:cs="宋体"/>
          <w:bCs/>
          <w:color w:val="auto"/>
          <w:sz w:val="24"/>
          <w:szCs w:val="20"/>
          <w:highlight w:val="none"/>
        </w:rPr>
      </w:pPr>
    </w:p>
    <w:p w14:paraId="58A6987D">
      <w:pPr>
        <w:spacing w:before="120" w:after="50"/>
        <w:rPr>
          <w:rFonts w:hint="eastAsia" w:ascii="宋体" w:hAnsi="宋体" w:cs="宋体"/>
          <w:bCs/>
          <w:color w:val="auto"/>
          <w:sz w:val="24"/>
          <w:szCs w:val="20"/>
          <w:highlight w:val="none"/>
        </w:rPr>
      </w:pPr>
    </w:p>
    <w:p w14:paraId="0374DF6E">
      <w:pPr>
        <w:spacing w:before="120" w:after="50"/>
        <w:ind w:firstLine="640"/>
        <w:rPr>
          <w:rFonts w:hint="eastAsia" w:ascii="宋体" w:hAnsi="宋体" w:cs="宋体"/>
          <w:bCs/>
          <w:color w:val="auto"/>
          <w:sz w:val="32"/>
          <w:szCs w:val="32"/>
          <w:highlight w:val="none"/>
        </w:rPr>
      </w:pPr>
      <w:r>
        <w:rPr>
          <w:rFonts w:hint="eastAsia" w:ascii="宋体" w:hAnsi="宋体" w:cs="宋体"/>
          <w:bCs/>
          <w:color w:val="auto"/>
          <w:sz w:val="32"/>
          <w:szCs w:val="32"/>
          <w:highlight w:val="none"/>
        </w:rPr>
        <w:t>项目名称：</w:t>
      </w:r>
    </w:p>
    <w:p w14:paraId="0CF0FEF3">
      <w:pPr>
        <w:spacing w:before="120" w:after="50"/>
        <w:ind w:firstLine="720"/>
        <w:rPr>
          <w:rFonts w:hint="eastAsia" w:ascii="宋体" w:hAnsi="宋体" w:cs="宋体"/>
          <w:bCs/>
          <w:color w:val="auto"/>
          <w:sz w:val="32"/>
          <w:szCs w:val="32"/>
          <w:highlight w:val="none"/>
        </w:rPr>
      </w:pPr>
    </w:p>
    <w:p w14:paraId="7E8F5980">
      <w:pPr>
        <w:spacing w:before="120" w:after="50"/>
        <w:ind w:firstLine="720"/>
        <w:rPr>
          <w:rFonts w:hint="eastAsia" w:ascii="宋体" w:hAnsi="宋体" w:cs="宋体"/>
          <w:bCs/>
          <w:color w:val="auto"/>
          <w:sz w:val="32"/>
          <w:szCs w:val="32"/>
          <w:highlight w:val="none"/>
        </w:rPr>
      </w:pPr>
      <w:r>
        <w:rPr>
          <w:rFonts w:hint="eastAsia" w:ascii="宋体" w:hAnsi="宋体" w:cs="宋体"/>
          <w:bCs/>
          <w:color w:val="auto"/>
          <w:sz w:val="32"/>
          <w:szCs w:val="32"/>
          <w:highlight w:val="none"/>
        </w:rPr>
        <w:t>项目编号：</w:t>
      </w:r>
    </w:p>
    <w:p w14:paraId="0818CC7B">
      <w:pPr>
        <w:spacing w:before="120" w:after="50"/>
        <w:ind w:firstLine="720"/>
        <w:rPr>
          <w:rFonts w:hint="eastAsia" w:ascii="宋体" w:hAnsi="宋体" w:cs="宋体"/>
          <w:bCs/>
          <w:color w:val="auto"/>
          <w:sz w:val="32"/>
          <w:szCs w:val="32"/>
          <w:highlight w:val="none"/>
        </w:rPr>
      </w:pPr>
      <w:r>
        <w:rPr>
          <w:rFonts w:hint="eastAsia" w:ascii="宋体" w:hAnsi="宋体" w:cs="宋体"/>
          <w:bCs/>
          <w:color w:val="auto"/>
          <w:sz w:val="32"/>
          <w:szCs w:val="32"/>
          <w:highlight w:val="none"/>
        </w:rPr>
        <w:t xml:space="preserve"> </w:t>
      </w:r>
    </w:p>
    <w:p w14:paraId="304D0867">
      <w:pPr>
        <w:spacing w:before="120" w:after="50"/>
        <w:ind w:firstLine="720"/>
        <w:rPr>
          <w:rFonts w:hint="eastAsia" w:ascii="宋体" w:hAnsi="宋体" w:cs="宋体"/>
          <w:bCs/>
          <w:color w:val="auto"/>
          <w:sz w:val="32"/>
          <w:szCs w:val="32"/>
          <w:highlight w:val="none"/>
        </w:rPr>
      </w:pPr>
      <w:r>
        <w:rPr>
          <w:rFonts w:hint="eastAsia" w:ascii="宋体" w:hAnsi="宋体" w:cs="宋体"/>
          <w:bCs/>
          <w:color w:val="auto"/>
          <w:sz w:val="32"/>
          <w:szCs w:val="32"/>
          <w:highlight w:val="none"/>
        </w:rPr>
        <w:t>所竞分标（如有则填写，无分标时填写“无”或者留空）：</w:t>
      </w:r>
    </w:p>
    <w:p w14:paraId="59162D4C">
      <w:pPr>
        <w:spacing w:before="120" w:after="50"/>
        <w:ind w:firstLine="720"/>
        <w:rPr>
          <w:rFonts w:hint="eastAsia" w:ascii="宋体" w:hAnsi="宋体" w:cs="宋体"/>
          <w:bCs/>
          <w:color w:val="auto"/>
          <w:sz w:val="32"/>
          <w:szCs w:val="32"/>
          <w:highlight w:val="none"/>
        </w:rPr>
      </w:pPr>
    </w:p>
    <w:p w14:paraId="64017E25">
      <w:pPr>
        <w:pStyle w:val="43"/>
        <w:spacing w:before="50" w:after="50"/>
        <w:ind w:firstLine="720"/>
        <w:rPr>
          <w:rFonts w:hint="eastAsia" w:ascii="宋体" w:hAnsi="宋体" w:cs="宋体"/>
          <w:bCs/>
          <w:color w:val="auto"/>
          <w:sz w:val="32"/>
          <w:szCs w:val="32"/>
          <w:highlight w:val="none"/>
        </w:rPr>
      </w:pPr>
      <w:r>
        <w:rPr>
          <w:rFonts w:hint="eastAsia" w:ascii="宋体" w:hAnsi="宋体" w:cs="宋体"/>
          <w:bCs/>
          <w:color w:val="auto"/>
          <w:sz w:val="32"/>
          <w:szCs w:val="32"/>
          <w:highlight w:val="none"/>
        </w:rPr>
        <w:t>供应商名称：</w:t>
      </w:r>
    </w:p>
    <w:p w14:paraId="07659ADF">
      <w:pPr>
        <w:spacing w:before="120" w:after="50"/>
        <w:ind w:firstLine="640"/>
        <w:rPr>
          <w:rFonts w:hint="eastAsia" w:ascii="宋体" w:hAnsi="宋体" w:cs="宋体"/>
          <w:bCs/>
          <w:color w:val="auto"/>
          <w:sz w:val="32"/>
          <w:szCs w:val="32"/>
          <w:highlight w:val="none"/>
        </w:rPr>
      </w:pPr>
    </w:p>
    <w:p w14:paraId="1A667566">
      <w:pPr>
        <w:pStyle w:val="43"/>
        <w:spacing w:before="50" w:after="50"/>
        <w:ind w:firstLine="720"/>
        <w:rPr>
          <w:rFonts w:hint="eastAsia" w:ascii="宋体" w:hAnsi="宋体" w:cs="宋体"/>
          <w:bCs/>
          <w:color w:val="auto"/>
          <w:sz w:val="32"/>
          <w:szCs w:val="32"/>
          <w:highlight w:val="none"/>
        </w:rPr>
      </w:pPr>
    </w:p>
    <w:p w14:paraId="77365CCE">
      <w:pPr>
        <w:pStyle w:val="43"/>
        <w:spacing w:before="50" w:after="50"/>
        <w:ind w:firstLine="720"/>
        <w:rPr>
          <w:rFonts w:hint="eastAsia" w:ascii="宋体" w:hAnsi="宋体" w:cs="宋体"/>
          <w:bCs/>
          <w:color w:val="auto"/>
          <w:sz w:val="32"/>
          <w:szCs w:val="32"/>
          <w:highlight w:val="none"/>
        </w:rPr>
      </w:pPr>
    </w:p>
    <w:p w14:paraId="65DD0B8D">
      <w:pPr>
        <w:pStyle w:val="43"/>
        <w:spacing w:before="50" w:after="50"/>
        <w:ind w:firstLine="1280"/>
        <w:rPr>
          <w:rFonts w:hint="eastAsia" w:ascii="宋体" w:hAnsi="宋体" w:cs="宋体"/>
          <w:bCs/>
          <w:color w:val="auto"/>
          <w:sz w:val="32"/>
          <w:szCs w:val="32"/>
          <w:highlight w:val="none"/>
        </w:rPr>
      </w:pPr>
    </w:p>
    <w:p w14:paraId="2DEFCC0D">
      <w:pPr>
        <w:spacing w:before="120" w:after="50"/>
        <w:jc w:val="center"/>
        <w:rPr>
          <w:rFonts w:hint="eastAsia" w:ascii="宋体" w:hAnsi="宋体" w:cs="宋体"/>
          <w:color w:val="auto"/>
          <w:sz w:val="32"/>
          <w:szCs w:val="32"/>
          <w:highlight w:val="none"/>
        </w:rPr>
      </w:pPr>
      <w:r>
        <w:rPr>
          <w:rFonts w:hint="eastAsia" w:ascii="宋体" w:hAnsi="宋体" w:cs="宋体"/>
          <w:color w:val="auto"/>
          <w:sz w:val="32"/>
          <w:szCs w:val="32"/>
          <w:highlight w:val="none"/>
        </w:rPr>
        <w:t>年    月    日</w:t>
      </w:r>
    </w:p>
    <w:p w14:paraId="766F0644">
      <w:pPr>
        <w:spacing w:before="120" w:after="50" w:line="360" w:lineRule="auto"/>
        <w:ind w:left="142"/>
        <w:jc w:val="left"/>
        <w:rPr>
          <w:rFonts w:hint="eastAsia" w:ascii="宋体" w:hAnsi="宋体" w:cs="宋体"/>
          <w:b/>
          <w:bCs/>
          <w:color w:val="auto"/>
          <w:sz w:val="32"/>
          <w:szCs w:val="32"/>
          <w:highlight w:val="none"/>
        </w:rPr>
      </w:pPr>
      <w:r>
        <w:rPr>
          <w:rFonts w:hint="eastAsia" w:ascii="宋体" w:hAnsi="宋体" w:cs="宋体"/>
          <w:color w:val="auto"/>
          <w:sz w:val="24"/>
          <w:highlight w:val="none"/>
        </w:rPr>
        <w:br w:type="page" w:clear="all"/>
      </w:r>
      <w:r>
        <w:rPr>
          <w:rFonts w:hint="eastAsia" w:ascii="宋体" w:hAnsi="宋体" w:cs="宋体"/>
          <w:b/>
          <w:bCs/>
          <w:color w:val="auto"/>
          <w:sz w:val="32"/>
          <w:szCs w:val="32"/>
          <w:highlight w:val="none"/>
        </w:rPr>
        <w:t>2.资格证明文件目录</w:t>
      </w:r>
    </w:p>
    <w:p w14:paraId="57E1FCE6">
      <w:pPr>
        <w:spacing w:before="120" w:after="50" w:line="360" w:lineRule="auto"/>
        <w:ind w:firstLine="645"/>
        <w:rPr>
          <w:rFonts w:hint="eastAsia" w:ascii="宋体" w:hAnsi="宋体" w:cs="宋体"/>
          <w:color w:val="auto"/>
          <w:sz w:val="32"/>
          <w:szCs w:val="32"/>
          <w:highlight w:val="none"/>
        </w:rPr>
      </w:pPr>
      <w:r>
        <w:rPr>
          <w:rFonts w:hint="eastAsia" w:ascii="宋体" w:hAnsi="宋体" w:cs="宋体"/>
          <w:color w:val="auto"/>
          <w:sz w:val="32"/>
          <w:szCs w:val="32"/>
          <w:highlight w:val="none"/>
        </w:rPr>
        <w:t>根据磋商文件规定及供应商提供的材料自行编写目录（部分格式后附）。</w:t>
      </w:r>
    </w:p>
    <w:p w14:paraId="01BE06BE">
      <w:pPr>
        <w:spacing w:before="120" w:after="50"/>
        <w:rPr>
          <w:rFonts w:hint="eastAsia" w:ascii="宋体" w:hAnsi="宋体" w:cs="宋体"/>
          <w:color w:val="auto"/>
          <w:sz w:val="24"/>
          <w:szCs w:val="20"/>
          <w:highlight w:val="none"/>
        </w:rPr>
      </w:pPr>
      <w:r>
        <w:rPr>
          <w:rFonts w:hint="eastAsia" w:ascii="宋体" w:hAnsi="宋体" w:cs="宋体"/>
          <w:color w:val="auto"/>
          <w:sz w:val="24"/>
          <w:szCs w:val="20"/>
          <w:highlight w:val="none"/>
        </w:rPr>
        <w:t xml:space="preserve"> </w:t>
      </w:r>
    </w:p>
    <w:p w14:paraId="56CF0423">
      <w:pPr>
        <w:spacing w:line="300" w:lineRule="auto"/>
        <w:rPr>
          <w:rFonts w:hint="eastAsia" w:ascii="宋体" w:hAnsi="宋体" w:cs="宋体"/>
          <w:color w:val="auto"/>
          <w:szCs w:val="21"/>
          <w:highlight w:val="none"/>
        </w:rPr>
      </w:pPr>
    </w:p>
    <w:p w14:paraId="7320FBAD">
      <w:pPr>
        <w:spacing w:line="300" w:lineRule="auto"/>
        <w:rPr>
          <w:rFonts w:hint="eastAsia" w:ascii="宋体" w:hAnsi="宋体" w:cs="宋体"/>
          <w:color w:val="auto"/>
          <w:szCs w:val="21"/>
          <w:highlight w:val="none"/>
        </w:rPr>
      </w:pPr>
    </w:p>
    <w:p w14:paraId="77C1D644">
      <w:pPr>
        <w:spacing w:line="300" w:lineRule="auto"/>
        <w:rPr>
          <w:rFonts w:hint="eastAsia" w:ascii="宋体" w:hAnsi="宋体" w:cs="宋体"/>
          <w:color w:val="auto"/>
          <w:szCs w:val="21"/>
          <w:highlight w:val="none"/>
        </w:rPr>
      </w:pPr>
    </w:p>
    <w:p w14:paraId="5896E001">
      <w:pPr>
        <w:spacing w:line="300" w:lineRule="auto"/>
        <w:rPr>
          <w:rFonts w:hint="eastAsia" w:ascii="宋体" w:hAnsi="宋体" w:cs="宋体"/>
          <w:color w:val="auto"/>
          <w:szCs w:val="21"/>
          <w:highlight w:val="none"/>
        </w:rPr>
      </w:pPr>
    </w:p>
    <w:p w14:paraId="3D0CDBE5">
      <w:pPr>
        <w:spacing w:line="300" w:lineRule="auto"/>
        <w:rPr>
          <w:rFonts w:hint="eastAsia" w:ascii="宋体" w:hAnsi="宋体" w:cs="宋体"/>
          <w:color w:val="auto"/>
          <w:szCs w:val="21"/>
          <w:highlight w:val="none"/>
        </w:rPr>
      </w:pPr>
    </w:p>
    <w:p w14:paraId="31F70B0E">
      <w:pPr>
        <w:spacing w:line="300" w:lineRule="auto"/>
        <w:rPr>
          <w:rFonts w:hint="eastAsia" w:ascii="宋体" w:hAnsi="宋体" w:cs="宋体"/>
          <w:color w:val="auto"/>
          <w:szCs w:val="21"/>
          <w:highlight w:val="none"/>
        </w:rPr>
      </w:pPr>
    </w:p>
    <w:p w14:paraId="7150E924">
      <w:pPr>
        <w:spacing w:line="300" w:lineRule="auto"/>
        <w:rPr>
          <w:rFonts w:hint="eastAsia" w:ascii="宋体" w:hAnsi="宋体" w:cs="宋体"/>
          <w:color w:val="auto"/>
          <w:szCs w:val="21"/>
          <w:highlight w:val="none"/>
        </w:rPr>
      </w:pPr>
    </w:p>
    <w:p w14:paraId="2163581C">
      <w:pPr>
        <w:spacing w:line="300" w:lineRule="auto"/>
        <w:rPr>
          <w:rFonts w:hint="eastAsia" w:ascii="宋体" w:hAnsi="宋体" w:cs="宋体"/>
          <w:color w:val="auto"/>
          <w:szCs w:val="21"/>
          <w:highlight w:val="none"/>
        </w:rPr>
      </w:pPr>
    </w:p>
    <w:p w14:paraId="73522B80">
      <w:pPr>
        <w:spacing w:line="300" w:lineRule="auto"/>
        <w:rPr>
          <w:rFonts w:hint="eastAsia" w:ascii="宋体" w:hAnsi="宋体" w:cs="宋体"/>
          <w:color w:val="auto"/>
          <w:szCs w:val="21"/>
          <w:highlight w:val="none"/>
        </w:rPr>
      </w:pPr>
    </w:p>
    <w:p w14:paraId="7A848FF8">
      <w:pPr>
        <w:spacing w:line="300" w:lineRule="auto"/>
        <w:rPr>
          <w:rFonts w:hint="eastAsia" w:ascii="宋体" w:hAnsi="宋体" w:cs="宋体"/>
          <w:color w:val="auto"/>
          <w:szCs w:val="21"/>
          <w:highlight w:val="none"/>
        </w:rPr>
      </w:pPr>
    </w:p>
    <w:p w14:paraId="6FDA54D8">
      <w:pPr>
        <w:spacing w:line="300" w:lineRule="auto"/>
        <w:rPr>
          <w:rFonts w:hint="eastAsia" w:ascii="宋体" w:hAnsi="宋体" w:cs="宋体"/>
          <w:color w:val="auto"/>
          <w:szCs w:val="21"/>
          <w:highlight w:val="none"/>
        </w:rPr>
      </w:pPr>
    </w:p>
    <w:p w14:paraId="12C141CD">
      <w:pPr>
        <w:spacing w:line="300" w:lineRule="auto"/>
        <w:rPr>
          <w:rFonts w:hint="eastAsia" w:ascii="宋体" w:hAnsi="宋体" w:cs="宋体"/>
          <w:color w:val="auto"/>
          <w:szCs w:val="21"/>
          <w:highlight w:val="none"/>
        </w:rPr>
      </w:pPr>
    </w:p>
    <w:p w14:paraId="2253E790">
      <w:pPr>
        <w:spacing w:line="300" w:lineRule="auto"/>
        <w:rPr>
          <w:rFonts w:hint="eastAsia" w:ascii="宋体" w:hAnsi="宋体" w:cs="宋体"/>
          <w:color w:val="auto"/>
          <w:szCs w:val="21"/>
          <w:highlight w:val="none"/>
        </w:rPr>
      </w:pPr>
    </w:p>
    <w:p w14:paraId="1E187382">
      <w:pPr>
        <w:spacing w:line="300" w:lineRule="auto"/>
        <w:rPr>
          <w:rFonts w:hint="eastAsia" w:ascii="宋体" w:hAnsi="宋体" w:cs="宋体"/>
          <w:color w:val="auto"/>
          <w:szCs w:val="21"/>
          <w:highlight w:val="none"/>
        </w:rPr>
      </w:pPr>
    </w:p>
    <w:p w14:paraId="6EFB4466">
      <w:pPr>
        <w:spacing w:line="300" w:lineRule="auto"/>
        <w:rPr>
          <w:rFonts w:hint="eastAsia" w:ascii="宋体" w:hAnsi="宋体" w:cs="宋体"/>
          <w:color w:val="auto"/>
          <w:szCs w:val="21"/>
          <w:highlight w:val="none"/>
        </w:rPr>
      </w:pPr>
    </w:p>
    <w:p w14:paraId="6EB5C66C">
      <w:pPr>
        <w:spacing w:line="320" w:lineRule="exact"/>
        <w:jc w:val="left"/>
        <w:rPr>
          <w:rFonts w:hint="eastAsia" w:ascii="宋体" w:hAnsi="宋体" w:cs="宋体"/>
          <w:color w:val="auto"/>
          <w:szCs w:val="21"/>
          <w:highlight w:val="none"/>
        </w:rPr>
      </w:pPr>
      <w:r>
        <w:rPr>
          <w:rFonts w:hint="eastAsia" w:ascii="宋体" w:hAnsi="宋体" w:cs="宋体"/>
          <w:color w:val="auto"/>
          <w:szCs w:val="21"/>
          <w:highlight w:val="none"/>
        </w:rPr>
        <w:br w:type="page" w:clear="all"/>
      </w:r>
      <w:r>
        <w:rPr>
          <w:rFonts w:hint="eastAsia" w:ascii="宋体" w:hAnsi="宋体" w:cs="宋体"/>
          <w:color w:val="auto"/>
          <w:szCs w:val="21"/>
          <w:highlight w:val="none"/>
        </w:rPr>
        <w:t xml:space="preserve"> </w:t>
      </w:r>
    </w:p>
    <w:p w14:paraId="3C74373C">
      <w:pPr>
        <w:spacing w:before="50" w:after="120" w:line="360" w:lineRule="auto"/>
        <w:jc w:val="center"/>
        <w:rPr>
          <w:rFonts w:hint="eastAsia" w:ascii="宋体" w:hAnsi="宋体"/>
          <w:b/>
          <w:color w:val="auto"/>
          <w:sz w:val="32"/>
          <w:szCs w:val="32"/>
          <w:highlight w:val="none"/>
        </w:rPr>
      </w:pPr>
      <w:r>
        <w:rPr>
          <w:rFonts w:hint="eastAsia" w:ascii="宋体" w:hAnsi="宋体"/>
          <w:b/>
          <w:color w:val="auto"/>
          <w:sz w:val="32"/>
          <w:szCs w:val="32"/>
          <w:highlight w:val="none"/>
        </w:rPr>
        <w:t>供应商直接控股股东信息表</w:t>
      </w:r>
    </w:p>
    <w:tbl>
      <w:tblPr>
        <w:tblStyle w:val="33"/>
        <w:tblW w:w="9476" w:type="dxa"/>
        <w:tblInd w:w="-100" w:type="dxa"/>
        <w:shd w:val="clear" w:color="auto" w:fill="FBFBFB"/>
        <w:tblLayout w:type="fixed"/>
        <w:tblCellMar>
          <w:top w:w="120" w:type="dxa"/>
          <w:left w:w="120" w:type="dxa"/>
          <w:bottom w:w="120" w:type="dxa"/>
          <w:right w:w="120" w:type="dxa"/>
        </w:tblCellMar>
      </w:tblPr>
      <w:tblGrid>
        <w:gridCol w:w="828"/>
        <w:gridCol w:w="2269"/>
        <w:gridCol w:w="1239"/>
        <w:gridCol w:w="3722"/>
        <w:gridCol w:w="1418"/>
      </w:tblGrid>
      <w:tr w14:paraId="6D11FAD3">
        <w:tblPrEx>
          <w:shd w:val="clear" w:color="auto" w:fill="FBFBFB"/>
          <w:tblCellMar>
            <w:top w:w="120" w:type="dxa"/>
            <w:left w:w="120" w:type="dxa"/>
            <w:bottom w:w="120" w:type="dxa"/>
            <w:right w:w="12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4C92D6B">
            <w:pPr>
              <w:spacing w:line="360" w:lineRule="auto"/>
              <w:jc w:val="center"/>
              <w:rPr>
                <w:rFonts w:hint="eastAsia" w:ascii="宋体" w:hAnsi="宋体" w:cs="宋体"/>
                <w:b/>
                <w:bCs/>
                <w:color w:val="auto"/>
                <w:sz w:val="24"/>
                <w:highlight w:val="none"/>
              </w:rPr>
            </w:pPr>
            <w:r>
              <w:rPr>
                <w:rFonts w:hint="eastAsia" w:ascii="宋体" w:hAnsi="宋体" w:cs="宋体"/>
                <w:b/>
                <w:bCs/>
                <w:color w:val="auto"/>
                <w:sz w:val="24"/>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63EA9A2">
            <w:pPr>
              <w:spacing w:line="360" w:lineRule="auto"/>
              <w:jc w:val="center"/>
              <w:rPr>
                <w:rFonts w:hint="eastAsia" w:ascii="宋体" w:hAnsi="宋体" w:cs="宋体"/>
                <w:b/>
                <w:bCs/>
                <w:color w:val="auto"/>
                <w:sz w:val="24"/>
                <w:highlight w:val="none"/>
              </w:rPr>
            </w:pPr>
            <w:r>
              <w:rPr>
                <w:rFonts w:hint="eastAsia" w:ascii="宋体" w:hAnsi="宋体" w:cs="宋体"/>
                <w:b/>
                <w:bCs/>
                <w:color w:val="auto"/>
                <w:sz w:val="24"/>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AC4EA0B">
            <w:pPr>
              <w:spacing w:line="360" w:lineRule="auto"/>
              <w:jc w:val="center"/>
              <w:rPr>
                <w:rFonts w:hint="eastAsia" w:ascii="宋体" w:hAnsi="宋体" w:cs="宋体"/>
                <w:b/>
                <w:bCs/>
                <w:color w:val="auto"/>
                <w:sz w:val="24"/>
                <w:highlight w:val="none"/>
              </w:rPr>
            </w:pPr>
            <w:r>
              <w:rPr>
                <w:rFonts w:hint="eastAsia" w:ascii="宋体" w:hAnsi="宋体" w:cs="宋体"/>
                <w:b/>
                <w:bCs/>
                <w:color w:val="auto"/>
                <w:sz w:val="24"/>
                <w:highlight w:val="none"/>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76824EA">
            <w:pPr>
              <w:spacing w:line="360" w:lineRule="auto"/>
              <w:jc w:val="center"/>
              <w:rPr>
                <w:rFonts w:hint="eastAsia" w:ascii="宋体" w:hAnsi="宋体" w:cs="宋体"/>
                <w:b/>
                <w:bCs/>
                <w:color w:val="auto"/>
                <w:sz w:val="24"/>
                <w:highlight w:val="none"/>
              </w:rPr>
            </w:pPr>
            <w:r>
              <w:rPr>
                <w:rFonts w:hint="eastAsia" w:ascii="宋体" w:hAnsi="宋体" w:cs="宋体"/>
                <w:b/>
                <w:bCs/>
                <w:color w:val="auto"/>
                <w:sz w:val="24"/>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6324B25">
            <w:pPr>
              <w:spacing w:line="360" w:lineRule="auto"/>
              <w:jc w:val="center"/>
              <w:rPr>
                <w:rFonts w:hint="eastAsia" w:ascii="宋体" w:hAnsi="宋体" w:cs="宋体"/>
                <w:b/>
                <w:bCs/>
                <w:color w:val="auto"/>
                <w:sz w:val="24"/>
                <w:highlight w:val="none"/>
              </w:rPr>
            </w:pPr>
            <w:r>
              <w:rPr>
                <w:rFonts w:hint="eastAsia" w:ascii="宋体" w:hAnsi="宋体" w:cs="宋体"/>
                <w:b/>
                <w:bCs/>
                <w:color w:val="auto"/>
                <w:sz w:val="24"/>
                <w:highlight w:val="none"/>
              </w:rPr>
              <w:t>备注</w:t>
            </w:r>
          </w:p>
        </w:tc>
      </w:tr>
      <w:tr w14:paraId="10A8A71F">
        <w:tblPrEx>
          <w:tblCellMar>
            <w:top w:w="120" w:type="dxa"/>
            <w:left w:w="120" w:type="dxa"/>
            <w:bottom w:w="120" w:type="dxa"/>
            <w:right w:w="12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016B84B">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0954B69">
            <w:pPr>
              <w:spacing w:line="360" w:lineRule="auto"/>
              <w:jc w:val="center"/>
              <w:rPr>
                <w:rFonts w:hint="eastAsia" w:ascii="宋体" w:hAnsi="宋体" w:cs="宋体"/>
                <w:color w:val="auto"/>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5076628">
            <w:pPr>
              <w:spacing w:line="360" w:lineRule="auto"/>
              <w:jc w:val="center"/>
              <w:rPr>
                <w:rFonts w:hint="eastAsia" w:ascii="宋体" w:hAnsi="宋体" w:cs="宋体"/>
                <w:color w:val="auto"/>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9AE17E6">
            <w:pPr>
              <w:spacing w:line="360" w:lineRule="auto"/>
              <w:jc w:val="center"/>
              <w:rPr>
                <w:rFonts w:hint="eastAsia" w:ascii="宋体" w:hAnsi="宋体" w:cs="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B4D3CF9">
            <w:pPr>
              <w:spacing w:line="360" w:lineRule="auto"/>
              <w:jc w:val="center"/>
              <w:rPr>
                <w:rFonts w:hint="eastAsia" w:ascii="宋体" w:hAnsi="宋体" w:cs="宋体"/>
                <w:color w:val="auto"/>
                <w:sz w:val="24"/>
                <w:highlight w:val="none"/>
              </w:rPr>
            </w:pPr>
          </w:p>
        </w:tc>
      </w:tr>
      <w:tr w14:paraId="73D47B0F">
        <w:tblPrEx>
          <w:tblCellMar>
            <w:top w:w="120" w:type="dxa"/>
            <w:left w:w="120" w:type="dxa"/>
            <w:bottom w:w="120" w:type="dxa"/>
            <w:right w:w="12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9876D1F">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8BA2752">
            <w:pPr>
              <w:spacing w:line="360" w:lineRule="auto"/>
              <w:jc w:val="center"/>
              <w:rPr>
                <w:rFonts w:hint="eastAsia" w:ascii="宋体" w:hAnsi="宋体" w:cs="宋体"/>
                <w:color w:val="auto"/>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8A3AE53">
            <w:pPr>
              <w:spacing w:line="360" w:lineRule="auto"/>
              <w:jc w:val="center"/>
              <w:rPr>
                <w:rFonts w:hint="eastAsia" w:ascii="宋体" w:hAnsi="宋体" w:cs="宋体"/>
                <w:color w:val="auto"/>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D87E126">
            <w:pPr>
              <w:spacing w:line="360" w:lineRule="auto"/>
              <w:jc w:val="center"/>
              <w:rPr>
                <w:rFonts w:hint="eastAsia" w:ascii="宋体" w:hAnsi="宋体" w:cs="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BCDE0AC">
            <w:pPr>
              <w:spacing w:line="360" w:lineRule="auto"/>
              <w:jc w:val="center"/>
              <w:rPr>
                <w:rFonts w:hint="eastAsia" w:ascii="宋体" w:hAnsi="宋体" w:cs="宋体"/>
                <w:color w:val="auto"/>
                <w:sz w:val="24"/>
                <w:highlight w:val="none"/>
              </w:rPr>
            </w:pPr>
          </w:p>
        </w:tc>
      </w:tr>
      <w:tr w14:paraId="72DA0192">
        <w:tblPrEx>
          <w:tblCellMar>
            <w:top w:w="120" w:type="dxa"/>
            <w:left w:w="120" w:type="dxa"/>
            <w:bottom w:w="120" w:type="dxa"/>
            <w:right w:w="12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D0AC81F">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EE86502">
            <w:pPr>
              <w:spacing w:line="360" w:lineRule="auto"/>
              <w:jc w:val="center"/>
              <w:rPr>
                <w:rFonts w:hint="eastAsia" w:ascii="宋体" w:hAnsi="宋体" w:cs="宋体"/>
                <w:color w:val="auto"/>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05D0EF0">
            <w:pPr>
              <w:spacing w:line="360" w:lineRule="auto"/>
              <w:jc w:val="center"/>
              <w:rPr>
                <w:rFonts w:hint="eastAsia" w:ascii="宋体" w:hAnsi="宋体" w:cs="宋体"/>
                <w:color w:val="auto"/>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B7E4AD2">
            <w:pPr>
              <w:spacing w:line="360" w:lineRule="auto"/>
              <w:jc w:val="center"/>
              <w:rPr>
                <w:rFonts w:hint="eastAsia" w:ascii="宋体" w:hAnsi="宋体" w:cs="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32DB684">
            <w:pPr>
              <w:spacing w:line="360" w:lineRule="auto"/>
              <w:jc w:val="center"/>
              <w:rPr>
                <w:rFonts w:hint="eastAsia" w:ascii="宋体" w:hAnsi="宋体" w:cs="宋体"/>
                <w:color w:val="auto"/>
                <w:sz w:val="24"/>
                <w:highlight w:val="none"/>
              </w:rPr>
            </w:pPr>
          </w:p>
        </w:tc>
      </w:tr>
      <w:tr w14:paraId="58B60B7A">
        <w:tblPrEx>
          <w:tblCellMar>
            <w:top w:w="120" w:type="dxa"/>
            <w:left w:w="120" w:type="dxa"/>
            <w:bottom w:w="120" w:type="dxa"/>
            <w:right w:w="12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6F6DDA4">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95B70C0">
            <w:pPr>
              <w:spacing w:line="360" w:lineRule="auto"/>
              <w:jc w:val="center"/>
              <w:rPr>
                <w:rFonts w:hint="eastAsia" w:ascii="宋体" w:hAnsi="宋体" w:cs="宋体"/>
                <w:color w:val="auto"/>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190865F">
            <w:pPr>
              <w:spacing w:line="360" w:lineRule="auto"/>
              <w:jc w:val="center"/>
              <w:rPr>
                <w:rFonts w:hint="eastAsia" w:ascii="宋体" w:hAnsi="宋体" w:cs="宋体"/>
                <w:color w:val="auto"/>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32F7585">
            <w:pPr>
              <w:spacing w:line="360" w:lineRule="auto"/>
              <w:jc w:val="center"/>
              <w:rPr>
                <w:rFonts w:hint="eastAsia" w:ascii="宋体" w:hAnsi="宋体" w:cs="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14327BE">
            <w:pPr>
              <w:spacing w:line="360" w:lineRule="auto"/>
              <w:jc w:val="center"/>
              <w:rPr>
                <w:rFonts w:hint="eastAsia" w:ascii="宋体" w:hAnsi="宋体" w:cs="宋体"/>
                <w:color w:val="auto"/>
                <w:sz w:val="24"/>
                <w:highlight w:val="none"/>
              </w:rPr>
            </w:pPr>
          </w:p>
        </w:tc>
      </w:tr>
    </w:tbl>
    <w:p w14:paraId="188C52A1">
      <w:pPr>
        <w:spacing w:line="360" w:lineRule="auto"/>
        <w:jc w:val="left"/>
        <w:rPr>
          <w:rFonts w:hint="eastAsia" w:ascii="宋体" w:hAnsi="宋体"/>
          <w:color w:val="auto"/>
          <w:sz w:val="24"/>
          <w:highlight w:val="none"/>
        </w:rPr>
      </w:pPr>
      <w:r>
        <w:rPr>
          <w:rFonts w:hint="eastAsia" w:ascii="宋体" w:hAnsi="宋体"/>
          <w:color w:val="auto"/>
          <w:sz w:val="24"/>
          <w:highlight w:val="none"/>
        </w:rPr>
        <w:t>注：</w:t>
      </w:r>
    </w:p>
    <w:p w14:paraId="399F088F">
      <w:pPr>
        <w:spacing w:line="360" w:lineRule="auto"/>
        <w:jc w:val="left"/>
        <w:rPr>
          <w:rFonts w:hint="eastAsia" w:ascii="宋体" w:hAnsi="宋体"/>
          <w:color w:val="auto"/>
          <w:sz w:val="24"/>
          <w:highlight w:val="none"/>
        </w:rPr>
      </w:pPr>
      <w:r>
        <w:rPr>
          <w:rFonts w:hint="eastAsia" w:ascii="宋体" w:hAnsi="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33DE12B0">
      <w:pPr>
        <w:spacing w:line="360" w:lineRule="auto"/>
        <w:jc w:val="left"/>
        <w:rPr>
          <w:rFonts w:hint="eastAsia" w:ascii="宋体" w:hAnsi="宋体"/>
          <w:color w:val="auto"/>
          <w:sz w:val="24"/>
          <w:highlight w:val="none"/>
        </w:rPr>
      </w:pPr>
      <w:r>
        <w:rPr>
          <w:rFonts w:hint="eastAsia" w:ascii="宋体" w:hAnsi="宋体"/>
          <w:color w:val="auto"/>
          <w:sz w:val="24"/>
          <w:highlight w:val="none"/>
        </w:rPr>
        <w:t>2.本表所指的控股关系仅限于直接控股关系，不包括间接的控股关系。公司实际控制人与公司之间的关系不属于本表所指的直接控股关系。</w:t>
      </w:r>
    </w:p>
    <w:p w14:paraId="23D233DF">
      <w:pPr>
        <w:spacing w:line="360" w:lineRule="auto"/>
        <w:jc w:val="left"/>
        <w:rPr>
          <w:rFonts w:hint="eastAsia" w:ascii="宋体" w:hAnsi="宋体"/>
          <w:color w:val="auto"/>
          <w:sz w:val="24"/>
          <w:highlight w:val="none"/>
        </w:rPr>
      </w:pPr>
      <w:r>
        <w:rPr>
          <w:rFonts w:hint="eastAsia" w:ascii="宋体" w:hAnsi="宋体"/>
          <w:color w:val="auto"/>
          <w:sz w:val="24"/>
          <w:highlight w:val="none"/>
        </w:rPr>
        <w:t>3.供应商不存在直接控股股东的，则在“</w:t>
      </w:r>
      <w:r>
        <w:rPr>
          <w:rFonts w:hint="eastAsia" w:ascii="宋体" w:hAnsi="宋体" w:cs="宋体"/>
          <w:b/>
          <w:bCs/>
          <w:color w:val="auto"/>
          <w:sz w:val="24"/>
          <w:highlight w:val="none"/>
        </w:rPr>
        <w:t>直接控股股东名称</w:t>
      </w:r>
      <w:r>
        <w:rPr>
          <w:rFonts w:hint="eastAsia" w:ascii="宋体" w:hAnsi="宋体"/>
          <w:color w:val="auto"/>
          <w:sz w:val="24"/>
          <w:highlight w:val="none"/>
        </w:rPr>
        <w:t>”中填“无”。</w:t>
      </w:r>
    </w:p>
    <w:p w14:paraId="6A7ADE52">
      <w:pPr>
        <w:spacing w:line="360" w:lineRule="auto"/>
        <w:jc w:val="left"/>
        <w:rPr>
          <w:rFonts w:hint="eastAsia" w:ascii="宋体" w:hAnsi="宋体"/>
          <w:color w:val="auto"/>
          <w:sz w:val="24"/>
          <w:highlight w:val="none"/>
        </w:rPr>
      </w:pPr>
    </w:p>
    <w:p w14:paraId="53517CFA">
      <w:pPr>
        <w:spacing w:line="360" w:lineRule="auto"/>
        <w:jc w:val="left"/>
        <w:rPr>
          <w:rFonts w:hint="eastAsia" w:ascii="宋体" w:hAnsi="宋体"/>
          <w:color w:val="auto"/>
          <w:sz w:val="24"/>
          <w:highlight w:val="none"/>
        </w:rPr>
      </w:pPr>
    </w:p>
    <w:p w14:paraId="705CABF6">
      <w:pPr>
        <w:spacing w:line="360" w:lineRule="auto"/>
        <w:jc w:val="left"/>
        <w:rPr>
          <w:rFonts w:hint="eastAsia" w:ascii="宋体" w:hAnsi="宋体"/>
          <w:color w:val="auto"/>
          <w:sz w:val="24"/>
          <w:highlight w:val="none"/>
        </w:rPr>
      </w:pPr>
    </w:p>
    <w:p w14:paraId="41B223AF">
      <w:pPr>
        <w:spacing w:line="360" w:lineRule="auto"/>
        <w:ind w:left="-2" w:right="-817"/>
        <w:rPr>
          <w:rFonts w:hint="eastAsia" w:ascii="宋体" w:hAnsi="宋体"/>
          <w:color w:val="auto"/>
          <w:sz w:val="24"/>
          <w:highlight w:val="none"/>
        </w:rPr>
      </w:pPr>
      <w:r>
        <w:rPr>
          <w:rFonts w:hint="eastAsia" w:ascii="宋体" w:hAnsi="宋体"/>
          <w:color w:val="auto"/>
          <w:sz w:val="24"/>
          <w:highlight w:val="none"/>
        </w:rPr>
        <w:t xml:space="preserve">             法定代表人或者委托代理人（签字或者电子签名）：</w:t>
      </w:r>
    </w:p>
    <w:p w14:paraId="0520029F">
      <w:pPr>
        <w:spacing w:line="360" w:lineRule="auto"/>
        <w:ind w:left="-3" w:right="-817" w:hanging="28"/>
        <w:rPr>
          <w:rFonts w:hint="eastAsia" w:ascii="宋体" w:hAnsi="宋体"/>
          <w:color w:val="auto"/>
          <w:sz w:val="24"/>
          <w:highlight w:val="none"/>
        </w:rPr>
      </w:pPr>
      <w:r>
        <w:rPr>
          <w:rFonts w:hint="eastAsia" w:ascii="宋体" w:hAnsi="宋体"/>
          <w:color w:val="auto"/>
          <w:sz w:val="24"/>
          <w:highlight w:val="none"/>
        </w:rPr>
        <w:t xml:space="preserve">                                    供应商名称（电子签章）：</w:t>
      </w:r>
    </w:p>
    <w:p w14:paraId="5D35069F">
      <w:pPr>
        <w:spacing w:line="360" w:lineRule="auto"/>
        <w:jc w:val="left"/>
        <w:rPr>
          <w:rFonts w:hint="eastAsia" w:ascii="宋体" w:hAnsi="宋体"/>
          <w:color w:val="auto"/>
          <w:szCs w:val="21"/>
          <w:highlight w:val="none"/>
        </w:rPr>
      </w:pPr>
      <w:r>
        <w:rPr>
          <w:rFonts w:hint="eastAsia" w:ascii="宋体" w:hAnsi="宋体"/>
          <w:color w:val="auto"/>
          <w:sz w:val="24"/>
          <w:highlight w:val="none"/>
        </w:rPr>
        <w:t xml:space="preserve">                                    日期：    年   月   日</w:t>
      </w:r>
    </w:p>
    <w:p w14:paraId="32F3488C">
      <w:pPr>
        <w:jc w:val="center"/>
        <w:rPr>
          <w:rFonts w:hint="eastAsia" w:ascii="宋体" w:hAnsi="宋体"/>
          <w:b/>
          <w:color w:val="auto"/>
          <w:sz w:val="28"/>
          <w:szCs w:val="28"/>
          <w:highlight w:val="none"/>
        </w:rPr>
      </w:pPr>
    </w:p>
    <w:p w14:paraId="512AE36F">
      <w:pPr>
        <w:spacing w:line="360" w:lineRule="auto"/>
        <w:jc w:val="left"/>
        <w:rPr>
          <w:rFonts w:hint="eastAsia" w:ascii="宋体" w:hAnsi="宋体"/>
          <w:b/>
          <w:color w:val="auto"/>
          <w:sz w:val="32"/>
          <w:szCs w:val="32"/>
          <w:highlight w:val="none"/>
        </w:rPr>
      </w:pPr>
      <w:r>
        <w:rPr>
          <w:rFonts w:hint="eastAsia" w:ascii="宋体" w:hAnsi="宋体"/>
          <w:b/>
          <w:color w:val="auto"/>
          <w:sz w:val="32"/>
          <w:szCs w:val="32"/>
          <w:highlight w:val="none"/>
        </w:rPr>
        <w:br w:type="page" w:clear="all"/>
      </w:r>
    </w:p>
    <w:p w14:paraId="5D9E5E44">
      <w:pPr>
        <w:spacing w:line="360" w:lineRule="auto"/>
        <w:jc w:val="center"/>
        <w:rPr>
          <w:rFonts w:hint="eastAsia" w:ascii="宋体" w:hAnsi="宋体"/>
          <w:color w:val="auto"/>
          <w:sz w:val="32"/>
          <w:szCs w:val="32"/>
          <w:highlight w:val="none"/>
        </w:rPr>
      </w:pPr>
      <w:r>
        <w:rPr>
          <w:rFonts w:hint="eastAsia" w:ascii="宋体" w:hAnsi="宋体"/>
          <w:b/>
          <w:color w:val="auto"/>
          <w:sz w:val="32"/>
          <w:szCs w:val="32"/>
          <w:highlight w:val="none"/>
        </w:rPr>
        <w:t>供应商直接管理关系信息表</w:t>
      </w:r>
    </w:p>
    <w:tbl>
      <w:tblPr>
        <w:tblStyle w:val="33"/>
        <w:tblW w:w="9652" w:type="dxa"/>
        <w:tblInd w:w="-77" w:type="dxa"/>
        <w:shd w:val="clear" w:color="auto" w:fill="FBFBFB"/>
        <w:tblLayout w:type="fixed"/>
        <w:tblCellMar>
          <w:top w:w="120" w:type="dxa"/>
          <w:left w:w="120" w:type="dxa"/>
          <w:bottom w:w="120" w:type="dxa"/>
          <w:right w:w="120" w:type="dxa"/>
        </w:tblCellMar>
      </w:tblPr>
      <w:tblGrid>
        <w:gridCol w:w="1005"/>
        <w:gridCol w:w="2659"/>
        <w:gridCol w:w="3924"/>
        <w:gridCol w:w="2064"/>
      </w:tblGrid>
      <w:tr w14:paraId="743767E0">
        <w:tblPrEx>
          <w:shd w:val="clear" w:color="auto" w:fill="FBFBFB"/>
          <w:tblCellMar>
            <w:top w:w="120" w:type="dxa"/>
            <w:left w:w="120" w:type="dxa"/>
            <w:bottom w:w="120" w:type="dxa"/>
            <w:right w:w="12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58A061C">
            <w:pPr>
              <w:spacing w:line="360" w:lineRule="auto"/>
              <w:jc w:val="center"/>
              <w:rPr>
                <w:rFonts w:hint="eastAsia" w:ascii="宋体" w:hAnsi="宋体" w:cs="宋体"/>
                <w:b/>
                <w:bCs/>
                <w:color w:val="auto"/>
                <w:sz w:val="24"/>
                <w:highlight w:val="none"/>
              </w:rPr>
            </w:pPr>
            <w:r>
              <w:rPr>
                <w:rFonts w:hint="eastAsia" w:ascii="宋体" w:hAnsi="宋体" w:cs="宋体"/>
                <w:b/>
                <w:bCs/>
                <w:color w:val="auto"/>
                <w:sz w:val="24"/>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B032CC2">
            <w:pPr>
              <w:spacing w:line="360" w:lineRule="auto"/>
              <w:jc w:val="center"/>
              <w:rPr>
                <w:rFonts w:hint="eastAsia" w:ascii="宋体" w:hAnsi="宋体" w:cs="宋体"/>
                <w:b/>
                <w:bCs/>
                <w:color w:val="auto"/>
                <w:sz w:val="24"/>
                <w:highlight w:val="none"/>
              </w:rPr>
            </w:pPr>
            <w:r>
              <w:rPr>
                <w:rFonts w:hint="eastAsia" w:ascii="宋体" w:hAnsi="宋体" w:cs="宋体"/>
                <w:b/>
                <w:bCs/>
                <w:color w:val="auto"/>
                <w:sz w:val="24"/>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66228D3D">
            <w:pPr>
              <w:spacing w:line="360" w:lineRule="auto"/>
              <w:jc w:val="center"/>
              <w:rPr>
                <w:rFonts w:hint="eastAsia" w:ascii="宋体" w:hAnsi="宋体" w:cs="宋体"/>
                <w:b/>
                <w:bCs/>
                <w:color w:val="auto"/>
                <w:sz w:val="24"/>
                <w:highlight w:val="none"/>
              </w:rPr>
            </w:pPr>
            <w:r>
              <w:rPr>
                <w:rFonts w:hint="eastAsia" w:ascii="宋体" w:hAnsi="宋体" w:cs="宋体"/>
                <w:b/>
                <w:bCs/>
                <w:color w:val="auto"/>
                <w:sz w:val="24"/>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40EA45A">
            <w:pPr>
              <w:spacing w:line="360" w:lineRule="auto"/>
              <w:jc w:val="center"/>
              <w:rPr>
                <w:rFonts w:hint="eastAsia" w:ascii="宋体" w:hAnsi="宋体" w:cs="宋体"/>
                <w:b/>
                <w:bCs/>
                <w:color w:val="auto"/>
                <w:sz w:val="24"/>
                <w:highlight w:val="none"/>
              </w:rPr>
            </w:pPr>
            <w:r>
              <w:rPr>
                <w:rFonts w:hint="eastAsia" w:ascii="宋体" w:hAnsi="宋体" w:cs="宋体"/>
                <w:b/>
                <w:bCs/>
                <w:color w:val="auto"/>
                <w:sz w:val="24"/>
                <w:highlight w:val="none"/>
              </w:rPr>
              <w:t>相互关系</w:t>
            </w:r>
          </w:p>
        </w:tc>
      </w:tr>
      <w:tr w14:paraId="6FF8F315">
        <w:tblPrEx>
          <w:tblCellMar>
            <w:top w:w="120" w:type="dxa"/>
            <w:left w:w="120" w:type="dxa"/>
            <w:bottom w:w="120" w:type="dxa"/>
            <w:right w:w="12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3AA9674">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4C53090">
            <w:pPr>
              <w:spacing w:line="360" w:lineRule="auto"/>
              <w:jc w:val="center"/>
              <w:rPr>
                <w:rFonts w:hint="eastAsia" w:ascii="宋体" w:hAnsi="宋体" w:cs="宋体"/>
                <w:color w:val="auto"/>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C98FCEA">
            <w:pPr>
              <w:spacing w:line="360" w:lineRule="auto"/>
              <w:jc w:val="center"/>
              <w:rPr>
                <w:rFonts w:hint="eastAsia" w:ascii="宋体" w:hAnsi="宋体" w:cs="宋体"/>
                <w:color w:val="auto"/>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9636B97">
            <w:pPr>
              <w:spacing w:line="360" w:lineRule="auto"/>
              <w:jc w:val="center"/>
              <w:rPr>
                <w:rFonts w:hint="eastAsia" w:ascii="宋体" w:hAnsi="宋体" w:cs="宋体"/>
                <w:color w:val="auto"/>
                <w:sz w:val="24"/>
                <w:highlight w:val="none"/>
              </w:rPr>
            </w:pPr>
          </w:p>
        </w:tc>
      </w:tr>
      <w:tr w14:paraId="7D249762">
        <w:tblPrEx>
          <w:tblCellMar>
            <w:top w:w="120" w:type="dxa"/>
            <w:left w:w="120" w:type="dxa"/>
            <w:bottom w:w="120" w:type="dxa"/>
            <w:right w:w="12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02BA019">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5171A24">
            <w:pPr>
              <w:spacing w:line="360" w:lineRule="auto"/>
              <w:jc w:val="center"/>
              <w:rPr>
                <w:rFonts w:hint="eastAsia" w:ascii="宋体" w:hAnsi="宋体" w:cs="宋体"/>
                <w:color w:val="auto"/>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39D4591">
            <w:pPr>
              <w:spacing w:line="360" w:lineRule="auto"/>
              <w:jc w:val="center"/>
              <w:rPr>
                <w:rFonts w:hint="eastAsia" w:ascii="宋体" w:hAnsi="宋体" w:cs="宋体"/>
                <w:color w:val="auto"/>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AF1CFD9">
            <w:pPr>
              <w:spacing w:line="360" w:lineRule="auto"/>
              <w:jc w:val="center"/>
              <w:rPr>
                <w:rFonts w:hint="eastAsia" w:ascii="宋体" w:hAnsi="宋体" w:cs="宋体"/>
                <w:color w:val="auto"/>
                <w:sz w:val="24"/>
                <w:highlight w:val="none"/>
              </w:rPr>
            </w:pPr>
          </w:p>
        </w:tc>
      </w:tr>
      <w:tr w14:paraId="3B418147">
        <w:tblPrEx>
          <w:tblCellMar>
            <w:top w:w="120" w:type="dxa"/>
            <w:left w:w="120" w:type="dxa"/>
            <w:bottom w:w="120" w:type="dxa"/>
            <w:right w:w="12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C4A6D8F">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977B2C5">
            <w:pPr>
              <w:spacing w:line="360" w:lineRule="auto"/>
              <w:jc w:val="center"/>
              <w:rPr>
                <w:rFonts w:hint="eastAsia" w:ascii="宋体" w:hAnsi="宋体" w:cs="宋体"/>
                <w:color w:val="auto"/>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39FCB24">
            <w:pPr>
              <w:spacing w:line="360" w:lineRule="auto"/>
              <w:jc w:val="center"/>
              <w:rPr>
                <w:rFonts w:hint="eastAsia" w:ascii="宋体" w:hAnsi="宋体" w:cs="宋体"/>
                <w:color w:val="auto"/>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F7F716F">
            <w:pPr>
              <w:spacing w:line="360" w:lineRule="auto"/>
              <w:jc w:val="center"/>
              <w:rPr>
                <w:rFonts w:hint="eastAsia" w:ascii="宋体" w:hAnsi="宋体" w:cs="宋体"/>
                <w:color w:val="auto"/>
                <w:sz w:val="24"/>
                <w:highlight w:val="none"/>
              </w:rPr>
            </w:pPr>
          </w:p>
        </w:tc>
      </w:tr>
      <w:tr w14:paraId="684C69EB">
        <w:tblPrEx>
          <w:tblCellMar>
            <w:top w:w="120" w:type="dxa"/>
            <w:left w:w="120" w:type="dxa"/>
            <w:bottom w:w="120" w:type="dxa"/>
            <w:right w:w="12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30EC5D5">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CD0455F">
            <w:pPr>
              <w:spacing w:line="360" w:lineRule="auto"/>
              <w:jc w:val="center"/>
              <w:rPr>
                <w:rFonts w:hint="eastAsia" w:ascii="宋体" w:hAnsi="宋体" w:cs="宋体"/>
                <w:color w:val="auto"/>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9932999">
            <w:pPr>
              <w:spacing w:line="360" w:lineRule="auto"/>
              <w:jc w:val="center"/>
              <w:rPr>
                <w:rFonts w:hint="eastAsia" w:ascii="宋体" w:hAnsi="宋体" w:cs="宋体"/>
                <w:color w:val="auto"/>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8EC87AD">
            <w:pPr>
              <w:spacing w:line="360" w:lineRule="auto"/>
              <w:jc w:val="center"/>
              <w:rPr>
                <w:rFonts w:hint="eastAsia" w:ascii="宋体" w:hAnsi="宋体" w:cs="宋体"/>
                <w:color w:val="auto"/>
                <w:sz w:val="24"/>
                <w:highlight w:val="none"/>
              </w:rPr>
            </w:pPr>
          </w:p>
        </w:tc>
      </w:tr>
    </w:tbl>
    <w:p w14:paraId="4E1E912F">
      <w:pPr>
        <w:spacing w:line="360" w:lineRule="auto"/>
        <w:jc w:val="left"/>
        <w:rPr>
          <w:rFonts w:hint="eastAsia" w:ascii="宋体" w:hAnsi="宋体"/>
          <w:color w:val="auto"/>
          <w:sz w:val="24"/>
          <w:highlight w:val="none"/>
        </w:rPr>
      </w:pPr>
      <w:r>
        <w:rPr>
          <w:rFonts w:hint="eastAsia" w:ascii="宋体" w:hAnsi="宋体"/>
          <w:color w:val="auto"/>
          <w:sz w:val="24"/>
          <w:highlight w:val="none"/>
        </w:rPr>
        <w:t>注：</w:t>
      </w:r>
    </w:p>
    <w:p w14:paraId="7EA839C4">
      <w:pPr>
        <w:spacing w:line="360" w:lineRule="auto"/>
        <w:ind w:firstLine="480"/>
        <w:jc w:val="left"/>
        <w:rPr>
          <w:rFonts w:hint="eastAsia" w:ascii="宋体" w:hAnsi="宋体"/>
          <w:color w:val="auto"/>
          <w:sz w:val="24"/>
          <w:highlight w:val="none"/>
        </w:rPr>
      </w:pPr>
      <w:r>
        <w:rPr>
          <w:rFonts w:hint="eastAsia" w:ascii="宋体" w:hAnsi="宋体"/>
          <w:color w:val="auto"/>
          <w:sz w:val="24"/>
          <w:highlight w:val="none"/>
        </w:rPr>
        <w:t>1.管理关系：是指不具有出资持股关系的其他单位之间存在的管理与被管理关系，如一些上下级关系的事业单位和团体组织。</w:t>
      </w:r>
    </w:p>
    <w:p w14:paraId="4AC8DE1A">
      <w:pPr>
        <w:spacing w:line="360" w:lineRule="auto"/>
        <w:ind w:firstLine="480"/>
        <w:jc w:val="left"/>
        <w:rPr>
          <w:rFonts w:hint="eastAsia" w:ascii="宋体" w:hAnsi="宋体"/>
          <w:color w:val="auto"/>
          <w:sz w:val="24"/>
          <w:highlight w:val="none"/>
        </w:rPr>
      </w:pPr>
      <w:r>
        <w:rPr>
          <w:rFonts w:hint="eastAsia" w:ascii="宋体" w:hAnsi="宋体"/>
          <w:color w:val="auto"/>
          <w:sz w:val="24"/>
          <w:highlight w:val="none"/>
        </w:rPr>
        <w:t>2.</w:t>
      </w:r>
      <w:r>
        <w:rPr>
          <w:rFonts w:hint="eastAsia" w:ascii="宋体" w:hAnsi="宋体"/>
          <w:color w:val="auto"/>
          <w:spacing w:val="-6"/>
          <w:sz w:val="24"/>
          <w:highlight w:val="none"/>
        </w:rPr>
        <w:t>本表所指的管理关系仅限于直接管理关系，不包括间接的管理关系。</w:t>
      </w:r>
    </w:p>
    <w:p w14:paraId="4BE07FE5">
      <w:pPr>
        <w:spacing w:line="360" w:lineRule="auto"/>
        <w:ind w:firstLine="480"/>
        <w:jc w:val="left"/>
        <w:rPr>
          <w:rFonts w:hint="eastAsia" w:ascii="宋体" w:hAnsi="宋体"/>
          <w:color w:val="auto"/>
          <w:sz w:val="24"/>
          <w:highlight w:val="none"/>
        </w:rPr>
      </w:pPr>
      <w:r>
        <w:rPr>
          <w:rFonts w:hint="eastAsia" w:ascii="宋体" w:hAnsi="宋体"/>
          <w:color w:val="auto"/>
          <w:sz w:val="24"/>
          <w:highlight w:val="none"/>
        </w:rPr>
        <w:t>3.供应商不存在直接管理关系的，则在“</w:t>
      </w:r>
      <w:r>
        <w:rPr>
          <w:rFonts w:hint="eastAsia" w:ascii="宋体" w:hAnsi="宋体" w:cs="宋体"/>
          <w:b/>
          <w:bCs/>
          <w:color w:val="auto"/>
          <w:sz w:val="24"/>
          <w:highlight w:val="none"/>
        </w:rPr>
        <w:t>直接管理关系单位名称</w:t>
      </w:r>
      <w:r>
        <w:rPr>
          <w:rFonts w:hint="eastAsia" w:ascii="宋体" w:hAnsi="宋体"/>
          <w:color w:val="auto"/>
          <w:sz w:val="24"/>
          <w:highlight w:val="none"/>
        </w:rPr>
        <w:t>”中填“无”。</w:t>
      </w:r>
    </w:p>
    <w:p w14:paraId="3E424B90">
      <w:pPr>
        <w:spacing w:line="360" w:lineRule="auto"/>
        <w:jc w:val="left"/>
        <w:rPr>
          <w:rFonts w:hint="eastAsia" w:ascii="宋体" w:hAnsi="宋体"/>
          <w:color w:val="auto"/>
          <w:sz w:val="24"/>
          <w:highlight w:val="none"/>
        </w:rPr>
      </w:pPr>
    </w:p>
    <w:p w14:paraId="60B8555C">
      <w:pPr>
        <w:spacing w:line="360" w:lineRule="auto"/>
        <w:jc w:val="left"/>
        <w:rPr>
          <w:rFonts w:hint="eastAsia" w:ascii="宋体" w:hAnsi="宋体"/>
          <w:color w:val="auto"/>
          <w:sz w:val="24"/>
          <w:highlight w:val="none"/>
        </w:rPr>
      </w:pPr>
    </w:p>
    <w:p w14:paraId="4F31670F">
      <w:pPr>
        <w:spacing w:line="360" w:lineRule="auto"/>
        <w:jc w:val="left"/>
        <w:rPr>
          <w:rFonts w:hint="eastAsia" w:ascii="宋体" w:hAnsi="宋体"/>
          <w:color w:val="auto"/>
          <w:sz w:val="24"/>
          <w:highlight w:val="none"/>
        </w:rPr>
      </w:pPr>
    </w:p>
    <w:p w14:paraId="61925925">
      <w:pPr>
        <w:spacing w:line="360" w:lineRule="auto"/>
        <w:jc w:val="left"/>
        <w:rPr>
          <w:color w:val="auto"/>
          <w:sz w:val="24"/>
          <w:highlight w:val="none"/>
        </w:rPr>
      </w:pPr>
    </w:p>
    <w:p w14:paraId="64443E12">
      <w:pPr>
        <w:spacing w:line="360" w:lineRule="auto"/>
        <w:ind w:left="-2" w:right="-817"/>
        <w:rPr>
          <w:rFonts w:hint="eastAsia" w:ascii="宋体" w:hAnsi="宋体"/>
          <w:color w:val="auto"/>
          <w:sz w:val="24"/>
          <w:highlight w:val="none"/>
        </w:rPr>
      </w:pPr>
      <w:r>
        <w:rPr>
          <w:rFonts w:hint="eastAsia" w:ascii="宋体" w:hAnsi="宋体"/>
          <w:color w:val="auto"/>
          <w:sz w:val="24"/>
          <w:highlight w:val="none"/>
        </w:rPr>
        <w:t xml:space="preserve">            法定代表人或者委托代理人（签字或者电子签名）：</w:t>
      </w:r>
    </w:p>
    <w:p w14:paraId="3DB76D89">
      <w:pPr>
        <w:spacing w:line="360" w:lineRule="auto"/>
        <w:ind w:left="-3" w:right="-817" w:hanging="28"/>
        <w:rPr>
          <w:rFonts w:hint="eastAsia" w:ascii="宋体" w:hAnsi="宋体"/>
          <w:color w:val="auto"/>
          <w:sz w:val="24"/>
          <w:highlight w:val="none"/>
        </w:rPr>
      </w:pPr>
      <w:r>
        <w:rPr>
          <w:rFonts w:hint="eastAsia" w:ascii="宋体" w:hAnsi="宋体"/>
          <w:color w:val="auto"/>
          <w:sz w:val="24"/>
          <w:highlight w:val="none"/>
        </w:rPr>
        <w:t xml:space="preserve">                                  供应商名称（电子签章）：</w:t>
      </w:r>
    </w:p>
    <w:p w14:paraId="03EF8FE8">
      <w:pPr>
        <w:spacing w:line="360" w:lineRule="auto"/>
        <w:ind w:right="480" w:firstLine="240"/>
        <w:jc w:val="left"/>
        <w:rPr>
          <w:rFonts w:hint="eastAsia" w:ascii="宋体" w:hAnsi="宋体"/>
          <w:color w:val="auto"/>
          <w:szCs w:val="21"/>
          <w:highlight w:val="none"/>
        </w:rPr>
      </w:pPr>
      <w:r>
        <w:rPr>
          <w:rFonts w:hint="eastAsia" w:ascii="宋体" w:hAnsi="宋体"/>
          <w:color w:val="auto"/>
          <w:sz w:val="24"/>
          <w:highlight w:val="none"/>
        </w:rPr>
        <w:t xml:space="preserve">                                日期：    年   月   日</w:t>
      </w:r>
    </w:p>
    <w:p w14:paraId="426086FE">
      <w:pPr>
        <w:spacing w:line="320" w:lineRule="exact"/>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br w:type="page" w:clear="all"/>
      </w:r>
      <w:r>
        <w:rPr>
          <w:rFonts w:hint="eastAsia" w:ascii="宋体" w:hAnsi="宋体" w:cs="宋体"/>
          <w:b/>
          <w:color w:val="auto"/>
          <w:sz w:val="32"/>
          <w:szCs w:val="32"/>
          <w:highlight w:val="none"/>
        </w:rPr>
        <w:t>竞标声明</w:t>
      </w:r>
    </w:p>
    <w:p w14:paraId="0D282C27">
      <w:pPr>
        <w:spacing w:line="320" w:lineRule="exact"/>
        <w:jc w:val="center"/>
        <w:rPr>
          <w:rFonts w:hint="eastAsia" w:ascii="宋体" w:hAnsi="宋体" w:cs="宋体"/>
          <w:color w:val="auto"/>
          <w:sz w:val="24"/>
          <w:szCs w:val="20"/>
          <w:highlight w:val="none"/>
        </w:rPr>
      </w:pPr>
    </w:p>
    <w:p w14:paraId="6336D55A">
      <w:pPr>
        <w:spacing w:line="360" w:lineRule="auto"/>
        <w:contextualSpacing/>
        <w:rPr>
          <w:rFonts w:hint="eastAsia"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42D7BFB7">
      <w:pPr>
        <w:spacing w:line="360" w:lineRule="auto"/>
        <w:ind w:firstLine="480"/>
        <w:contextualSpacing/>
        <w:rPr>
          <w:rFonts w:hint="eastAsia" w:ascii="宋体" w:hAnsi="宋体" w:cs="宋体"/>
          <w:color w:val="auto"/>
          <w:sz w:val="24"/>
          <w:highlight w:val="none"/>
        </w:rPr>
      </w:pPr>
      <w:r>
        <w:rPr>
          <w:rFonts w:hint="eastAsia" w:ascii="宋体" w:hAnsi="宋体" w:cs="宋体"/>
          <w:color w:val="auto"/>
          <w:sz w:val="24"/>
          <w:highlight w:val="none"/>
        </w:rPr>
        <w:t>我方</w:t>
      </w:r>
      <w:r>
        <w:rPr>
          <w:rFonts w:hint="eastAsia" w:ascii="宋体" w:hAnsi="宋体" w:cs="宋体"/>
          <w:color w:val="auto"/>
          <w:sz w:val="24"/>
          <w:highlight w:val="none"/>
          <w:u w:val="single"/>
        </w:rPr>
        <w:t>（供应商名称）</w:t>
      </w:r>
      <w:r>
        <w:rPr>
          <w:rFonts w:hint="eastAsia" w:ascii="宋体" w:hAnsi="宋体" w:cs="宋体"/>
          <w:color w:val="auto"/>
          <w:sz w:val="24"/>
          <w:highlight w:val="none"/>
        </w:rPr>
        <w:t>系中华人民共和国合法供应商，经营地址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1E6A61DA">
      <w:pPr>
        <w:spacing w:line="360" w:lineRule="auto"/>
        <w:ind w:firstLine="480"/>
        <w:contextualSpacing/>
        <w:rPr>
          <w:rFonts w:hint="eastAsia" w:ascii="宋体" w:hAnsi="宋体" w:cs="宋体"/>
          <w:color w:val="auto"/>
          <w:sz w:val="24"/>
          <w:highlight w:val="none"/>
        </w:rPr>
      </w:pPr>
      <w:r>
        <w:rPr>
          <w:rFonts w:hint="eastAsia" w:ascii="宋体" w:hAnsi="宋体" w:cs="宋体"/>
          <w:color w:val="auto"/>
          <w:sz w:val="24"/>
          <w:highlight w:val="none"/>
        </w:rPr>
        <w:t>我方愿意参加贵方组织的</w:t>
      </w:r>
      <w:r>
        <w:rPr>
          <w:rFonts w:hint="eastAsia" w:ascii="宋体" w:hAnsi="宋体" w:cs="宋体"/>
          <w:color w:val="auto"/>
          <w:sz w:val="24"/>
          <w:highlight w:val="none"/>
          <w:u w:val="single"/>
        </w:rPr>
        <w:t>（项目名称）（项目编号）</w:t>
      </w:r>
      <w:r>
        <w:rPr>
          <w:rFonts w:hint="eastAsia" w:ascii="宋体" w:hAnsi="宋体" w:cs="宋体"/>
          <w:color w:val="auto"/>
          <w:sz w:val="24"/>
          <w:highlight w:val="none"/>
        </w:rPr>
        <w:t>项目的竞标，为便于贵方公正、择优地确定成交供应商及其服务，我方就本次竞标有关事项郑重声明如下：</w:t>
      </w:r>
    </w:p>
    <w:p w14:paraId="476A46CB">
      <w:pPr>
        <w:spacing w:line="360" w:lineRule="auto"/>
        <w:ind w:firstLine="480"/>
        <w:contextualSpacing/>
        <w:rPr>
          <w:rFonts w:hint="eastAsia" w:ascii="宋体" w:hAnsi="宋体" w:cs="宋体"/>
          <w:color w:val="auto"/>
          <w:sz w:val="24"/>
          <w:highlight w:val="none"/>
        </w:rPr>
      </w:pPr>
      <w:r>
        <w:rPr>
          <w:rFonts w:hint="eastAsia" w:ascii="宋体" w:hAnsi="宋体" w:cs="宋体"/>
          <w:color w:val="auto"/>
          <w:sz w:val="24"/>
          <w:highlight w:val="none"/>
        </w:rPr>
        <w:t>1.我方向贵方提交的所有响应文件、资料都是准确的和真实的。</w:t>
      </w:r>
    </w:p>
    <w:p w14:paraId="45475277">
      <w:pPr>
        <w:spacing w:line="360" w:lineRule="auto"/>
        <w:ind w:firstLine="480"/>
        <w:contextualSpacing/>
        <w:rPr>
          <w:rFonts w:hint="eastAsia" w:ascii="宋体" w:hAnsi="宋体" w:cs="宋体"/>
          <w:color w:val="auto"/>
          <w:sz w:val="24"/>
          <w:highlight w:val="none"/>
        </w:rPr>
      </w:pPr>
      <w:r>
        <w:rPr>
          <w:rFonts w:hint="eastAsia" w:ascii="宋体" w:hAnsi="宋体" w:cs="宋体"/>
          <w:color w:val="auto"/>
          <w:sz w:val="24"/>
          <w:highlight w:val="none"/>
        </w:rPr>
        <w:t>2.我方不是为本次采购项目提供整体设计、规范编制或者项目管理、监理、检测等服务的供应商。</w:t>
      </w:r>
    </w:p>
    <w:p w14:paraId="01EE6E49">
      <w:pPr>
        <w:spacing w:line="360" w:lineRule="auto"/>
        <w:ind w:firstLine="480"/>
        <w:contextualSpacing/>
        <w:rPr>
          <w:rFonts w:hint="eastAsia" w:ascii="宋体" w:hAnsi="宋体" w:cs="宋体"/>
          <w:color w:val="auto"/>
          <w:sz w:val="24"/>
          <w:highlight w:val="none"/>
        </w:rPr>
      </w:pPr>
      <w:r>
        <w:rPr>
          <w:rFonts w:hint="eastAsia" w:ascii="宋体" w:hAnsi="宋体" w:cs="宋体"/>
          <w:color w:val="auto"/>
          <w:sz w:val="24"/>
          <w:highlight w:val="none"/>
        </w:rPr>
        <w:t>3.在此，我方宣布同意如下：</w:t>
      </w:r>
    </w:p>
    <w:p w14:paraId="4C922814">
      <w:pPr>
        <w:spacing w:line="360" w:lineRule="auto"/>
        <w:ind w:firstLine="480"/>
        <w:contextualSpacing/>
        <w:rPr>
          <w:rFonts w:hint="eastAsia" w:ascii="宋体" w:hAnsi="宋体" w:cs="宋体"/>
          <w:color w:val="auto"/>
          <w:sz w:val="24"/>
          <w:highlight w:val="none"/>
        </w:rPr>
      </w:pPr>
      <w:r>
        <w:rPr>
          <w:rFonts w:hint="eastAsia" w:ascii="宋体" w:hAnsi="宋体" w:cs="宋体"/>
          <w:color w:val="auto"/>
          <w:sz w:val="24"/>
          <w:highlight w:val="none"/>
        </w:rPr>
        <w:t>（1）将按磋商文件的约定履行合同责任和义务；</w:t>
      </w:r>
    </w:p>
    <w:p w14:paraId="0461AC7E">
      <w:pPr>
        <w:spacing w:line="360" w:lineRule="auto"/>
        <w:ind w:firstLine="480"/>
        <w:contextualSpacing/>
        <w:rPr>
          <w:rFonts w:hint="eastAsia" w:ascii="宋体" w:hAnsi="宋体" w:cs="宋体"/>
          <w:color w:val="auto"/>
          <w:sz w:val="24"/>
          <w:highlight w:val="none"/>
        </w:rPr>
      </w:pPr>
      <w:r>
        <w:rPr>
          <w:rFonts w:hint="eastAsia" w:ascii="宋体" w:hAnsi="宋体" w:cs="宋体"/>
          <w:color w:val="auto"/>
          <w:sz w:val="24"/>
          <w:highlight w:val="none"/>
        </w:rPr>
        <w:t>（2）已详细审查全部磋商文件，包括澄清或者更正公告（如有）；</w:t>
      </w:r>
    </w:p>
    <w:p w14:paraId="1A012DA4">
      <w:pPr>
        <w:spacing w:line="360" w:lineRule="auto"/>
        <w:ind w:firstLine="480"/>
        <w:contextualSpacing/>
        <w:rPr>
          <w:rFonts w:hint="eastAsia" w:ascii="宋体" w:hAnsi="宋体" w:cs="宋体"/>
          <w:color w:val="auto"/>
          <w:sz w:val="24"/>
          <w:highlight w:val="none"/>
        </w:rPr>
      </w:pPr>
      <w:r>
        <w:rPr>
          <w:rFonts w:hint="eastAsia" w:ascii="宋体" w:hAnsi="宋体" w:cs="宋体"/>
          <w:color w:val="auto"/>
          <w:sz w:val="24"/>
          <w:highlight w:val="none"/>
        </w:rPr>
        <w:t>（3）同意提供按照贵方可能要求的与磋商有关的一切数据或者资料；</w:t>
      </w:r>
    </w:p>
    <w:p w14:paraId="01C9B1BE">
      <w:pPr>
        <w:spacing w:line="360" w:lineRule="auto"/>
        <w:ind w:firstLine="480"/>
        <w:contextualSpacing/>
        <w:rPr>
          <w:rFonts w:hint="eastAsia" w:ascii="宋体" w:hAnsi="宋体" w:cs="宋体"/>
          <w:color w:val="auto"/>
          <w:sz w:val="24"/>
          <w:highlight w:val="none"/>
        </w:rPr>
      </w:pPr>
      <w:r>
        <w:rPr>
          <w:rFonts w:hint="eastAsia" w:ascii="宋体" w:hAnsi="宋体" w:cs="宋体"/>
          <w:color w:val="auto"/>
          <w:sz w:val="24"/>
          <w:highlight w:val="none"/>
        </w:rPr>
        <w:t>（4）响应磋商文件规定的竞标有效期。</w:t>
      </w:r>
    </w:p>
    <w:p w14:paraId="26551599">
      <w:pPr>
        <w:spacing w:line="360" w:lineRule="auto"/>
        <w:ind w:firstLine="480"/>
        <w:contextualSpacing/>
        <w:rPr>
          <w:rFonts w:hint="eastAsia" w:ascii="宋体" w:hAnsi="宋体" w:cs="宋体"/>
          <w:color w:val="auto"/>
          <w:sz w:val="24"/>
          <w:highlight w:val="none"/>
        </w:rPr>
      </w:pPr>
      <w:r>
        <w:rPr>
          <w:rFonts w:hint="eastAsia" w:ascii="宋体" w:hAnsi="宋体" w:cs="宋体"/>
          <w:color w:val="auto"/>
          <w:sz w:val="24"/>
          <w:highlight w:val="none"/>
        </w:rPr>
        <w:t>4.我方承诺符合《中华人民共和国政府采购法》第二十二条规定：</w:t>
      </w:r>
    </w:p>
    <w:p w14:paraId="6756FCDD">
      <w:pPr>
        <w:spacing w:line="360" w:lineRule="auto"/>
        <w:ind w:firstLine="480"/>
        <w:contextualSpacing/>
        <w:rPr>
          <w:rFonts w:hint="eastAsia" w:ascii="宋体" w:hAnsi="宋体" w:cs="宋体"/>
          <w:color w:val="auto"/>
          <w:sz w:val="24"/>
          <w:highlight w:val="none"/>
        </w:rPr>
      </w:pPr>
      <w:r>
        <w:rPr>
          <w:rFonts w:hint="eastAsia" w:ascii="宋体" w:hAnsi="宋体" w:cs="宋体"/>
          <w:color w:val="auto"/>
          <w:sz w:val="24"/>
          <w:highlight w:val="none"/>
        </w:rPr>
        <w:t>（1）具有独立承担民事责任的能力；</w:t>
      </w:r>
    </w:p>
    <w:p w14:paraId="1B56E0D9">
      <w:pPr>
        <w:spacing w:line="360" w:lineRule="auto"/>
        <w:ind w:firstLine="480"/>
        <w:contextualSpacing/>
        <w:rPr>
          <w:rFonts w:hint="eastAsia" w:ascii="宋体" w:hAnsi="宋体" w:cs="宋体"/>
          <w:color w:val="auto"/>
          <w:sz w:val="24"/>
          <w:highlight w:val="none"/>
        </w:rPr>
      </w:pPr>
      <w:r>
        <w:rPr>
          <w:rFonts w:hint="eastAsia" w:ascii="宋体" w:hAnsi="宋体" w:cs="宋体"/>
          <w:color w:val="auto"/>
          <w:sz w:val="24"/>
          <w:highlight w:val="none"/>
        </w:rPr>
        <w:t>（2）具有良好的商业信誉和健全的财务会计制度；</w:t>
      </w:r>
    </w:p>
    <w:p w14:paraId="715E5525">
      <w:pPr>
        <w:spacing w:line="360" w:lineRule="auto"/>
        <w:ind w:firstLine="480"/>
        <w:contextualSpacing/>
        <w:rPr>
          <w:rFonts w:hint="eastAsia" w:ascii="宋体" w:hAnsi="宋体" w:cs="宋体"/>
          <w:color w:val="auto"/>
          <w:sz w:val="24"/>
          <w:highlight w:val="none"/>
        </w:rPr>
      </w:pPr>
      <w:r>
        <w:rPr>
          <w:rFonts w:hint="eastAsia" w:ascii="宋体" w:hAnsi="宋体" w:cs="宋体"/>
          <w:color w:val="auto"/>
          <w:sz w:val="24"/>
          <w:highlight w:val="none"/>
        </w:rPr>
        <w:t>（3）具有履行合同所必需的设备和专业技术能力；</w:t>
      </w:r>
    </w:p>
    <w:p w14:paraId="390987F0">
      <w:pPr>
        <w:spacing w:line="360" w:lineRule="auto"/>
        <w:ind w:firstLine="480"/>
        <w:contextualSpacing/>
        <w:rPr>
          <w:rFonts w:hint="eastAsia" w:ascii="宋体" w:hAnsi="宋体" w:cs="宋体"/>
          <w:color w:val="auto"/>
          <w:sz w:val="24"/>
          <w:highlight w:val="none"/>
        </w:rPr>
      </w:pPr>
      <w:r>
        <w:rPr>
          <w:rFonts w:hint="eastAsia" w:ascii="宋体" w:hAnsi="宋体" w:cs="宋体"/>
          <w:color w:val="auto"/>
          <w:sz w:val="24"/>
          <w:highlight w:val="none"/>
        </w:rPr>
        <w:t>（4）有依法缴纳税收和社会保障资金的良好记录；</w:t>
      </w:r>
    </w:p>
    <w:p w14:paraId="3A12E0F0">
      <w:pPr>
        <w:spacing w:line="360" w:lineRule="auto"/>
        <w:ind w:firstLine="480"/>
        <w:contextualSpacing/>
        <w:rPr>
          <w:rFonts w:hint="eastAsia"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14:paraId="19BDC917">
      <w:pPr>
        <w:spacing w:line="360" w:lineRule="auto"/>
        <w:ind w:firstLine="480"/>
        <w:contextualSpacing/>
        <w:rPr>
          <w:rFonts w:hint="eastAsia" w:ascii="宋体" w:hAnsi="宋体" w:cs="宋体"/>
          <w:color w:val="auto"/>
          <w:sz w:val="24"/>
          <w:highlight w:val="none"/>
        </w:rPr>
      </w:pPr>
      <w:r>
        <w:rPr>
          <w:rFonts w:hint="eastAsia" w:ascii="宋体" w:hAnsi="宋体" w:cs="宋体"/>
          <w:color w:val="auto"/>
          <w:sz w:val="24"/>
          <w:highlight w:val="none"/>
        </w:rPr>
        <w:t>（6）法律、行政法规规定的其他条件。</w:t>
      </w:r>
    </w:p>
    <w:p w14:paraId="22103C8C">
      <w:pPr>
        <w:spacing w:line="360" w:lineRule="auto"/>
        <w:ind w:firstLine="480"/>
        <w:contextualSpacing/>
        <w:rPr>
          <w:rFonts w:hint="eastAsia" w:ascii="宋体" w:hAnsi="宋体" w:cs="宋体"/>
          <w:color w:val="auto"/>
          <w:sz w:val="24"/>
          <w:highlight w:val="none"/>
        </w:rPr>
      </w:pPr>
      <w:r>
        <w:rPr>
          <w:rFonts w:hint="eastAsia" w:ascii="宋体" w:hAnsi="宋体" w:cs="宋体"/>
          <w:color w:val="auto"/>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03D48DBF">
      <w:pPr>
        <w:spacing w:line="360" w:lineRule="auto"/>
        <w:ind w:firstLine="480"/>
        <w:contextualSpacing/>
        <w:rPr>
          <w:rFonts w:hint="eastAsia" w:ascii="宋体" w:hAnsi="宋体" w:cs="宋体"/>
          <w:color w:val="auto"/>
          <w:sz w:val="24"/>
          <w:highlight w:val="none"/>
        </w:rPr>
      </w:pPr>
      <w:r>
        <w:rPr>
          <w:rFonts w:hint="eastAsia" w:ascii="宋体" w:hAnsi="宋体" w:cs="宋体"/>
          <w:color w:val="auto"/>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5D14A1CC">
      <w:pPr>
        <w:spacing w:line="360" w:lineRule="auto"/>
        <w:ind w:firstLine="480"/>
        <w:contextualSpacing/>
        <w:rPr>
          <w:rFonts w:hint="eastAsia" w:ascii="宋体" w:hAnsi="宋体" w:cs="宋体"/>
          <w:color w:val="auto"/>
          <w:sz w:val="24"/>
          <w:highlight w:val="none"/>
        </w:rPr>
      </w:pPr>
      <w:r>
        <w:rPr>
          <w:rFonts w:hint="eastAsia" w:ascii="宋体" w:hAnsi="宋体" w:cs="宋体"/>
          <w:color w:val="auto"/>
          <w:sz w:val="24"/>
          <w:highlight w:val="none"/>
        </w:rPr>
        <w:t>□我方本次响应文件内容中未涉及商业秘密；</w:t>
      </w:r>
    </w:p>
    <w:p w14:paraId="4FF27EEB">
      <w:pPr>
        <w:spacing w:line="360" w:lineRule="auto"/>
        <w:ind w:firstLine="480"/>
        <w:contextualSpacing/>
        <w:rPr>
          <w:rFonts w:hint="eastAsia" w:ascii="宋体" w:hAnsi="宋体" w:cs="宋体"/>
          <w:color w:val="auto"/>
          <w:sz w:val="24"/>
          <w:highlight w:val="none"/>
        </w:rPr>
      </w:pPr>
      <w:r>
        <w:rPr>
          <w:rFonts w:hint="eastAsia" w:ascii="宋体" w:hAnsi="宋体" w:cs="宋体"/>
          <w:color w:val="auto"/>
          <w:sz w:val="24"/>
          <w:highlight w:val="none"/>
        </w:rPr>
        <w:t>□我方本次响应文件涉及商业秘密的内容有：</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25C22C5C">
      <w:pPr>
        <w:pStyle w:val="226"/>
        <w:spacing w:line="360" w:lineRule="auto"/>
        <w:ind w:firstLine="480"/>
        <w:contextualSpacing/>
        <w:rPr>
          <w:rFonts w:hint="eastAsia" w:hAnsi="宋体" w:cs="宋体"/>
          <w:color w:val="auto"/>
          <w:sz w:val="24"/>
          <w:szCs w:val="24"/>
          <w:highlight w:val="none"/>
          <w:u w:val="single"/>
        </w:rPr>
      </w:pPr>
      <w:r>
        <w:rPr>
          <w:rFonts w:hint="eastAsia" w:hAnsi="宋体" w:cs="宋体"/>
          <w:color w:val="auto"/>
          <w:sz w:val="24"/>
          <w:szCs w:val="24"/>
          <w:highlight w:val="none"/>
        </w:rPr>
        <w:t>7.与本磋商有关的一切正式往来信函请寄：</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邮政编号：</w:t>
      </w:r>
      <w:r>
        <w:rPr>
          <w:rFonts w:hint="eastAsia" w:hAnsi="宋体" w:cs="宋体"/>
          <w:color w:val="auto"/>
          <w:sz w:val="24"/>
          <w:szCs w:val="24"/>
          <w:highlight w:val="none"/>
          <w:u w:val="single"/>
        </w:rPr>
        <w:t xml:space="preserve">        </w:t>
      </w:r>
    </w:p>
    <w:p w14:paraId="2D9D5010">
      <w:pPr>
        <w:pStyle w:val="226"/>
        <w:spacing w:line="360" w:lineRule="auto"/>
        <w:ind w:firstLine="480"/>
        <w:contextualSpacing/>
        <w:rPr>
          <w:rFonts w:hint="eastAsia" w:hAnsi="宋体" w:cs="宋体"/>
          <w:color w:val="auto"/>
          <w:sz w:val="24"/>
          <w:szCs w:val="24"/>
          <w:highlight w:val="none"/>
        </w:rPr>
      </w:pPr>
      <w:r>
        <w:rPr>
          <w:rFonts w:hint="eastAsia" w:hAnsi="宋体" w:cs="宋体"/>
          <w:color w:val="auto"/>
          <w:sz w:val="24"/>
          <w:szCs w:val="24"/>
          <w:highlight w:val="none"/>
        </w:rPr>
        <w:t>电话/传真：</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电子邮箱：</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w:t>
      </w:r>
    </w:p>
    <w:p w14:paraId="74199D08">
      <w:pPr>
        <w:pStyle w:val="221"/>
        <w:tabs>
          <w:tab w:val="left" w:pos="939"/>
        </w:tabs>
        <w:spacing w:line="360" w:lineRule="auto"/>
        <w:ind w:left="141" w:firstLine="360"/>
        <w:rPr>
          <w:rFonts w:hint="eastAsia" w:ascii="宋体" w:hAnsi="宋体" w:cs="宋体"/>
          <w:color w:val="auto"/>
          <w:sz w:val="24"/>
          <w:highlight w:val="none"/>
        </w:rPr>
      </w:pPr>
      <w:r>
        <w:rPr>
          <w:rFonts w:hint="eastAsia" w:ascii="宋体" w:hAnsi="宋体" w:cs="宋体"/>
          <w:color w:val="auto"/>
          <w:sz w:val="24"/>
          <w:highlight w:val="none"/>
        </w:rPr>
        <w:t>开户银行：</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账号：</w:t>
      </w:r>
      <w:r>
        <w:rPr>
          <w:rFonts w:hint="eastAsia" w:ascii="宋体" w:hAnsi="宋体" w:cs="宋体"/>
          <w:color w:val="auto"/>
          <w:sz w:val="24"/>
          <w:highlight w:val="none"/>
          <w:u w:val="single"/>
        </w:rPr>
        <w:t xml:space="preserve">                               </w:t>
      </w:r>
    </w:p>
    <w:p w14:paraId="6D0D7EC6">
      <w:pPr>
        <w:pStyle w:val="221"/>
        <w:tabs>
          <w:tab w:val="left" w:pos="939"/>
        </w:tabs>
        <w:spacing w:line="360" w:lineRule="auto"/>
        <w:ind w:left="0" w:firstLine="480"/>
        <w:rPr>
          <w:rFonts w:hint="eastAsia" w:ascii="宋体" w:hAnsi="宋体" w:cs="宋体"/>
          <w:color w:val="auto"/>
          <w:sz w:val="24"/>
          <w:highlight w:val="none"/>
        </w:rPr>
      </w:pPr>
      <w:r>
        <w:rPr>
          <w:rFonts w:hint="eastAsia" w:ascii="宋体" w:hAnsi="宋体" w:cs="宋体"/>
          <w:color w:val="auto"/>
          <w:sz w:val="24"/>
          <w:highlight w:val="none"/>
        </w:rPr>
        <w:t>8.以上事项如有虚假或者隐瞒，我方愿意承担一切后果，并不再寻求任何旨在减轻或者免除法律责任的辩解。</w:t>
      </w:r>
    </w:p>
    <w:p w14:paraId="713E11FD">
      <w:pPr>
        <w:pStyle w:val="221"/>
        <w:tabs>
          <w:tab w:val="left" w:pos="939"/>
        </w:tabs>
        <w:spacing w:line="360" w:lineRule="auto"/>
        <w:ind w:left="141" w:firstLine="360"/>
        <w:rPr>
          <w:rFonts w:hint="eastAsia" w:ascii="宋体" w:hAnsi="宋体" w:cs="宋体"/>
          <w:color w:val="auto"/>
          <w:sz w:val="24"/>
          <w:highlight w:val="none"/>
        </w:rPr>
      </w:pPr>
      <w:r>
        <w:rPr>
          <w:rFonts w:hint="eastAsia" w:ascii="宋体" w:hAnsi="宋体" w:cs="宋体"/>
          <w:color w:val="auto"/>
          <w:sz w:val="24"/>
          <w:highlight w:val="none"/>
        </w:rPr>
        <w:t>特此承诺。</w:t>
      </w:r>
    </w:p>
    <w:p w14:paraId="4945D2F8">
      <w:pPr>
        <w:spacing w:line="360" w:lineRule="auto"/>
        <w:ind w:firstLine="482"/>
        <w:contextualSpacing/>
        <w:jc w:val="left"/>
        <w:rPr>
          <w:rFonts w:hint="eastAsia" w:ascii="宋体" w:hAnsi="宋体" w:cs="宋体"/>
          <w:b/>
          <w:color w:val="auto"/>
          <w:sz w:val="24"/>
          <w:highlight w:val="none"/>
        </w:rPr>
      </w:pPr>
      <w:r>
        <w:rPr>
          <w:rFonts w:hint="eastAsia" w:ascii="宋体" w:hAnsi="宋体" w:cs="宋体"/>
          <w:b/>
          <w:color w:val="auto"/>
          <w:sz w:val="24"/>
          <w:highlight w:val="none"/>
        </w:rPr>
        <w:t>注：如为联合体竞标，盖章处须加盖联合体牵头人电子签章并由联合体牵头人法定代表人分别签字或者盖章或者电子签名，否则响应文件按无效处理。</w:t>
      </w:r>
    </w:p>
    <w:p w14:paraId="7BEBAC6E">
      <w:pPr>
        <w:spacing w:line="360" w:lineRule="auto"/>
        <w:contextualSpacing/>
        <w:jc w:val="left"/>
        <w:rPr>
          <w:rFonts w:hint="eastAsia" w:ascii="宋体" w:hAnsi="宋体" w:cs="宋体"/>
          <w:color w:val="auto"/>
          <w:szCs w:val="21"/>
          <w:highlight w:val="none"/>
        </w:rPr>
      </w:pPr>
    </w:p>
    <w:p w14:paraId="0E680A7B">
      <w:pPr>
        <w:spacing w:line="360" w:lineRule="auto"/>
        <w:ind w:firstLine="1575"/>
        <w:contextualSpacing/>
        <w:rPr>
          <w:rFonts w:hint="eastAsia" w:ascii="宋体" w:hAnsi="宋体" w:cs="宋体"/>
          <w:color w:val="auto"/>
          <w:highlight w:val="none"/>
        </w:rPr>
      </w:pPr>
      <w:r>
        <w:rPr>
          <w:rFonts w:hint="eastAsia" w:ascii="宋体" w:hAnsi="宋体" w:cs="宋体"/>
          <w:color w:val="auto"/>
          <w:highlight w:val="none"/>
        </w:rPr>
        <w:t>法定代表人（</w:t>
      </w:r>
      <w:r>
        <w:rPr>
          <w:rFonts w:hint="eastAsia" w:ascii="宋体" w:hAnsi="宋体" w:cs="宋体"/>
          <w:color w:val="auto"/>
          <w:sz w:val="24"/>
          <w:highlight w:val="none"/>
        </w:rPr>
        <w:t>签字或者盖章或者电子签名</w:t>
      </w:r>
      <w:r>
        <w:rPr>
          <w:rFonts w:hint="eastAsia" w:ascii="宋体" w:hAnsi="宋体" w:cs="宋体"/>
          <w:color w:val="auto"/>
          <w:highlight w:val="none"/>
        </w:rPr>
        <w:t>）：</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w:t>
      </w:r>
    </w:p>
    <w:p w14:paraId="3AC9A698">
      <w:pPr>
        <w:spacing w:line="360" w:lineRule="auto"/>
        <w:ind w:firstLine="3360"/>
        <w:contextualSpacing/>
        <w:rPr>
          <w:rFonts w:hint="eastAsia" w:ascii="宋体" w:hAnsi="宋体" w:cs="宋体"/>
          <w:color w:val="auto"/>
          <w:szCs w:val="21"/>
          <w:highlight w:val="none"/>
          <w:u w:val="single"/>
        </w:rPr>
      </w:pPr>
      <w:r>
        <w:rPr>
          <w:rFonts w:hint="eastAsia" w:ascii="宋体" w:hAnsi="宋体" w:cs="宋体"/>
          <w:color w:val="auto"/>
          <w:highlight w:val="none"/>
        </w:rPr>
        <w:t>供应商名称（电子签章）：</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w:t>
      </w:r>
      <w:r>
        <w:rPr>
          <w:rFonts w:hint="eastAsia" w:ascii="宋体" w:hAnsi="宋体" w:cs="宋体"/>
          <w:color w:val="auto"/>
          <w:szCs w:val="21"/>
          <w:highlight w:val="none"/>
        </w:rPr>
        <w:t xml:space="preserve">    </w:t>
      </w:r>
    </w:p>
    <w:p w14:paraId="2739F776">
      <w:pPr>
        <w:pStyle w:val="221"/>
        <w:tabs>
          <w:tab w:val="left" w:pos="939"/>
        </w:tabs>
        <w:spacing w:line="360" w:lineRule="auto"/>
        <w:ind w:left="0" w:firstLine="420"/>
        <w:rPr>
          <w:rFonts w:hint="eastAsia" w:ascii="宋体" w:hAnsi="宋体" w:cs="宋体"/>
          <w:color w:val="auto"/>
          <w:sz w:val="24"/>
          <w:highlight w:val="none"/>
        </w:rPr>
      </w:pPr>
      <w:r>
        <w:rPr>
          <w:rFonts w:hint="eastAsia" w:ascii="宋体" w:hAnsi="宋体" w:cs="宋体"/>
          <w:color w:val="auto"/>
          <w:szCs w:val="21"/>
          <w:highlight w:val="none"/>
        </w:rPr>
        <w:t xml:space="preserve">                                                        </w:t>
      </w:r>
      <w:r>
        <w:rPr>
          <w:rFonts w:hint="eastAsia" w:ascii="宋体" w:hAnsi="宋体" w:cs="宋体"/>
          <w:color w:val="auto"/>
          <w:highlight w:val="none"/>
        </w:rPr>
        <w:t xml:space="preserve"> 年    月    日</w:t>
      </w:r>
    </w:p>
    <w:p w14:paraId="4F0988D1">
      <w:pPr>
        <w:spacing w:line="360" w:lineRule="auto"/>
        <w:ind w:right="420"/>
        <w:contextualSpacing/>
        <w:jc w:val="left"/>
        <w:rPr>
          <w:rFonts w:hint="eastAsia" w:ascii="宋体" w:hAnsi="宋体" w:cs="宋体"/>
          <w:b/>
          <w:color w:val="auto"/>
          <w:sz w:val="32"/>
          <w:szCs w:val="32"/>
          <w:highlight w:val="none"/>
        </w:rPr>
      </w:pPr>
      <w:r>
        <w:rPr>
          <w:rFonts w:hint="eastAsia" w:ascii="宋体" w:hAnsi="宋体" w:cs="宋体"/>
          <w:color w:val="auto"/>
          <w:sz w:val="24"/>
          <w:highlight w:val="none"/>
        </w:rPr>
        <w:br w:type="page" w:clear="all"/>
      </w:r>
      <w:r>
        <w:rPr>
          <w:rFonts w:hint="eastAsia" w:ascii="宋体" w:hAnsi="宋体" w:cs="宋体"/>
          <w:b/>
          <w:bCs/>
          <w:color w:val="auto"/>
          <w:sz w:val="32"/>
          <w:szCs w:val="32"/>
          <w:highlight w:val="none"/>
        </w:rPr>
        <w:t>二、</w:t>
      </w:r>
      <w:r>
        <w:rPr>
          <w:rFonts w:hint="eastAsia" w:ascii="宋体" w:hAnsi="宋体" w:cs="宋体"/>
          <w:b/>
          <w:color w:val="auto"/>
          <w:sz w:val="32"/>
          <w:szCs w:val="32"/>
          <w:highlight w:val="none"/>
        </w:rPr>
        <w:t xml:space="preserve">报价文件格式 </w:t>
      </w:r>
    </w:p>
    <w:p w14:paraId="1549D49B">
      <w:pPr>
        <w:spacing w:before="120" w:after="50" w:line="360" w:lineRule="auto"/>
        <w:jc w:val="left"/>
        <w:rPr>
          <w:rFonts w:hint="eastAsia" w:ascii="宋体" w:hAnsi="宋体" w:cs="宋体"/>
          <w:b/>
          <w:color w:val="auto"/>
          <w:sz w:val="32"/>
          <w:szCs w:val="32"/>
          <w:highlight w:val="none"/>
        </w:rPr>
      </w:pPr>
      <w:r>
        <w:rPr>
          <w:rFonts w:hint="eastAsia" w:ascii="宋体" w:hAnsi="宋体" w:cs="宋体"/>
          <w:b/>
          <w:color w:val="auto"/>
          <w:sz w:val="32"/>
          <w:szCs w:val="32"/>
          <w:highlight w:val="none"/>
        </w:rPr>
        <w:t>1.报价文件封面格式</w:t>
      </w:r>
    </w:p>
    <w:p w14:paraId="1567B321">
      <w:pPr>
        <w:spacing w:before="120" w:after="50"/>
        <w:rPr>
          <w:rFonts w:hint="eastAsia" w:ascii="宋体" w:hAnsi="宋体" w:cs="宋体"/>
          <w:bCs/>
          <w:color w:val="auto"/>
          <w:sz w:val="32"/>
          <w:szCs w:val="20"/>
          <w:highlight w:val="none"/>
        </w:rPr>
      </w:pPr>
      <w:r>
        <w:rPr>
          <w:rFonts w:hint="eastAsia" w:ascii="宋体" w:hAnsi="宋体" w:cs="宋体"/>
          <w:color w:val="auto"/>
          <w:sz w:val="24"/>
          <w:highlight w:val="none"/>
        </w:rPr>
        <w:t xml:space="preserve">                                                    </w:t>
      </w:r>
    </w:p>
    <w:p w14:paraId="5C2F1C67">
      <w:pPr>
        <w:spacing w:before="120" w:after="50"/>
        <w:jc w:val="center"/>
        <w:rPr>
          <w:rFonts w:hint="eastAsia" w:ascii="宋体" w:hAnsi="宋体" w:cs="宋体"/>
          <w:color w:val="auto"/>
          <w:sz w:val="24"/>
          <w:szCs w:val="20"/>
          <w:highlight w:val="none"/>
        </w:rPr>
      </w:pPr>
      <w:r>
        <w:rPr>
          <w:rFonts w:hint="eastAsia" w:ascii="宋体" w:hAnsi="宋体" w:cs="宋体"/>
          <w:color w:val="auto"/>
          <w:sz w:val="44"/>
          <w:szCs w:val="44"/>
          <w:highlight w:val="none"/>
        </w:rPr>
        <w:t>电 子 响 应 文 件</w:t>
      </w:r>
    </w:p>
    <w:p w14:paraId="10634375">
      <w:pPr>
        <w:spacing w:before="120" w:after="50"/>
        <w:rPr>
          <w:rFonts w:hint="eastAsia" w:ascii="宋体" w:hAnsi="宋体" w:cs="宋体"/>
          <w:color w:val="auto"/>
          <w:sz w:val="24"/>
          <w:szCs w:val="20"/>
          <w:highlight w:val="none"/>
        </w:rPr>
      </w:pPr>
    </w:p>
    <w:p w14:paraId="396BB47C">
      <w:pPr>
        <w:spacing w:before="120" w:after="50"/>
        <w:rPr>
          <w:rFonts w:hint="eastAsia" w:ascii="宋体" w:hAnsi="宋体" w:cs="宋体"/>
          <w:color w:val="auto"/>
          <w:sz w:val="24"/>
          <w:szCs w:val="20"/>
          <w:highlight w:val="none"/>
        </w:rPr>
      </w:pPr>
    </w:p>
    <w:p w14:paraId="2DCBCA0B">
      <w:pPr>
        <w:spacing w:before="120" w:after="50"/>
        <w:jc w:val="center"/>
        <w:rPr>
          <w:rFonts w:hint="eastAsia" w:ascii="宋体" w:hAnsi="宋体" w:cs="宋体"/>
          <w:bCs/>
          <w:color w:val="auto"/>
          <w:sz w:val="44"/>
          <w:szCs w:val="44"/>
          <w:highlight w:val="none"/>
        </w:rPr>
      </w:pPr>
      <w:r>
        <w:rPr>
          <w:rFonts w:hint="eastAsia" w:ascii="宋体" w:hAnsi="宋体" w:cs="宋体"/>
          <w:bCs/>
          <w:color w:val="auto"/>
          <w:sz w:val="44"/>
          <w:szCs w:val="44"/>
          <w:highlight w:val="none"/>
        </w:rPr>
        <w:t>报  价  文  件</w:t>
      </w:r>
    </w:p>
    <w:p w14:paraId="72E6C817">
      <w:pPr>
        <w:spacing w:before="120" w:after="50"/>
        <w:rPr>
          <w:rFonts w:hint="eastAsia" w:ascii="宋体" w:hAnsi="宋体" w:cs="宋体"/>
          <w:bCs/>
          <w:color w:val="auto"/>
          <w:sz w:val="24"/>
          <w:szCs w:val="20"/>
          <w:highlight w:val="none"/>
        </w:rPr>
      </w:pPr>
    </w:p>
    <w:p w14:paraId="0CC43834">
      <w:pPr>
        <w:spacing w:before="120" w:after="50"/>
        <w:rPr>
          <w:rFonts w:hint="eastAsia" w:ascii="宋体" w:hAnsi="宋体" w:cs="宋体"/>
          <w:bCs/>
          <w:color w:val="auto"/>
          <w:sz w:val="24"/>
          <w:szCs w:val="20"/>
          <w:highlight w:val="none"/>
        </w:rPr>
      </w:pPr>
    </w:p>
    <w:p w14:paraId="59598F24">
      <w:pPr>
        <w:spacing w:before="120" w:after="50"/>
        <w:rPr>
          <w:rFonts w:hint="eastAsia" w:ascii="宋体" w:hAnsi="宋体" w:cs="宋体"/>
          <w:bCs/>
          <w:color w:val="auto"/>
          <w:sz w:val="24"/>
          <w:szCs w:val="20"/>
          <w:highlight w:val="none"/>
        </w:rPr>
      </w:pPr>
    </w:p>
    <w:p w14:paraId="7BA427CD">
      <w:pPr>
        <w:spacing w:before="120" w:after="50"/>
        <w:rPr>
          <w:rFonts w:hint="eastAsia" w:ascii="宋体" w:hAnsi="宋体" w:cs="宋体"/>
          <w:bCs/>
          <w:color w:val="auto"/>
          <w:sz w:val="24"/>
          <w:szCs w:val="20"/>
          <w:highlight w:val="none"/>
        </w:rPr>
      </w:pPr>
    </w:p>
    <w:p w14:paraId="434DFCF9">
      <w:pPr>
        <w:spacing w:before="120" w:after="50"/>
        <w:rPr>
          <w:rFonts w:hint="eastAsia" w:ascii="宋体" w:hAnsi="宋体" w:cs="宋体"/>
          <w:bCs/>
          <w:color w:val="auto"/>
          <w:sz w:val="24"/>
          <w:szCs w:val="20"/>
          <w:highlight w:val="none"/>
        </w:rPr>
      </w:pPr>
    </w:p>
    <w:p w14:paraId="68C90795">
      <w:pPr>
        <w:spacing w:before="120" w:after="50"/>
        <w:ind w:firstLine="640"/>
        <w:rPr>
          <w:rFonts w:hint="eastAsia" w:ascii="宋体" w:hAnsi="宋体" w:cs="宋体"/>
          <w:bCs/>
          <w:color w:val="auto"/>
          <w:sz w:val="32"/>
          <w:szCs w:val="32"/>
          <w:highlight w:val="none"/>
        </w:rPr>
      </w:pPr>
      <w:r>
        <w:rPr>
          <w:rFonts w:hint="eastAsia" w:ascii="宋体" w:hAnsi="宋体" w:cs="宋体"/>
          <w:bCs/>
          <w:color w:val="auto"/>
          <w:sz w:val="32"/>
          <w:szCs w:val="32"/>
          <w:highlight w:val="none"/>
        </w:rPr>
        <w:t>项目名称：</w:t>
      </w:r>
    </w:p>
    <w:p w14:paraId="28387E04">
      <w:pPr>
        <w:spacing w:before="120" w:after="50"/>
        <w:ind w:firstLine="720"/>
        <w:rPr>
          <w:rFonts w:hint="eastAsia" w:ascii="宋体" w:hAnsi="宋体" w:cs="宋体"/>
          <w:bCs/>
          <w:color w:val="auto"/>
          <w:sz w:val="32"/>
          <w:szCs w:val="32"/>
          <w:highlight w:val="none"/>
        </w:rPr>
      </w:pPr>
    </w:p>
    <w:p w14:paraId="3D9C5375">
      <w:pPr>
        <w:spacing w:before="120" w:after="50"/>
        <w:ind w:firstLine="640"/>
        <w:rPr>
          <w:rFonts w:hint="eastAsia" w:ascii="宋体" w:hAnsi="宋体" w:cs="宋体"/>
          <w:bCs/>
          <w:color w:val="auto"/>
          <w:sz w:val="32"/>
          <w:szCs w:val="32"/>
          <w:highlight w:val="none"/>
        </w:rPr>
      </w:pPr>
      <w:r>
        <w:rPr>
          <w:rFonts w:hint="eastAsia" w:ascii="宋体" w:hAnsi="宋体" w:cs="宋体"/>
          <w:bCs/>
          <w:color w:val="auto"/>
          <w:sz w:val="32"/>
          <w:szCs w:val="32"/>
          <w:highlight w:val="none"/>
        </w:rPr>
        <w:t>项目编号：</w:t>
      </w:r>
    </w:p>
    <w:p w14:paraId="0F69D9E6">
      <w:pPr>
        <w:spacing w:before="120" w:after="50"/>
        <w:ind w:firstLine="720"/>
        <w:rPr>
          <w:rFonts w:hint="eastAsia" w:ascii="宋体" w:hAnsi="宋体" w:cs="宋体"/>
          <w:bCs/>
          <w:color w:val="auto"/>
          <w:sz w:val="32"/>
          <w:szCs w:val="32"/>
          <w:highlight w:val="none"/>
        </w:rPr>
      </w:pPr>
      <w:r>
        <w:rPr>
          <w:rFonts w:hint="eastAsia" w:ascii="宋体" w:hAnsi="宋体" w:cs="宋体"/>
          <w:bCs/>
          <w:color w:val="auto"/>
          <w:sz w:val="32"/>
          <w:szCs w:val="32"/>
          <w:highlight w:val="none"/>
        </w:rPr>
        <w:t xml:space="preserve"> </w:t>
      </w:r>
    </w:p>
    <w:p w14:paraId="204ACDAD">
      <w:pPr>
        <w:spacing w:before="120" w:after="50"/>
        <w:ind w:firstLine="640"/>
        <w:rPr>
          <w:rFonts w:hint="eastAsia" w:ascii="宋体" w:hAnsi="宋体" w:cs="宋体"/>
          <w:bCs/>
          <w:color w:val="auto"/>
          <w:sz w:val="32"/>
          <w:szCs w:val="32"/>
          <w:highlight w:val="none"/>
        </w:rPr>
      </w:pPr>
      <w:r>
        <w:rPr>
          <w:rFonts w:hint="eastAsia" w:ascii="宋体" w:hAnsi="宋体" w:cs="宋体"/>
          <w:bCs/>
          <w:color w:val="auto"/>
          <w:sz w:val="32"/>
          <w:szCs w:val="32"/>
          <w:highlight w:val="none"/>
        </w:rPr>
        <w:t>所竞分标（如有则填写，无分标时填写“无”或者留空）：</w:t>
      </w:r>
    </w:p>
    <w:p w14:paraId="570AD78A">
      <w:pPr>
        <w:spacing w:before="120" w:after="50"/>
        <w:ind w:firstLine="720"/>
        <w:rPr>
          <w:rFonts w:hint="eastAsia" w:ascii="宋体" w:hAnsi="宋体" w:cs="宋体"/>
          <w:bCs/>
          <w:color w:val="auto"/>
          <w:sz w:val="32"/>
          <w:szCs w:val="32"/>
          <w:highlight w:val="none"/>
        </w:rPr>
      </w:pPr>
    </w:p>
    <w:p w14:paraId="07C483BF">
      <w:pPr>
        <w:pStyle w:val="43"/>
        <w:spacing w:before="50" w:after="50"/>
        <w:ind w:firstLine="640"/>
        <w:rPr>
          <w:rFonts w:hint="eastAsia" w:ascii="宋体" w:hAnsi="宋体" w:cs="宋体"/>
          <w:bCs/>
          <w:color w:val="auto"/>
          <w:sz w:val="32"/>
          <w:szCs w:val="32"/>
          <w:highlight w:val="none"/>
        </w:rPr>
      </w:pPr>
      <w:r>
        <w:rPr>
          <w:rFonts w:hint="eastAsia" w:ascii="宋体" w:hAnsi="宋体" w:cs="宋体"/>
          <w:bCs/>
          <w:color w:val="auto"/>
          <w:sz w:val="32"/>
          <w:szCs w:val="32"/>
          <w:highlight w:val="none"/>
        </w:rPr>
        <w:t>供应商名称：</w:t>
      </w:r>
    </w:p>
    <w:p w14:paraId="6C7C7EE5">
      <w:pPr>
        <w:pStyle w:val="43"/>
        <w:spacing w:before="50" w:after="50"/>
        <w:ind w:firstLine="640"/>
        <w:rPr>
          <w:rFonts w:hint="eastAsia" w:ascii="宋体" w:hAnsi="宋体" w:cs="宋体"/>
          <w:bCs/>
          <w:color w:val="auto"/>
          <w:sz w:val="32"/>
          <w:szCs w:val="32"/>
          <w:highlight w:val="none"/>
        </w:rPr>
      </w:pPr>
    </w:p>
    <w:p w14:paraId="22A34648">
      <w:pPr>
        <w:pStyle w:val="43"/>
        <w:spacing w:before="50" w:after="50"/>
        <w:ind w:firstLine="720"/>
        <w:rPr>
          <w:rFonts w:hint="eastAsia" w:ascii="宋体" w:hAnsi="宋体" w:cs="宋体"/>
          <w:bCs/>
          <w:color w:val="auto"/>
          <w:sz w:val="32"/>
          <w:szCs w:val="32"/>
          <w:highlight w:val="none"/>
        </w:rPr>
      </w:pPr>
    </w:p>
    <w:p w14:paraId="6E5FFB60">
      <w:pPr>
        <w:pStyle w:val="43"/>
        <w:spacing w:before="50" w:after="50"/>
        <w:ind w:firstLine="0"/>
        <w:rPr>
          <w:rFonts w:hint="eastAsia" w:ascii="宋体" w:hAnsi="宋体" w:cs="宋体"/>
          <w:bCs/>
          <w:color w:val="auto"/>
          <w:sz w:val="32"/>
          <w:szCs w:val="32"/>
          <w:highlight w:val="none"/>
        </w:rPr>
      </w:pPr>
    </w:p>
    <w:p w14:paraId="3B5CB1BD">
      <w:pPr>
        <w:pStyle w:val="43"/>
        <w:spacing w:before="50" w:after="50"/>
        <w:ind w:firstLine="1280"/>
        <w:rPr>
          <w:rFonts w:hint="eastAsia" w:ascii="宋体" w:hAnsi="宋体" w:cs="宋体"/>
          <w:bCs/>
          <w:color w:val="auto"/>
          <w:sz w:val="32"/>
          <w:szCs w:val="32"/>
          <w:highlight w:val="none"/>
        </w:rPr>
      </w:pPr>
    </w:p>
    <w:p w14:paraId="34F92502">
      <w:pPr>
        <w:spacing w:before="120" w:after="50"/>
        <w:jc w:val="center"/>
        <w:rPr>
          <w:rFonts w:hint="eastAsia" w:ascii="宋体" w:hAnsi="宋体" w:cs="宋体"/>
          <w:color w:val="auto"/>
          <w:sz w:val="32"/>
          <w:szCs w:val="32"/>
          <w:highlight w:val="none"/>
        </w:rPr>
      </w:pPr>
      <w:r>
        <w:rPr>
          <w:rFonts w:hint="eastAsia" w:ascii="宋体" w:hAnsi="宋体" w:cs="宋体"/>
          <w:color w:val="auto"/>
          <w:sz w:val="32"/>
          <w:szCs w:val="32"/>
          <w:highlight w:val="none"/>
        </w:rPr>
        <w:t>年    月    日</w:t>
      </w:r>
    </w:p>
    <w:p w14:paraId="38D3D301">
      <w:pPr>
        <w:spacing w:before="120" w:after="50" w:line="360" w:lineRule="auto"/>
        <w:ind w:left="142"/>
        <w:jc w:val="left"/>
        <w:rPr>
          <w:rFonts w:hint="eastAsia" w:ascii="宋体" w:hAnsi="宋体" w:cs="宋体"/>
          <w:b/>
          <w:bCs/>
          <w:color w:val="auto"/>
          <w:sz w:val="24"/>
          <w:highlight w:val="none"/>
        </w:rPr>
      </w:pPr>
      <w:r>
        <w:rPr>
          <w:rFonts w:hint="eastAsia" w:ascii="宋体" w:hAnsi="宋体" w:cs="宋体"/>
          <w:color w:val="auto"/>
          <w:szCs w:val="21"/>
          <w:highlight w:val="none"/>
        </w:rPr>
        <w:br w:type="page" w:clear="all"/>
      </w:r>
      <w:r>
        <w:rPr>
          <w:rFonts w:hint="eastAsia" w:ascii="宋体" w:hAnsi="宋体" w:cs="宋体"/>
          <w:b/>
          <w:bCs/>
          <w:color w:val="auto"/>
          <w:sz w:val="32"/>
          <w:szCs w:val="32"/>
          <w:highlight w:val="none"/>
        </w:rPr>
        <w:t>2.报价文件目录</w:t>
      </w:r>
    </w:p>
    <w:p w14:paraId="511282F4">
      <w:pPr>
        <w:spacing w:line="520" w:lineRule="exact"/>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根据磋商文件规定及供应商提供的材料自行编写目录（部分格式后附）。</w:t>
      </w:r>
    </w:p>
    <w:p w14:paraId="2A7BE8AC">
      <w:pPr>
        <w:spacing w:line="520" w:lineRule="exact"/>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br w:type="page" w:clear="all"/>
      </w:r>
      <w:r>
        <w:rPr>
          <w:rFonts w:hint="eastAsia" w:ascii="宋体" w:hAnsi="宋体" w:cs="宋体"/>
          <w:b/>
          <w:bCs/>
          <w:color w:val="auto"/>
          <w:sz w:val="32"/>
          <w:szCs w:val="32"/>
          <w:highlight w:val="none"/>
        </w:rPr>
        <w:t>竞标函及竞标函附录</w:t>
      </w:r>
    </w:p>
    <w:p w14:paraId="3DF172F3">
      <w:pPr>
        <w:spacing w:line="520" w:lineRule="exact"/>
        <w:jc w:val="center"/>
        <w:rPr>
          <w:rFonts w:hint="eastAsia" w:ascii="宋体" w:hAnsi="宋体" w:cs="宋体"/>
          <w:b/>
          <w:bCs/>
          <w:color w:val="auto"/>
          <w:sz w:val="32"/>
          <w:szCs w:val="32"/>
          <w:highlight w:val="none"/>
        </w:rPr>
      </w:pPr>
    </w:p>
    <w:p w14:paraId="2A1F2C4D">
      <w:pPr>
        <w:spacing w:line="520" w:lineRule="exact"/>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（一）竞标函</w:t>
      </w:r>
    </w:p>
    <w:p w14:paraId="11E3DE1A">
      <w:pPr>
        <w:spacing w:line="520" w:lineRule="exact"/>
        <w:jc w:val="center"/>
        <w:rPr>
          <w:rFonts w:hint="eastAsia" w:ascii="宋体" w:hAnsi="宋体" w:cs="宋体"/>
          <w:b/>
          <w:bCs/>
          <w:color w:val="auto"/>
          <w:sz w:val="32"/>
          <w:szCs w:val="32"/>
          <w:highlight w:val="none"/>
        </w:rPr>
      </w:pPr>
    </w:p>
    <w:p w14:paraId="36C07BC9">
      <w:pPr>
        <w:spacing w:line="360" w:lineRule="auto"/>
        <w:rPr>
          <w:rFonts w:hint="eastAsia"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r>
        <w:rPr>
          <w:rFonts w:hint="eastAsia" w:ascii="宋体" w:hAnsi="宋体" w:cs="宋体"/>
          <w:color w:val="auto"/>
          <w:szCs w:val="21"/>
          <w:highlight w:val="none"/>
          <w:lang w:val="zh-CN" w:bidi="zh-CN"/>
        </w:rPr>
        <w:t>采购人名称</w:t>
      </w:r>
      <w:r>
        <w:rPr>
          <w:rFonts w:hint="eastAsia" w:ascii="宋体" w:hAnsi="宋体" w:cs="宋体"/>
          <w:color w:val="auto"/>
          <w:szCs w:val="21"/>
          <w:highlight w:val="none"/>
        </w:rPr>
        <w:t>）：</w:t>
      </w:r>
    </w:p>
    <w:p w14:paraId="35D8A0B9">
      <w:pPr>
        <w:pStyle w:val="344"/>
        <w:numPr>
          <w:ilvl w:val="0"/>
          <w:numId w:val="1"/>
        </w:numPr>
        <w:tabs>
          <w:tab w:val="left" w:pos="762"/>
          <w:tab w:val="left" w:pos="2074"/>
          <w:tab w:val="left" w:pos="3430"/>
          <w:tab w:val="left" w:pos="4687"/>
          <w:tab w:val="left" w:pos="7898"/>
        </w:tabs>
        <w:ind w:firstLine="440"/>
        <w:rPr>
          <w:rFonts w:hint="eastAsia"/>
          <w:color w:val="auto"/>
          <w:szCs w:val="21"/>
          <w:highlight w:val="none"/>
        </w:rPr>
      </w:pPr>
      <w:bookmarkStart w:id="127" w:name="bookmark2065"/>
      <w:bookmarkEnd w:id="127"/>
      <w:r>
        <w:rPr>
          <w:rFonts w:hint="eastAsia"/>
          <w:color w:val="auto"/>
          <w:szCs w:val="21"/>
          <w:highlight w:val="none"/>
        </w:rPr>
        <w:t>我方已仔细研究了</w:t>
      </w:r>
      <w:r>
        <w:rPr>
          <w:rFonts w:hint="eastAsia"/>
          <w:color w:val="auto"/>
          <w:szCs w:val="21"/>
          <w:highlight w:val="none"/>
          <w:u w:val="single"/>
          <w:lang w:val="en-US"/>
        </w:rPr>
        <w:t xml:space="preserve">           </w:t>
      </w:r>
      <w:r>
        <w:rPr>
          <w:rFonts w:hint="eastAsia"/>
          <w:color w:val="auto"/>
          <w:szCs w:val="21"/>
          <w:highlight w:val="none"/>
          <w:u w:val="single"/>
        </w:rPr>
        <w:t>（项目名称、项目编号）</w:t>
      </w:r>
      <w:r>
        <w:rPr>
          <w:rFonts w:hint="eastAsia"/>
          <w:color w:val="auto"/>
          <w:szCs w:val="21"/>
          <w:highlight w:val="none"/>
          <w:u w:val="single"/>
          <w:lang w:val="en-US"/>
        </w:rPr>
        <w:t xml:space="preserve">          </w:t>
      </w:r>
      <w:r>
        <w:rPr>
          <w:rFonts w:hint="eastAsia"/>
          <w:color w:val="auto"/>
          <w:szCs w:val="21"/>
          <w:highlight w:val="none"/>
        </w:rPr>
        <w:t>磋商文件的全部内容，愿意以人民币（大写）</w:t>
      </w:r>
      <w:r>
        <w:rPr>
          <w:rFonts w:hint="eastAsia"/>
          <w:color w:val="auto"/>
          <w:szCs w:val="21"/>
          <w:highlight w:val="none"/>
          <w:u w:val="single"/>
          <w:lang w:val="en-US"/>
        </w:rPr>
        <w:t xml:space="preserve">            </w:t>
      </w:r>
      <w:r>
        <w:rPr>
          <w:rFonts w:hint="eastAsia"/>
          <w:color w:val="auto"/>
          <w:szCs w:val="21"/>
          <w:highlight w:val="none"/>
        </w:rPr>
        <w:t>元（¥</w:t>
      </w:r>
      <w:r>
        <w:rPr>
          <w:rFonts w:hint="eastAsia"/>
          <w:color w:val="auto"/>
          <w:szCs w:val="21"/>
          <w:highlight w:val="none"/>
          <w:u w:val="single"/>
          <w:lang w:val="en-US"/>
        </w:rPr>
        <w:t xml:space="preserve">        </w:t>
      </w:r>
      <w:r>
        <w:rPr>
          <w:rFonts w:hint="eastAsia"/>
          <w:color w:val="auto"/>
          <w:szCs w:val="21"/>
          <w:highlight w:val="none"/>
        </w:rPr>
        <w:t>）的竞标总报价，工期</w:t>
      </w:r>
      <w:r>
        <w:rPr>
          <w:rFonts w:hint="eastAsia"/>
          <w:color w:val="auto"/>
          <w:szCs w:val="21"/>
          <w:highlight w:val="none"/>
          <w:u w:val="single"/>
          <w:lang w:val="en-US"/>
        </w:rPr>
        <w:t xml:space="preserve">            </w:t>
      </w:r>
      <w:r>
        <w:rPr>
          <w:rFonts w:hint="eastAsia"/>
          <w:color w:val="auto"/>
          <w:szCs w:val="21"/>
          <w:highlight w:val="none"/>
        </w:rPr>
        <w:t>日历天，按合同约定实施和完成承包工程，修补工程中的任何缺陷，工程质量达到</w:t>
      </w:r>
      <w:r>
        <w:rPr>
          <w:rFonts w:hint="eastAsia"/>
          <w:color w:val="auto"/>
          <w:szCs w:val="21"/>
          <w:highlight w:val="none"/>
          <w:u w:val="single"/>
          <w:lang w:val="en-US"/>
        </w:rPr>
        <w:t xml:space="preserve">           </w:t>
      </w:r>
      <w:r>
        <w:rPr>
          <w:rFonts w:hint="eastAsia"/>
          <w:color w:val="auto"/>
          <w:szCs w:val="21"/>
          <w:highlight w:val="none"/>
          <w:u w:val="single"/>
        </w:rPr>
        <w:t xml:space="preserve"> </w:t>
      </w:r>
      <w:r>
        <w:rPr>
          <w:rFonts w:hint="eastAsia"/>
          <w:color w:val="auto"/>
          <w:szCs w:val="21"/>
          <w:highlight w:val="none"/>
          <w:lang w:val="en-US" w:bidi="en-US"/>
        </w:rPr>
        <w:t>。</w:t>
      </w:r>
    </w:p>
    <w:p w14:paraId="4CA3396C">
      <w:pPr>
        <w:pStyle w:val="344"/>
        <w:numPr>
          <w:ilvl w:val="0"/>
          <w:numId w:val="1"/>
        </w:numPr>
        <w:tabs>
          <w:tab w:val="left" w:pos="762"/>
        </w:tabs>
        <w:ind w:firstLine="420"/>
        <w:rPr>
          <w:rFonts w:hint="eastAsia"/>
          <w:color w:val="auto"/>
          <w:szCs w:val="21"/>
          <w:highlight w:val="none"/>
        </w:rPr>
      </w:pPr>
      <w:bookmarkStart w:id="128" w:name="bookmark2068"/>
      <w:bookmarkEnd w:id="128"/>
      <w:bookmarkStart w:id="129" w:name="bookmark2066"/>
      <w:bookmarkEnd w:id="129"/>
      <w:bookmarkStart w:id="130" w:name="bookmark2067"/>
      <w:bookmarkEnd w:id="130"/>
      <w:r>
        <w:rPr>
          <w:rFonts w:hint="eastAsia"/>
          <w:color w:val="auto"/>
          <w:highlight w:val="none"/>
        </w:rPr>
        <w:t>我方承认竞标函附录是我方竞标函的组成部分。</w:t>
      </w:r>
    </w:p>
    <w:p w14:paraId="4697B31F">
      <w:pPr>
        <w:pStyle w:val="344"/>
        <w:numPr>
          <w:ilvl w:val="0"/>
          <w:numId w:val="1"/>
        </w:numPr>
        <w:tabs>
          <w:tab w:val="left" w:pos="762"/>
        </w:tabs>
        <w:ind w:firstLine="420"/>
        <w:rPr>
          <w:rFonts w:hint="eastAsia"/>
          <w:color w:val="auto"/>
          <w:szCs w:val="21"/>
          <w:highlight w:val="none"/>
        </w:rPr>
      </w:pPr>
      <w:r>
        <w:rPr>
          <w:rFonts w:hint="eastAsia"/>
          <w:color w:val="auto"/>
          <w:szCs w:val="21"/>
          <w:highlight w:val="none"/>
        </w:rPr>
        <w:t>如我方成交：</w:t>
      </w:r>
    </w:p>
    <w:p w14:paraId="33790DC0">
      <w:pPr>
        <w:pStyle w:val="344"/>
        <w:tabs>
          <w:tab w:val="left" w:pos="903"/>
        </w:tabs>
        <w:ind w:firstLine="420"/>
        <w:rPr>
          <w:rFonts w:hint="eastAsia"/>
          <w:color w:val="auto"/>
          <w:szCs w:val="21"/>
          <w:highlight w:val="none"/>
        </w:rPr>
      </w:pPr>
      <w:bookmarkStart w:id="131" w:name="bookmark2069"/>
      <w:r>
        <w:rPr>
          <w:rFonts w:hint="eastAsia"/>
          <w:color w:val="auto"/>
          <w:szCs w:val="21"/>
          <w:highlight w:val="none"/>
        </w:rPr>
        <w:t>（</w:t>
      </w:r>
      <w:bookmarkEnd w:id="131"/>
      <w:r>
        <w:rPr>
          <w:rFonts w:hint="eastAsia"/>
          <w:color w:val="auto"/>
          <w:szCs w:val="21"/>
          <w:highlight w:val="none"/>
        </w:rPr>
        <w:t>1）我方承诺在收到成交通知书后，在成交通知书规定的期限内与你方签订合同。</w:t>
      </w:r>
    </w:p>
    <w:p w14:paraId="35446B58">
      <w:pPr>
        <w:pStyle w:val="344"/>
        <w:tabs>
          <w:tab w:val="left" w:pos="903"/>
        </w:tabs>
        <w:ind w:firstLine="420"/>
        <w:rPr>
          <w:rFonts w:hint="eastAsia"/>
          <w:color w:val="auto"/>
          <w:szCs w:val="21"/>
          <w:highlight w:val="none"/>
        </w:rPr>
      </w:pPr>
      <w:bookmarkStart w:id="132" w:name="bookmark2070"/>
      <w:r>
        <w:rPr>
          <w:rFonts w:hint="eastAsia"/>
          <w:color w:val="auto"/>
          <w:szCs w:val="21"/>
          <w:highlight w:val="none"/>
        </w:rPr>
        <w:t>（</w:t>
      </w:r>
      <w:bookmarkEnd w:id="132"/>
      <w:r>
        <w:rPr>
          <w:rFonts w:hint="eastAsia"/>
          <w:color w:val="auto"/>
          <w:szCs w:val="21"/>
          <w:highlight w:val="none"/>
        </w:rPr>
        <w:t>2）</w:t>
      </w:r>
      <w:r>
        <w:rPr>
          <w:rFonts w:hint="eastAsia"/>
          <w:color w:val="auto"/>
          <w:highlight w:val="none"/>
        </w:rPr>
        <w:t>在签订合同时不向你方提出附加条件</w:t>
      </w:r>
      <w:r>
        <w:rPr>
          <w:rFonts w:hint="eastAsia"/>
          <w:color w:val="auto"/>
          <w:szCs w:val="21"/>
          <w:highlight w:val="none"/>
        </w:rPr>
        <w:t>。</w:t>
      </w:r>
    </w:p>
    <w:p w14:paraId="55769D4E">
      <w:pPr>
        <w:pStyle w:val="344"/>
        <w:tabs>
          <w:tab w:val="left" w:pos="903"/>
        </w:tabs>
        <w:ind w:firstLine="420"/>
        <w:rPr>
          <w:rFonts w:hint="eastAsia"/>
          <w:color w:val="auto"/>
          <w:szCs w:val="21"/>
          <w:highlight w:val="none"/>
        </w:rPr>
      </w:pPr>
      <w:bookmarkStart w:id="133" w:name="bookmark2071"/>
      <w:r>
        <w:rPr>
          <w:rFonts w:hint="eastAsia"/>
          <w:color w:val="auto"/>
          <w:szCs w:val="21"/>
          <w:highlight w:val="none"/>
        </w:rPr>
        <w:t>（</w:t>
      </w:r>
      <w:bookmarkEnd w:id="133"/>
      <w:r>
        <w:rPr>
          <w:rFonts w:hint="eastAsia"/>
          <w:color w:val="auto"/>
          <w:szCs w:val="21"/>
          <w:highlight w:val="none"/>
        </w:rPr>
        <w:t>3）我方承诺按照磋商文件规定向你方递交履约担保。</w:t>
      </w:r>
    </w:p>
    <w:p w14:paraId="49733B04">
      <w:pPr>
        <w:pStyle w:val="344"/>
        <w:tabs>
          <w:tab w:val="left" w:pos="903"/>
        </w:tabs>
        <w:ind w:firstLine="420"/>
        <w:rPr>
          <w:rFonts w:hint="eastAsia"/>
          <w:color w:val="auto"/>
          <w:szCs w:val="21"/>
          <w:highlight w:val="none"/>
        </w:rPr>
      </w:pPr>
      <w:bookmarkStart w:id="134" w:name="bookmark2072"/>
      <w:r>
        <w:rPr>
          <w:rFonts w:hint="eastAsia"/>
          <w:color w:val="auto"/>
          <w:szCs w:val="21"/>
          <w:highlight w:val="none"/>
        </w:rPr>
        <w:t>（</w:t>
      </w:r>
      <w:bookmarkEnd w:id="134"/>
      <w:r>
        <w:rPr>
          <w:rFonts w:hint="eastAsia"/>
          <w:color w:val="auto"/>
          <w:szCs w:val="21"/>
          <w:highlight w:val="none"/>
        </w:rPr>
        <w:t>4）我方承诺在合同约定的期限内完成并移交全部合同工程。</w:t>
      </w:r>
    </w:p>
    <w:p w14:paraId="312BD907">
      <w:pPr>
        <w:pStyle w:val="344"/>
        <w:tabs>
          <w:tab w:val="left" w:pos="903"/>
        </w:tabs>
        <w:ind w:firstLine="420"/>
        <w:rPr>
          <w:rFonts w:hint="eastAsia"/>
          <w:color w:val="auto"/>
          <w:highlight w:val="none"/>
        </w:rPr>
      </w:pPr>
      <w:r>
        <w:rPr>
          <w:rFonts w:hint="eastAsia"/>
          <w:color w:val="auto"/>
          <w:szCs w:val="21"/>
          <w:highlight w:val="none"/>
        </w:rPr>
        <w:t>（5）在你方和我方进行合同谈判之前，我方将按照合同附件提出的最低要求填报派驻本分标的其他管理和技术人员及主要机械设备和试验检测设备，经你方审批后作为派驻本分标的项目管理机构主要人员和主要设备且不进行更换。如我方拟派驻的人员和设备不满足合同附件要求，你方有权取消我方成交</w:t>
      </w:r>
      <w:r>
        <w:rPr>
          <w:rFonts w:hint="eastAsia"/>
          <w:color w:val="auto"/>
          <w:highlight w:val="none"/>
        </w:rPr>
        <w:t>资格。</w:t>
      </w:r>
    </w:p>
    <w:p w14:paraId="69E1BC2A">
      <w:pPr>
        <w:pStyle w:val="344"/>
        <w:numPr>
          <w:ilvl w:val="0"/>
          <w:numId w:val="1"/>
        </w:numPr>
        <w:tabs>
          <w:tab w:val="left" w:pos="762"/>
        </w:tabs>
        <w:ind w:firstLine="440"/>
        <w:rPr>
          <w:rFonts w:hint="eastAsia"/>
          <w:color w:val="auto"/>
          <w:szCs w:val="21"/>
          <w:highlight w:val="none"/>
        </w:rPr>
      </w:pPr>
      <w:bookmarkStart w:id="135" w:name="bookmark2073"/>
      <w:bookmarkEnd w:id="135"/>
      <w:r>
        <w:rPr>
          <w:rFonts w:hint="eastAsia"/>
          <w:color w:val="auto"/>
          <w:highlight w:val="none"/>
        </w:rPr>
        <w:t>在合同协议书正式签署生效之前，本</w:t>
      </w:r>
      <w:r>
        <w:rPr>
          <w:rFonts w:hint="eastAsia"/>
          <w:color w:val="auto"/>
          <w:szCs w:val="21"/>
          <w:highlight w:val="none"/>
        </w:rPr>
        <w:t>竞标</w:t>
      </w:r>
      <w:r>
        <w:rPr>
          <w:rFonts w:hint="eastAsia"/>
          <w:color w:val="auto"/>
          <w:highlight w:val="none"/>
        </w:rPr>
        <w:t>函连同你方的成交通知书将构成我们双方之间共同遵守的文件，对双方具有约束力</w:t>
      </w:r>
      <w:r>
        <w:rPr>
          <w:rFonts w:hint="eastAsia"/>
          <w:color w:val="auto"/>
          <w:szCs w:val="21"/>
          <w:highlight w:val="none"/>
        </w:rPr>
        <w:t>。</w:t>
      </w:r>
    </w:p>
    <w:p w14:paraId="41187C7A">
      <w:pPr>
        <w:spacing w:line="360" w:lineRule="auto"/>
        <w:ind w:firstLine="420"/>
        <w:rPr>
          <w:rFonts w:hint="eastAsia" w:ascii="宋体" w:hAnsi="宋体" w:cs="宋体"/>
          <w:color w:val="auto"/>
          <w:szCs w:val="21"/>
          <w:highlight w:val="none"/>
        </w:rPr>
      </w:pPr>
      <w:bookmarkStart w:id="136" w:name="bookmark2074"/>
      <w:bookmarkEnd w:id="136"/>
      <w:r>
        <w:rPr>
          <w:rFonts w:hint="eastAsia" w:ascii="宋体" w:hAnsi="宋体" w:cs="宋体"/>
          <w:color w:val="auto"/>
          <w:szCs w:val="21"/>
          <w:highlight w:val="none"/>
        </w:rPr>
        <w:t>5.</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（其他补充说明）。</w:t>
      </w:r>
    </w:p>
    <w:p w14:paraId="78D4DE68">
      <w:pPr>
        <w:spacing w:line="360" w:lineRule="auto"/>
        <w:jc w:val="center"/>
        <w:rPr>
          <w:rFonts w:hint="eastAsia" w:ascii="宋体" w:hAnsi="宋体" w:cs="宋体"/>
          <w:b/>
          <w:bCs/>
          <w:color w:val="auto"/>
          <w:sz w:val="32"/>
          <w:szCs w:val="32"/>
          <w:highlight w:val="none"/>
        </w:rPr>
      </w:pPr>
    </w:p>
    <w:p w14:paraId="143F3EF6">
      <w:pPr>
        <w:spacing w:line="360" w:lineRule="auto"/>
        <w:ind w:right="-817" w:firstLine="2640"/>
        <w:contextualSpacing/>
        <w:rPr>
          <w:rFonts w:hint="eastAsia" w:ascii="宋体" w:hAnsi="宋体" w:cs="宋体"/>
          <w:color w:val="auto"/>
          <w:sz w:val="24"/>
          <w:highlight w:val="none"/>
        </w:rPr>
      </w:pPr>
      <w:r>
        <w:rPr>
          <w:rFonts w:hint="eastAsia" w:ascii="宋体" w:hAnsi="宋体" w:cs="宋体"/>
          <w:color w:val="auto"/>
          <w:sz w:val="24"/>
          <w:highlight w:val="none"/>
        </w:rPr>
        <w:t xml:space="preserve">法定代表人或者委托代理人（签字或者电子签名）：                    </w:t>
      </w:r>
    </w:p>
    <w:p w14:paraId="2A6BB1B1">
      <w:pPr>
        <w:spacing w:line="360" w:lineRule="auto"/>
        <w:ind w:right="-817" w:firstLine="2640"/>
        <w:contextualSpacing/>
        <w:rPr>
          <w:rFonts w:hint="eastAsia" w:ascii="宋体" w:hAnsi="宋体" w:cs="宋体"/>
          <w:color w:val="auto"/>
          <w:sz w:val="24"/>
          <w:highlight w:val="none"/>
        </w:rPr>
      </w:pPr>
      <w:r>
        <w:rPr>
          <w:rFonts w:hint="eastAsia" w:ascii="宋体" w:hAnsi="宋体" w:cs="宋体"/>
          <w:color w:val="auto"/>
          <w:sz w:val="24"/>
          <w:highlight w:val="none"/>
        </w:rPr>
        <w:t xml:space="preserve">供应商名称（电子签章）：      </w:t>
      </w:r>
    </w:p>
    <w:p w14:paraId="778DFE50">
      <w:pPr>
        <w:spacing w:line="360" w:lineRule="auto"/>
        <w:jc w:val="center"/>
        <w:rPr>
          <w:rFonts w:hint="eastAsia" w:ascii="宋体" w:hAnsi="宋体" w:cs="宋体"/>
          <w:b/>
          <w:bCs/>
          <w:color w:val="auto"/>
          <w:sz w:val="32"/>
          <w:szCs w:val="32"/>
          <w:highlight w:val="none"/>
        </w:rPr>
      </w:pPr>
      <w:r>
        <w:rPr>
          <w:rFonts w:hint="eastAsia" w:ascii="宋体" w:hAnsi="宋体" w:cs="宋体"/>
          <w:color w:val="auto"/>
          <w:sz w:val="24"/>
          <w:highlight w:val="none"/>
        </w:rPr>
        <w:t>日期：   年   月   日</w:t>
      </w:r>
      <w:r>
        <w:rPr>
          <w:rFonts w:hint="eastAsia" w:ascii="宋体" w:hAnsi="宋体" w:cs="宋体"/>
          <w:b/>
          <w:bCs/>
          <w:color w:val="auto"/>
          <w:sz w:val="32"/>
          <w:szCs w:val="32"/>
          <w:highlight w:val="none"/>
        </w:rPr>
        <w:br w:type="page" w:clear="all"/>
      </w:r>
      <w:r>
        <w:rPr>
          <w:rFonts w:hint="eastAsia" w:ascii="宋体" w:hAnsi="宋体" w:cs="宋体"/>
          <w:b/>
          <w:bCs/>
          <w:color w:val="auto"/>
          <w:sz w:val="32"/>
          <w:szCs w:val="32"/>
          <w:highlight w:val="none"/>
        </w:rPr>
        <w:t>（二）竞标函附录</w:t>
      </w:r>
    </w:p>
    <w:tbl>
      <w:tblPr>
        <w:tblStyle w:val="33"/>
        <w:tblW w:w="0" w:type="auto"/>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6"/>
        <w:gridCol w:w="2924"/>
        <w:gridCol w:w="1279"/>
        <w:gridCol w:w="3293"/>
        <w:gridCol w:w="850"/>
      </w:tblGrid>
      <w:tr w14:paraId="40A136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06F92E7">
            <w:pPr>
              <w:spacing w:line="480" w:lineRule="auto"/>
              <w:jc w:val="center"/>
              <w:rPr>
                <w:rFonts w:hint="eastAsia" w:ascii="宋体" w:hAnsi="宋体" w:cs="宋体"/>
                <w:color w:val="auto"/>
                <w:highlight w:val="none"/>
              </w:rPr>
            </w:pPr>
            <w:r>
              <w:rPr>
                <w:rFonts w:hint="eastAsia" w:ascii="宋体" w:hAnsi="宋体" w:cs="宋体"/>
                <w:color w:val="auto"/>
                <w:highlight w:val="none"/>
              </w:rPr>
              <w:t>序号</w:t>
            </w:r>
          </w:p>
        </w:tc>
        <w:tc>
          <w:tcPr>
            <w:tcW w:w="2924" w:type="dxa"/>
            <w:tcBorders>
              <w:top w:val="single" w:color="000000" w:sz="4" w:space="0"/>
              <w:left w:val="single" w:color="000000" w:sz="4" w:space="0"/>
              <w:bottom w:val="single" w:color="000000" w:sz="4" w:space="0"/>
              <w:right w:val="single" w:color="000000" w:sz="4" w:space="0"/>
            </w:tcBorders>
            <w:vAlign w:val="center"/>
          </w:tcPr>
          <w:p w14:paraId="71C736A4">
            <w:pPr>
              <w:spacing w:line="480" w:lineRule="auto"/>
              <w:jc w:val="center"/>
              <w:rPr>
                <w:rFonts w:hint="eastAsia" w:ascii="宋体" w:hAnsi="宋体" w:cs="宋体"/>
                <w:color w:val="auto"/>
                <w:highlight w:val="none"/>
              </w:rPr>
            </w:pPr>
            <w:r>
              <w:rPr>
                <w:rFonts w:hint="eastAsia" w:ascii="宋体" w:hAnsi="宋体" w:cs="宋体"/>
                <w:color w:val="auto"/>
                <w:highlight w:val="none"/>
              </w:rPr>
              <w:t>条款名称</w:t>
            </w:r>
          </w:p>
        </w:tc>
        <w:tc>
          <w:tcPr>
            <w:tcW w:w="1279" w:type="dxa"/>
            <w:tcBorders>
              <w:top w:val="single" w:color="000000" w:sz="4" w:space="0"/>
              <w:left w:val="single" w:color="000000" w:sz="4" w:space="0"/>
              <w:bottom w:val="single" w:color="000000" w:sz="4" w:space="0"/>
              <w:right w:val="single" w:color="000000" w:sz="4" w:space="0"/>
            </w:tcBorders>
            <w:vAlign w:val="center"/>
          </w:tcPr>
          <w:p w14:paraId="2FB0790E">
            <w:pPr>
              <w:spacing w:line="480" w:lineRule="auto"/>
              <w:jc w:val="center"/>
              <w:rPr>
                <w:rFonts w:hint="eastAsia" w:ascii="宋体" w:hAnsi="宋体" w:cs="宋体"/>
                <w:color w:val="auto"/>
                <w:highlight w:val="none"/>
              </w:rPr>
            </w:pPr>
            <w:r>
              <w:rPr>
                <w:rFonts w:hint="eastAsia" w:ascii="宋体" w:hAnsi="宋体" w:cs="宋体"/>
                <w:color w:val="auto"/>
                <w:highlight w:val="none"/>
              </w:rPr>
              <w:t>合同条目号</w:t>
            </w:r>
          </w:p>
        </w:tc>
        <w:tc>
          <w:tcPr>
            <w:tcW w:w="3293" w:type="dxa"/>
            <w:tcBorders>
              <w:top w:val="single" w:color="000000" w:sz="4" w:space="0"/>
              <w:left w:val="single" w:color="000000" w:sz="4" w:space="0"/>
              <w:bottom w:val="single" w:color="000000" w:sz="4" w:space="0"/>
              <w:right w:val="single" w:color="000000" w:sz="4" w:space="0"/>
            </w:tcBorders>
            <w:vAlign w:val="center"/>
          </w:tcPr>
          <w:p w14:paraId="0C16C8FA">
            <w:pPr>
              <w:spacing w:line="480" w:lineRule="auto"/>
              <w:jc w:val="center"/>
              <w:rPr>
                <w:rFonts w:hint="eastAsia" w:ascii="宋体" w:hAnsi="宋体" w:cs="宋体"/>
                <w:color w:val="auto"/>
                <w:highlight w:val="none"/>
              </w:rPr>
            </w:pPr>
            <w:r>
              <w:rPr>
                <w:rFonts w:hint="eastAsia" w:ascii="宋体" w:hAnsi="宋体" w:cs="宋体"/>
                <w:color w:val="auto"/>
                <w:highlight w:val="none"/>
              </w:rPr>
              <w:t>约定内容</w:t>
            </w:r>
          </w:p>
        </w:tc>
        <w:tc>
          <w:tcPr>
            <w:tcW w:w="850" w:type="dxa"/>
            <w:tcBorders>
              <w:top w:val="single" w:color="000000" w:sz="4" w:space="0"/>
              <w:left w:val="single" w:color="000000" w:sz="4" w:space="0"/>
              <w:bottom w:val="single" w:color="000000" w:sz="4" w:space="0"/>
              <w:right w:val="single" w:color="000000" w:sz="4" w:space="0"/>
            </w:tcBorders>
            <w:vAlign w:val="center"/>
          </w:tcPr>
          <w:p w14:paraId="55F8F869">
            <w:pPr>
              <w:spacing w:line="480" w:lineRule="auto"/>
              <w:jc w:val="center"/>
              <w:rPr>
                <w:rFonts w:hint="eastAsia" w:ascii="宋体" w:hAnsi="宋体" w:cs="宋体"/>
                <w:color w:val="auto"/>
                <w:highlight w:val="none"/>
              </w:rPr>
            </w:pPr>
            <w:r>
              <w:rPr>
                <w:rFonts w:hint="eastAsia" w:ascii="宋体" w:hAnsi="宋体" w:cs="宋体"/>
                <w:color w:val="auto"/>
                <w:highlight w:val="none"/>
              </w:rPr>
              <w:t>备注</w:t>
            </w:r>
          </w:p>
        </w:tc>
      </w:tr>
      <w:tr w14:paraId="7758F2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837CA6B">
            <w:pPr>
              <w:spacing w:line="480" w:lineRule="auto"/>
              <w:jc w:val="center"/>
              <w:rPr>
                <w:rFonts w:hint="eastAsia" w:ascii="宋体" w:hAnsi="宋体" w:cs="宋体"/>
                <w:color w:val="auto"/>
                <w:highlight w:val="none"/>
              </w:rPr>
            </w:pPr>
            <w:r>
              <w:rPr>
                <w:rFonts w:hint="eastAsia" w:ascii="宋体" w:hAnsi="宋体" w:cs="宋体"/>
                <w:color w:val="auto"/>
                <w:highlight w:val="none"/>
              </w:rPr>
              <w:t>1</w:t>
            </w:r>
          </w:p>
        </w:tc>
        <w:tc>
          <w:tcPr>
            <w:tcW w:w="2924" w:type="dxa"/>
            <w:tcBorders>
              <w:top w:val="single" w:color="000000" w:sz="4" w:space="0"/>
              <w:left w:val="single" w:color="000000" w:sz="4" w:space="0"/>
              <w:bottom w:val="single" w:color="000000" w:sz="4" w:space="0"/>
              <w:right w:val="single" w:color="000000" w:sz="4" w:space="0"/>
            </w:tcBorders>
            <w:vAlign w:val="center"/>
          </w:tcPr>
          <w:p w14:paraId="24FD74B5">
            <w:pPr>
              <w:spacing w:line="480" w:lineRule="auto"/>
              <w:jc w:val="center"/>
              <w:rPr>
                <w:rFonts w:hint="eastAsia" w:ascii="宋体" w:hAnsi="宋体" w:cs="宋体"/>
                <w:color w:val="auto"/>
                <w:highlight w:val="none"/>
              </w:rPr>
            </w:pPr>
            <w:r>
              <w:rPr>
                <w:rFonts w:hint="eastAsia" w:ascii="宋体" w:hAnsi="宋体" w:cs="宋体"/>
                <w:color w:val="auto"/>
                <w:highlight w:val="none"/>
              </w:rPr>
              <w:t>缺陷责任期</w:t>
            </w:r>
          </w:p>
        </w:tc>
        <w:tc>
          <w:tcPr>
            <w:tcW w:w="1279" w:type="dxa"/>
            <w:tcBorders>
              <w:top w:val="single" w:color="000000" w:sz="4" w:space="0"/>
              <w:left w:val="single" w:color="000000" w:sz="4" w:space="0"/>
              <w:bottom w:val="single" w:color="000000" w:sz="4" w:space="0"/>
              <w:right w:val="single" w:color="000000" w:sz="4" w:space="0"/>
            </w:tcBorders>
            <w:vAlign w:val="center"/>
          </w:tcPr>
          <w:p w14:paraId="23685A3A">
            <w:pPr>
              <w:spacing w:line="480" w:lineRule="auto"/>
              <w:jc w:val="center"/>
              <w:rPr>
                <w:rFonts w:hint="eastAsia" w:ascii="宋体" w:hAnsi="宋体" w:cs="宋体"/>
                <w:color w:val="auto"/>
                <w:highlight w:val="none"/>
              </w:rPr>
            </w:pPr>
            <w:r>
              <w:rPr>
                <w:rFonts w:hint="eastAsia" w:ascii="宋体" w:hAnsi="宋体" w:cs="宋体"/>
                <w:color w:val="auto"/>
                <w:highlight w:val="none"/>
              </w:rPr>
              <w:t>1.1.4.5</w:t>
            </w:r>
          </w:p>
        </w:tc>
        <w:tc>
          <w:tcPr>
            <w:tcW w:w="3293" w:type="dxa"/>
            <w:tcBorders>
              <w:top w:val="single" w:color="000000" w:sz="4" w:space="0"/>
              <w:left w:val="single" w:color="000000" w:sz="4" w:space="0"/>
              <w:bottom w:val="single" w:color="000000" w:sz="4" w:space="0"/>
              <w:right w:val="single" w:color="000000" w:sz="4" w:space="0"/>
            </w:tcBorders>
            <w:vAlign w:val="center"/>
          </w:tcPr>
          <w:p w14:paraId="26E70BEA">
            <w:pPr>
              <w:spacing w:line="480" w:lineRule="auto"/>
              <w:jc w:val="center"/>
              <w:rPr>
                <w:rFonts w:hint="eastAsia" w:ascii="宋体" w:hAnsi="宋体" w:cs="宋体"/>
                <w:color w:val="auto"/>
                <w:highlight w:val="none"/>
              </w:rPr>
            </w:pPr>
            <w:r>
              <w:rPr>
                <w:rFonts w:hint="eastAsia" w:ascii="宋体" w:hAnsi="宋体" w:cs="宋体"/>
                <w:color w:val="auto"/>
                <w:highlight w:val="none"/>
              </w:rPr>
              <w:t>自实际交工日期起计算</w:t>
            </w:r>
            <w:r>
              <w:rPr>
                <w:rFonts w:hint="eastAsia" w:ascii="宋体" w:hAnsi="宋体" w:cs="宋体"/>
                <w:color w:val="auto"/>
                <w:highlight w:val="none"/>
                <w:u w:val="single"/>
              </w:rPr>
              <w:t xml:space="preserve">   </w:t>
            </w:r>
            <w:r>
              <w:rPr>
                <w:rFonts w:hint="eastAsia" w:ascii="宋体" w:hAnsi="宋体" w:cs="宋体"/>
                <w:color w:val="auto"/>
                <w:highlight w:val="none"/>
              </w:rPr>
              <w:t>年</w:t>
            </w:r>
          </w:p>
        </w:tc>
        <w:tc>
          <w:tcPr>
            <w:tcW w:w="850" w:type="dxa"/>
            <w:tcBorders>
              <w:top w:val="single" w:color="000000" w:sz="4" w:space="0"/>
              <w:left w:val="single" w:color="000000" w:sz="4" w:space="0"/>
              <w:bottom w:val="single" w:color="000000" w:sz="4" w:space="0"/>
              <w:right w:val="single" w:color="000000" w:sz="4" w:space="0"/>
            </w:tcBorders>
            <w:vAlign w:val="center"/>
          </w:tcPr>
          <w:p w14:paraId="1C444D12">
            <w:pPr>
              <w:spacing w:line="480" w:lineRule="auto"/>
              <w:jc w:val="center"/>
              <w:rPr>
                <w:rFonts w:hint="eastAsia" w:ascii="宋体" w:hAnsi="宋体" w:cs="宋体"/>
                <w:color w:val="auto"/>
                <w:highlight w:val="none"/>
              </w:rPr>
            </w:pPr>
          </w:p>
        </w:tc>
      </w:tr>
      <w:tr w14:paraId="4E3097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1E9C272C">
            <w:pPr>
              <w:spacing w:line="480" w:lineRule="auto"/>
              <w:jc w:val="center"/>
              <w:rPr>
                <w:rFonts w:hint="eastAsia" w:ascii="宋体" w:hAnsi="宋体" w:cs="宋体"/>
                <w:color w:val="auto"/>
                <w:highlight w:val="none"/>
              </w:rPr>
            </w:pPr>
            <w:r>
              <w:rPr>
                <w:rFonts w:hint="eastAsia" w:ascii="宋体" w:hAnsi="宋体" w:cs="宋体"/>
                <w:color w:val="auto"/>
                <w:highlight w:val="none"/>
              </w:rPr>
              <w:t>2</w:t>
            </w:r>
          </w:p>
        </w:tc>
        <w:tc>
          <w:tcPr>
            <w:tcW w:w="2924" w:type="dxa"/>
            <w:tcBorders>
              <w:top w:val="single" w:color="000000" w:sz="4" w:space="0"/>
              <w:left w:val="single" w:color="000000" w:sz="4" w:space="0"/>
              <w:bottom w:val="single" w:color="000000" w:sz="4" w:space="0"/>
              <w:right w:val="single" w:color="000000" w:sz="4" w:space="0"/>
            </w:tcBorders>
            <w:vAlign w:val="center"/>
          </w:tcPr>
          <w:p w14:paraId="06381A9C">
            <w:pPr>
              <w:spacing w:line="480" w:lineRule="auto"/>
              <w:jc w:val="center"/>
              <w:rPr>
                <w:rFonts w:hint="eastAsia" w:ascii="宋体" w:hAnsi="宋体" w:cs="宋体"/>
                <w:color w:val="auto"/>
                <w:highlight w:val="none"/>
              </w:rPr>
            </w:pPr>
            <w:r>
              <w:rPr>
                <w:rFonts w:hint="eastAsia" w:ascii="宋体" w:hAnsi="宋体" w:cs="宋体"/>
                <w:color w:val="auto"/>
                <w:highlight w:val="none"/>
              </w:rPr>
              <w:t>逾期交工违约金</w:t>
            </w:r>
          </w:p>
        </w:tc>
        <w:tc>
          <w:tcPr>
            <w:tcW w:w="1279" w:type="dxa"/>
            <w:tcBorders>
              <w:top w:val="single" w:color="000000" w:sz="4" w:space="0"/>
              <w:left w:val="single" w:color="000000" w:sz="4" w:space="0"/>
              <w:bottom w:val="single" w:color="000000" w:sz="4" w:space="0"/>
              <w:right w:val="single" w:color="000000" w:sz="4" w:space="0"/>
            </w:tcBorders>
            <w:vAlign w:val="center"/>
          </w:tcPr>
          <w:p w14:paraId="1ADBE3DB">
            <w:pPr>
              <w:spacing w:line="480" w:lineRule="auto"/>
              <w:jc w:val="center"/>
              <w:rPr>
                <w:rFonts w:hint="eastAsia" w:ascii="宋体" w:hAnsi="宋体" w:cs="宋体"/>
                <w:color w:val="auto"/>
                <w:highlight w:val="none"/>
              </w:rPr>
            </w:pPr>
            <w:r>
              <w:rPr>
                <w:rFonts w:hint="eastAsia" w:ascii="宋体" w:hAnsi="宋体" w:cs="宋体"/>
                <w:color w:val="auto"/>
                <w:highlight w:val="none"/>
              </w:rPr>
              <w:t>11.5（3）</w:t>
            </w:r>
          </w:p>
        </w:tc>
        <w:tc>
          <w:tcPr>
            <w:tcW w:w="3293" w:type="dxa"/>
            <w:tcBorders>
              <w:top w:val="single" w:color="000000" w:sz="4" w:space="0"/>
              <w:left w:val="single" w:color="000000" w:sz="4" w:space="0"/>
              <w:bottom w:val="single" w:color="000000" w:sz="4" w:space="0"/>
              <w:right w:val="single" w:color="000000" w:sz="4" w:space="0"/>
            </w:tcBorders>
            <w:vAlign w:val="center"/>
          </w:tcPr>
          <w:p w14:paraId="32232115">
            <w:pPr>
              <w:spacing w:line="480" w:lineRule="auto"/>
              <w:ind w:firstLine="420"/>
              <w:jc w:val="center"/>
              <w:rPr>
                <w:rFonts w:hint="eastAsia" w:ascii="宋体" w:hAnsi="宋体" w:cs="宋体"/>
                <w:color w:val="auto"/>
                <w:highlight w:val="none"/>
              </w:rPr>
            </w:pPr>
            <w:r>
              <w:rPr>
                <w:rFonts w:hint="eastAsia" w:ascii="宋体" w:hAnsi="宋体" w:cs="宋体"/>
                <w:color w:val="auto"/>
                <w:highlight w:val="none"/>
              </w:rPr>
              <w:t>元/天</w:t>
            </w:r>
          </w:p>
        </w:tc>
        <w:tc>
          <w:tcPr>
            <w:tcW w:w="850" w:type="dxa"/>
            <w:tcBorders>
              <w:top w:val="single" w:color="000000" w:sz="4" w:space="0"/>
              <w:left w:val="single" w:color="000000" w:sz="4" w:space="0"/>
              <w:bottom w:val="single" w:color="000000" w:sz="4" w:space="0"/>
              <w:right w:val="single" w:color="000000" w:sz="4" w:space="0"/>
            </w:tcBorders>
            <w:vAlign w:val="center"/>
          </w:tcPr>
          <w:p w14:paraId="4F2A81A5">
            <w:pPr>
              <w:spacing w:line="480" w:lineRule="auto"/>
              <w:jc w:val="center"/>
              <w:rPr>
                <w:rFonts w:hint="eastAsia" w:ascii="宋体" w:hAnsi="宋体" w:cs="宋体"/>
                <w:color w:val="auto"/>
                <w:highlight w:val="none"/>
              </w:rPr>
            </w:pPr>
          </w:p>
        </w:tc>
      </w:tr>
      <w:tr w14:paraId="1BCC56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82FF84D">
            <w:pPr>
              <w:spacing w:line="480" w:lineRule="auto"/>
              <w:jc w:val="center"/>
              <w:rPr>
                <w:rFonts w:hint="eastAsia" w:ascii="宋体" w:hAnsi="宋体" w:cs="宋体"/>
                <w:color w:val="auto"/>
                <w:highlight w:val="none"/>
              </w:rPr>
            </w:pPr>
            <w:r>
              <w:rPr>
                <w:rFonts w:hint="eastAsia" w:ascii="宋体" w:hAnsi="宋体" w:cs="宋体"/>
                <w:color w:val="auto"/>
                <w:highlight w:val="none"/>
              </w:rPr>
              <w:t>3</w:t>
            </w:r>
          </w:p>
        </w:tc>
        <w:tc>
          <w:tcPr>
            <w:tcW w:w="2924" w:type="dxa"/>
            <w:tcBorders>
              <w:top w:val="single" w:color="000000" w:sz="4" w:space="0"/>
              <w:left w:val="single" w:color="000000" w:sz="4" w:space="0"/>
              <w:bottom w:val="single" w:color="000000" w:sz="4" w:space="0"/>
              <w:right w:val="single" w:color="000000" w:sz="4" w:space="0"/>
            </w:tcBorders>
            <w:vAlign w:val="center"/>
          </w:tcPr>
          <w:p w14:paraId="3592F780">
            <w:pPr>
              <w:spacing w:line="480" w:lineRule="auto"/>
              <w:jc w:val="center"/>
              <w:rPr>
                <w:rFonts w:hint="eastAsia" w:ascii="宋体" w:hAnsi="宋体" w:cs="宋体"/>
                <w:color w:val="auto"/>
                <w:highlight w:val="none"/>
              </w:rPr>
            </w:pPr>
            <w:r>
              <w:rPr>
                <w:rFonts w:hint="eastAsia" w:ascii="宋体" w:hAnsi="宋体" w:cs="宋体"/>
                <w:color w:val="auto"/>
                <w:highlight w:val="none"/>
              </w:rPr>
              <w:t>逾期交工违约金限额</w:t>
            </w:r>
          </w:p>
        </w:tc>
        <w:tc>
          <w:tcPr>
            <w:tcW w:w="1279" w:type="dxa"/>
            <w:tcBorders>
              <w:top w:val="single" w:color="000000" w:sz="4" w:space="0"/>
              <w:left w:val="single" w:color="000000" w:sz="4" w:space="0"/>
              <w:bottom w:val="single" w:color="000000" w:sz="4" w:space="0"/>
              <w:right w:val="single" w:color="000000" w:sz="4" w:space="0"/>
            </w:tcBorders>
            <w:vAlign w:val="center"/>
          </w:tcPr>
          <w:p w14:paraId="55DF2E68">
            <w:pPr>
              <w:spacing w:line="480" w:lineRule="auto"/>
              <w:jc w:val="center"/>
              <w:rPr>
                <w:rFonts w:hint="eastAsia" w:ascii="宋体" w:hAnsi="宋体" w:cs="宋体"/>
                <w:color w:val="auto"/>
                <w:highlight w:val="none"/>
              </w:rPr>
            </w:pPr>
            <w:r>
              <w:rPr>
                <w:rFonts w:hint="eastAsia" w:ascii="宋体" w:hAnsi="宋体" w:cs="宋体"/>
                <w:color w:val="auto"/>
                <w:highlight w:val="none"/>
              </w:rPr>
              <w:t>11.5（3）</w:t>
            </w:r>
          </w:p>
        </w:tc>
        <w:tc>
          <w:tcPr>
            <w:tcW w:w="3293" w:type="dxa"/>
            <w:tcBorders>
              <w:top w:val="single" w:color="000000" w:sz="4" w:space="0"/>
              <w:left w:val="single" w:color="000000" w:sz="4" w:space="0"/>
              <w:bottom w:val="single" w:color="000000" w:sz="4" w:space="0"/>
              <w:right w:val="single" w:color="000000" w:sz="4" w:space="0"/>
            </w:tcBorders>
            <w:vAlign w:val="center"/>
          </w:tcPr>
          <w:p w14:paraId="2FBDF5FF">
            <w:pPr>
              <w:spacing w:line="480" w:lineRule="auto"/>
              <w:jc w:val="center"/>
              <w:rPr>
                <w:rFonts w:hint="eastAsia" w:ascii="宋体" w:hAnsi="宋体" w:cs="宋体"/>
                <w:color w:val="auto"/>
                <w:highlight w:val="none"/>
              </w:rPr>
            </w:pPr>
            <w:r>
              <w:rPr>
                <w:rFonts w:hint="eastAsia" w:ascii="宋体" w:hAnsi="宋体" w:cs="宋体"/>
                <w:color w:val="auto"/>
                <w:highlight w:val="none"/>
              </w:rPr>
              <w:t>%签约合同价</w:t>
            </w:r>
          </w:p>
        </w:tc>
        <w:tc>
          <w:tcPr>
            <w:tcW w:w="850" w:type="dxa"/>
            <w:tcBorders>
              <w:top w:val="single" w:color="000000" w:sz="4" w:space="0"/>
              <w:left w:val="single" w:color="000000" w:sz="4" w:space="0"/>
              <w:bottom w:val="single" w:color="000000" w:sz="4" w:space="0"/>
              <w:right w:val="single" w:color="000000" w:sz="4" w:space="0"/>
            </w:tcBorders>
            <w:vAlign w:val="center"/>
          </w:tcPr>
          <w:p w14:paraId="0E41631E">
            <w:pPr>
              <w:spacing w:line="480" w:lineRule="auto"/>
              <w:jc w:val="center"/>
              <w:rPr>
                <w:rFonts w:hint="eastAsia" w:ascii="宋体" w:hAnsi="宋体" w:cs="宋体"/>
                <w:color w:val="auto"/>
                <w:highlight w:val="none"/>
              </w:rPr>
            </w:pPr>
          </w:p>
        </w:tc>
      </w:tr>
      <w:tr w14:paraId="671E05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5513945">
            <w:pPr>
              <w:spacing w:line="480" w:lineRule="auto"/>
              <w:jc w:val="center"/>
              <w:rPr>
                <w:rFonts w:hint="eastAsia" w:ascii="宋体" w:hAnsi="宋体" w:cs="宋体"/>
                <w:color w:val="auto"/>
                <w:highlight w:val="none"/>
              </w:rPr>
            </w:pPr>
            <w:r>
              <w:rPr>
                <w:rFonts w:hint="eastAsia" w:ascii="宋体" w:hAnsi="宋体" w:cs="宋体"/>
                <w:color w:val="auto"/>
                <w:highlight w:val="none"/>
              </w:rPr>
              <w:t>4</w:t>
            </w:r>
          </w:p>
        </w:tc>
        <w:tc>
          <w:tcPr>
            <w:tcW w:w="2924" w:type="dxa"/>
            <w:tcBorders>
              <w:top w:val="single" w:color="000000" w:sz="4" w:space="0"/>
              <w:left w:val="single" w:color="000000" w:sz="4" w:space="0"/>
              <w:bottom w:val="single" w:color="000000" w:sz="4" w:space="0"/>
              <w:right w:val="single" w:color="000000" w:sz="4" w:space="0"/>
            </w:tcBorders>
            <w:vAlign w:val="center"/>
          </w:tcPr>
          <w:p w14:paraId="0BBBECBE">
            <w:pPr>
              <w:spacing w:line="480" w:lineRule="auto"/>
              <w:jc w:val="center"/>
              <w:rPr>
                <w:rFonts w:hint="eastAsia" w:ascii="宋体" w:hAnsi="宋体" w:cs="宋体"/>
                <w:color w:val="auto"/>
                <w:highlight w:val="none"/>
              </w:rPr>
            </w:pPr>
            <w:r>
              <w:rPr>
                <w:rFonts w:hint="eastAsia" w:ascii="宋体" w:hAnsi="宋体" w:cs="宋体"/>
                <w:color w:val="auto"/>
                <w:highlight w:val="none"/>
              </w:rPr>
              <w:t>价格调整的差额计算</w:t>
            </w:r>
          </w:p>
        </w:tc>
        <w:tc>
          <w:tcPr>
            <w:tcW w:w="1279" w:type="dxa"/>
            <w:tcBorders>
              <w:top w:val="single" w:color="000000" w:sz="4" w:space="0"/>
              <w:left w:val="single" w:color="000000" w:sz="4" w:space="0"/>
              <w:bottom w:val="single" w:color="000000" w:sz="4" w:space="0"/>
              <w:right w:val="single" w:color="000000" w:sz="4" w:space="0"/>
            </w:tcBorders>
            <w:vAlign w:val="center"/>
          </w:tcPr>
          <w:p w14:paraId="34939964">
            <w:pPr>
              <w:spacing w:line="480" w:lineRule="auto"/>
              <w:jc w:val="center"/>
              <w:rPr>
                <w:rFonts w:hint="eastAsia" w:ascii="宋体" w:hAnsi="宋体" w:cs="宋体"/>
                <w:color w:val="auto"/>
                <w:highlight w:val="none"/>
              </w:rPr>
            </w:pPr>
            <w:r>
              <w:rPr>
                <w:rFonts w:hint="eastAsia" w:ascii="宋体" w:hAnsi="宋体" w:cs="宋体"/>
                <w:color w:val="auto"/>
                <w:highlight w:val="none"/>
              </w:rPr>
              <w:t>16.1</w:t>
            </w:r>
          </w:p>
        </w:tc>
        <w:tc>
          <w:tcPr>
            <w:tcW w:w="3293" w:type="dxa"/>
            <w:tcBorders>
              <w:top w:val="single" w:color="000000" w:sz="4" w:space="0"/>
              <w:left w:val="single" w:color="000000" w:sz="4" w:space="0"/>
              <w:bottom w:val="single" w:color="000000" w:sz="4" w:space="0"/>
              <w:right w:val="single" w:color="000000" w:sz="4" w:space="0"/>
            </w:tcBorders>
            <w:vAlign w:val="center"/>
          </w:tcPr>
          <w:p w14:paraId="799FE1C8">
            <w:pPr>
              <w:spacing w:line="480" w:lineRule="auto"/>
              <w:jc w:val="center"/>
              <w:rPr>
                <w:rFonts w:hint="eastAsia" w:ascii="宋体" w:hAnsi="宋体" w:cs="宋体"/>
                <w:color w:val="auto"/>
                <w:highlight w:val="none"/>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6C1E9D19">
            <w:pPr>
              <w:spacing w:line="480" w:lineRule="auto"/>
              <w:jc w:val="center"/>
              <w:rPr>
                <w:rFonts w:hint="eastAsia" w:ascii="宋体" w:hAnsi="宋体" w:cs="宋体"/>
                <w:color w:val="auto"/>
                <w:highlight w:val="none"/>
              </w:rPr>
            </w:pPr>
          </w:p>
        </w:tc>
      </w:tr>
      <w:tr w14:paraId="4BA4F4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573D01F8">
            <w:pPr>
              <w:spacing w:line="480" w:lineRule="auto"/>
              <w:jc w:val="center"/>
              <w:rPr>
                <w:rFonts w:hint="eastAsia" w:ascii="宋体" w:hAnsi="宋体" w:cs="宋体"/>
                <w:color w:val="auto"/>
                <w:highlight w:val="none"/>
              </w:rPr>
            </w:pPr>
            <w:r>
              <w:rPr>
                <w:rFonts w:hint="eastAsia" w:ascii="宋体" w:hAnsi="宋体" w:cs="宋体"/>
                <w:color w:val="auto"/>
                <w:highlight w:val="none"/>
              </w:rPr>
              <w:t>5</w:t>
            </w:r>
          </w:p>
        </w:tc>
        <w:tc>
          <w:tcPr>
            <w:tcW w:w="2924" w:type="dxa"/>
            <w:tcBorders>
              <w:top w:val="single" w:color="000000" w:sz="4" w:space="0"/>
              <w:left w:val="single" w:color="000000" w:sz="4" w:space="0"/>
              <w:bottom w:val="single" w:color="000000" w:sz="4" w:space="0"/>
              <w:right w:val="single" w:color="000000" w:sz="4" w:space="0"/>
            </w:tcBorders>
            <w:vAlign w:val="center"/>
          </w:tcPr>
          <w:p w14:paraId="59539552">
            <w:pPr>
              <w:spacing w:line="480" w:lineRule="auto"/>
              <w:jc w:val="center"/>
              <w:rPr>
                <w:rFonts w:hint="eastAsia" w:ascii="宋体" w:hAnsi="宋体" w:cs="宋体"/>
                <w:color w:val="auto"/>
                <w:highlight w:val="none"/>
              </w:rPr>
            </w:pPr>
            <w:r>
              <w:rPr>
                <w:rFonts w:hint="eastAsia" w:ascii="宋体" w:hAnsi="宋体" w:cs="宋体"/>
                <w:color w:val="auto"/>
                <w:highlight w:val="none"/>
              </w:rPr>
              <w:t>开工预付款金额</w:t>
            </w:r>
          </w:p>
        </w:tc>
        <w:tc>
          <w:tcPr>
            <w:tcW w:w="1279" w:type="dxa"/>
            <w:tcBorders>
              <w:top w:val="single" w:color="000000" w:sz="4" w:space="0"/>
              <w:left w:val="single" w:color="000000" w:sz="4" w:space="0"/>
              <w:bottom w:val="single" w:color="000000" w:sz="4" w:space="0"/>
              <w:right w:val="single" w:color="000000" w:sz="4" w:space="0"/>
            </w:tcBorders>
            <w:vAlign w:val="center"/>
          </w:tcPr>
          <w:p w14:paraId="588C1ACA">
            <w:pPr>
              <w:spacing w:line="480" w:lineRule="auto"/>
              <w:jc w:val="center"/>
              <w:rPr>
                <w:rFonts w:hint="eastAsia" w:ascii="宋体" w:hAnsi="宋体" w:cs="宋体"/>
                <w:color w:val="auto"/>
                <w:highlight w:val="none"/>
              </w:rPr>
            </w:pPr>
            <w:r>
              <w:rPr>
                <w:rFonts w:hint="eastAsia" w:ascii="宋体" w:hAnsi="宋体" w:cs="宋体"/>
                <w:color w:val="auto"/>
                <w:highlight w:val="none"/>
              </w:rPr>
              <w:t>17.2.1（1）</w:t>
            </w:r>
          </w:p>
        </w:tc>
        <w:tc>
          <w:tcPr>
            <w:tcW w:w="3293" w:type="dxa"/>
            <w:tcBorders>
              <w:top w:val="single" w:color="000000" w:sz="4" w:space="0"/>
              <w:left w:val="single" w:color="000000" w:sz="4" w:space="0"/>
              <w:bottom w:val="single" w:color="000000" w:sz="4" w:space="0"/>
              <w:right w:val="single" w:color="000000" w:sz="4" w:space="0"/>
            </w:tcBorders>
            <w:vAlign w:val="center"/>
          </w:tcPr>
          <w:p w14:paraId="5B651E42">
            <w:pPr>
              <w:spacing w:line="480" w:lineRule="auto"/>
              <w:jc w:val="center"/>
              <w:rPr>
                <w:rFonts w:hint="eastAsia" w:ascii="宋体" w:hAnsi="宋体" w:cs="宋体"/>
                <w:color w:val="auto"/>
                <w:highlight w:val="none"/>
              </w:rPr>
            </w:pPr>
            <w:r>
              <w:rPr>
                <w:rFonts w:hint="eastAsia" w:ascii="宋体" w:hAnsi="宋体" w:cs="宋体"/>
                <w:color w:val="auto"/>
                <w:highlight w:val="none"/>
              </w:rPr>
              <w:t>%签约合同价</w:t>
            </w:r>
          </w:p>
        </w:tc>
        <w:tc>
          <w:tcPr>
            <w:tcW w:w="850" w:type="dxa"/>
            <w:tcBorders>
              <w:top w:val="single" w:color="000000" w:sz="4" w:space="0"/>
              <w:left w:val="single" w:color="000000" w:sz="4" w:space="0"/>
              <w:bottom w:val="single" w:color="000000" w:sz="4" w:space="0"/>
              <w:right w:val="single" w:color="000000" w:sz="4" w:space="0"/>
            </w:tcBorders>
            <w:vAlign w:val="center"/>
          </w:tcPr>
          <w:p w14:paraId="2529D674">
            <w:pPr>
              <w:spacing w:line="480" w:lineRule="auto"/>
              <w:jc w:val="center"/>
              <w:rPr>
                <w:rFonts w:hint="eastAsia" w:ascii="宋体" w:hAnsi="宋体" w:cs="宋体"/>
                <w:color w:val="auto"/>
                <w:highlight w:val="none"/>
              </w:rPr>
            </w:pPr>
          </w:p>
        </w:tc>
      </w:tr>
      <w:tr w14:paraId="218E3E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1"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4793A98A">
            <w:pPr>
              <w:spacing w:line="480" w:lineRule="auto"/>
              <w:jc w:val="center"/>
              <w:rPr>
                <w:rFonts w:hint="eastAsia" w:ascii="宋体" w:hAnsi="宋体" w:cs="宋体"/>
                <w:color w:val="auto"/>
                <w:highlight w:val="none"/>
              </w:rPr>
            </w:pPr>
            <w:r>
              <w:rPr>
                <w:rFonts w:hint="eastAsia" w:ascii="宋体" w:hAnsi="宋体" w:cs="宋体"/>
                <w:color w:val="auto"/>
                <w:highlight w:val="none"/>
              </w:rPr>
              <w:t>6</w:t>
            </w:r>
          </w:p>
        </w:tc>
        <w:tc>
          <w:tcPr>
            <w:tcW w:w="2924" w:type="dxa"/>
            <w:tcBorders>
              <w:top w:val="single" w:color="000000" w:sz="4" w:space="0"/>
              <w:left w:val="single" w:color="000000" w:sz="4" w:space="0"/>
              <w:bottom w:val="single" w:color="000000" w:sz="4" w:space="0"/>
              <w:right w:val="single" w:color="000000" w:sz="4" w:space="0"/>
            </w:tcBorders>
            <w:vAlign w:val="center"/>
          </w:tcPr>
          <w:p w14:paraId="74F1C9BB">
            <w:pPr>
              <w:spacing w:line="480" w:lineRule="auto"/>
              <w:jc w:val="center"/>
              <w:rPr>
                <w:rFonts w:hint="eastAsia" w:ascii="宋体" w:hAnsi="宋体" w:cs="宋体"/>
                <w:color w:val="auto"/>
                <w:highlight w:val="none"/>
              </w:rPr>
            </w:pPr>
            <w:r>
              <w:rPr>
                <w:rFonts w:hint="eastAsia" w:ascii="宋体" w:hAnsi="宋体" w:cs="宋体"/>
                <w:color w:val="auto"/>
                <w:highlight w:val="none"/>
              </w:rPr>
              <w:t>材料、设备预付款比例</w:t>
            </w:r>
          </w:p>
        </w:tc>
        <w:tc>
          <w:tcPr>
            <w:tcW w:w="1279" w:type="dxa"/>
            <w:tcBorders>
              <w:top w:val="single" w:color="000000" w:sz="4" w:space="0"/>
              <w:left w:val="single" w:color="000000" w:sz="4" w:space="0"/>
              <w:bottom w:val="single" w:color="000000" w:sz="4" w:space="0"/>
              <w:right w:val="single" w:color="000000" w:sz="4" w:space="0"/>
            </w:tcBorders>
            <w:vAlign w:val="center"/>
          </w:tcPr>
          <w:p w14:paraId="13928870">
            <w:pPr>
              <w:spacing w:line="480" w:lineRule="auto"/>
              <w:jc w:val="center"/>
              <w:rPr>
                <w:rFonts w:hint="eastAsia" w:ascii="宋体" w:hAnsi="宋体" w:cs="宋体"/>
                <w:color w:val="auto"/>
                <w:highlight w:val="none"/>
              </w:rPr>
            </w:pPr>
          </w:p>
          <w:p w14:paraId="0714AAE1">
            <w:pPr>
              <w:spacing w:line="480" w:lineRule="auto"/>
              <w:jc w:val="center"/>
              <w:rPr>
                <w:rFonts w:hint="eastAsia" w:ascii="宋体" w:hAnsi="宋体" w:cs="宋体"/>
                <w:color w:val="auto"/>
                <w:highlight w:val="none"/>
              </w:rPr>
            </w:pPr>
            <w:r>
              <w:rPr>
                <w:rFonts w:hint="eastAsia" w:ascii="宋体" w:hAnsi="宋体" w:cs="宋体"/>
                <w:color w:val="auto"/>
                <w:highlight w:val="none"/>
              </w:rPr>
              <w:t>17.2.1（2）</w:t>
            </w:r>
          </w:p>
        </w:tc>
        <w:tc>
          <w:tcPr>
            <w:tcW w:w="3293" w:type="dxa"/>
            <w:tcBorders>
              <w:top w:val="single" w:color="000000" w:sz="4" w:space="0"/>
              <w:left w:val="single" w:color="000000" w:sz="4" w:space="0"/>
              <w:bottom w:val="single" w:color="000000" w:sz="4" w:space="0"/>
              <w:right w:val="single" w:color="000000" w:sz="4" w:space="0"/>
            </w:tcBorders>
            <w:vAlign w:val="center"/>
          </w:tcPr>
          <w:p w14:paraId="4A65D5F4">
            <w:pPr>
              <w:spacing w:line="480" w:lineRule="auto"/>
              <w:jc w:val="center"/>
              <w:rPr>
                <w:rFonts w:hint="eastAsia" w:ascii="宋体" w:hAnsi="宋体" w:cs="宋体"/>
                <w:color w:val="auto"/>
                <w:highlight w:val="none"/>
              </w:rPr>
            </w:pPr>
            <w:r>
              <w:rPr>
                <w:rFonts w:hint="eastAsia" w:ascii="宋体" w:hAnsi="宋体" w:cs="宋体"/>
                <w:color w:val="auto"/>
                <w:highlight w:val="none"/>
              </w:rPr>
              <w:t>等主要材料、设备单据所列费用的</w:t>
            </w:r>
            <w:r>
              <w:rPr>
                <w:rFonts w:hint="eastAsia" w:ascii="宋体" w:hAnsi="宋体" w:cs="宋体"/>
                <w:color w:val="auto"/>
                <w:highlight w:val="none"/>
                <w:u w:val="single"/>
              </w:rPr>
              <w:tab/>
            </w:r>
            <w:r>
              <w:rPr>
                <w:rFonts w:hint="eastAsia" w:ascii="宋体" w:hAnsi="宋体" w:cs="宋体"/>
                <w:color w:val="auto"/>
                <w:highlight w:val="none"/>
              </w:rPr>
              <w:t>%</w:t>
            </w:r>
          </w:p>
        </w:tc>
        <w:tc>
          <w:tcPr>
            <w:tcW w:w="850" w:type="dxa"/>
            <w:tcBorders>
              <w:top w:val="single" w:color="000000" w:sz="4" w:space="0"/>
              <w:left w:val="single" w:color="000000" w:sz="4" w:space="0"/>
              <w:bottom w:val="single" w:color="000000" w:sz="4" w:space="0"/>
              <w:right w:val="single" w:color="000000" w:sz="4" w:space="0"/>
            </w:tcBorders>
            <w:vAlign w:val="center"/>
          </w:tcPr>
          <w:p w14:paraId="502407D7">
            <w:pPr>
              <w:spacing w:line="480" w:lineRule="auto"/>
              <w:jc w:val="center"/>
              <w:rPr>
                <w:rFonts w:hint="eastAsia" w:ascii="宋体" w:hAnsi="宋体" w:cs="宋体"/>
                <w:color w:val="auto"/>
                <w:highlight w:val="none"/>
              </w:rPr>
            </w:pPr>
          </w:p>
        </w:tc>
      </w:tr>
      <w:tr w14:paraId="4EF4F0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681708F6">
            <w:pPr>
              <w:spacing w:line="480" w:lineRule="auto"/>
              <w:jc w:val="center"/>
              <w:rPr>
                <w:rFonts w:hint="eastAsia" w:ascii="宋体" w:hAnsi="宋体" w:cs="宋体"/>
                <w:color w:val="auto"/>
                <w:highlight w:val="none"/>
              </w:rPr>
            </w:pPr>
            <w:r>
              <w:rPr>
                <w:rFonts w:hint="eastAsia" w:ascii="宋体" w:hAnsi="宋体" w:cs="宋体"/>
                <w:color w:val="auto"/>
                <w:highlight w:val="none"/>
              </w:rPr>
              <w:t>7</w:t>
            </w:r>
          </w:p>
        </w:tc>
        <w:tc>
          <w:tcPr>
            <w:tcW w:w="2924" w:type="dxa"/>
            <w:tcBorders>
              <w:top w:val="single" w:color="000000" w:sz="4" w:space="0"/>
              <w:left w:val="single" w:color="000000" w:sz="4" w:space="0"/>
              <w:bottom w:val="single" w:color="000000" w:sz="4" w:space="0"/>
              <w:right w:val="single" w:color="000000" w:sz="4" w:space="0"/>
            </w:tcBorders>
            <w:vAlign w:val="center"/>
          </w:tcPr>
          <w:p w14:paraId="53F383AC">
            <w:pPr>
              <w:spacing w:line="480" w:lineRule="auto"/>
              <w:jc w:val="center"/>
              <w:rPr>
                <w:rFonts w:hint="eastAsia" w:ascii="宋体" w:hAnsi="宋体" w:cs="宋体"/>
                <w:color w:val="auto"/>
                <w:highlight w:val="none"/>
              </w:rPr>
            </w:pPr>
            <w:r>
              <w:rPr>
                <w:rFonts w:hint="eastAsia" w:ascii="宋体" w:hAnsi="宋体" w:cs="宋体"/>
                <w:color w:val="auto"/>
                <w:highlight w:val="none"/>
              </w:rPr>
              <w:t>进度付款证书最低限额</w:t>
            </w:r>
          </w:p>
        </w:tc>
        <w:tc>
          <w:tcPr>
            <w:tcW w:w="1279" w:type="dxa"/>
            <w:tcBorders>
              <w:top w:val="single" w:color="000000" w:sz="4" w:space="0"/>
              <w:left w:val="single" w:color="000000" w:sz="4" w:space="0"/>
              <w:bottom w:val="single" w:color="000000" w:sz="4" w:space="0"/>
              <w:right w:val="single" w:color="000000" w:sz="4" w:space="0"/>
            </w:tcBorders>
            <w:vAlign w:val="center"/>
          </w:tcPr>
          <w:p w14:paraId="0FF71A58">
            <w:pPr>
              <w:spacing w:line="480" w:lineRule="auto"/>
              <w:jc w:val="center"/>
              <w:rPr>
                <w:rFonts w:hint="eastAsia" w:ascii="宋体" w:hAnsi="宋体" w:cs="宋体"/>
                <w:color w:val="auto"/>
                <w:highlight w:val="none"/>
              </w:rPr>
            </w:pPr>
            <w:r>
              <w:rPr>
                <w:rFonts w:hint="eastAsia" w:ascii="宋体" w:hAnsi="宋体" w:cs="宋体"/>
                <w:color w:val="auto"/>
                <w:highlight w:val="none"/>
              </w:rPr>
              <w:t>17.3.3（1）</w:t>
            </w:r>
          </w:p>
        </w:tc>
        <w:tc>
          <w:tcPr>
            <w:tcW w:w="3293" w:type="dxa"/>
            <w:tcBorders>
              <w:top w:val="single" w:color="000000" w:sz="4" w:space="0"/>
              <w:left w:val="single" w:color="000000" w:sz="4" w:space="0"/>
              <w:bottom w:val="single" w:color="000000" w:sz="4" w:space="0"/>
              <w:right w:val="single" w:color="000000" w:sz="4" w:space="0"/>
            </w:tcBorders>
            <w:vAlign w:val="center"/>
          </w:tcPr>
          <w:p w14:paraId="4AFC0833">
            <w:pPr>
              <w:spacing w:line="480" w:lineRule="auto"/>
              <w:jc w:val="center"/>
              <w:rPr>
                <w:rFonts w:hint="eastAsia" w:ascii="宋体" w:hAnsi="宋体" w:cs="宋体"/>
                <w:color w:val="auto"/>
                <w:highlight w:val="none"/>
              </w:rPr>
            </w:pPr>
            <w:r>
              <w:rPr>
                <w:rFonts w:hint="eastAsia" w:ascii="宋体" w:hAnsi="宋体" w:cs="宋体"/>
                <w:color w:val="auto"/>
                <w:highlight w:val="none"/>
              </w:rPr>
              <w:t>%签约合同价或</w:t>
            </w:r>
            <w:r>
              <w:rPr>
                <w:rFonts w:hint="eastAsia" w:ascii="宋体" w:hAnsi="宋体" w:cs="宋体"/>
                <w:color w:val="auto"/>
                <w:highlight w:val="none"/>
                <w:u w:val="single"/>
              </w:rPr>
              <w:t xml:space="preserve">   </w:t>
            </w:r>
            <w:r>
              <w:rPr>
                <w:rFonts w:hint="eastAsia" w:ascii="宋体" w:hAnsi="宋体" w:cs="宋体"/>
                <w:color w:val="auto"/>
                <w:highlight w:val="none"/>
              </w:rPr>
              <w:t>万元</w:t>
            </w:r>
          </w:p>
        </w:tc>
        <w:tc>
          <w:tcPr>
            <w:tcW w:w="850" w:type="dxa"/>
            <w:tcBorders>
              <w:top w:val="single" w:color="000000" w:sz="4" w:space="0"/>
              <w:left w:val="single" w:color="000000" w:sz="4" w:space="0"/>
              <w:bottom w:val="single" w:color="000000" w:sz="4" w:space="0"/>
              <w:right w:val="single" w:color="000000" w:sz="4" w:space="0"/>
            </w:tcBorders>
            <w:vAlign w:val="center"/>
          </w:tcPr>
          <w:p w14:paraId="0AB6DB07">
            <w:pPr>
              <w:spacing w:line="480" w:lineRule="auto"/>
              <w:jc w:val="center"/>
              <w:rPr>
                <w:rFonts w:hint="eastAsia" w:ascii="宋体" w:hAnsi="宋体" w:cs="宋体"/>
                <w:color w:val="auto"/>
                <w:highlight w:val="none"/>
              </w:rPr>
            </w:pPr>
          </w:p>
        </w:tc>
      </w:tr>
      <w:tr w14:paraId="51601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A10AACF">
            <w:pPr>
              <w:spacing w:line="480" w:lineRule="auto"/>
              <w:jc w:val="center"/>
              <w:rPr>
                <w:rFonts w:hint="eastAsia" w:ascii="宋体" w:hAnsi="宋体" w:cs="宋体"/>
                <w:color w:val="auto"/>
                <w:highlight w:val="none"/>
              </w:rPr>
            </w:pPr>
            <w:r>
              <w:rPr>
                <w:rFonts w:hint="eastAsia" w:ascii="宋体" w:hAnsi="宋体" w:cs="宋体"/>
                <w:color w:val="auto"/>
                <w:highlight w:val="none"/>
              </w:rPr>
              <w:t>8</w:t>
            </w:r>
          </w:p>
        </w:tc>
        <w:tc>
          <w:tcPr>
            <w:tcW w:w="2924" w:type="dxa"/>
            <w:tcBorders>
              <w:top w:val="single" w:color="000000" w:sz="4" w:space="0"/>
              <w:left w:val="single" w:color="000000" w:sz="4" w:space="0"/>
              <w:bottom w:val="single" w:color="000000" w:sz="4" w:space="0"/>
              <w:right w:val="single" w:color="000000" w:sz="4" w:space="0"/>
            </w:tcBorders>
            <w:vAlign w:val="center"/>
          </w:tcPr>
          <w:p w14:paraId="7454CE28">
            <w:pPr>
              <w:spacing w:line="480" w:lineRule="auto"/>
              <w:jc w:val="center"/>
              <w:rPr>
                <w:rFonts w:hint="eastAsia" w:ascii="宋体" w:hAnsi="宋体" w:cs="宋体"/>
                <w:color w:val="auto"/>
                <w:highlight w:val="none"/>
              </w:rPr>
            </w:pPr>
            <w:r>
              <w:rPr>
                <w:rFonts w:hint="eastAsia" w:ascii="宋体" w:hAnsi="宋体" w:cs="宋体"/>
                <w:color w:val="auto"/>
                <w:highlight w:val="none"/>
              </w:rPr>
              <w:t>逾期付款违约金的利率</w:t>
            </w:r>
          </w:p>
        </w:tc>
        <w:tc>
          <w:tcPr>
            <w:tcW w:w="1279" w:type="dxa"/>
            <w:tcBorders>
              <w:top w:val="single" w:color="000000" w:sz="4" w:space="0"/>
              <w:left w:val="single" w:color="000000" w:sz="4" w:space="0"/>
              <w:bottom w:val="single" w:color="000000" w:sz="4" w:space="0"/>
              <w:right w:val="single" w:color="000000" w:sz="4" w:space="0"/>
            </w:tcBorders>
            <w:vAlign w:val="center"/>
          </w:tcPr>
          <w:p w14:paraId="5E36983C">
            <w:pPr>
              <w:spacing w:line="480" w:lineRule="auto"/>
              <w:jc w:val="center"/>
              <w:rPr>
                <w:rFonts w:hint="eastAsia" w:ascii="宋体" w:hAnsi="宋体" w:cs="宋体"/>
                <w:color w:val="auto"/>
                <w:highlight w:val="none"/>
              </w:rPr>
            </w:pPr>
            <w:r>
              <w:rPr>
                <w:rFonts w:hint="eastAsia" w:ascii="宋体" w:hAnsi="宋体" w:cs="宋体"/>
                <w:color w:val="auto"/>
                <w:highlight w:val="none"/>
              </w:rPr>
              <w:t>17.3.3（2）</w:t>
            </w:r>
          </w:p>
        </w:tc>
        <w:tc>
          <w:tcPr>
            <w:tcW w:w="3293" w:type="dxa"/>
            <w:tcBorders>
              <w:top w:val="single" w:color="000000" w:sz="4" w:space="0"/>
              <w:left w:val="single" w:color="000000" w:sz="4" w:space="0"/>
              <w:bottom w:val="single" w:color="000000" w:sz="4" w:space="0"/>
              <w:right w:val="single" w:color="000000" w:sz="4" w:space="0"/>
            </w:tcBorders>
            <w:vAlign w:val="center"/>
          </w:tcPr>
          <w:p w14:paraId="1E6DB997">
            <w:pPr>
              <w:spacing w:line="480" w:lineRule="auto"/>
              <w:jc w:val="center"/>
              <w:rPr>
                <w:rFonts w:hint="eastAsia" w:ascii="宋体" w:hAnsi="宋体" w:cs="宋体"/>
                <w:color w:val="auto"/>
                <w:highlight w:val="none"/>
              </w:rPr>
            </w:pPr>
            <w:r>
              <w:rPr>
                <w:rFonts w:hint="eastAsia" w:ascii="宋体" w:hAnsi="宋体" w:cs="宋体"/>
                <w:color w:val="auto"/>
                <w:highlight w:val="none"/>
              </w:rPr>
              <w:t>‰/天</w:t>
            </w:r>
          </w:p>
        </w:tc>
        <w:tc>
          <w:tcPr>
            <w:tcW w:w="850" w:type="dxa"/>
            <w:tcBorders>
              <w:top w:val="single" w:color="000000" w:sz="4" w:space="0"/>
              <w:left w:val="single" w:color="000000" w:sz="4" w:space="0"/>
              <w:bottom w:val="single" w:color="000000" w:sz="4" w:space="0"/>
              <w:right w:val="single" w:color="000000" w:sz="4" w:space="0"/>
            </w:tcBorders>
            <w:vAlign w:val="center"/>
          </w:tcPr>
          <w:p w14:paraId="23B72208">
            <w:pPr>
              <w:spacing w:line="480" w:lineRule="auto"/>
              <w:jc w:val="center"/>
              <w:rPr>
                <w:rFonts w:hint="eastAsia" w:ascii="宋体" w:hAnsi="宋体" w:cs="宋体"/>
                <w:color w:val="auto"/>
                <w:highlight w:val="none"/>
              </w:rPr>
            </w:pPr>
          </w:p>
        </w:tc>
      </w:tr>
      <w:tr w14:paraId="7238F0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99"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2AE03E25">
            <w:pPr>
              <w:spacing w:line="480" w:lineRule="auto"/>
              <w:jc w:val="center"/>
              <w:rPr>
                <w:rFonts w:hint="eastAsia" w:ascii="宋体" w:hAnsi="宋体" w:cs="宋体"/>
                <w:color w:val="auto"/>
                <w:highlight w:val="none"/>
              </w:rPr>
            </w:pPr>
          </w:p>
          <w:p w14:paraId="0F9FB7A7">
            <w:pPr>
              <w:spacing w:line="480" w:lineRule="auto"/>
              <w:jc w:val="center"/>
              <w:rPr>
                <w:rFonts w:hint="eastAsia" w:ascii="宋体" w:hAnsi="宋体" w:cs="宋体"/>
                <w:color w:val="auto"/>
                <w:highlight w:val="none"/>
              </w:rPr>
            </w:pPr>
            <w:r>
              <w:rPr>
                <w:rFonts w:hint="eastAsia" w:ascii="宋体" w:hAnsi="宋体" w:cs="宋体"/>
                <w:color w:val="auto"/>
                <w:highlight w:val="none"/>
              </w:rPr>
              <w:t>9</w:t>
            </w:r>
          </w:p>
        </w:tc>
        <w:tc>
          <w:tcPr>
            <w:tcW w:w="2924" w:type="dxa"/>
            <w:tcBorders>
              <w:top w:val="single" w:color="000000" w:sz="4" w:space="0"/>
              <w:left w:val="single" w:color="000000" w:sz="4" w:space="0"/>
              <w:bottom w:val="single" w:color="000000" w:sz="4" w:space="0"/>
              <w:right w:val="single" w:color="000000" w:sz="4" w:space="0"/>
            </w:tcBorders>
            <w:vAlign w:val="center"/>
          </w:tcPr>
          <w:p w14:paraId="43C838D4">
            <w:pPr>
              <w:spacing w:line="480" w:lineRule="auto"/>
              <w:jc w:val="center"/>
              <w:rPr>
                <w:rFonts w:hint="eastAsia" w:ascii="宋体" w:hAnsi="宋体" w:cs="宋体"/>
                <w:color w:val="auto"/>
                <w:highlight w:val="none"/>
              </w:rPr>
            </w:pPr>
            <w:r>
              <w:rPr>
                <w:rFonts w:hint="eastAsia" w:ascii="宋体" w:hAnsi="宋体" w:cs="宋体"/>
                <w:color w:val="auto"/>
                <w:highlight w:val="none"/>
              </w:rPr>
              <w:t>质量保证金金额</w:t>
            </w:r>
          </w:p>
        </w:tc>
        <w:tc>
          <w:tcPr>
            <w:tcW w:w="1279" w:type="dxa"/>
            <w:tcBorders>
              <w:top w:val="single" w:color="000000" w:sz="4" w:space="0"/>
              <w:left w:val="single" w:color="000000" w:sz="4" w:space="0"/>
              <w:bottom w:val="single" w:color="000000" w:sz="4" w:space="0"/>
              <w:right w:val="single" w:color="000000" w:sz="4" w:space="0"/>
            </w:tcBorders>
            <w:vAlign w:val="center"/>
          </w:tcPr>
          <w:p w14:paraId="42738145">
            <w:pPr>
              <w:spacing w:line="480" w:lineRule="auto"/>
              <w:jc w:val="center"/>
              <w:rPr>
                <w:rFonts w:hint="eastAsia" w:ascii="宋体" w:hAnsi="宋体" w:cs="宋体"/>
                <w:color w:val="auto"/>
                <w:highlight w:val="none"/>
              </w:rPr>
            </w:pPr>
          </w:p>
          <w:p w14:paraId="400FEF97">
            <w:pPr>
              <w:spacing w:line="480" w:lineRule="auto"/>
              <w:jc w:val="center"/>
              <w:rPr>
                <w:rFonts w:hint="eastAsia" w:ascii="宋体" w:hAnsi="宋体" w:cs="宋体"/>
                <w:color w:val="auto"/>
                <w:highlight w:val="none"/>
              </w:rPr>
            </w:pPr>
          </w:p>
          <w:p w14:paraId="39D999F6">
            <w:pPr>
              <w:spacing w:line="480" w:lineRule="auto"/>
              <w:jc w:val="center"/>
              <w:rPr>
                <w:rFonts w:hint="eastAsia" w:ascii="宋体" w:hAnsi="宋体" w:cs="宋体"/>
                <w:color w:val="auto"/>
                <w:highlight w:val="none"/>
              </w:rPr>
            </w:pPr>
          </w:p>
          <w:p w14:paraId="574B6B78">
            <w:pPr>
              <w:spacing w:line="480" w:lineRule="auto"/>
              <w:jc w:val="center"/>
              <w:rPr>
                <w:rFonts w:hint="eastAsia" w:ascii="宋体" w:hAnsi="宋体" w:cs="宋体"/>
                <w:color w:val="auto"/>
                <w:highlight w:val="none"/>
              </w:rPr>
            </w:pPr>
            <w:r>
              <w:rPr>
                <w:rFonts w:hint="eastAsia" w:ascii="宋体" w:hAnsi="宋体" w:cs="宋体"/>
                <w:color w:val="auto"/>
                <w:highlight w:val="none"/>
              </w:rPr>
              <w:t>17.4.1</w:t>
            </w:r>
          </w:p>
        </w:tc>
        <w:tc>
          <w:tcPr>
            <w:tcW w:w="3293" w:type="dxa"/>
            <w:tcBorders>
              <w:top w:val="single" w:color="000000" w:sz="4" w:space="0"/>
              <w:left w:val="single" w:color="000000" w:sz="4" w:space="0"/>
              <w:bottom w:val="single" w:color="000000" w:sz="4" w:space="0"/>
              <w:right w:val="single" w:color="000000" w:sz="4" w:space="0"/>
            </w:tcBorders>
            <w:vAlign w:val="center"/>
          </w:tcPr>
          <w:p w14:paraId="5208CC35">
            <w:pPr>
              <w:spacing w:line="480" w:lineRule="auto"/>
              <w:jc w:val="center"/>
              <w:rPr>
                <w:rFonts w:hint="eastAsia" w:ascii="宋体" w:hAnsi="宋体" w:cs="宋体"/>
                <w:color w:val="auto"/>
                <w:highlight w:val="none"/>
              </w:rPr>
            </w:pPr>
            <w:r>
              <w:rPr>
                <w:rFonts w:hint="eastAsia" w:ascii="宋体" w:hAnsi="宋体" w:cs="宋体"/>
                <w:color w:val="auto"/>
                <w:highlight w:val="none"/>
              </w:rPr>
              <w:t>%</w:t>
            </w:r>
            <w:r>
              <w:rPr>
                <w:rFonts w:hint="eastAsia" w:ascii="宋体" w:hAnsi="宋体" w:cs="宋体"/>
                <w:color w:val="auto"/>
                <w:szCs w:val="21"/>
                <w:highlight w:val="none"/>
                <w:shd w:val="clear" w:color="auto" w:fill="FFFFFF"/>
              </w:rPr>
              <w:t>工程价款结算总额</w:t>
            </w:r>
          </w:p>
        </w:tc>
        <w:tc>
          <w:tcPr>
            <w:tcW w:w="850" w:type="dxa"/>
            <w:tcBorders>
              <w:top w:val="single" w:color="000000" w:sz="4" w:space="0"/>
              <w:left w:val="single" w:color="000000" w:sz="4" w:space="0"/>
              <w:bottom w:val="single" w:color="000000" w:sz="4" w:space="0"/>
              <w:right w:val="single" w:color="000000" w:sz="4" w:space="0"/>
            </w:tcBorders>
            <w:vAlign w:val="center"/>
          </w:tcPr>
          <w:p w14:paraId="7FE2A8CE">
            <w:pPr>
              <w:spacing w:line="480" w:lineRule="auto"/>
              <w:jc w:val="center"/>
              <w:rPr>
                <w:rFonts w:hint="eastAsia" w:ascii="宋体" w:hAnsi="宋体" w:cs="宋体"/>
                <w:color w:val="auto"/>
                <w:highlight w:val="none"/>
              </w:rPr>
            </w:pPr>
          </w:p>
        </w:tc>
      </w:tr>
      <w:tr w14:paraId="5C9B30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736" w:type="dxa"/>
            <w:tcBorders>
              <w:top w:val="single" w:color="000000" w:sz="4" w:space="0"/>
              <w:left w:val="single" w:color="000000" w:sz="4" w:space="0"/>
              <w:bottom w:val="single" w:color="000000" w:sz="4" w:space="0"/>
              <w:right w:val="single" w:color="000000" w:sz="4" w:space="0"/>
            </w:tcBorders>
            <w:vAlign w:val="center"/>
          </w:tcPr>
          <w:p w14:paraId="7D6D8C68">
            <w:pPr>
              <w:spacing w:line="480" w:lineRule="auto"/>
              <w:jc w:val="center"/>
              <w:rPr>
                <w:rFonts w:hint="eastAsia" w:ascii="宋体" w:hAnsi="宋体" w:cs="宋体"/>
                <w:color w:val="auto"/>
                <w:highlight w:val="none"/>
              </w:rPr>
            </w:pPr>
            <w:r>
              <w:rPr>
                <w:rFonts w:hint="eastAsia" w:ascii="宋体" w:hAnsi="宋体" w:cs="宋体"/>
                <w:color w:val="auto"/>
                <w:highlight w:val="none"/>
              </w:rPr>
              <w:t>10</w:t>
            </w:r>
          </w:p>
        </w:tc>
        <w:tc>
          <w:tcPr>
            <w:tcW w:w="2924" w:type="dxa"/>
            <w:tcBorders>
              <w:top w:val="single" w:color="000000" w:sz="4" w:space="0"/>
              <w:left w:val="single" w:color="000000" w:sz="4" w:space="0"/>
              <w:bottom w:val="single" w:color="000000" w:sz="4" w:space="0"/>
              <w:right w:val="single" w:color="000000" w:sz="4" w:space="0"/>
            </w:tcBorders>
            <w:vAlign w:val="center"/>
          </w:tcPr>
          <w:p w14:paraId="4FDE6E0A">
            <w:pPr>
              <w:spacing w:line="480" w:lineRule="auto"/>
              <w:jc w:val="center"/>
              <w:rPr>
                <w:rFonts w:hint="eastAsia" w:ascii="宋体" w:hAnsi="宋体" w:cs="宋体"/>
                <w:color w:val="auto"/>
                <w:highlight w:val="none"/>
              </w:rPr>
            </w:pPr>
            <w:r>
              <w:rPr>
                <w:rFonts w:hint="eastAsia" w:ascii="宋体" w:hAnsi="宋体" w:cs="宋体"/>
                <w:color w:val="auto"/>
                <w:highlight w:val="none"/>
              </w:rPr>
              <w:t>保修期</w:t>
            </w:r>
          </w:p>
        </w:tc>
        <w:tc>
          <w:tcPr>
            <w:tcW w:w="1279" w:type="dxa"/>
            <w:tcBorders>
              <w:top w:val="single" w:color="000000" w:sz="4" w:space="0"/>
              <w:left w:val="single" w:color="000000" w:sz="4" w:space="0"/>
              <w:bottom w:val="single" w:color="000000" w:sz="4" w:space="0"/>
              <w:right w:val="single" w:color="000000" w:sz="4" w:space="0"/>
            </w:tcBorders>
            <w:vAlign w:val="center"/>
          </w:tcPr>
          <w:p w14:paraId="7B678F03">
            <w:pPr>
              <w:spacing w:line="480" w:lineRule="auto"/>
              <w:jc w:val="center"/>
              <w:rPr>
                <w:rFonts w:hint="eastAsia" w:ascii="宋体" w:hAnsi="宋体" w:cs="宋体"/>
                <w:color w:val="auto"/>
                <w:highlight w:val="none"/>
              </w:rPr>
            </w:pPr>
            <w:r>
              <w:rPr>
                <w:rFonts w:hint="eastAsia" w:ascii="宋体" w:hAnsi="宋体" w:cs="宋体"/>
                <w:color w:val="auto"/>
                <w:highlight w:val="none"/>
              </w:rPr>
              <w:t>19.7（1）</w:t>
            </w:r>
          </w:p>
        </w:tc>
        <w:tc>
          <w:tcPr>
            <w:tcW w:w="3293" w:type="dxa"/>
            <w:tcBorders>
              <w:top w:val="single" w:color="000000" w:sz="4" w:space="0"/>
              <w:left w:val="single" w:color="000000" w:sz="4" w:space="0"/>
              <w:bottom w:val="single" w:color="000000" w:sz="4" w:space="0"/>
              <w:right w:val="single" w:color="000000" w:sz="4" w:space="0"/>
            </w:tcBorders>
            <w:vAlign w:val="center"/>
          </w:tcPr>
          <w:p w14:paraId="2F13884E">
            <w:pPr>
              <w:spacing w:line="480" w:lineRule="auto"/>
              <w:jc w:val="center"/>
              <w:rPr>
                <w:rFonts w:hint="eastAsia" w:ascii="宋体" w:hAnsi="宋体" w:cs="宋体"/>
                <w:color w:val="auto"/>
                <w:highlight w:val="none"/>
              </w:rPr>
            </w:pPr>
            <w:r>
              <w:rPr>
                <w:rFonts w:hint="eastAsia" w:ascii="宋体" w:hAnsi="宋体" w:cs="宋体"/>
                <w:color w:val="auto"/>
                <w:highlight w:val="none"/>
              </w:rPr>
              <w:t>自实际交工日期起计算</w:t>
            </w:r>
            <w:r>
              <w:rPr>
                <w:rFonts w:hint="eastAsia" w:ascii="宋体" w:hAnsi="宋体" w:cs="宋体"/>
                <w:color w:val="auto"/>
                <w:highlight w:val="none"/>
                <w:u w:val="single"/>
              </w:rPr>
              <w:tab/>
            </w:r>
            <w:r>
              <w:rPr>
                <w:rFonts w:hint="eastAsia" w:ascii="宋体" w:hAnsi="宋体" w:cs="宋体"/>
                <w:color w:val="auto"/>
                <w:highlight w:val="none"/>
              </w:rPr>
              <w:t>年</w:t>
            </w:r>
          </w:p>
        </w:tc>
        <w:tc>
          <w:tcPr>
            <w:tcW w:w="850" w:type="dxa"/>
            <w:tcBorders>
              <w:top w:val="single" w:color="000000" w:sz="4" w:space="0"/>
              <w:left w:val="single" w:color="000000" w:sz="4" w:space="0"/>
              <w:bottom w:val="single" w:color="000000" w:sz="4" w:space="0"/>
              <w:right w:val="single" w:color="000000" w:sz="4" w:space="0"/>
            </w:tcBorders>
            <w:vAlign w:val="center"/>
          </w:tcPr>
          <w:p w14:paraId="77B6BCF4">
            <w:pPr>
              <w:spacing w:line="480" w:lineRule="auto"/>
              <w:jc w:val="center"/>
              <w:rPr>
                <w:rFonts w:hint="eastAsia" w:ascii="宋体" w:hAnsi="宋体" w:cs="宋体"/>
                <w:color w:val="auto"/>
                <w:highlight w:val="none"/>
              </w:rPr>
            </w:pPr>
          </w:p>
        </w:tc>
      </w:tr>
    </w:tbl>
    <w:p w14:paraId="171C2116">
      <w:pPr>
        <w:spacing w:line="360" w:lineRule="auto"/>
        <w:ind w:right="-817" w:firstLine="2640"/>
        <w:contextualSpacing/>
        <w:rPr>
          <w:rFonts w:hint="eastAsia" w:ascii="宋体" w:hAnsi="宋体" w:cs="宋体"/>
          <w:color w:val="auto"/>
          <w:sz w:val="24"/>
          <w:highlight w:val="none"/>
        </w:rPr>
      </w:pPr>
    </w:p>
    <w:p w14:paraId="5F4656B0">
      <w:pPr>
        <w:spacing w:line="360" w:lineRule="auto"/>
        <w:ind w:right="-817" w:firstLine="2640"/>
        <w:contextualSpacing/>
        <w:rPr>
          <w:rFonts w:hint="eastAsia" w:ascii="宋体" w:hAnsi="宋体" w:cs="宋体"/>
          <w:color w:val="auto"/>
          <w:sz w:val="24"/>
          <w:highlight w:val="none"/>
        </w:rPr>
      </w:pPr>
      <w:r>
        <w:rPr>
          <w:rFonts w:hint="eastAsia" w:ascii="宋体" w:hAnsi="宋体" w:cs="宋体"/>
          <w:color w:val="auto"/>
          <w:sz w:val="24"/>
          <w:highlight w:val="none"/>
        </w:rPr>
        <w:t xml:space="preserve">法定代表人或者委托代理人（签字或者电子签名）：                    </w:t>
      </w:r>
    </w:p>
    <w:p w14:paraId="7B6F46CE">
      <w:pPr>
        <w:spacing w:line="360" w:lineRule="auto"/>
        <w:ind w:right="-817" w:firstLine="2640"/>
        <w:contextualSpacing/>
        <w:rPr>
          <w:rFonts w:hint="eastAsia" w:ascii="宋体" w:hAnsi="宋体" w:cs="宋体"/>
          <w:color w:val="auto"/>
          <w:sz w:val="24"/>
          <w:highlight w:val="none"/>
        </w:rPr>
      </w:pPr>
      <w:r>
        <w:rPr>
          <w:rFonts w:hint="eastAsia" w:ascii="宋体" w:hAnsi="宋体" w:cs="宋体"/>
          <w:color w:val="auto"/>
          <w:sz w:val="24"/>
          <w:highlight w:val="none"/>
        </w:rPr>
        <w:t xml:space="preserve">供应商名称（电子签章）：      </w:t>
      </w:r>
    </w:p>
    <w:p w14:paraId="437AE6CC">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日期：   年   月   日</w:t>
      </w:r>
    </w:p>
    <w:p w14:paraId="4D881303">
      <w:pPr>
        <w:spacing w:line="360" w:lineRule="auto"/>
        <w:jc w:val="center"/>
        <w:rPr>
          <w:rFonts w:hint="eastAsia" w:ascii="宋体" w:hAnsi="宋体" w:cs="宋体"/>
          <w:bCs/>
          <w:color w:val="auto"/>
          <w:sz w:val="32"/>
          <w:szCs w:val="32"/>
          <w:highlight w:val="none"/>
        </w:rPr>
      </w:pPr>
      <w:r>
        <w:rPr>
          <w:rFonts w:hint="eastAsia" w:ascii="宋体" w:hAnsi="宋体" w:cs="宋体"/>
          <w:b/>
          <w:bCs/>
          <w:color w:val="auto"/>
          <w:sz w:val="32"/>
          <w:szCs w:val="32"/>
          <w:highlight w:val="none"/>
        </w:rPr>
        <w:br w:type="page" w:clear="all"/>
      </w:r>
      <w:r>
        <w:rPr>
          <w:rFonts w:hint="eastAsia" w:ascii="宋体" w:hAnsi="宋体" w:cs="宋体"/>
          <w:b/>
          <w:bCs/>
          <w:color w:val="auto"/>
          <w:sz w:val="32"/>
          <w:szCs w:val="32"/>
          <w:highlight w:val="none"/>
        </w:rPr>
        <w:t>竞标报价表</w:t>
      </w:r>
    </w:p>
    <w:p w14:paraId="0055F5E0">
      <w:pPr>
        <w:spacing w:line="440" w:lineRule="exact"/>
        <w:jc w:val="center"/>
        <w:rPr>
          <w:rFonts w:hint="eastAsia" w:ascii="宋体" w:hAnsi="宋体" w:cs="宋体"/>
          <w:bCs/>
          <w:color w:val="auto"/>
          <w:sz w:val="32"/>
          <w:szCs w:val="32"/>
          <w:highlight w:val="none"/>
        </w:rPr>
      </w:pPr>
    </w:p>
    <w:p w14:paraId="15BA8A4C">
      <w:pPr>
        <w:spacing w:line="360" w:lineRule="auto"/>
        <w:contextualSpacing/>
        <w:rPr>
          <w:rFonts w:hint="eastAsia" w:ascii="宋体" w:hAnsi="宋体" w:cs="宋体"/>
          <w:color w:val="auto"/>
          <w:sz w:val="24"/>
          <w:highlight w:val="non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248E7A97">
      <w:pPr>
        <w:spacing w:line="360" w:lineRule="auto"/>
        <w:contextualSpacing/>
        <w:rPr>
          <w:rFonts w:hint="eastAsia" w:ascii="宋体" w:hAnsi="宋体" w:cs="宋体"/>
          <w:color w:val="auto"/>
          <w:sz w:val="24"/>
          <w:highlight w:val="none"/>
          <w:u w:val="single"/>
        </w:rPr>
      </w:pPr>
      <w:r>
        <w:rPr>
          <w:rFonts w:hint="eastAsia" w:ascii="宋体" w:hAnsi="宋体" w:cs="宋体"/>
          <w:color w:val="auto"/>
          <w:sz w:val="24"/>
          <w:highlight w:val="none"/>
        </w:rPr>
        <w:t>分标（如有）：</w:t>
      </w:r>
      <w:r>
        <w:rPr>
          <w:rFonts w:hint="eastAsia" w:ascii="宋体" w:hAnsi="宋体" w:cs="宋体"/>
          <w:color w:val="auto"/>
          <w:sz w:val="24"/>
          <w:highlight w:val="none"/>
          <w:u w:val="single"/>
        </w:rPr>
        <w:t xml:space="preserve">            </w:t>
      </w:r>
    </w:p>
    <w:p w14:paraId="4DFFE3B6">
      <w:pPr>
        <w:spacing w:line="360" w:lineRule="auto"/>
        <w:contextualSpacing/>
        <w:rPr>
          <w:rFonts w:hint="eastAsia" w:ascii="宋体" w:hAnsi="宋体" w:cs="宋体"/>
          <w:color w:val="auto"/>
          <w:sz w:val="24"/>
          <w:highlight w:val="non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3359354D">
      <w:pPr>
        <w:spacing w:line="360" w:lineRule="auto"/>
        <w:contextualSpacing/>
        <w:rPr>
          <w:rFonts w:hint="eastAsia" w:ascii="宋体" w:hAnsi="宋体" w:cs="宋体"/>
          <w:color w:val="auto"/>
          <w:sz w:val="24"/>
          <w:highlight w:val="none"/>
        </w:rPr>
      </w:pPr>
      <w:r>
        <w:rPr>
          <w:rFonts w:hint="eastAsia" w:ascii="宋体" w:hAnsi="宋体" w:cs="宋体"/>
          <w:color w:val="auto"/>
          <w:sz w:val="24"/>
          <w:highlight w:val="none"/>
        </w:rPr>
        <w:t xml:space="preserve">                                                                  单位：元</w:t>
      </w:r>
    </w:p>
    <w:tbl>
      <w:tblPr>
        <w:tblStyle w:val="33"/>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8"/>
        <w:gridCol w:w="2978"/>
        <w:gridCol w:w="1513"/>
        <w:gridCol w:w="2833"/>
        <w:gridCol w:w="1028"/>
      </w:tblGrid>
      <w:tr w14:paraId="608AD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1028" w:type="dxa"/>
            <w:tcBorders>
              <w:top w:val="single" w:color="auto" w:sz="4" w:space="0"/>
              <w:left w:val="single" w:color="auto" w:sz="4" w:space="0"/>
              <w:bottom w:val="single" w:color="auto" w:sz="4" w:space="0"/>
              <w:right w:val="single" w:color="auto" w:sz="4" w:space="0"/>
            </w:tcBorders>
            <w:vAlign w:val="center"/>
          </w:tcPr>
          <w:p w14:paraId="2132C02C">
            <w:pPr>
              <w:spacing w:line="360" w:lineRule="auto"/>
              <w:contextualSpacing/>
              <w:jc w:val="center"/>
              <w:rPr>
                <w:rFonts w:hint="eastAsia" w:ascii="宋体" w:hAnsi="宋体" w:cs="宋体"/>
                <w:color w:val="auto"/>
                <w:sz w:val="24"/>
                <w:highlight w:val="none"/>
              </w:rPr>
            </w:pPr>
            <w:r>
              <w:rPr>
                <w:rFonts w:hint="eastAsia" w:ascii="宋体" w:hAnsi="宋体" w:cs="宋体"/>
                <w:color w:val="auto"/>
                <w:sz w:val="24"/>
                <w:highlight w:val="none"/>
              </w:rPr>
              <w:t>序号</w:t>
            </w:r>
          </w:p>
        </w:tc>
        <w:tc>
          <w:tcPr>
            <w:tcW w:w="2978" w:type="dxa"/>
            <w:tcBorders>
              <w:top w:val="single" w:color="auto" w:sz="4" w:space="0"/>
              <w:left w:val="single" w:color="auto" w:sz="4" w:space="0"/>
              <w:bottom w:val="single" w:color="auto" w:sz="4" w:space="0"/>
              <w:right w:val="single" w:color="auto" w:sz="4" w:space="0"/>
            </w:tcBorders>
            <w:vAlign w:val="center"/>
          </w:tcPr>
          <w:p w14:paraId="1912A13F">
            <w:pPr>
              <w:spacing w:line="360" w:lineRule="auto"/>
              <w:contextualSpacing/>
              <w:jc w:val="center"/>
              <w:rPr>
                <w:rFonts w:hint="eastAsia" w:ascii="宋体" w:hAnsi="宋体" w:cs="宋体"/>
                <w:color w:val="auto"/>
                <w:sz w:val="24"/>
                <w:highlight w:val="none"/>
              </w:rPr>
            </w:pPr>
            <w:r>
              <w:rPr>
                <w:rFonts w:hint="eastAsia" w:ascii="宋体" w:hAnsi="宋体" w:cs="宋体"/>
                <w:color w:val="auto"/>
                <w:sz w:val="24"/>
                <w:highlight w:val="none"/>
              </w:rPr>
              <w:t>标的的名称</w:t>
            </w:r>
          </w:p>
        </w:tc>
        <w:tc>
          <w:tcPr>
            <w:tcW w:w="1513" w:type="dxa"/>
            <w:tcBorders>
              <w:top w:val="single" w:color="auto" w:sz="4" w:space="0"/>
              <w:left w:val="single" w:color="auto" w:sz="4" w:space="0"/>
              <w:bottom w:val="single" w:color="auto" w:sz="4" w:space="0"/>
              <w:right w:val="single" w:color="auto" w:sz="4" w:space="0"/>
            </w:tcBorders>
            <w:vAlign w:val="center"/>
          </w:tcPr>
          <w:p w14:paraId="2FC36A51">
            <w:pPr>
              <w:spacing w:line="360" w:lineRule="auto"/>
              <w:contextualSpacing/>
              <w:jc w:val="center"/>
              <w:rPr>
                <w:rFonts w:hint="eastAsia" w:ascii="宋体" w:hAnsi="宋体" w:cs="宋体"/>
                <w:color w:val="auto"/>
                <w:sz w:val="24"/>
                <w:highlight w:val="none"/>
              </w:rPr>
            </w:pPr>
            <w:r>
              <w:rPr>
                <w:rFonts w:hint="eastAsia" w:ascii="宋体" w:hAnsi="宋体" w:cs="宋体"/>
                <w:color w:val="auto"/>
                <w:sz w:val="24"/>
                <w:highlight w:val="none"/>
              </w:rPr>
              <w:t>数量及单位</w:t>
            </w:r>
          </w:p>
        </w:tc>
        <w:tc>
          <w:tcPr>
            <w:tcW w:w="2833" w:type="dxa"/>
            <w:tcBorders>
              <w:top w:val="single" w:color="auto" w:sz="4" w:space="0"/>
              <w:left w:val="single" w:color="auto" w:sz="4" w:space="0"/>
              <w:bottom w:val="single" w:color="auto" w:sz="4" w:space="0"/>
              <w:right w:val="single" w:color="auto" w:sz="4" w:space="0"/>
            </w:tcBorders>
            <w:vAlign w:val="center"/>
          </w:tcPr>
          <w:p w14:paraId="6DCB9611">
            <w:pPr>
              <w:spacing w:line="360" w:lineRule="auto"/>
              <w:contextualSpacing/>
              <w:jc w:val="center"/>
              <w:rPr>
                <w:rFonts w:hint="eastAsia" w:ascii="宋体" w:hAnsi="宋体" w:cs="宋体"/>
                <w:color w:val="auto"/>
                <w:sz w:val="24"/>
                <w:highlight w:val="none"/>
              </w:rPr>
            </w:pPr>
            <w:r>
              <w:rPr>
                <w:rFonts w:hint="eastAsia" w:ascii="宋体" w:hAnsi="宋体" w:cs="宋体"/>
                <w:color w:val="auto"/>
                <w:sz w:val="24"/>
                <w:highlight w:val="none"/>
              </w:rPr>
              <w:t>金额</w:t>
            </w:r>
          </w:p>
        </w:tc>
        <w:tc>
          <w:tcPr>
            <w:tcW w:w="1028" w:type="dxa"/>
            <w:tcBorders>
              <w:top w:val="single" w:color="auto" w:sz="4" w:space="0"/>
              <w:left w:val="single" w:color="auto" w:sz="4" w:space="0"/>
              <w:bottom w:val="single" w:color="auto" w:sz="4" w:space="0"/>
              <w:right w:val="single" w:color="auto" w:sz="4" w:space="0"/>
            </w:tcBorders>
            <w:vAlign w:val="center"/>
          </w:tcPr>
          <w:p w14:paraId="5FD66964">
            <w:pPr>
              <w:spacing w:line="360" w:lineRule="auto"/>
              <w:contextualSpacing/>
              <w:jc w:val="center"/>
              <w:rPr>
                <w:rFonts w:hint="eastAsia" w:ascii="宋体" w:hAnsi="宋体" w:cs="宋体"/>
                <w:color w:val="auto"/>
                <w:sz w:val="24"/>
                <w:highlight w:val="none"/>
              </w:rPr>
            </w:pPr>
            <w:r>
              <w:rPr>
                <w:rFonts w:hint="eastAsia" w:ascii="宋体" w:hAnsi="宋体" w:cs="宋体"/>
                <w:color w:val="auto"/>
                <w:sz w:val="24"/>
                <w:highlight w:val="none"/>
              </w:rPr>
              <w:t>备注</w:t>
            </w:r>
          </w:p>
        </w:tc>
      </w:tr>
      <w:tr w14:paraId="60933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0" w:hRule="atLeast"/>
          <w:jc w:val="right"/>
        </w:trPr>
        <w:tc>
          <w:tcPr>
            <w:tcW w:w="1028" w:type="dxa"/>
            <w:tcBorders>
              <w:top w:val="single" w:color="auto" w:sz="4" w:space="0"/>
              <w:left w:val="single" w:color="auto" w:sz="4" w:space="0"/>
              <w:bottom w:val="single" w:color="auto" w:sz="4" w:space="0"/>
              <w:right w:val="single" w:color="auto" w:sz="4" w:space="0"/>
            </w:tcBorders>
            <w:vAlign w:val="center"/>
          </w:tcPr>
          <w:p w14:paraId="1DCBCF32">
            <w:pPr>
              <w:spacing w:line="360" w:lineRule="auto"/>
              <w:contextualSpacing/>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2978" w:type="dxa"/>
            <w:tcBorders>
              <w:top w:val="single" w:color="auto" w:sz="4" w:space="0"/>
              <w:left w:val="single" w:color="auto" w:sz="4" w:space="0"/>
              <w:bottom w:val="single" w:color="auto" w:sz="4" w:space="0"/>
              <w:right w:val="single" w:color="auto" w:sz="4" w:space="0"/>
            </w:tcBorders>
            <w:vAlign w:val="center"/>
          </w:tcPr>
          <w:p w14:paraId="15F59B15">
            <w:pPr>
              <w:spacing w:line="500" w:lineRule="exact"/>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筋竹镇中围村高山脚至石龙村掘坑道路硬化项目</w:t>
            </w:r>
          </w:p>
        </w:tc>
        <w:tc>
          <w:tcPr>
            <w:tcW w:w="1513" w:type="dxa"/>
            <w:tcBorders>
              <w:top w:val="single" w:color="auto" w:sz="4" w:space="0"/>
              <w:left w:val="single" w:color="auto" w:sz="4" w:space="0"/>
              <w:bottom w:val="single" w:color="auto" w:sz="4" w:space="0"/>
              <w:right w:val="single" w:color="auto" w:sz="4" w:space="0"/>
            </w:tcBorders>
            <w:vAlign w:val="center"/>
          </w:tcPr>
          <w:p w14:paraId="0497D4F6">
            <w:pPr>
              <w:spacing w:line="360" w:lineRule="auto"/>
              <w:contextualSpacing/>
              <w:jc w:val="center"/>
              <w:rPr>
                <w:rFonts w:hint="eastAsia" w:ascii="宋体" w:hAnsi="宋体" w:cs="宋体"/>
                <w:color w:val="auto"/>
                <w:sz w:val="24"/>
                <w:highlight w:val="none"/>
              </w:rPr>
            </w:pPr>
            <w:r>
              <w:rPr>
                <w:rFonts w:hint="eastAsia" w:ascii="宋体" w:hAnsi="宋体" w:cs="宋体"/>
                <w:color w:val="auto"/>
                <w:sz w:val="24"/>
                <w:highlight w:val="none"/>
              </w:rPr>
              <w:t>1项</w:t>
            </w:r>
          </w:p>
        </w:tc>
        <w:tc>
          <w:tcPr>
            <w:tcW w:w="2833" w:type="dxa"/>
            <w:tcBorders>
              <w:top w:val="single" w:color="auto" w:sz="4" w:space="0"/>
              <w:left w:val="single" w:color="auto" w:sz="4" w:space="0"/>
              <w:bottom w:val="single" w:color="auto" w:sz="4" w:space="0"/>
              <w:right w:val="single" w:color="auto" w:sz="4" w:space="0"/>
            </w:tcBorders>
          </w:tcPr>
          <w:p w14:paraId="783CC0EC">
            <w:pPr>
              <w:spacing w:line="360" w:lineRule="auto"/>
              <w:contextualSpacing/>
              <w:rPr>
                <w:rFonts w:hint="eastAsia" w:ascii="宋体" w:hAnsi="宋体" w:cs="宋体"/>
                <w:color w:val="auto"/>
                <w:sz w:val="24"/>
                <w:highlight w:val="none"/>
              </w:rPr>
            </w:pPr>
          </w:p>
        </w:tc>
        <w:tc>
          <w:tcPr>
            <w:tcW w:w="1028" w:type="dxa"/>
            <w:tcBorders>
              <w:top w:val="single" w:color="auto" w:sz="4" w:space="0"/>
              <w:left w:val="single" w:color="auto" w:sz="4" w:space="0"/>
              <w:bottom w:val="single" w:color="auto" w:sz="4" w:space="0"/>
              <w:right w:val="single" w:color="auto" w:sz="4" w:space="0"/>
            </w:tcBorders>
            <w:vAlign w:val="center"/>
          </w:tcPr>
          <w:p w14:paraId="69DF36FF">
            <w:pPr>
              <w:spacing w:line="360" w:lineRule="auto"/>
              <w:contextualSpacing/>
              <w:rPr>
                <w:rFonts w:hint="eastAsia" w:ascii="宋体" w:hAnsi="宋体" w:cs="宋体"/>
                <w:color w:val="auto"/>
                <w:sz w:val="24"/>
                <w:highlight w:val="none"/>
              </w:rPr>
            </w:pPr>
          </w:p>
        </w:tc>
      </w:tr>
      <w:tr w14:paraId="32FFF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9380" w:type="dxa"/>
            <w:gridSpan w:val="5"/>
            <w:tcBorders>
              <w:top w:val="single" w:color="auto" w:sz="4" w:space="0"/>
              <w:left w:val="single" w:color="auto" w:sz="4" w:space="0"/>
              <w:bottom w:val="single" w:color="auto" w:sz="4" w:space="0"/>
              <w:right w:val="single" w:color="auto" w:sz="4" w:space="0"/>
            </w:tcBorders>
            <w:vAlign w:val="center"/>
          </w:tcPr>
          <w:p w14:paraId="38DF351D">
            <w:pPr>
              <w:spacing w:line="360" w:lineRule="auto"/>
              <w:contextualSpacing/>
              <w:rPr>
                <w:rFonts w:hint="eastAsia" w:ascii="宋体" w:hAnsi="宋体" w:cs="宋体"/>
                <w:color w:val="auto"/>
                <w:sz w:val="24"/>
                <w:highlight w:val="none"/>
              </w:rPr>
            </w:pPr>
            <w:r>
              <w:rPr>
                <w:rFonts w:hint="eastAsia" w:ascii="宋体" w:hAnsi="宋体" w:cs="宋体"/>
                <w:color w:val="auto"/>
                <w:sz w:val="24"/>
                <w:highlight w:val="none"/>
              </w:rPr>
              <w:t>合计金额（人民币）</w:t>
            </w:r>
            <w:r>
              <w:rPr>
                <w:rFonts w:hint="eastAsia" w:ascii="宋体" w:hAnsi="宋体" w:cs="宋体"/>
                <w:color w:val="auto"/>
                <w:sz w:val="24"/>
                <w:highlight w:val="none"/>
                <w:u w:val="single"/>
              </w:rPr>
              <w:t xml:space="preserve">大写：                      </w:t>
            </w: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tc>
      </w:tr>
    </w:tbl>
    <w:p w14:paraId="5D7D6D70">
      <w:pPr>
        <w:spacing w:line="360" w:lineRule="auto"/>
        <w:contextualSpacing/>
        <w:jc w:val="left"/>
        <w:rPr>
          <w:rFonts w:hint="eastAsia" w:ascii="宋体" w:hAnsi="宋体" w:cs="宋体"/>
          <w:color w:val="auto"/>
          <w:sz w:val="24"/>
          <w:highlight w:val="none"/>
        </w:rPr>
      </w:pPr>
    </w:p>
    <w:p w14:paraId="1AEE1069">
      <w:pPr>
        <w:spacing w:line="300" w:lineRule="auto"/>
        <w:contextualSpacing/>
        <w:jc w:val="left"/>
        <w:rPr>
          <w:rFonts w:hint="eastAsia" w:ascii="宋体" w:hAnsi="宋体" w:cs="宋体"/>
          <w:color w:val="auto"/>
          <w:sz w:val="24"/>
          <w:highlight w:val="none"/>
        </w:rPr>
      </w:pPr>
      <w:r>
        <w:rPr>
          <w:rFonts w:hint="eastAsia" w:ascii="宋体" w:hAnsi="宋体" w:cs="宋体"/>
          <w:color w:val="auto"/>
          <w:sz w:val="24"/>
          <w:highlight w:val="none"/>
        </w:rPr>
        <w:t xml:space="preserve">注: </w:t>
      </w:r>
    </w:p>
    <w:p w14:paraId="27E9724C">
      <w:pPr>
        <w:spacing w:line="300" w:lineRule="auto"/>
        <w:ind w:firstLine="480"/>
        <w:contextualSpacing/>
        <w:jc w:val="left"/>
        <w:rPr>
          <w:rFonts w:hint="eastAsia" w:ascii="宋体" w:hAnsi="宋体" w:cs="宋体"/>
          <w:color w:val="auto"/>
          <w:sz w:val="24"/>
          <w:highlight w:val="none"/>
        </w:rPr>
      </w:pPr>
      <w:r>
        <w:rPr>
          <w:rFonts w:hint="eastAsia" w:ascii="宋体" w:hAnsi="宋体" w:cs="宋体"/>
          <w:color w:val="auto"/>
          <w:sz w:val="24"/>
          <w:highlight w:val="none"/>
        </w:rPr>
        <w:t>1. 供应商的报价表必须加盖供应商电子签章并由法定代表人或者委托代理人签字或者电子签名，</w:t>
      </w:r>
      <w:r>
        <w:rPr>
          <w:rFonts w:hint="eastAsia" w:ascii="宋体" w:hAnsi="宋体" w:cs="宋体"/>
          <w:b/>
          <w:color w:val="auto"/>
          <w:sz w:val="24"/>
          <w:highlight w:val="none"/>
        </w:rPr>
        <w:t>否则其响应文件按无效处理</w:t>
      </w:r>
      <w:r>
        <w:rPr>
          <w:rFonts w:hint="eastAsia" w:ascii="宋体" w:hAnsi="宋体" w:cs="宋体"/>
          <w:color w:val="auto"/>
          <w:sz w:val="24"/>
          <w:highlight w:val="none"/>
        </w:rPr>
        <w:t>。</w:t>
      </w:r>
    </w:p>
    <w:p w14:paraId="221C42A7">
      <w:pPr>
        <w:spacing w:line="300" w:lineRule="auto"/>
        <w:ind w:firstLine="480"/>
        <w:contextualSpacing/>
        <w:jc w:val="left"/>
        <w:rPr>
          <w:rFonts w:hint="eastAsia" w:ascii="宋体" w:hAnsi="宋体" w:cs="宋体"/>
          <w:b/>
          <w:color w:val="auto"/>
          <w:sz w:val="24"/>
          <w:highlight w:val="none"/>
        </w:rPr>
      </w:pPr>
      <w:r>
        <w:rPr>
          <w:rFonts w:hint="eastAsia" w:ascii="宋体" w:hAnsi="宋体" w:cs="宋体"/>
          <w:bCs/>
          <w:color w:val="auto"/>
          <w:sz w:val="24"/>
          <w:highlight w:val="none"/>
        </w:rPr>
        <w:t>2.</w:t>
      </w:r>
      <w:r>
        <w:rPr>
          <w:rFonts w:hint="eastAsia" w:ascii="宋体" w:hAnsi="宋体" w:cs="宋体"/>
          <w:color w:val="auto"/>
          <w:sz w:val="24"/>
          <w:highlight w:val="none"/>
        </w:rPr>
        <w:t xml:space="preserve"> 报价一经涂改，应在涂改处加盖供应商公章或者加盖电子签章或者由法定代表人或者授权委托人签字（或者电子签名）</w:t>
      </w:r>
      <w:r>
        <w:rPr>
          <w:rFonts w:hint="eastAsia" w:ascii="宋体" w:hAnsi="宋体" w:cs="宋体"/>
          <w:b/>
          <w:color w:val="auto"/>
          <w:sz w:val="24"/>
          <w:highlight w:val="none"/>
        </w:rPr>
        <w:t>，否则其响应文件按无效处理。</w:t>
      </w:r>
    </w:p>
    <w:p w14:paraId="38955400">
      <w:pPr>
        <w:spacing w:line="300" w:lineRule="auto"/>
        <w:ind w:firstLine="480"/>
        <w:contextualSpacing/>
        <w:jc w:val="left"/>
        <w:rPr>
          <w:rFonts w:hint="eastAsia" w:ascii="宋体" w:hAnsi="宋体" w:cs="宋体"/>
          <w:b/>
          <w:color w:val="auto"/>
          <w:sz w:val="24"/>
          <w:highlight w:val="none"/>
        </w:rPr>
      </w:pPr>
      <w:r>
        <w:rPr>
          <w:rFonts w:hint="eastAsia" w:ascii="宋体" w:hAnsi="宋体" w:cs="宋体"/>
          <w:color w:val="auto"/>
          <w:sz w:val="24"/>
          <w:highlight w:val="none"/>
        </w:rPr>
        <w:t>3.如为联合体竞标，“供应商名称”处必须列明联合体各方名称，标注联合体牵头人名称，</w:t>
      </w:r>
      <w:r>
        <w:rPr>
          <w:rFonts w:hint="eastAsia" w:ascii="宋体" w:hAnsi="宋体" w:cs="宋体"/>
          <w:b/>
          <w:color w:val="auto"/>
          <w:sz w:val="24"/>
          <w:highlight w:val="none"/>
        </w:rPr>
        <w:t>否则其响应文件按无效处理。</w:t>
      </w:r>
    </w:p>
    <w:p w14:paraId="4EB0E5C5">
      <w:pPr>
        <w:spacing w:line="300" w:lineRule="auto"/>
        <w:ind w:firstLine="480"/>
        <w:contextualSpacing/>
        <w:jc w:val="left"/>
        <w:rPr>
          <w:rFonts w:hint="eastAsia" w:ascii="宋体" w:hAnsi="宋体" w:cs="宋体"/>
          <w:color w:val="auto"/>
          <w:sz w:val="24"/>
          <w:highlight w:val="none"/>
        </w:rPr>
      </w:pPr>
      <w:r>
        <w:rPr>
          <w:rFonts w:hint="eastAsia" w:ascii="宋体" w:hAnsi="宋体" w:cs="宋体"/>
          <w:color w:val="auto"/>
          <w:sz w:val="24"/>
          <w:highlight w:val="none"/>
        </w:rPr>
        <w:t>4. 如为联合体竞标，</w:t>
      </w:r>
      <w:r>
        <w:rPr>
          <w:rFonts w:hint="eastAsia" w:ascii="宋体" w:hAnsi="宋体" w:cs="宋体"/>
          <w:color w:val="auto"/>
          <w:spacing w:val="-6"/>
          <w:sz w:val="24"/>
          <w:highlight w:val="none"/>
        </w:rPr>
        <w:t xml:space="preserve"> 盖章处须加盖联合体牵头人电子签章</w:t>
      </w:r>
      <w:r>
        <w:rPr>
          <w:rFonts w:hint="eastAsia" w:ascii="宋体" w:hAnsi="宋体" w:cs="宋体"/>
          <w:color w:val="auto"/>
          <w:sz w:val="24"/>
          <w:highlight w:val="none"/>
        </w:rPr>
        <w:t>，</w:t>
      </w:r>
      <w:r>
        <w:rPr>
          <w:rFonts w:hint="eastAsia" w:ascii="宋体" w:hAnsi="宋体" w:cs="宋体"/>
          <w:b/>
          <w:color w:val="auto"/>
          <w:sz w:val="24"/>
          <w:highlight w:val="none"/>
        </w:rPr>
        <w:t>否则其响应文件按无效处理。</w:t>
      </w:r>
    </w:p>
    <w:p w14:paraId="53D5564F">
      <w:pPr>
        <w:spacing w:line="300" w:lineRule="auto"/>
        <w:ind w:firstLine="480"/>
        <w:contextualSpacing/>
        <w:rPr>
          <w:rFonts w:hint="eastAsia" w:ascii="宋体" w:hAnsi="宋体" w:cs="宋体"/>
          <w:color w:val="auto"/>
          <w:sz w:val="24"/>
          <w:highlight w:val="none"/>
        </w:rPr>
      </w:pPr>
      <w:r>
        <w:rPr>
          <w:rFonts w:hint="eastAsia" w:ascii="宋体" w:hAnsi="宋体" w:cs="宋体"/>
          <w:color w:val="auto"/>
          <w:sz w:val="24"/>
          <w:highlight w:val="none"/>
        </w:rPr>
        <w:t>5.</w:t>
      </w:r>
      <w:r>
        <w:rPr>
          <w:rFonts w:hint="eastAsia" w:ascii="宋体" w:hAnsi="宋体" w:cs="宋体"/>
          <w:color w:val="auto"/>
          <w:spacing w:val="-6"/>
          <w:sz w:val="24"/>
          <w:highlight w:val="none"/>
        </w:rPr>
        <w:t>如有多分标，分别列明各分标的报价表，</w:t>
      </w:r>
      <w:r>
        <w:rPr>
          <w:rFonts w:hint="eastAsia" w:ascii="宋体" w:hAnsi="宋体" w:cs="宋体"/>
          <w:b/>
          <w:color w:val="auto"/>
          <w:spacing w:val="-6"/>
          <w:sz w:val="24"/>
          <w:highlight w:val="none"/>
        </w:rPr>
        <w:t>否则其响应文件按无效处理。</w:t>
      </w:r>
    </w:p>
    <w:p w14:paraId="6C6B2CEB">
      <w:pPr>
        <w:spacing w:line="300" w:lineRule="auto"/>
        <w:ind w:right="-817" w:firstLine="2640"/>
        <w:contextualSpacing/>
        <w:rPr>
          <w:rFonts w:hint="eastAsia" w:ascii="宋体" w:hAnsi="宋体" w:cs="宋体"/>
          <w:color w:val="auto"/>
          <w:sz w:val="24"/>
          <w:highlight w:val="none"/>
        </w:rPr>
      </w:pPr>
    </w:p>
    <w:p w14:paraId="3D39D5C1">
      <w:pPr>
        <w:spacing w:line="360" w:lineRule="auto"/>
        <w:ind w:right="-817" w:firstLine="2640"/>
        <w:contextualSpacing/>
        <w:rPr>
          <w:rFonts w:hint="eastAsia" w:ascii="宋体" w:hAnsi="宋体" w:cs="宋体"/>
          <w:color w:val="auto"/>
          <w:sz w:val="24"/>
          <w:highlight w:val="none"/>
        </w:rPr>
      </w:pPr>
      <w:r>
        <w:rPr>
          <w:rFonts w:hint="eastAsia" w:ascii="宋体" w:hAnsi="宋体" w:cs="宋体"/>
          <w:color w:val="auto"/>
          <w:sz w:val="24"/>
          <w:highlight w:val="none"/>
        </w:rPr>
        <w:t xml:space="preserve">法定代表人或者委托代理人（签字或者电子签名）：                    </w:t>
      </w:r>
    </w:p>
    <w:p w14:paraId="26F83B43">
      <w:pPr>
        <w:spacing w:line="360" w:lineRule="auto"/>
        <w:ind w:right="-817" w:firstLine="2640"/>
        <w:contextualSpacing/>
        <w:rPr>
          <w:rFonts w:hint="eastAsia" w:ascii="宋体" w:hAnsi="宋体" w:cs="宋体"/>
          <w:color w:val="auto"/>
          <w:sz w:val="24"/>
          <w:highlight w:val="none"/>
        </w:rPr>
      </w:pPr>
      <w:r>
        <w:rPr>
          <w:rFonts w:hint="eastAsia" w:ascii="宋体" w:hAnsi="宋体" w:cs="宋体"/>
          <w:color w:val="auto"/>
          <w:sz w:val="24"/>
          <w:highlight w:val="none"/>
        </w:rPr>
        <w:t xml:space="preserve">供应商名称（电子签章）：      </w:t>
      </w:r>
    </w:p>
    <w:p w14:paraId="779700C3">
      <w:pPr>
        <w:spacing w:line="360" w:lineRule="auto"/>
        <w:ind w:right="-817" w:firstLine="4080"/>
        <w:contextualSpacing/>
        <w:rPr>
          <w:rFonts w:hint="eastAsia" w:ascii="宋体" w:hAnsi="宋体" w:cs="宋体"/>
          <w:color w:val="auto"/>
          <w:sz w:val="24"/>
          <w:highlight w:val="none"/>
        </w:rPr>
      </w:pPr>
      <w:r>
        <w:rPr>
          <w:rFonts w:hint="eastAsia" w:ascii="宋体" w:hAnsi="宋体" w:cs="宋体"/>
          <w:color w:val="auto"/>
          <w:sz w:val="24"/>
          <w:highlight w:val="none"/>
        </w:rPr>
        <w:t>日期：   年   月   日</w:t>
      </w:r>
    </w:p>
    <w:p w14:paraId="33229A93">
      <w:pPr>
        <w:spacing w:line="300" w:lineRule="auto"/>
        <w:contextualSpacing/>
        <w:jc w:val="center"/>
        <w:rPr>
          <w:rFonts w:hint="eastAsia" w:ascii="宋体" w:hAnsi="宋体" w:cs="宋体"/>
          <w:b/>
          <w:bCs/>
          <w:color w:val="auto"/>
          <w:sz w:val="32"/>
          <w:szCs w:val="32"/>
          <w:highlight w:val="none"/>
        </w:rPr>
      </w:pPr>
      <w:r>
        <w:rPr>
          <w:rFonts w:hint="eastAsia" w:ascii="宋体" w:hAnsi="宋体" w:cs="宋体"/>
          <w:color w:val="auto"/>
          <w:sz w:val="24"/>
          <w:highlight w:val="none"/>
        </w:rPr>
        <w:br w:type="page" w:clear="all"/>
      </w:r>
      <w:r>
        <w:rPr>
          <w:rFonts w:hint="eastAsia" w:ascii="宋体" w:hAnsi="宋体" w:cs="宋体"/>
          <w:b/>
          <w:color w:val="auto"/>
          <w:sz w:val="32"/>
          <w:szCs w:val="32"/>
          <w:highlight w:val="none"/>
        </w:rPr>
        <w:t>已标价工程量清单</w:t>
      </w:r>
    </w:p>
    <w:p w14:paraId="4B348FB1">
      <w:pPr>
        <w:spacing w:line="360" w:lineRule="auto"/>
        <w:ind w:firstLine="420"/>
        <w:contextualSpacing/>
        <w:jc w:val="left"/>
        <w:rPr>
          <w:rFonts w:hint="eastAsia" w:ascii="宋体" w:hAnsi="宋体" w:cs="宋体"/>
          <w:color w:val="auto"/>
          <w:highlight w:val="none"/>
        </w:rPr>
      </w:pPr>
      <w:r>
        <w:rPr>
          <w:rFonts w:hint="eastAsia" w:ascii="宋体" w:hAnsi="宋体" w:cs="宋体"/>
          <w:color w:val="auto"/>
          <w:highlight w:val="none"/>
        </w:rPr>
        <w:t>供应商应按照第五章“工程量清单及图纸”的要求逐项填报工程量清单，包括工程量清单说明、投标（竞标）报价说明、计日工说明、其他说明及工程量清单各项表格。</w:t>
      </w:r>
    </w:p>
    <w:p w14:paraId="6388749E">
      <w:pPr>
        <w:spacing w:line="360" w:lineRule="auto"/>
        <w:ind w:firstLine="643"/>
        <w:contextualSpacing/>
        <w:jc w:val="center"/>
        <w:rPr>
          <w:rFonts w:hint="eastAsia" w:ascii="宋体" w:hAnsi="宋体" w:cs="宋体"/>
          <w:b/>
          <w:color w:val="auto"/>
          <w:sz w:val="32"/>
          <w:szCs w:val="32"/>
          <w:highlight w:val="none"/>
        </w:rPr>
      </w:pPr>
      <w:r>
        <w:rPr>
          <w:rFonts w:hint="eastAsia" w:ascii="宋体" w:hAnsi="宋体" w:cs="宋体"/>
          <w:b/>
          <w:bCs/>
          <w:color w:val="auto"/>
          <w:sz w:val="32"/>
          <w:szCs w:val="32"/>
          <w:highlight w:val="none"/>
        </w:rPr>
        <w:br w:type="page" w:clear="all"/>
      </w:r>
      <w:r>
        <w:rPr>
          <w:rFonts w:hint="eastAsia" w:ascii="宋体" w:hAnsi="宋体" w:cs="宋体"/>
          <w:b/>
          <w:bCs/>
          <w:color w:val="auto"/>
          <w:sz w:val="32"/>
          <w:szCs w:val="32"/>
          <w:highlight w:val="none"/>
        </w:rPr>
        <w:t>三、</w:t>
      </w:r>
      <w:r>
        <w:rPr>
          <w:rFonts w:hint="eastAsia" w:ascii="宋体" w:hAnsi="宋体" w:cs="宋体"/>
          <w:b/>
          <w:color w:val="auto"/>
          <w:sz w:val="32"/>
          <w:szCs w:val="32"/>
          <w:highlight w:val="none"/>
        </w:rPr>
        <w:t>商务技术文件格式</w:t>
      </w:r>
    </w:p>
    <w:p w14:paraId="0229D00B">
      <w:pPr>
        <w:spacing w:before="120" w:after="50" w:line="360" w:lineRule="auto"/>
        <w:jc w:val="left"/>
        <w:rPr>
          <w:rFonts w:hint="eastAsia" w:ascii="宋体" w:hAnsi="宋体" w:cs="宋体"/>
          <w:b/>
          <w:color w:val="auto"/>
          <w:sz w:val="32"/>
          <w:szCs w:val="32"/>
          <w:highlight w:val="none"/>
        </w:rPr>
      </w:pPr>
      <w:r>
        <w:rPr>
          <w:rFonts w:hint="eastAsia" w:ascii="宋体" w:hAnsi="宋体" w:cs="宋体"/>
          <w:b/>
          <w:color w:val="auto"/>
          <w:sz w:val="32"/>
          <w:szCs w:val="32"/>
          <w:highlight w:val="none"/>
        </w:rPr>
        <w:t>1.商务技术文件封面格式</w:t>
      </w:r>
    </w:p>
    <w:p w14:paraId="72180B18">
      <w:pPr>
        <w:spacing w:before="120" w:after="50"/>
        <w:rPr>
          <w:rFonts w:hint="eastAsia" w:ascii="宋体" w:hAnsi="宋体" w:cs="宋体"/>
          <w:bCs/>
          <w:color w:val="auto"/>
          <w:sz w:val="32"/>
          <w:szCs w:val="20"/>
          <w:highlight w:val="none"/>
        </w:rPr>
      </w:pPr>
      <w:r>
        <w:rPr>
          <w:rFonts w:hint="eastAsia" w:ascii="宋体" w:hAnsi="宋体" w:cs="宋体"/>
          <w:color w:val="auto"/>
          <w:sz w:val="24"/>
          <w:highlight w:val="none"/>
        </w:rPr>
        <w:t xml:space="preserve">                                                    </w:t>
      </w:r>
    </w:p>
    <w:p w14:paraId="1856CCB2">
      <w:pPr>
        <w:spacing w:before="120" w:after="50"/>
        <w:jc w:val="center"/>
        <w:rPr>
          <w:rFonts w:hint="eastAsia" w:ascii="宋体" w:hAnsi="宋体" w:cs="宋体"/>
          <w:color w:val="auto"/>
          <w:sz w:val="24"/>
          <w:szCs w:val="20"/>
          <w:highlight w:val="none"/>
        </w:rPr>
      </w:pPr>
      <w:r>
        <w:rPr>
          <w:rFonts w:hint="eastAsia" w:ascii="宋体" w:hAnsi="宋体" w:cs="宋体"/>
          <w:color w:val="auto"/>
          <w:sz w:val="44"/>
          <w:szCs w:val="44"/>
          <w:highlight w:val="none"/>
        </w:rPr>
        <w:t>电 子 响 应 文 件</w:t>
      </w:r>
    </w:p>
    <w:p w14:paraId="3E2C1996">
      <w:pPr>
        <w:spacing w:before="120" w:after="50"/>
        <w:rPr>
          <w:rFonts w:hint="eastAsia" w:ascii="宋体" w:hAnsi="宋体" w:cs="宋体"/>
          <w:color w:val="auto"/>
          <w:sz w:val="24"/>
          <w:szCs w:val="20"/>
          <w:highlight w:val="none"/>
        </w:rPr>
      </w:pPr>
    </w:p>
    <w:p w14:paraId="466EDDD4">
      <w:pPr>
        <w:spacing w:before="120" w:after="50"/>
        <w:rPr>
          <w:rFonts w:hint="eastAsia" w:ascii="宋体" w:hAnsi="宋体" w:cs="宋体"/>
          <w:color w:val="auto"/>
          <w:sz w:val="24"/>
          <w:szCs w:val="20"/>
          <w:highlight w:val="none"/>
        </w:rPr>
      </w:pPr>
    </w:p>
    <w:p w14:paraId="0C3E4B69">
      <w:pPr>
        <w:spacing w:before="120" w:after="50"/>
        <w:jc w:val="center"/>
        <w:rPr>
          <w:rFonts w:hint="eastAsia" w:ascii="宋体" w:hAnsi="宋体" w:cs="宋体"/>
          <w:bCs/>
          <w:color w:val="auto"/>
          <w:sz w:val="44"/>
          <w:szCs w:val="44"/>
          <w:highlight w:val="none"/>
        </w:rPr>
      </w:pPr>
      <w:r>
        <w:rPr>
          <w:rFonts w:hint="eastAsia" w:ascii="宋体" w:hAnsi="宋体" w:cs="宋体"/>
          <w:bCs/>
          <w:color w:val="auto"/>
          <w:sz w:val="44"/>
          <w:szCs w:val="44"/>
          <w:highlight w:val="none"/>
        </w:rPr>
        <w:t>商  务  技  术  文  件</w:t>
      </w:r>
    </w:p>
    <w:p w14:paraId="5871B6B6">
      <w:pPr>
        <w:spacing w:before="120" w:after="50"/>
        <w:rPr>
          <w:rFonts w:hint="eastAsia" w:ascii="宋体" w:hAnsi="宋体" w:cs="宋体"/>
          <w:bCs/>
          <w:color w:val="auto"/>
          <w:sz w:val="24"/>
          <w:szCs w:val="20"/>
          <w:highlight w:val="none"/>
        </w:rPr>
      </w:pPr>
    </w:p>
    <w:p w14:paraId="5FAD9DD6">
      <w:pPr>
        <w:spacing w:before="120" w:after="50"/>
        <w:rPr>
          <w:rFonts w:hint="eastAsia" w:ascii="宋体" w:hAnsi="宋体" w:cs="宋体"/>
          <w:bCs/>
          <w:color w:val="auto"/>
          <w:sz w:val="24"/>
          <w:szCs w:val="20"/>
          <w:highlight w:val="none"/>
        </w:rPr>
      </w:pPr>
    </w:p>
    <w:p w14:paraId="17951626">
      <w:pPr>
        <w:spacing w:before="120" w:after="50"/>
        <w:rPr>
          <w:rFonts w:hint="eastAsia" w:ascii="宋体" w:hAnsi="宋体" w:cs="宋体"/>
          <w:bCs/>
          <w:color w:val="auto"/>
          <w:sz w:val="24"/>
          <w:szCs w:val="20"/>
          <w:highlight w:val="none"/>
        </w:rPr>
      </w:pPr>
    </w:p>
    <w:p w14:paraId="3FD0187E">
      <w:pPr>
        <w:spacing w:before="120" w:after="50"/>
        <w:rPr>
          <w:rFonts w:hint="eastAsia" w:ascii="宋体" w:hAnsi="宋体" w:cs="宋体"/>
          <w:bCs/>
          <w:color w:val="auto"/>
          <w:sz w:val="24"/>
          <w:szCs w:val="20"/>
          <w:highlight w:val="none"/>
        </w:rPr>
      </w:pPr>
    </w:p>
    <w:p w14:paraId="22C1434C">
      <w:pPr>
        <w:spacing w:before="120" w:after="50"/>
        <w:rPr>
          <w:rFonts w:hint="eastAsia" w:ascii="宋体" w:hAnsi="宋体" w:cs="宋体"/>
          <w:bCs/>
          <w:color w:val="auto"/>
          <w:sz w:val="24"/>
          <w:szCs w:val="20"/>
          <w:highlight w:val="none"/>
        </w:rPr>
      </w:pPr>
    </w:p>
    <w:p w14:paraId="6DCECA49">
      <w:pPr>
        <w:spacing w:before="120" w:after="50"/>
        <w:ind w:firstLine="640"/>
        <w:rPr>
          <w:rFonts w:hint="eastAsia" w:ascii="宋体" w:hAnsi="宋体" w:cs="宋体"/>
          <w:bCs/>
          <w:color w:val="auto"/>
          <w:sz w:val="32"/>
          <w:szCs w:val="32"/>
          <w:highlight w:val="none"/>
        </w:rPr>
      </w:pPr>
      <w:r>
        <w:rPr>
          <w:rFonts w:hint="eastAsia" w:ascii="宋体" w:hAnsi="宋体" w:cs="宋体"/>
          <w:bCs/>
          <w:color w:val="auto"/>
          <w:sz w:val="32"/>
          <w:szCs w:val="32"/>
          <w:highlight w:val="none"/>
        </w:rPr>
        <w:t>项目名称：</w:t>
      </w:r>
    </w:p>
    <w:p w14:paraId="42CD5439">
      <w:pPr>
        <w:spacing w:before="120" w:after="50"/>
        <w:ind w:firstLine="720"/>
        <w:rPr>
          <w:rFonts w:hint="eastAsia" w:ascii="宋体" w:hAnsi="宋体" w:cs="宋体"/>
          <w:bCs/>
          <w:color w:val="auto"/>
          <w:sz w:val="32"/>
          <w:szCs w:val="32"/>
          <w:highlight w:val="none"/>
        </w:rPr>
      </w:pPr>
    </w:p>
    <w:p w14:paraId="5855682C">
      <w:pPr>
        <w:spacing w:before="120" w:after="50"/>
        <w:ind w:firstLine="640"/>
        <w:rPr>
          <w:rFonts w:hint="eastAsia" w:ascii="宋体" w:hAnsi="宋体" w:cs="宋体"/>
          <w:bCs/>
          <w:color w:val="auto"/>
          <w:sz w:val="32"/>
          <w:szCs w:val="32"/>
          <w:highlight w:val="none"/>
        </w:rPr>
      </w:pPr>
      <w:r>
        <w:rPr>
          <w:rFonts w:hint="eastAsia" w:ascii="宋体" w:hAnsi="宋体" w:cs="宋体"/>
          <w:bCs/>
          <w:color w:val="auto"/>
          <w:sz w:val="32"/>
          <w:szCs w:val="32"/>
          <w:highlight w:val="none"/>
        </w:rPr>
        <w:t>项目编号：</w:t>
      </w:r>
    </w:p>
    <w:p w14:paraId="145582B4">
      <w:pPr>
        <w:spacing w:before="120" w:after="50"/>
        <w:ind w:firstLine="720"/>
        <w:rPr>
          <w:rFonts w:hint="eastAsia" w:ascii="宋体" w:hAnsi="宋体" w:cs="宋体"/>
          <w:bCs/>
          <w:color w:val="auto"/>
          <w:sz w:val="32"/>
          <w:szCs w:val="32"/>
          <w:highlight w:val="none"/>
        </w:rPr>
      </w:pPr>
      <w:r>
        <w:rPr>
          <w:rFonts w:hint="eastAsia" w:ascii="宋体" w:hAnsi="宋体" w:cs="宋体"/>
          <w:bCs/>
          <w:color w:val="auto"/>
          <w:sz w:val="32"/>
          <w:szCs w:val="32"/>
          <w:highlight w:val="none"/>
        </w:rPr>
        <w:t xml:space="preserve"> </w:t>
      </w:r>
    </w:p>
    <w:p w14:paraId="1B471E24">
      <w:pPr>
        <w:spacing w:before="120" w:after="50"/>
        <w:ind w:firstLine="640"/>
        <w:rPr>
          <w:rFonts w:hint="eastAsia" w:ascii="宋体" w:hAnsi="宋体" w:cs="宋体"/>
          <w:bCs/>
          <w:color w:val="auto"/>
          <w:sz w:val="32"/>
          <w:szCs w:val="32"/>
          <w:highlight w:val="none"/>
        </w:rPr>
      </w:pPr>
      <w:r>
        <w:rPr>
          <w:rFonts w:hint="eastAsia" w:ascii="宋体" w:hAnsi="宋体" w:cs="宋体"/>
          <w:bCs/>
          <w:color w:val="auto"/>
          <w:sz w:val="32"/>
          <w:szCs w:val="32"/>
          <w:highlight w:val="none"/>
        </w:rPr>
        <w:t>所竞分标（如有则填写，无分标时填写“无”或者留空）：</w:t>
      </w:r>
    </w:p>
    <w:p w14:paraId="065CF860">
      <w:pPr>
        <w:spacing w:before="120" w:after="50"/>
        <w:ind w:firstLine="720"/>
        <w:rPr>
          <w:rFonts w:hint="eastAsia" w:ascii="宋体" w:hAnsi="宋体" w:cs="宋体"/>
          <w:bCs/>
          <w:color w:val="auto"/>
          <w:sz w:val="32"/>
          <w:szCs w:val="32"/>
          <w:highlight w:val="none"/>
        </w:rPr>
      </w:pPr>
    </w:p>
    <w:p w14:paraId="03D2207E">
      <w:pPr>
        <w:pStyle w:val="43"/>
        <w:spacing w:before="50" w:after="50"/>
        <w:ind w:firstLine="640"/>
        <w:rPr>
          <w:rFonts w:hint="eastAsia" w:ascii="宋体" w:hAnsi="宋体" w:cs="宋体"/>
          <w:bCs/>
          <w:color w:val="auto"/>
          <w:sz w:val="32"/>
          <w:szCs w:val="32"/>
          <w:highlight w:val="none"/>
        </w:rPr>
      </w:pPr>
      <w:r>
        <w:rPr>
          <w:rFonts w:hint="eastAsia" w:ascii="宋体" w:hAnsi="宋体" w:cs="宋体"/>
          <w:bCs/>
          <w:color w:val="auto"/>
          <w:sz w:val="32"/>
          <w:szCs w:val="32"/>
          <w:highlight w:val="none"/>
        </w:rPr>
        <w:t>供应商名称：</w:t>
      </w:r>
    </w:p>
    <w:p w14:paraId="06A6B94D">
      <w:pPr>
        <w:pStyle w:val="43"/>
        <w:spacing w:before="50" w:after="50"/>
        <w:ind w:firstLine="640"/>
        <w:rPr>
          <w:rFonts w:hint="eastAsia" w:ascii="宋体" w:hAnsi="宋体" w:cs="宋体"/>
          <w:bCs/>
          <w:color w:val="auto"/>
          <w:sz w:val="32"/>
          <w:szCs w:val="32"/>
          <w:highlight w:val="none"/>
        </w:rPr>
      </w:pPr>
    </w:p>
    <w:p w14:paraId="4DC832C5">
      <w:pPr>
        <w:pStyle w:val="43"/>
        <w:spacing w:before="50" w:after="50"/>
        <w:ind w:firstLine="720"/>
        <w:rPr>
          <w:rFonts w:hint="eastAsia" w:ascii="宋体" w:hAnsi="宋体" w:cs="宋体"/>
          <w:bCs/>
          <w:color w:val="auto"/>
          <w:sz w:val="32"/>
          <w:szCs w:val="32"/>
          <w:highlight w:val="none"/>
        </w:rPr>
      </w:pPr>
    </w:p>
    <w:p w14:paraId="3F9A95BD">
      <w:pPr>
        <w:pStyle w:val="43"/>
        <w:spacing w:before="50" w:after="50"/>
        <w:ind w:firstLine="0"/>
        <w:rPr>
          <w:rFonts w:hint="eastAsia" w:ascii="宋体" w:hAnsi="宋体" w:cs="宋体"/>
          <w:bCs/>
          <w:color w:val="auto"/>
          <w:sz w:val="32"/>
          <w:szCs w:val="32"/>
          <w:highlight w:val="none"/>
        </w:rPr>
      </w:pPr>
    </w:p>
    <w:p w14:paraId="2037E114">
      <w:pPr>
        <w:pStyle w:val="43"/>
        <w:spacing w:before="50" w:after="50"/>
        <w:ind w:firstLine="1280"/>
        <w:rPr>
          <w:rFonts w:hint="eastAsia" w:ascii="宋体" w:hAnsi="宋体" w:cs="宋体"/>
          <w:bCs/>
          <w:color w:val="auto"/>
          <w:sz w:val="32"/>
          <w:szCs w:val="32"/>
          <w:highlight w:val="none"/>
        </w:rPr>
      </w:pPr>
    </w:p>
    <w:p w14:paraId="08B9D8BF">
      <w:pPr>
        <w:spacing w:before="120" w:after="50"/>
        <w:jc w:val="center"/>
        <w:rPr>
          <w:rFonts w:hint="eastAsia" w:ascii="宋体" w:hAnsi="宋体" w:cs="宋体"/>
          <w:color w:val="auto"/>
          <w:sz w:val="32"/>
          <w:szCs w:val="32"/>
          <w:highlight w:val="none"/>
        </w:rPr>
      </w:pPr>
      <w:r>
        <w:rPr>
          <w:rFonts w:hint="eastAsia" w:ascii="宋体" w:hAnsi="宋体" w:cs="宋体"/>
          <w:color w:val="auto"/>
          <w:sz w:val="32"/>
          <w:szCs w:val="32"/>
          <w:highlight w:val="none"/>
        </w:rPr>
        <w:t>年    月    日</w:t>
      </w:r>
    </w:p>
    <w:p w14:paraId="7F227C41">
      <w:pPr>
        <w:spacing w:before="120" w:after="50" w:line="360" w:lineRule="auto"/>
        <w:ind w:right="480" w:firstLine="240"/>
        <w:jc w:val="left"/>
        <w:rPr>
          <w:rFonts w:hint="eastAsia" w:ascii="宋体" w:hAnsi="宋体" w:cs="宋体"/>
          <w:b/>
          <w:bCs/>
          <w:color w:val="auto"/>
          <w:sz w:val="24"/>
          <w:highlight w:val="none"/>
        </w:rPr>
      </w:pPr>
      <w:r>
        <w:rPr>
          <w:rFonts w:hint="eastAsia" w:ascii="宋体" w:hAnsi="宋体" w:cs="宋体"/>
          <w:color w:val="auto"/>
          <w:sz w:val="24"/>
          <w:highlight w:val="none"/>
        </w:rPr>
        <w:br w:type="page" w:clear="all"/>
      </w:r>
      <w:r>
        <w:rPr>
          <w:rFonts w:hint="eastAsia" w:ascii="宋体" w:hAnsi="宋体" w:cs="宋体"/>
          <w:b/>
          <w:bCs/>
          <w:color w:val="auto"/>
          <w:sz w:val="32"/>
          <w:szCs w:val="32"/>
          <w:highlight w:val="none"/>
        </w:rPr>
        <w:t>2.商务技术文件目录</w:t>
      </w:r>
    </w:p>
    <w:p w14:paraId="3B64D994">
      <w:pPr>
        <w:spacing w:before="120" w:after="50" w:line="360" w:lineRule="auto"/>
        <w:ind w:firstLine="640"/>
        <w:rPr>
          <w:rFonts w:hint="eastAsia" w:ascii="宋体" w:hAnsi="宋体" w:cs="宋体"/>
          <w:color w:val="auto"/>
          <w:sz w:val="32"/>
          <w:szCs w:val="32"/>
          <w:highlight w:val="none"/>
        </w:rPr>
      </w:pPr>
      <w:r>
        <w:rPr>
          <w:rFonts w:hint="eastAsia" w:ascii="宋体" w:hAnsi="宋体" w:cs="宋体"/>
          <w:color w:val="auto"/>
          <w:sz w:val="32"/>
          <w:szCs w:val="32"/>
          <w:highlight w:val="none"/>
        </w:rPr>
        <w:t>根据磋商文件规定及供应商提供的材料自行编写目录（部分格式后附）。</w:t>
      </w:r>
    </w:p>
    <w:p w14:paraId="3AEE65DD">
      <w:pPr>
        <w:spacing w:line="400" w:lineRule="exact"/>
        <w:rPr>
          <w:rFonts w:hint="eastAsia" w:ascii="宋体" w:hAnsi="宋体" w:cs="宋体"/>
          <w:color w:val="auto"/>
          <w:sz w:val="32"/>
          <w:szCs w:val="32"/>
          <w:highlight w:val="none"/>
        </w:rPr>
      </w:pPr>
    </w:p>
    <w:p w14:paraId="74948555">
      <w:pPr>
        <w:spacing w:line="520" w:lineRule="exact"/>
        <w:jc w:val="center"/>
        <w:rPr>
          <w:rFonts w:hint="eastAsia" w:ascii="宋体" w:hAnsi="宋体" w:cs="宋体"/>
          <w:b/>
          <w:color w:val="auto"/>
          <w:sz w:val="32"/>
          <w:szCs w:val="32"/>
          <w:highlight w:val="none"/>
        </w:rPr>
      </w:pPr>
      <w:r>
        <w:rPr>
          <w:rFonts w:hint="eastAsia" w:ascii="宋体" w:hAnsi="宋体" w:cs="宋体"/>
          <w:color w:val="auto"/>
          <w:sz w:val="44"/>
          <w:szCs w:val="44"/>
          <w:highlight w:val="none"/>
        </w:rPr>
        <w:br w:type="page" w:clear="all"/>
      </w:r>
      <w:r>
        <w:rPr>
          <w:rFonts w:hint="eastAsia" w:ascii="宋体" w:hAnsi="宋体" w:cs="宋体"/>
          <w:b/>
          <w:color w:val="auto"/>
          <w:sz w:val="32"/>
          <w:szCs w:val="32"/>
          <w:highlight w:val="none"/>
        </w:rPr>
        <w:t>无串通竞标行为的承诺函</w:t>
      </w:r>
    </w:p>
    <w:p w14:paraId="38947101">
      <w:pPr>
        <w:spacing w:line="360" w:lineRule="auto"/>
        <w:ind w:firstLine="640"/>
        <w:contextualSpacing/>
        <w:rPr>
          <w:rFonts w:hint="eastAsia" w:ascii="宋体" w:hAnsi="宋体" w:cs="宋体"/>
          <w:color w:val="auto"/>
          <w:sz w:val="32"/>
          <w:szCs w:val="32"/>
          <w:highlight w:val="none"/>
        </w:rPr>
      </w:pPr>
    </w:p>
    <w:p w14:paraId="6834E41C">
      <w:pPr>
        <w:spacing w:line="360" w:lineRule="auto"/>
        <w:ind w:firstLine="482"/>
        <w:contextualSpacing/>
        <w:rPr>
          <w:rFonts w:hint="eastAsia" w:ascii="宋体" w:hAnsi="宋体" w:cs="宋体"/>
          <w:b/>
          <w:bCs/>
          <w:color w:val="auto"/>
          <w:sz w:val="24"/>
          <w:highlight w:val="none"/>
        </w:rPr>
      </w:pPr>
      <w:r>
        <w:rPr>
          <w:rFonts w:hint="eastAsia" w:ascii="宋体" w:hAnsi="宋体" w:cs="宋体"/>
          <w:b/>
          <w:bCs/>
          <w:color w:val="auto"/>
          <w:sz w:val="24"/>
          <w:highlight w:val="none"/>
        </w:rPr>
        <w:t>一、我方承诺无下列相互串通竞标的情形：</w:t>
      </w:r>
    </w:p>
    <w:p w14:paraId="6B49A66A">
      <w:pPr>
        <w:spacing w:line="360" w:lineRule="auto"/>
        <w:ind w:firstLine="480"/>
        <w:contextualSpacing/>
        <w:rPr>
          <w:rFonts w:hint="eastAsia" w:ascii="宋体" w:hAnsi="宋体" w:cs="宋体"/>
          <w:color w:val="auto"/>
          <w:sz w:val="24"/>
          <w:highlight w:val="none"/>
        </w:rPr>
      </w:pPr>
      <w:r>
        <w:rPr>
          <w:rFonts w:hint="eastAsia" w:ascii="宋体" w:hAnsi="宋体" w:cs="宋体"/>
          <w:color w:val="auto"/>
          <w:sz w:val="24"/>
          <w:highlight w:val="none"/>
        </w:rPr>
        <w:t>1.不同供应商的响应文件由同一单位或者个人编制,或不同供应商报名的IP地址一致的；或不同供应商竞标设备信息（包括但不限于：IP地址、MAC地址、硬盘号、CPU号、主板号）一致的；</w:t>
      </w:r>
    </w:p>
    <w:p w14:paraId="3460591D">
      <w:pPr>
        <w:spacing w:line="360" w:lineRule="auto"/>
        <w:ind w:firstLine="480"/>
        <w:contextualSpacing/>
        <w:rPr>
          <w:rFonts w:hint="eastAsia" w:ascii="宋体" w:hAnsi="宋体" w:cs="宋体"/>
          <w:color w:val="auto"/>
          <w:sz w:val="24"/>
          <w:highlight w:val="none"/>
        </w:rPr>
      </w:pPr>
      <w:r>
        <w:rPr>
          <w:rFonts w:hint="eastAsia" w:ascii="宋体" w:hAnsi="宋体" w:cs="宋体"/>
          <w:color w:val="auto"/>
          <w:sz w:val="24"/>
          <w:highlight w:val="none"/>
        </w:rPr>
        <w:t>2.不同供应商委托同一单位或者个人办理竞标事宜；</w:t>
      </w:r>
    </w:p>
    <w:p w14:paraId="1DB73E4E">
      <w:pPr>
        <w:spacing w:line="360" w:lineRule="auto"/>
        <w:ind w:firstLine="480"/>
        <w:contextualSpacing/>
        <w:rPr>
          <w:rFonts w:hint="eastAsia" w:ascii="宋体" w:hAnsi="宋体" w:cs="宋体"/>
          <w:color w:val="auto"/>
          <w:sz w:val="24"/>
          <w:highlight w:val="none"/>
        </w:rPr>
      </w:pPr>
      <w:r>
        <w:rPr>
          <w:rFonts w:hint="eastAsia" w:ascii="宋体" w:hAnsi="宋体" w:cs="宋体"/>
          <w:color w:val="auto"/>
          <w:sz w:val="24"/>
          <w:highlight w:val="none"/>
        </w:rPr>
        <w:t>3.不同供应商的响应文件载明的项目管理员为同一个人；</w:t>
      </w:r>
    </w:p>
    <w:p w14:paraId="5D6ECE4F">
      <w:pPr>
        <w:spacing w:line="360" w:lineRule="auto"/>
        <w:ind w:firstLine="480"/>
        <w:contextualSpacing/>
        <w:rPr>
          <w:rFonts w:hint="eastAsia" w:ascii="宋体" w:hAnsi="宋体" w:cs="宋体"/>
          <w:color w:val="auto"/>
          <w:sz w:val="24"/>
          <w:highlight w:val="none"/>
        </w:rPr>
      </w:pPr>
      <w:r>
        <w:rPr>
          <w:rFonts w:hint="eastAsia" w:ascii="宋体" w:hAnsi="宋体" w:cs="宋体"/>
          <w:color w:val="auto"/>
          <w:sz w:val="24"/>
          <w:highlight w:val="none"/>
        </w:rPr>
        <w:t>4.不</w:t>
      </w:r>
      <w:r>
        <w:rPr>
          <w:rFonts w:hint="eastAsia" w:ascii="宋体" w:hAnsi="宋体" w:cs="宋体"/>
          <w:color w:val="auto"/>
          <w:spacing w:val="-6"/>
          <w:sz w:val="24"/>
          <w:highlight w:val="none"/>
        </w:rPr>
        <w:t>同供应商的响应文件异常一致或者竞标报价呈规律性差异；</w:t>
      </w:r>
    </w:p>
    <w:p w14:paraId="5C13C39A">
      <w:pPr>
        <w:spacing w:line="360" w:lineRule="auto"/>
        <w:ind w:firstLine="480"/>
        <w:contextualSpacing/>
        <w:rPr>
          <w:rFonts w:hint="eastAsia" w:ascii="宋体" w:hAnsi="宋体" w:cs="宋体"/>
          <w:color w:val="auto"/>
          <w:sz w:val="24"/>
          <w:highlight w:val="none"/>
        </w:rPr>
      </w:pPr>
      <w:r>
        <w:rPr>
          <w:rFonts w:hint="eastAsia" w:ascii="宋体" w:hAnsi="宋体" w:cs="宋体"/>
          <w:color w:val="auto"/>
          <w:sz w:val="24"/>
          <w:highlight w:val="none"/>
        </w:rPr>
        <w:t>5.不同供应商的响应文件相互混装；</w:t>
      </w:r>
    </w:p>
    <w:p w14:paraId="6A21CAF5">
      <w:pPr>
        <w:spacing w:line="360" w:lineRule="auto"/>
        <w:ind w:firstLine="480"/>
        <w:contextualSpacing/>
        <w:rPr>
          <w:rFonts w:hint="eastAsia" w:ascii="宋体" w:hAnsi="宋体" w:cs="宋体"/>
          <w:color w:val="auto"/>
          <w:sz w:val="24"/>
          <w:highlight w:val="none"/>
        </w:rPr>
      </w:pPr>
      <w:r>
        <w:rPr>
          <w:rFonts w:hint="eastAsia" w:ascii="宋体" w:hAnsi="宋体" w:cs="宋体"/>
          <w:color w:val="auto"/>
          <w:sz w:val="24"/>
          <w:highlight w:val="none"/>
        </w:rPr>
        <w:t>6.不同供应商的磋商保证金从同一单位或者个人账户转出。</w:t>
      </w:r>
    </w:p>
    <w:p w14:paraId="045E487B">
      <w:pPr>
        <w:spacing w:line="360" w:lineRule="auto"/>
        <w:ind w:firstLine="482"/>
        <w:contextualSpacing/>
        <w:rPr>
          <w:rFonts w:hint="eastAsia" w:ascii="宋体" w:hAnsi="宋体" w:cs="宋体"/>
          <w:b/>
          <w:bCs/>
          <w:color w:val="auto"/>
          <w:sz w:val="24"/>
          <w:highlight w:val="none"/>
        </w:rPr>
      </w:pPr>
      <w:r>
        <w:rPr>
          <w:rFonts w:hint="eastAsia" w:ascii="宋体" w:hAnsi="宋体" w:cs="宋体"/>
          <w:b/>
          <w:bCs/>
          <w:color w:val="auto"/>
          <w:sz w:val="24"/>
          <w:highlight w:val="none"/>
        </w:rPr>
        <w:t>二、我方承诺无下列恶意串通的情形：</w:t>
      </w:r>
    </w:p>
    <w:p w14:paraId="2C4298CB">
      <w:pPr>
        <w:spacing w:line="360" w:lineRule="auto"/>
        <w:ind w:firstLine="480"/>
        <w:contextualSpacing/>
        <w:rPr>
          <w:rFonts w:hint="eastAsia" w:ascii="宋体" w:hAnsi="宋体" w:cs="宋体"/>
          <w:color w:val="auto"/>
          <w:sz w:val="24"/>
          <w:highlight w:val="none"/>
        </w:rPr>
      </w:pPr>
      <w:r>
        <w:rPr>
          <w:rFonts w:hint="eastAsia" w:ascii="宋体" w:hAnsi="宋体" w:cs="宋体"/>
          <w:color w:val="auto"/>
          <w:sz w:val="24"/>
          <w:highlight w:val="none"/>
        </w:rPr>
        <w:t>1.供应商直接或者间接从采购人或者采购代理机构处获得其他供应商的相关信息并修改其响应文件；</w:t>
      </w:r>
    </w:p>
    <w:p w14:paraId="50250329">
      <w:pPr>
        <w:spacing w:line="360" w:lineRule="auto"/>
        <w:ind w:firstLine="480"/>
        <w:contextualSpacing/>
        <w:rPr>
          <w:rFonts w:hint="eastAsia" w:ascii="宋体" w:hAnsi="宋体" w:cs="宋体"/>
          <w:color w:val="auto"/>
          <w:sz w:val="24"/>
          <w:highlight w:val="none"/>
        </w:rPr>
      </w:pPr>
      <w:r>
        <w:rPr>
          <w:rFonts w:hint="eastAsia" w:ascii="宋体" w:hAnsi="宋体" w:cs="宋体"/>
          <w:color w:val="auto"/>
          <w:sz w:val="24"/>
          <w:highlight w:val="none"/>
        </w:rPr>
        <w:t>2.供应商按照采购人或者采购代理机构的授意撤换、修改响应文件；</w:t>
      </w:r>
    </w:p>
    <w:p w14:paraId="7F9893F3">
      <w:pPr>
        <w:spacing w:line="360" w:lineRule="auto"/>
        <w:ind w:firstLine="480"/>
        <w:contextualSpacing/>
        <w:rPr>
          <w:rFonts w:hint="eastAsia" w:ascii="宋体" w:hAnsi="宋体" w:cs="宋体"/>
          <w:color w:val="auto"/>
          <w:sz w:val="24"/>
          <w:highlight w:val="none"/>
        </w:rPr>
      </w:pPr>
      <w:r>
        <w:rPr>
          <w:rFonts w:hint="eastAsia" w:ascii="宋体" w:hAnsi="宋体" w:cs="宋体"/>
          <w:color w:val="auto"/>
          <w:sz w:val="24"/>
          <w:highlight w:val="none"/>
        </w:rPr>
        <w:t>3.供</w:t>
      </w:r>
      <w:r>
        <w:rPr>
          <w:rFonts w:hint="eastAsia" w:ascii="宋体" w:hAnsi="宋体" w:cs="宋体"/>
          <w:color w:val="auto"/>
          <w:spacing w:val="-6"/>
          <w:sz w:val="24"/>
          <w:highlight w:val="none"/>
        </w:rPr>
        <w:t>应商之间协商报价、技术方案等响应文件的实质性内容；</w:t>
      </w:r>
    </w:p>
    <w:p w14:paraId="44E49098">
      <w:pPr>
        <w:spacing w:line="360" w:lineRule="auto"/>
        <w:ind w:firstLine="480"/>
        <w:contextualSpacing/>
        <w:rPr>
          <w:rFonts w:hint="eastAsia" w:ascii="宋体" w:hAnsi="宋体" w:cs="宋体"/>
          <w:color w:val="auto"/>
          <w:sz w:val="24"/>
          <w:highlight w:val="none"/>
        </w:rPr>
      </w:pPr>
      <w:r>
        <w:rPr>
          <w:rFonts w:hint="eastAsia" w:ascii="宋体" w:hAnsi="宋体" w:cs="宋体"/>
          <w:color w:val="auto"/>
          <w:sz w:val="24"/>
          <w:highlight w:val="none"/>
        </w:rPr>
        <w:t>4.属于同一集团、协会、商会等组织成员的供应商按照该组织要求协同参加政府采购活动；</w:t>
      </w:r>
    </w:p>
    <w:p w14:paraId="3F1034EC">
      <w:pPr>
        <w:spacing w:line="360" w:lineRule="auto"/>
        <w:ind w:firstLine="480"/>
        <w:contextualSpacing/>
        <w:rPr>
          <w:rFonts w:hint="eastAsia" w:ascii="宋体" w:hAnsi="宋体" w:cs="宋体"/>
          <w:color w:val="auto"/>
          <w:sz w:val="24"/>
          <w:highlight w:val="none"/>
        </w:rPr>
      </w:pPr>
      <w:r>
        <w:rPr>
          <w:rFonts w:hint="eastAsia" w:ascii="宋体" w:hAnsi="宋体" w:cs="宋体"/>
          <w:color w:val="auto"/>
          <w:sz w:val="24"/>
          <w:highlight w:val="none"/>
        </w:rPr>
        <w:t>5.供应商之间事先约定一致抬高或者压低竞标报价，或者在竞争性磋商项目中事先约定轮流以高价位或者低价位成交，或者事先约定由某一特定供应商成交，然后再参加竞标；</w:t>
      </w:r>
    </w:p>
    <w:p w14:paraId="0DC759BA">
      <w:pPr>
        <w:spacing w:line="360" w:lineRule="auto"/>
        <w:ind w:firstLine="480"/>
        <w:contextualSpacing/>
        <w:rPr>
          <w:rFonts w:hint="eastAsia" w:ascii="宋体" w:hAnsi="宋体" w:cs="宋体"/>
          <w:color w:val="auto"/>
          <w:sz w:val="24"/>
          <w:highlight w:val="none"/>
        </w:rPr>
      </w:pPr>
      <w:r>
        <w:rPr>
          <w:rFonts w:hint="eastAsia" w:ascii="宋体" w:hAnsi="宋体" w:cs="宋体"/>
          <w:color w:val="auto"/>
          <w:sz w:val="24"/>
          <w:highlight w:val="none"/>
        </w:rPr>
        <w:t>6.供应商之间商定部分供应商放弃参加政府采购活动或者放弃成交；</w:t>
      </w:r>
    </w:p>
    <w:p w14:paraId="0389284D">
      <w:pPr>
        <w:spacing w:line="360" w:lineRule="auto"/>
        <w:ind w:firstLine="480"/>
        <w:contextualSpacing/>
        <w:rPr>
          <w:rFonts w:hint="eastAsia" w:ascii="宋体" w:hAnsi="宋体" w:cs="宋体"/>
          <w:color w:val="auto"/>
          <w:sz w:val="24"/>
          <w:highlight w:val="none"/>
        </w:rPr>
      </w:pPr>
      <w:r>
        <w:rPr>
          <w:rFonts w:hint="eastAsia" w:ascii="宋体" w:hAnsi="宋体" w:cs="宋体"/>
          <w:color w:val="auto"/>
          <w:sz w:val="24"/>
          <w:highlight w:val="none"/>
        </w:rPr>
        <w:t>7.供应商与采购人或者采购代理机构之间、供应商相互之间，为</w:t>
      </w:r>
      <w:r>
        <w:rPr>
          <w:rFonts w:hint="eastAsia" w:ascii="宋体" w:hAnsi="宋体" w:cs="宋体"/>
          <w:color w:val="auto"/>
          <w:spacing w:val="-6"/>
          <w:sz w:val="24"/>
          <w:highlight w:val="none"/>
        </w:rPr>
        <w:t>谋求特定供应商成交或者排斥其他供应商的其他串通行为。</w:t>
      </w:r>
    </w:p>
    <w:p w14:paraId="0DDB735A">
      <w:pPr>
        <w:spacing w:line="360" w:lineRule="auto"/>
        <w:ind w:firstLine="480"/>
        <w:contextualSpacing/>
        <w:rPr>
          <w:rFonts w:hint="eastAsia" w:ascii="宋体" w:hAnsi="宋体" w:cs="宋体"/>
          <w:color w:val="auto"/>
          <w:sz w:val="24"/>
          <w:highlight w:val="none"/>
        </w:rPr>
      </w:pPr>
    </w:p>
    <w:p w14:paraId="6F46C86F">
      <w:pPr>
        <w:spacing w:line="360" w:lineRule="auto"/>
        <w:ind w:firstLine="482"/>
        <w:contextualSpacing/>
        <w:rPr>
          <w:rFonts w:hint="eastAsia" w:ascii="宋体" w:hAnsi="宋体" w:cs="宋体"/>
          <w:b/>
          <w:bCs/>
          <w:color w:val="auto"/>
          <w:sz w:val="24"/>
          <w:highlight w:val="none"/>
        </w:rPr>
      </w:pPr>
      <w:r>
        <w:rPr>
          <w:rFonts w:hint="eastAsia" w:ascii="宋体" w:hAnsi="宋体" w:cs="宋体"/>
          <w:b/>
          <w:bCs/>
          <w:color w:val="auto"/>
          <w:sz w:val="24"/>
          <w:highlight w:val="none"/>
        </w:rPr>
        <w:t>以上情形一经核查属实，我方愿意承担一切后果，并不再寻求任何旨在减轻或者免除法律责任的辩解。</w:t>
      </w:r>
    </w:p>
    <w:p w14:paraId="1DE9FACE">
      <w:pPr>
        <w:spacing w:line="360" w:lineRule="auto"/>
        <w:contextualSpacing/>
        <w:rPr>
          <w:rFonts w:hint="eastAsia" w:ascii="宋体" w:hAnsi="宋体" w:cs="宋体"/>
          <w:color w:val="auto"/>
          <w:sz w:val="24"/>
          <w:highlight w:val="none"/>
        </w:rPr>
      </w:pPr>
    </w:p>
    <w:p w14:paraId="5129DE41">
      <w:pPr>
        <w:spacing w:line="360" w:lineRule="auto"/>
        <w:ind w:firstLine="3600"/>
        <w:contextualSpacing/>
        <w:rPr>
          <w:rFonts w:hint="eastAsia" w:ascii="宋体" w:hAnsi="宋体" w:cs="宋体"/>
          <w:color w:val="auto"/>
          <w:sz w:val="24"/>
          <w:highlight w:val="none"/>
        </w:rPr>
      </w:pPr>
      <w:r>
        <w:rPr>
          <w:rFonts w:hint="eastAsia" w:ascii="宋体" w:hAnsi="宋体" w:cs="宋体"/>
          <w:color w:val="auto"/>
          <w:sz w:val="24"/>
          <w:highlight w:val="none"/>
        </w:rPr>
        <w:t>供应商名称（电子签章）：</w:t>
      </w:r>
    </w:p>
    <w:p w14:paraId="6BF1007A">
      <w:pPr>
        <w:spacing w:line="360" w:lineRule="auto"/>
        <w:ind w:firstLine="480"/>
        <w:contextualSpacing/>
        <w:jc w:val="center"/>
        <w:rPr>
          <w:rFonts w:hint="eastAsia" w:ascii="宋体" w:hAnsi="宋体" w:cs="宋体"/>
          <w:color w:val="auto"/>
          <w:sz w:val="32"/>
          <w:szCs w:val="32"/>
          <w:highlight w:val="none"/>
        </w:rPr>
      </w:pPr>
      <w:r>
        <w:rPr>
          <w:rFonts w:hint="eastAsia" w:ascii="宋体" w:hAnsi="宋体" w:cs="宋体"/>
          <w:color w:val="auto"/>
          <w:sz w:val="24"/>
          <w:highlight w:val="none"/>
        </w:rPr>
        <w:t xml:space="preserve">                               年   月   日</w:t>
      </w:r>
    </w:p>
    <w:p w14:paraId="75331B9D">
      <w:pPr>
        <w:spacing w:line="520" w:lineRule="exact"/>
        <w:jc w:val="center"/>
        <w:rPr>
          <w:rFonts w:hint="eastAsia" w:ascii="宋体" w:hAnsi="宋体" w:cs="宋体"/>
          <w:b/>
          <w:color w:val="auto"/>
          <w:sz w:val="32"/>
          <w:szCs w:val="32"/>
          <w:highlight w:val="none"/>
        </w:rPr>
      </w:pPr>
      <w:r>
        <w:rPr>
          <w:rFonts w:hint="eastAsia" w:ascii="宋体" w:hAnsi="宋体" w:cs="宋体"/>
          <w:bCs/>
          <w:color w:val="auto"/>
          <w:sz w:val="44"/>
          <w:szCs w:val="44"/>
          <w:highlight w:val="none"/>
        </w:rPr>
        <w:br w:type="page" w:clear="all"/>
      </w:r>
      <w:r>
        <w:rPr>
          <w:rFonts w:hint="eastAsia" w:ascii="宋体" w:hAnsi="宋体" w:cs="宋体"/>
          <w:b/>
          <w:bCs/>
          <w:color w:val="auto"/>
          <w:sz w:val="32"/>
          <w:szCs w:val="32"/>
          <w:highlight w:val="none"/>
        </w:rPr>
        <w:t>法定代表人证明书</w:t>
      </w:r>
    </w:p>
    <w:p w14:paraId="2D235192">
      <w:pPr>
        <w:spacing w:line="360" w:lineRule="auto"/>
        <w:ind w:left="540"/>
        <w:contextualSpacing/>
        <w:rPr>
          <w:rFonts w:hint="eastAsia" w:ascii="宋体" w:hAnsi="宋体" w:cs="宋体"/>
          <w:color w:val="auto"/>
          <w:sz w:val="32"/>
          <w:szCs w:val="32"/>
          <w:highlight w:val="none"/>
        </w:rPr>
      </w:pPr>
    </w:p>
    <w:p w14:paraId="636C8F04">
      <w:pPr>
        <w:spacing w:line="360" w:lineRule="auto"/>
        <w:ind w:left="540"/>
        <w:contextualSpacing/>
        <w:rPr>
          <w:rFonts w:hint="eastAsia" w:ascii="宋体" w:hAnsi="宋体" w:cs="宋体"/>
          <w:color w:val="auto"/>
          <w:sz w:val="24"/>
          <w:highlight w:val="non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w:t>
      </w:r>
    </w:p>
    <w:p w14:paraId="283606E4">
      <w:pPr>
        <w:spacing w:line="360" w:lineRule="auto"/>
        <w:ind w:left="540"/>
        <w:contextualSpacing/>
        <w:rPr>
          <w:rFonts w:hint="eastAsia"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cs="宋体"/>
          <w:color w:val="auto"/>
          <w:sz w:val="24"/>
          <w:highlight w:val="none"/>
          <w:u w:val="single"/>
        </w:rPr>
        <w:t xml:space="preserve">                                                        </w:t>
      </w:r>
    </w:p>
    <w:p w14:paraId="4B71811C">
      <w:pPr>
        <w:spacing w:line="360" w:lineRule="auto"/>
        <w:ind w:left="540"/>
        <w:contextualSpacing/>
        <w:rPr>
          <w:rFonts w:hint="eastAsia" w:ascii="宋体" w:hAnsi="宋体" w:cs="宋体"/>
          <w:color w:val="auto"/>
          <w:sz w:val="24"/>
          <w:highlight w:val="none"/>
        </w:rPr>
      </w:pPr>
      <w:r>
        <w:rPr>
          <w:rFonts w:hint="eastAsia" w:ascii="宋体" w:hAnsi="宋体" w:cs="宋体"/>
          <w:color w:val="auto"/>
          <w:sz w:val="24"/>
          <w:highlight w:val="none"/>
        </w:rPr>
        <w:t>姓    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性     别：</w:t>
      </w:r>
      <w:r>
        <w:rPr>
          <w:rFonts w:hint="eastAsia" w:ascii="宋体" w:hAnsi="宋体" w:cs="宋体"/>
          <w:color w:val="auto"/>
          <w:sz w:val="24"/>
          <w:highlight w:val="none"/>
          <w:u w:val="single"/>
        </w:rPr>
        <w:t xml:space="preserve">                </w:t>
      </w:r>
    </w:p>
    <w:p w14:paraId="7C2753CE">
      <w:pPr>
        <w:spacing w:line="360" w:lineRule="auto"/>
        <w:ind w:left="540"/>
        <w:contextualSpacing/>
        <w:rPr>
          <w:rFonts w:hint="eastAsia" w:ascii="宋体" w:hAnsi="宋体" w:cs="宋体"/>
          <w:color w:val="auto"/>
          <w:sz w:val="24"/>
          <w:highlight w:val="none"/>
          <w:u w:val="single"/>
        </w:rPr>
      </w:pPr>
      <w:r>
        <w:rPr>
          <w:rFonts w:hint="eastAsia" w:ascii="宋体" w:hAnsi="宋体" w:cs="宋体"/>
          <w:color w:val="auto"/>
          <w:sz w:val="24"/>
          <w:highlight w:val="none"/>
        </w:rPr>
        <w:t>年    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职     务：</w:t>
      </w:r>
      <w:r>
        <w:rPr>
          <w:rFonts w:hint="eastAsia" w:ascii="宋体" w:hAnsi="宋体" w:cs="宋体"/>
          <w:color w:val="auto"/>
          <w:sz w:val="24"/>
          <w:highlight w:val="none"/>
          <w:u w:val="single"/>
        </w:rPr>
        <w:t xml:space="preserve">                </w:t>
      </w:r>
    </w:p>
    <w:p w14:paraId="5A7F6C06">
      <w:pPr>
        <w:spacing w:line="360" w:lineRule="auto"/>
        <w:ind w:left="540"/>
        <w:contextualSpacing/>
        <w:rPr>
          <w:rFonts w:hint="eastAsia" w:ascii="宋体" w:hAnsi="宋体" w:cs="宋体"/>
          <w:color w:val="auto"/>
          <w:sz w:val="24"/>
          <w:highlight w:val="none"/>
        </w:rPr>
      </w:pPr>
      <w:r>
        <w:rPr>
          <w:rFonts w:hint="eastAsia" w:ascii="宋体" w:hAnsi="宋体" w:cs="宋体"/>
          <w:color w:val="auto"/>
          <w:sz w:val="24"/>
          <w:highlight w:val="none"/>
        </w:rPr>
        <w:t>身份证号码：</w:t>
      </w:r>
      <w:r>
        <w:rPr>
          <w:rFonts w:hint="eastAsia" w:ascii="宋体" w:hAnsi="宋体" w:cs="宋体"/>
          <w:color w:val="auto"/>
          <w:sz w:val="24"/>
          <w:highlight w:val="none"/>
          <w:u w:val="single"/>
        </w:rPr>
        <w:t xml:space="preserve">                                        </w:t>
      </w:r>
    </w:p>
    <w:p w14:paraId="06041BF3">
      <w:pPr>
        <w:spacing w:line="360" w:lineRule="auto"/>
        <w:ind w:firstLine="480"/>
        <w:contextualSpacing/>
        <w:rPr>
          <w:rFonts w:hint="eastAsia" w:ascii="宋体" w:hAnsi="宋体" w:cs="宋体"/>
          <w:color w:val="auto"/>
          <w:sz w:val="24"/>
          <w:highlight w:val="none"/>
        </w:rPr>
      </w:pPr>
      <w:r>
        <w:rPr>
          <w:rFonts w:hint="eastAsia" w:ascii="宋体" w:hAnsi="宋体" w:cs="宋体"/>
          <w:color w:val="auto"/>
          <w:sz w:val="24"/>
          <w:highlight w:val="none"/>
        </w:rPr>
        <w:t>系</w:t>
      </w:r>
      <w:r>
        <w:rPr>
          <w:rFonts w:hint="eastAsia" w:ascii="宋体" w:hAnsi="宋体" w:cs="宋体"/>
          <w:color w:val="auto"/>
          <w:sz w:val="24"/>
          <w:highlight w:val="none"/>
          <w:u w:val="single"/>
        </w:rPr>
        <w:t>（供应商名称）</w:t>
      </w:r>
      <w:r>
        <w:rPr>
          <w:rFonts w:hint="eastAsia" w:ascii="宋体" w:hAnsi="宋体" w:cs="宋体"/>
          <w:color w:val="auto"/>
          <w:sz w:val="24"/>
          <w:highlight w:val="none"/>
        </w:rPr>
        <w:t>的法定代表人。</w:t>
      </w:r>
    </w:p>
    <w:p w14:paraId="5198CD46">
      <w:pPr>
        <w:spacing w:line="360" w:lineRule="auto"/>
        <w:ind w:left="540"/>
        <w:contextualSpacing/>
        <w:rPr>
          <w:rFonts w:hint="eastAsia" w:ascii="宋体" w:hAnsi="宋体" w:cs="宋体"/>
          <w:color w:val="auto"/>
          <w:sz w:val="24"/>
          <w:highlight w:val="none"/>
        </w:rPr>
      </w:pPr>
      <w:r>
        <w:rPr>
          <w:rFonts w:hint="eastAsia" w:ascii="宋体" w:hAnsi="宋体" w:cs="宋体"/>
          <w:color w:val="auto"/>
          <w:sz w:val="24"/>
          <w:highlight w:val="none"/>
        </w:rPr>
        <w:t>特此证明。</w:t>
      </w:r>
    </w:p>
    <w:p w14:paraId="47702369">
      <w:pPr>
        <w:spacing w:line="360" w:lineRule="auto"/>
        <w:ind w:left="540"/>
        <w:contextualSpacing/>
        <w:rPr>
          <w:rFonts w:hint="eastAsia" w:ascii="宋体" w:hAnsi="宋体" w:cs="宋体"/>
          <w:color w:val="auto"/>
          <w:sz w:val="24"/>
          <w:highlight w:val="none"/>
        </w:rPr>
      </w:pPr>
    </w:p>
    <w:p w14:paraId="29E5D44E">
      <w:pPr>
        <w:spacing w:line="360" w:lineRule="auto"/>
        <w:ind w:left="540"/>
        <w:contextualSpacing/>
        <w:rPr>
          <w:rFonts w:hint="eastAsia" w:ascii="宋体" w:hAnsi="宋体" w:cs="宋体"/>
          <w:color w:val="auto"/>
          <w:sz w:val="24"/>
          <w:highlight w:val="none"/>
        </w:rPr>
      </w:pPr>
    </w:p>
    <w:p w14:paraId="26604BD0">
      <w:pPr>
        <w:spacing w:line="360" w:lineRule="auto"/>
        <w:ind w:left="540"/>
        <w:contextualSpacing/>
        <w:rPr>
          <w:rFonts w:hint="eastAsia" w:ascii="宋体" w:hAnsi="宋体" w:cs="宋体"/>
          <w:color w:val="auto"/>
          <w:sz w:val="24"/>
          <w:highlight w:val="none"/>
        </w:rPr>
      </w:pPr>
    </w:p>
    <w:p w14:paraId="1276CE3C">
      <w:pPr>
        <w:spacing w:line="360" w:lineRule="auto"/>
        <w:ind w:left="540"/>
        <w:contextualSpacing/>
        <w:rPr>
          <w:rFonts w:hint="eastAsia" w:ascii="宋体" w:hAnsi="宋体" w:cs="宋体"/>
          <w:color w:val="auto"/>
          <w:sz w:val="24"/>
          <w:highlight w:val="none"/>
        </w:rPr>
      </w:pPr>
      <w:r>
        <w:rPr>
          <w:rFonts w:hint="eastAsia" w:ascii="宋体" w:hAnsi="宋体" w:cs="宋体"/>
          <w:color w:val="auto"/>
          <w:sz w:val="24"/>
          <w:highlight w:val="none"/>
        </w:rPr>
        <w:t>附件：法定代表人有效身份证正反面复印件</w:t>
      </w:r>
    </w:p>
    <w:p w14:paraId="727B41C7">
      <w:pPr>
        <w:spacing w:line="360" w:lineRule="auto"/>
        <w:ind w:left="540"/>
        <w:contextualSpacing/>
        <w:rPr>
          <w:rFonts w:hint="eastAsia" w:ascii="宋体" w:hAnsi="宋体" w:cs="宋体"/>
          <w:color w:val="auto"/>
          <w:sz w:val="24"/>
          <w:highlight w:val="none"/>
        </w:rPr>
      </w:pPr>
    </w:p>
    <w:p w14:paraId="42CF0D30">
      <w:pPr>
        <w:spacing w:line="360" w:lineRule="auto"/>
        <w:ind w:left="540" w:firstLine="3000"/>
        <w:contextualSpacing/>
        <w:jc w:val="left"/>
        <w:rPr>
          <w:rFonts w:hint="eastAsia" w:ascii="宋体" w:hAnsi="宋体" w:cs="宋体"/>
          <w:color w:val="auto"/>
          <w:sz w:val="24"/>
          <w:highlight w:val="none"/>
        </w:rPr>
      </w:pPr>
      <w:r>
        <w:rPr>
          <w:rFonts w:hint="eastAsia" w:ascii="宋体" w:hAnsi="宋体" w:cs="宋体"/>
          <w:color w:val="auto"/>
          <w:sz w:val="24"/>
          <w:highlight w:val="none"/>
        </w:rPr>
        <w:t>供应商名称（电子签章）：</w:t>
      </w:r>
      <w:r>
        <w:rPr>
          <w:rFonts w:hint="eastAsia" w:ascii="宋体" w:hAnsi="宋体" w:cs="宋体"/>
          <w:color w:val="auto"/>
          <w:sz w:val="24"/>
          <w:highlight w:val="none"/>
          <w:u w:val="single"/>
        </w:rPr>
        <w:t xml:space="preserve">               </w:t>
      </w:r>
    </w:p>
    <w:p w14:paraId="126A577E">
      <w:pPr>
        <w:spacing w:line="360" w:lineRule="auto"/>
        <w:ind w:firstLine="4080"/>
        <w:contextualSpacing/>
        <w:rPr>
          <w:rFonts w:hint="eastAsia"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6FA87645">
      <w:pPr>
        <w:spacing w:line="360" w:lineRule="auto"/>
        <w:contextualSpacing/>
        <w:jc w:val="center"/>
        <w:rPr>
          <w:rFonts w:hint="eastAsia" w:ascii="宋体" w:hAnsi="宋体" w:cs="宋体"/>
          <w:b/>
          <w:color w:val="auto"/>
          <w:sz w:val="24"/>
          <w:highlight w:val="none"/>
        </w:rPr>
      </w:pPr>
    </w:p>
    <w:p w14:paraId="626605C1">
      <w:pPr>
        <w:spacing w:line="360" w:lineRule="auto"/>
        <w:contextualSpacing/>
        <w:jc w:val="left"/>
        <w:rPr>
          <w:rFonts w:hint="eastAsia" w:ascii="宋体" w:hAnsi="宋体" w:cs="宋体"/>
          <w:color w:val="auto"/>
          <w:sz w:val="24"/>
          <w:highlight w:val="none"/>
        </w:rPr>
      </w:pPr>
    </w:p>
    <w:p w14:paraId="398F39A6">
      <w:pPr>
        <w:spacing w:line="360" w:lineRule="auto"/>
        <w:contextualSpacing/>
        <w:jc w:val="left"/>
        <w:rPr>
          <w:rFonts w:hint="eastAsia" w:ascii="宋体" w:hAnsi="宋体" w:cs="宋体"/>
          <w:color w:val="auto"/>
          <w:sz w:val="24"/>
          <w:highlight w:val="none"/>
        </w:rPr>
      </w:pPr>
      <w:r>
        <w:rPr>
          <w:rFonts w:hint="eastAsia" w:ascii="宋体" w:hAnsi="宋体" w:cs="宋体"/>
          <w:color w:val="auto"/>
          <w:sz w:val="24"/>
          <w:highlight w:val="none"/>
        </w:rPr>
        <w:t>注：联合体竞标的只需牵头人出具。</w:t>
      </w:r>
    </w:p>
    <w:p w14:paraId="7EA1934C">
      <w:pPr>
        <w:spacing w:line="300" w:lineRule="auto"/>
        <w:jc w:val="left"/>
        <w:rPr>
          <w:rFonts w:hint="eastAsia" w:ascii="宋体" w:hAnsi="宋体" w:cs="宋体"/>
          <w:b/>
          <w:color w:val="auto"/>
          <w:szCs w:val="21"/>
          <w:highlight w:val="none"/>
        </w:rPr>
      </w:pPr>
    </w:p>
    <w:p w14:paraId="2DD7AF91">
      <w:pPr>
        <w:spacing w:line="500" w:lineRule="exact"/>
        <w:jc w:val="center"/>
        <w:rPr>
          <w:rFonts w:hint="eastAsia" w:ascii="宋体" w:hAnsi="宋体" w:cs="宋体"/>
          <w:color w:val="auto"/>
          <w:sz w:val="44"/>
          <w:szCs w:val="44"/>
          <w:highlight w:val="none"/>
        </w:rPr>
      </w:pPr>
      <w:r>
        <w:rPr>
          <w:rFonts w:hint="eastAsia" w:ascii="宋体" w:hAnsi="宋体" w:cs="宋体"/>
          <w:color w:val="auto"/>
          <w:sz w:val="44"/>
          <w:szCs w:val="44"/>
          <w:highlight w:val="none"/>
        </w:rPr>
        <w:br w:type="page" w:clear="all"/>
      </w:r>
      <w:r>
        <w:rPr>
          <w:rFonts w:hint="eastAsia" w:ascii="宋体" w:hAnsi="宋体" w:cs="宋体"/>
          <w:color w:val="auto"/>
          <w:sz w:val="44"/>
          <w:szCs w:val="44"/>
          <w:highlight w:val="none"/>
        </w:rPr>
        <w:t xml:space="preserve"> </w:t>
      </w:r>
    </w:p>
    <w:p w14:paraId="5D61EFD1">
      <w:pPr>
        <w:spacing w:line="520" w:lineRule="exact"/>
        <w:jc w:val="center"/>
        <w:rPr>
          <w:rFonts w:hint="eastAsia" w:ascii="宋体" w:hAnsi="宋体" w:cs="宋体"/>
          <w:b/>
          <w:color w:val="auto"/>
          <w:sz w:val="32"/>
          <w:szCs w:val="32"/>
          <w:highlight w:val="none"/>
        </w:rPr>
      </w:pPr>
      <w:bookmarkStart w:id="137" w:name="_Hlk65853643"/>
      <w:r>
        <w:rPr>
          <w:rFonts w:hint="eastAsia" w:ascii="宋体" w:hAnsi="宋体" w:cs="宋体"/>
          <w:b/>
          <w:color w:val="auto"/>
          <w:sz w:val="32"/>
          <w:szCs w:val="32"/>
          <w:highlight w:val="none"/>
        </w:rPr>
        <w:t>授权委托书</w:t>
      </w:r>
    </w:p>
    <w:p w14:paraId="5D2EA479">
      <w:pPr>
        <w:spacing w:line="520" w:lineRule="exact"/>
        <w:jc w:val="center"/>
        <w:rPr>
          <w:rFonts w:hint="eastAsia" w:ascii="宋体" w:hAnsi="宋体" w:cs="宋体"/>
          <w:b/>
          <w:color w:val="auto"/>
          <w:sz w:val="24"/>
          <w:highlight w:val="none"/>
        </w:rPr>
      </w:pPr>
      <w:r>
        <w:rPr>
          <w:rFonts w:hint="eastAsia" w:ascii="宋体" w:hAnsi="宋体" w:cs="宋体"/>
          <w:b/>
          <w:color w:val="auto"/>
          <w:sz w:val="24"/>
          <w:highlight w:val="none"/>
        </w:rPr>
        <w:t>（非联合体竞标格式）</w:t>
      </w:r>
    </w:p>
    <w:p w14:paraId="4BD45538">
      <w:pPr>
        <w:spacing w:line="520" w:lineRule="exact"/>
        <w:jc w:val="center"/>
        <w:rPr>
          <w:rFonts w:hint="eastAsia" w:ascii="宋体" w:hAnsi="宋体" w:cs="宋体"/>
          <w:b/>
          <w:color w:val="auto"/>
          <w:sz w:val="24"/>
          <w:highlight w:val="none"/>
        </w:rPr>
      </w:pPr>
      <w:r>
        <w:rPr>
          <w:rFonts w:hint="eastAsia" w:ascii="宋体" w:hAnsi="宋体" w:cs="宋体"/>
          <w:b/>
          <w:color w:val="auto"/>
          <w:sz w:val="24"/>
          <w:highlight w:val="none"/>
        </w:rPr>
        <w:t>（如有委托时）</w:t>
      </w:r>
    </w:p>
    <w:p w14:paraId="0817CB8C">
      <w:pPr>
        <w:spacing w:line="520" w:lineRule="exact"/>
        <w:rPr>
          <w:rFonts w:hint="eastAsia" w:ascii="宋体" w:hAnsi="宋体" w:cs="宋体"/>
          <w:color w:val="auto"/>
          <w:sz w:val="32"/>
          <w:szCs w:val="32"/>
          <w:highlight w:val="none"/>
        </w:rPr>
      </w:pPr>
    </w:p>
    <w:p w14:paraId="191D9B2F">
      <w:pPr>
        <w:spacing w:line="360" w:lineRule="auto"/>
        <w:rPr>
          <w:rFonts w:hint="eastAsia"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1F8F86B5">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我</w:t>
      </w:r>
      <w:r>
        <w:rPr>
          <w:rFonts w:hint="eastAsia" w:ascii="宋体" w:hAnsi="宋体" w:cs="宋体"/>
          <w:color w:val="auto"/>
          <w:sz w:val="24"/>
          <w:highlight w:val="none"/>
          <w:u w:val="single"/>
        </w:rPr>
        <w:t xml:space="preserve">  （姓名）  </w:t>
      </w:r>
      <w:r>
        <w:rPr>
          <w:rFonts w:hint="eastAsia" w:ascii="宋体" w:hAnsi="宋体" w:cs="宋体"/>
          <w:color w:val="auto"/>
          <w:sz w:val="24"/>
          <w:highlight w:val="none"/>
        </w:rPr>
        <w:t>系</w:t>
      </w:r>
      <w:r>
        <w:rPr>
          <w:rFonts w:hint="eastAsia" w:ascii="宋体" w:hAnsi="宋体" w:cs="宋体"/>
          <w:color w:val="auto"/>
          <w:sz w:val="24"/>
          <w:highlight w:val="none"/>
          <w:u w:val="single"/>
        </w:rPr>
        <w:t xml:space="preserve">  （供应商名称）  </w:t>
      </w:r>
      <w:r>
        <w:rPr>
          <w:rFonts w:hint="eastAsia" w:ascii="宋体" w:hAnsi="宋体" w:cs="宋体"/>
          <w:color w:val="auto"/>
          <w:sz w:val="24"/>
          <w:highlight w:val="none"/>
        </w:rPr>
        <w:t>的（</w:t>
      </w:r>
      <w:r>
        <w:rPr>
          <w:rFonts w:hint="eastAsia" w:ascii="宋体" w:hAnsi="宋体" w:cs="宋体"/>
          <w:color w:val="auto"/>
          <w:sz w:val="24"/>
          <w:highlight w:val="none"/>
          <w:u w:val="single"/>
        </w:rPr>
        <w:t>□法定代表人/□负责人</w:t>
      </w:r>
      <w:r>
        <w:rPr>
          <w:rFonts w:hint="eastAsia" w:ascii="宋体" w:hAnsi="宋体" w:cs="宋体"/>
          <w:color w:val="auto"/>
          <w:sz w:val="24"/>
          <w:highlight w:val="none"/>
        </w:rPr>
        <w:t>），现授权</w:t>
      </w:r>
      <w:r>
        <w:rPr>
          <w:rFonts w:hint="eastAsia" w:ascii="宋体" w:hAnsi="宋体" w:cs="宋体"/>
          <w:color w:val="auto"/>
          <w:sz w:val="24"/>
          <w:highlight w:val="none"/>
          <w:u w:val="single"/>
        </w:rPr>
        <w:t xml:space="preserve"> （姓名） </w:t>
      </w:r>
      <w:r>
        <w:rPr>
          <w:rFonts w:hint="eastAsia" w:ascii="宋体" w:hAnsi="宋体" w:cs="宋体"/>
          <w:color w:val="auto"/>
          <w:sz w:val="24"/>
          <w:highlight w:val="none"/>
        </w:rPr>
        <w:t>以我方的名义参加</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项目的竞标活动，并代表我方全权办理针对上述项目的所有采购程序和环节的具体事务和签署相关文件。</w:t>
      </w:r>
    </w:p>
    <w:p w14:paraId="291129AE">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我方对委托代理人的签字或者电子签名事项负全部责任。</w:t>
      </w:r>
    </w:p>
    <w:p w14:paraId="2730F134">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本授权书自签署之日起生效，在撤销授权的书面通知以前，本授权书一直有效。委托代理人在授权书有效期内签署的所有文件不因授权的撤销而失效。</w:t>
      </w:r>
    </w:p>
    <w:p w14:paraId="58BFDCB0">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委托代理人无转委托权，特此委托。</w:t>
      </w:r>
    </w:p>
    <w:p w14:paraId="2522731C">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附：法定代表人身份证明书及委托代理人有效身份证正反面复印件</w:t>
      </w:r>
    </w:p>
    <w:p w14:paraId="48055E6B">
      <w:pPr>
        <w:spacing w:line="360" w:lineRule="auto"/>
        <w:rPr>
          <w:rFonts w:hint="eastAsia" w:ascii="宋体" w:hAnsi="宋体" w:cs="宋体"/>
          <w:color w:val="auto"/>
          <w:sz w:val="24"/>
          <w:highlight w:val="none"/>
        </w:rPr>
      </w:pPr>
    </w:p>
    <w:p w14:paraId="6B5152FA">
      <w:pPr>
        <w:spacing w:line="360" w:lineRule="auto"/>
        <w:contextualSpacing/>
        <w:rPr>
          <w:rFonts w:hint="eastAsia" w:ascii="宋体" w:hAnsi="宋体" w:cs="宋体"/>
          <w:color w:val="auto"/>
          <w:sz w:val="24"/>
          <w:highlight w:val="none"/>
        </w:rPr>
      </w:pPr>
      <w:r>
        <w:rPr>
          <w:rFonts w:hint="eastAsia" w:ascii="宋体" w:hAnsi="宋体" w:cs="宋体"/>
          <w:color w:val="auto"/>
          <w:sz w:val="24"/>
          <w:highlight w:val="none"/>
        </w:rPr>
        <w:t xml:space="preserve">委托代理人（签字或者电子签名）：     法定代表人（签字或者盖章或者电子签名）：                    </w:t>
      </w:r>
    </w:p>
    <w:p w14:paraId="23FD4F4D">
      <w:pPr>
        <w:spacing w:line="360" w:lineRule="auto"/>
        <w:contextualSpacing/>
        <w:rPr>
          <w:rFonts w:hint="eastAsia" w:ascii="宋体" w:hAnsi="宋体" w:cs="宋体"/>
          <w:color w:val="auto"/>
          <w:sz w:val="24"/>
          <w:highlight w:val="none"/>
        </w:rPr>
      </w:pPr>
      <w:r>
        <w:rPr>
          <w:rFonts w:hint="eastAsia" w:ascii="宋体" w:hAnsi="宋体" w:cs="宋体"/>
          <w:color w:val="auto"/>
          <w:sz w:val="24"/>
          <w:highlight w:val="none"/>
        </w:rPr>
        <w:t xml:space="preserve">委托代理人身份证号码：                              </w:t>
      </w:r>
    </w:p>
    <w:p w14:paraId="4A46CAE9">
      <w:pPr>
        <w:spacing w:line="360" w:lineRule="auto"/>
        <w:contextualSpacing/>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7E0767BF">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供应商名称（电子签章）：                      </w:t>
      </w:r>
    </w:p>
    <w:p w14:paraId="777F0977">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年    月    日</w:t>
      </w:r>
    </w:p>
    <w:p w14:paraId="16C12F1D">
      <w:pPr>
        <w:spacing w:line="360" w:lineRule="auto"/>
        <w:rPr>
          <w:rFonts w:hint="eastAsia" w:ascii="宋体" w:hAnsi="宋体" w:cs="宋体"/>
          <w:color w:val="auto"/>
          <w:sz w:val="24"/>
          <w:highlight w:val="none"/>
        </w:rPr>
      </w:pPr>
    </w:p>
    <w:p w14:paraId="55FBBC64">
      <w:pPr>
        <w:spacing w:line="360" w:lineRule="auto"/>
        <w:rPr>
          <w:rFonts w:hint="eastAsia" w:ascii="宋体" w:hAnsi="宋体" w:cs="宋体"/>
          <w:color w:val="auto"/>
          <w:sz w:val="24"/>
          <w:highlight w:val="none"/>
        </w:rPr>
      </w:pPr>
      <w:r>
        <w:rPr>
          <w:rFonts w:hint="eastAsia" w:ascii="宋体" w:hAnsi="宋体" w:cs="宋体"/>
          <w:color w:val="auto"/>
          <w:sz w:val="24"/>
          <w:highlight w:val="none"/>
        </w:rPr>
        <w:t>注：法定代表人必须在授权委托书上签字或者盖章或者电子签名，委托代理人必须在授权委托书上签字或者电子签名，</w:t>
      </w:r>
      <w:r>
        <w:rPr>
          <w:rFonts w:hint="eastAsia" w:ascii="宋体" w:hAnsi="宋体" w:cs="宋体"/>
          <w:b/>
          <w:color w:val="auto"/>
          <w:sz w:val="24"/>
          <w:highlight w:val="none"/>
        </w:rPr>
        <w:t>否则其响应文件按无效处理。</w:t>
      </w:r>
    </w:p>
    <w:p w14:paraId="5880100E">
      <w:pPr>
        <w:spacing w:line="360" w:lineRule="auto"/>
        <w:ind w:firstLine="420"/>
        <w:jc w:val="left"/>
        <w:rPr>
          <w:rFonts w:hint="eastAsia" w:ascii="宋体" w:hAnsi="宋体" w:cs="宋体"/>
          <w:color w:val="auto"/>
          <w:szCs w:val="21"/>
          <w:highlight w:val="none"/>
        </w:rPr>
      </w:pPr>
    </w:p>
    <w:p w14:paraId="5CA300A8">
      <w:pPr>
        <w:spacing w:line="500" w:lineRule="exact"/>
        <w:rPr>
          <w:rFonts w:hint="eastAsia" w:ascii="宋体" w:hAnsi="宋体" w:cs="宋体"/>
          <w:color w:val="auto"/>
          <w:sz w:val="24"/>
          <w:highlight w:val="none"/>
        </w:rPr>
      </w:pPr>
      <w:r>
        <w:rPr>
          <w:rFonts w:hint="eastAsia" w:ascii="宋体" w:hAnsi="宋体" w:cs="宋体"/>
          <w:color w:val="auto"/>
          <w:sz w:val="24"/>
          <w:highlight w:val="none"/>
        </w:rPr>
        <w:t xml:space="preserve"> </w:t>
      </w:r>
    </w:p>
    <w:bookmarkEnd w:id="137"/>
    <w:p w14:paraId="3ED68756">
      <w:pPr>
        <w:spacing w:line="360" w:lineRule="auto"/>
        <w:contextualSpacing/>
        <w:rPr>
          <w:rFonts w:hint="eastAsia" w:ascii="宋体" w:hAnsi="宋体" w:cs="宋体"/>
          <w:color w:val="auto"/>
          <w:sz w:val="32"/>
          <w:szCs w:val="32"/>
          <w:highlight w:val="none"/>
        </w:rPr>
      </w:pPr>
    </w:p>
    <w:p w14:paraId="305845E3">
      <w:pPr>
        <w:spacing w:line="360" w:lineRule="auto"/>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br w:type="page" w:clear="all"/>
      </w:r>
      <w:r>
        <w:rPr>
          <w:rFonts w:hint="eastAsia" w:ascii="宋体" w:hAnsi="宋体" w:cs="宋体"/>
          <w:b/>
          <w:color w:val="auto"/>
          <w:sz w:val="32"/>
          <w:szCs w:val="32"/>
          <w:highlight w:val="none"/>
        </w:rPr>
        <w:t>建筑材料和设备节能环保要求承诺书</w:t>
      </w:r>
    </w:p>
    <w:p w14:paraId="513407DA">
      <w:pPr>
        <w:spacing w:line="360" w:lineRule="auto"/>
        <w:jc w:val="center"/>
        <w:rPr>
          <w:rFonts w:hint="eastAsia" w:ascii="宋体" w:hAnsi="宋体" w:cs="宋体"/>
          <w:color w:val="auto"/>
          <w:szCs w:val="21"/>
          <w:highlight w:val="none"/>
        </w:rPr>
      </w:pPr>
    </w:p>
    <w:p w14:paraId="0D601DCE">
      <w:pPr>
        <w:spacing w:line="360" w:lineRule="auto"/>
        <w:ind w:firstLine="480"/>
        <w:jc w:val="left"/>
        <w:rPr>
          <w:rFonts w:hint="eastAsia" w:ascii="宋体" w:hAnsi="宋体" w:cs="宋体"/>
          <w:color w:val="auto"/>
          <w:sz w:val="24"/>
          <w:highlight w:val="none"/>
        </w:rPr>
      </w:pPr>
      <w:r>
        <w:rPr>
          <w:rFonts w:hint="eastAsia" w:ascii="宋体" w:hAnsi="宋体" w:cs="宋体"/>
          <w:color w:val="auto"/>
          <w:sz w:val="24"/>
          <w:highlight w:val="none"/>
        </w:rPr>
        <w:t>我方承诺，一旦成交，我方保证严格执行《财政部 发展改革委 生态环境部 市场监管总局关于调整优化节能产品、环境标志产品政府采购执行机制的通知》（财库〔2019〕9号）和《关于印发节能产品政府采购品目清单的通知》（财库〔2019〕19号）的规定，所有工程中涉及的建筑材料和设备如属于财库〔2019〕19号文中《节能产品政府采购品目清单》内标注“★”的产品，都使用政府强制采购的节能产品。如我方在该项目的承包中出现未按规定执行的情形，我方愿意按照相关规定接受采购人及有关行政主管部门的处罚，愿意承担一切后果，并不再寻求任何旨在减轻或者免除法律责任的辩解。</w:t>
      </w:r>
    </w:p>
    <w:p w14:paraId="70519C93">
      <w:pPr>
        <w:spacing w:line="360" w:lineRule="auto"/>
        <w:ind w:firstLine="480"/>
        <w:jc w:val="center"/>
        <w:rPr>
          <w:rFonts w:hint="eastAsia" w:ascii="宋体" w:hAnsi="宋体" w:cs="宋体"/>
          <w:color w:val="auto"/>
          <w:sz w:val="24"/>
          <w:highlight w:val="none"/>
        </w:rPr>
      </w:pPr>
    </w:p>
    <w:p w14:paraId="1F7B9794">
      <w:pPr>
        <w:spacing w:line="360" w:lineRule="auto"/>
        <w:contextualSpacing/>
        <w:rPr>
          <w:rFonts w:hint="eastAsia" w:ascii="宋体" w:hAnsi="宋体" w:cs="宋体"/>
          <w:color w:val="auto"/>
          <w:sz w:val="24"/>
          <w:highlight w:val="none"/>
        </w:rPr>
      </w:pPr>
    </w:p>
    <w:p w14:paraId="206ED8D2">
      <w:pPr>
        <w:spacing w:line="360" w:lineRule="auto"/>
        <w:ind w:firstLine="3600"/>
        <w:contextualSpacing/>
        <w:rPr>
          <w:rFonts w:hint="eastAsia" w:ascii="宋体" w:hAnsi="宋体" w:cs="宋体"/>
          <w:color w:val="auto"/>
          <w:sz w:val="24"/>
          <w:highlight w:val="none"/>
        </w:rPr>
      </w:pPr>
      <w:r>
        <w:rPr>
          <w:rFonts w:hint="eastAsia" w:ascii="宋体" w:hAnsi="宋体" w:cs="宋体"/>
          <w:color w:val="auto"/>
          <w:sz w:val="24"/>
          <w:highlight w:val="none"/>
        </w:rPr>
        <w:t>供应商名称（电子签章）：</w:t>
      </w:r>
    </w:p>
    <w:p w14:paraId="2D76EAF5">
      <w:pPr>
        <w:spacing w:line="360" w:lineRule="auto"/>
        <w:ind w:firstLine="480"/>
        <w:jc w:val="center"/>
        <w:rPr>
          <w:rFonts w:hint="eastAsia" w:ascii="宋体" w:hAnsi="宋体" w:cs="宋体"/>
          <w:color w:val="auto"/>
          <w:szCs w:val="21"/>
          <w:highlight w:val="none"/>
        </w:rPr>
      </w:pPr>
      <w:r>
        <w:rPr>
          <w:rFonts w:hint="eastAsia" w:ascii="宋体" w:hAnsi="宋体" w:cs="宋体"/>
          <w:color w:val="auto"/>
          <w:sz w:val="24"/>
          <w:highlight w:val="none"/>
        </w:rPr>
        <w:t xml:space="preserve">                               年   月   日</w:t>
      </w:r>
      <w:r>
        <w:rPr>
          <w:rFonts w:hint="eastAsia" w:ascii="宋体" w:hAnsi="宋体" w:cs="宋体"/>
          <w:color w:val="auto"/>
          <w:sz w:val="32"/>
          <w:szCs w:val="32"/>
          <w:highlight w:val="none"/>
        </w:rPr>
        <w:br w:type="page" w:clear="all"/>
      </w:r>
    </w:p>
    <w:p w14:paraId="50BB7D9A">
      <w:pPr>
        <w:spacing w:line="360" w:lineRule="auto"/>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农民工工资保证金承诺书</w:t>
      </w:r>
    </w:p>
    <w:p w14:paraId="676EC4A3">
      <w:pPr>
        <w:pStyle w:val="213"/>
        <w:jc w:val="center"/>
        <w:rPr>
          <w:rFonts w:hint="eastAsia" w:ascii="宋体" w:hAnsi="宋体" w:cs="宋体"/>
          <w:color w:val="auto"/>
          <w:highlight w:val="none"/>
        </w:rPr>
      </w:pPr>
      <w:r>
        <w:rPr>
          <w:rFonts w:hint="eastAsia" w:ascii="宋体" w:hAnsi="宋体" w:cs="宋体"/>
          <w:color w:val="auto"/>
          <w:highlight w:val="none"/>
        </w:rPr>
        <w:t>（格式自拟）</w:t>
      </w:r>
    </w:p>
    <w:p w14:paraId="10FFFA15">
      <w:pPr>
        <w:pStyle w:val="235"/>
        <w:jc w:val="center"/>
        <w:rPr>
          <w:rFonts w:hint="eastAsia" w:ascii="宋体" w:hAnsi="宋体" w:cs="宋体"/>
          <w:color w:val="auto"/>
          <w:highlight w:val="none"/>
        </w:rPr>
      </w:pPr>
    </w:p>
    <w:p w14:paraId="0FB9D207">
      <w:pPr>
        <w:rPr>
          <w:rFonts w:hint="eastAsia" w:ascii="宋体" w:hAnsi="宋体" w:cs="宋体"/>
          <w:color w:val="auto"/>
          <w:sz w:val="24"/>
          <w:highlight w:val="none"/>
        </w:rPr>
      </w:pPr>
    </w:p>
    <w:p w14:paraId="1063E501">
      <w:pPr>
        <w:spacing w:line="360" w:lineRule="auto"/>
        <w:jc w:val="center"/>
        <w:rPr>
          <w:rFonts w:hint="eastAsia" w:ascii="宋体" w:hAnsi="宋体" w:cs="宋体"/>
          <w:b/>
          <w:bCs/>
          <w:color w:val="auto"/>
          <w:sz w:val="32"/>
          <w:szCs w:val="32"/>
          <w:highlight w:val="none"/>
        </w:rPr>
      </w:pPr>
    </w:p>
    <w:p w14:paraId="53693A14">
      <w:pPr>
        <w:spacing w:line="360" w:lineRule="auto"/>
        <w:jc w:val="center"/>
        <w:rPr>
          <w:rFonts w:hint="eastAsia" w:ascii="宋体" w:hAnsi="宋体" w:cs="宋体"/>
          <w:b/>
          <w:bCs/>
          <w:color w:val="auto"/>
          <w:sz w:val="32"/>
          <w:szCs w:val="32"/>
          <w:highlight w:val="none"/>
        </w:rPr>
      </w:pPr>
    </w:p>
    <w:p w14:paraId="4295BC37">
      <w:pPr>
        <w:spacing w:line="360" w:lineRule="auto"/>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施工组织设计</w:t>
      </w:r>
    </w:p>
    <w:p w14:paraId="6C51468B">
      <w:pPr>
        <w:spacing w:line="360" w:lineRule="auto"/>
        <w:jc w:val="center"/>
        <w:rPr>
          <w:rFonts w:hint="eastAsia" w:ascii="宋体" w:hAnsi="宋体" w:cs="宋体"/>
          <w:color w:val="auto"/>
          <w:highlight w:val="none"/>
          <w:lang w:val="zh-CN"/>
        </w:rPr>
      </w:pPr>
      <w:r>
        <w:rPr>
          <w:rFonts w:hint="eastAsia" w:ascii="宋体" w:hAnsi="宋体" w:cs="宋体"/>
          <w:color w:val="auto"/>
          <w:highlight w:val="none"/>
        </w:rPr>
        <w:t>（格式自拟）</w:t>
      </w:r>
    </w:p>
    <w:p w14:paraId="1E9F7210">
      <w:pPr>
        <w:spacing w:line="360" w:lineRule="auto"/>
        <w:jc w:val="center"/>
        <w:rPr>
          <w:rFonts w:hint="eastAsia" w:ascii="宋体" w:hAnsi="宋体" w:cs="宋体"/>
          <w:b/>
          <w:color w:val="auto"/>
          <w:sz w:val="32"/>
          <w:szCs w:val="32"/>
          <w:highlight w:val="none"/>
        </w:rPr>
      </w:pPr>
      <w:r>
        <w:rPr>
          <w:rFonts w:hint="eastAsia" w:ascii="宋体" w:hAnsi="宋体" w:cs="宋体"/>
          <w:bCs/>
          <w:color w:val="auto"/>
          <w:sz w:val="44"/>
          <w:szCs w:val="44"/>
          <w:highlight w:val="none"/>
        </w:rPr>
        <w:br w:type="page" w:clear="all"/>
      </w:r>
      <w:r>
        <w:rPr>
          <w:rFonts w:hint="eastAsia" w:ascii="宋体" w:hAnsi="宋体" w:cs="宋体"/>
          <w:b/>
          <w:bCs/>
          <w:color w:val="auto"/>
          <w:sz w:val="32"/>
          <w:szCs w:val="32"/>
          <w:highlight w:val="none"/>
        </w:rPr>
        <w:t>项目管理机构配备情况表及主要人员简历表</w:t>
      </w:r>
    </w:p>
    <w:p w14:paraId="64A8248A">
      <w:pPr>
        <w:spacing w:before="120" w:after="50" w:line="360" w:lineRule="auto"/>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t>（一）项目管理机构配备情况表</w:t>
      </w:r>
    </w:p>
    <w:p w14:paraId="22F8AD48">
      <w:pPr>
        <w:pStyle w:val="226"/>
        <w:spacing w:line="360" w:lineRule="auto"/>
        <w:contextualSpacing/>
        <w:rPr>
          <w:rFonts w:hint="eastAsia" w:hAnsi="宋体" w:cs="宋体"/>
          <w:color w:val="auto"/>
          <w:sz w:val="24"/>
          <w:szCs w:val="24"/>
          <w:highlight w:val="none"/>
        </w:rPr>
      </w:pPr>
      <w:r>
        <w:rPr>
          <w:rFonts w:hint="eastAsia" w:hAnsi="宋体" w:cs="宋体"/>
          <w:color w:val="auto"/>
          <w:sz w:val="24"/>
          <w:highlight w:val="none"/>
        </w:rPr>
        <w:t>分标（如有）</w:t>
      </w:r>
      <w:r>
        <w:rPr>
          <w:rFonts w:hint="eastAsia" w:hAnsi="宋体" w:cs="宋体"/>
          <w:color w:val="auto"/>
          <w:sz w:val="24"/>
          <w:szCs w:val="24"/>
          <w:highlight w:val="none"/>
        </w:rPr>
        <w:t>：</w:t>
      </w:r>
      <w:r>
        <w:rPr>
          <w:rFonts w:hint="eastAsia" w:hAnsi="宋体" w:cs="宋体"/>
          <w:color w:val="auto"/>
          <w:sz w:val="24"/>
          <w:szCs w:val="24"/>
          <w:highlight w:val="none"/>
          <w:u w:val="single"/>
        </w:rPr>
        <w:t xml:space="preserve">         </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670"/>
        <w:gridCol w:w="829"/>
        <w:gridCol w:w="816"/>
        <w:gridCol w:w="1148"/>
        <w:gridCol w:w="1148"/>
        <w:gridCol w:w="1148"/>
        <w:gridCol w:w="744"/>
        <w:gridCol w:w="1167"/>
        <w:gridCol w:w="1276"/>
      </w:tblGrid>
      <w:tr w14:paraId="53780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920" w:type="dxa"/>
            <w:vMerge w:val="restart"/>
            <w:tcBorders>
              <w:top w:val="single" w:color="auto" w:sz="4" w:space="0"/>
              <w:left w:val="single" w:color="auto" w:sz="4" w:space="0"/>
              <w:bottom w:val="single" w:color="auto" w:sz="4" w:space="0"/>
              <w:right w:val="single" w:color="auto" w:sz="4" w:space="0"/>
            </w:tcBorders>
            <w:vAlign w:val="center"/>
          </w:tcPr>
          <w:p w14:paraId="1354B343">
            <w:pPr>
              <w:ind w:left="223" w:hanging="222"/>
              <w:jc w:val="center"/>
              <w:rPr>
                <w:rFonts w:hint="eastAsia" w:ascii="宋体" w:hAnsi="宋体" w:cs="宋体"/>
                <w:color w:val="auto"/>
                <w:highlight w:val="none"/>
              </w:rPr>
            </w:pPr>
            <w:r>
              <w:rPr>
                <w:rFonts w:hint="eastAsia" w:ascii="宋体" w:hAnsi="宋体" w:cs="宋体"/>
                <w:color w:val="auto"/>
                <w:highlight w:val="none"/>
              </w:rPr>
              <w:t>岗位</w:t>
            </w:r>
          </w:p>
        </w:tc>
        <w:tc>
          <w:tcPr>
            <w:tcW w:w="670" w:type="dxa"/>
            <w:vMerge w:val="restart"/>
            <w:tcBorders>
              <w:top w:val="single" w:color="auto" w:sz="4" w:space="0"/>
              <w:left w:val="single" w:color="auto" w:sz="4" w:space="0"/>
              <w:bottom w:val="single" w:color="auto" w:sz="4" w:space="0"/>
              <w:right w:val="single" w:color="auto" w:sz="4" w:space="0"/>
            </w:tcBorders>
            <w:vAlign w:val="center"/>
          </w:tcPr>
          <w:p w14:paraId="503DDC37">
            <w:pPr>
              <w:ind w:left="223" w:hanging="222"/>
              <w:jc w:val="center"/>
              <w:rPr>
                <w:rFonts w:hint="eastAsia" w:ascii="宋体" w:hAnsi="宋体" w:cs="宋体"/>
                <w:color w:val="auto"/>
                <w:highlight w:val="none"/>
              </w:rPr>
            </w:pPr>
            <w:r>
              <w:rPr>
                <w:rFonts w:hint="eastAsia" w:ascii="宋体" w:hAnsi="宋体" w:cs="宋体"/>
                <w:color w:val="auto"/>
                <w:highlight w:val="none"/>
              </w:rPr>
              <w:t>姓名</w:t>
            </w:r>
          </w:p>
        </w:tc>
        <w:tc>
          <w:tcPr>
            <w:tcW w:w="829" w:type="dxa"/>
            <w:vMerge w:val="restart"/>
            <w:tcBorders>
              <w:top w:val="single" w:color="auto" w:sz="4" w:space="0"/>
              <w:left w:val="single" w:color="auto" w:sz="4" w:space="0"/>
              <w:bottom w:val="single" w:color="auto" w:sz="4" w:space="0"/>
              <w:right w:val="single" w:color="auto" w:sz="4" w:space="0"/>
            </w:tcBorders>
            <w:vAlign w:val="center"/>
          </w:tcPr>
          <w:p w14:paraId="75973EB5">
            <w:pPr>
              <w:jc w:val="center"/>
              <w:rPr>
                <w:rFonts w:hint="eastAsia" w:ascii="宋体" w:hAnsi="宋体" w:cs="宋体"/>
                <w:color w:val="auto"/>
                <w:highlight w:val="none"/>
              </w:rPr>
            </w:pPr>
            <w:r>
              <w:rPr>
                <w:rFonts w:hint="eastAsia" w:ascii="宋体" w:hAnsi="宋体" w:cs="宋体"/>
                <w:color w:val="auto"/>
                <w:highlight w:val="none"/>
              </w:rPr>
              <w:t>身份证号</w:t>
            </w:r>
          </w:p>
        </w:tc>
        <w:tc>
          <w:tcPr>
            <w:tcW w:w="816" w:type="dxa"/>
            <w:vMerge w:val="restart"/>
            <w:tcBorders>
              <w:top w:val="single" w:color="auto" w:sz="4" w:space="0"/>
              <w:left w:val="single" w:color="auto" w:sz="4" w:space="0"/>
              <w:bottom w:val="single" w:color="auto" w:sz="4" w:space="0"/>
              <w:right w:val="single" w:color="auto" w:sz="4" w:space="0"/>
            </w:tcBorders>
            <w:vAlign w:val="center"/>
          </w:tcPr>
          <w:p w14:paraId="33F8CDAB">
            <w:pPr>
              <w:ind w:left="223" w:hanging="222"/>
              <w:jc w:val="center"/>
              <w:rPr>
                <w:rFonts w:hint="eastAsia" w:ascii="宋体" w:hAnsi="宋体" w:cs="宋体"/>
                <w:color w:val="auto"/>
                <w:highlight w:val="none"/>
              </w:rPr>
            </w:pPr>
            <w:r>
              <w:rPr>
                <w:rFonts w:hint="eastAsia" w:ascii="宋体" w:hAnsi="宋体" w:cs="宋体"/>
                <w:color w:val="auto"/>
                <w:highlight w:val="none"/>
              </w:rPr>
              <w:t>职称</w:t>
            </w:r>
          </w:p>
        </w:tc>
        <w:tc>
          <w:tcPr>
            <w:tcW w:w="4188" w:type="dxa"/>
            <w:gridSpan w:val="4"/>
            <w:tcBorders>
              <w:top w:val="single" w:color="auto" w:sz="4" w:space="0"/>
              <w:left w:val="single" w:color="auto" w:sz="4" w:space="0"/>
              <w:bottom w:val="single" w:color="auto" w:sz="4" w:space="0"/>
              <w:right w:val="single" w:color="auto" w:sz="4" w:space="0"/>
            </w:tcBorders>
            <w:vAlign w:val="center"/>
          </w:tcPr>
          <w:p w14:paraId="3213113C">
            <w:pPr>
              <w:ind w:left="223" w:hanging="222"/>
              <w:jc w:val="center"/>
              <w:rPr>
                <w:rFonts w:hint="eastAsia" w:ascii="宋体" w:hAnsi="宋体" w:cs="宋体"/>
                <w:color w:val="auto"/>
                <w:highlight w:val="none"/>
              </w:rPr>
            </w:pPr>
            <w:r>
              <w:rPr>
                <w:rFonts w:hint="eastAsia" w:ascii="宋体" w:hAnsi="宋体" w:cs="宋体"/>
                <w:color w:val="auto"/>
                <w:highlight w:val="none"/>
              </w:rPr>
              <w:t>执业或职业资格</w:t>
            </w:r>
          </w:p>
        </w:tc>
        <w:tc>
          <w:tcPr>
            <w:tcW w:w="2443" w:type="dxa"/>
            <w:gridSpan w:val="2"/>
            <w:tcBorders>
              <w:top w:val="single" w:color="auto" w:sz="4" w:space="0"/>
              <w:left w:val="single" w:color="auto" w:sz="4" w:space="0"/>
              <w:bottom w:val="single" w:color="auto" w:sz="4" w:space="0"/>
              <w:right w:val="single" w:color="auto" w:sz="4" w:space="0"/>
            </w:tcBorders>
            <w:vAlign w:val="center"/>
          </w:tcPr>
          <w:p w14:paraId="51757B6E">
            <w:pPr>
              <w:jc w:val="left"/>
              <w:rPr>
                <w:rFonts w:hint="eastAsia" w:ascii="宋体" w:hAnsi="宋体" w:cs="宋体"/>
                <w:color w:val="auto"/>
                <w:highlight w:val="none"/>
              </w:rPr>
            </w:pPr>
            <w:r>
              <w:rPr>
                <w:rFonts w:hint="eastAsia" w:ascii="宋体" w:hAnsi="宋体" w:cs="宋体"/>
                <w:color w:val="auto"/>
                <w:highlight w:val="none"/>
              </w:rPr>
              <w:t>承担完工、在建工程情况</w:t>
            </w:r>
          </w:p>
        </w:tc>
      </w:tr>
      <w:tr w14:paraId="53E49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920" w:type="dxa"/>
            <w:vMerge w:val="continue"/>
            <w:tcBorders>
              <w:top w:val="single" w:color="auto" w:sz="4" w:space="0"/>
              <w:left w:val="single" w:color="auto" w:sz="4" w:space="0"/>
              <w:bottom w:val="single" w:color="auto" w:sz="4" w:space="0"/>
              <w:right w:val="single" w:color="auto" w:sz="4" w:space="0"/>
            </w:tcBorders>
            <w:vAlign w:val="center"/>
          </w:tcPr>
          <w:p w14:paraId="453D315D">
            <w:pPr>
              <w:ind w:left="223" w:hanging="222"/>
              <w:jc w:val="center"/>
              <w:rPr>
                <w:rFonts w:hint="eastAsia" w:ascii="宋体" w:hAnsi="宋体" w:cs="宋体"/>
                <w:color w:val="auto"/>
                <w:highlight w:val="none"/>
              </w:rPr>
            </w:pPr>
          </w:p>
        </w:tc>
        <w:tc>
          <w:tcPr>
            <w:tcW w:w="670" w:type="dxa"/>
            <w:vMerge w:val="continue"/>
            <w:tcBorders>
              <w:top w:val="single" w:color="auto" w:sz="4" w:space="0"/>
              <w:left w:val="single" w:color="auto" w:sz="4" w:space="0"/>
              <w:bottom w:val="single" w:color="auto" w:sz="4" w:space="0"/>
              <w:right w:val="single" w:color="auto" w:sz="4" w:space="0"/>
            </w:tcBorders>
            <w:vAlign w:val="center"/>
          </w:tcPr>
          <w:p w14:paraId="56CACEB6">
            <w:pPr>
              <w:ind w:left="223" w:hanging="222"/>
              <w:jc w:val="center"/>
              <w:rPr>
                <w:rFonts w:hint="eastAsia" w:ascii="宋体" w:hAnsi="宋体" w:cs="宋体"/>
                <w:color w:val="auto"/>
                <w:highlight w:val="none"/>
              </w:rPr>
            </w:pPr>
          </w:p>
        </w:tc>
        <w:tc>
          <w:tcPr>
            <w:tcW w:w="829" w:type="dxa"/>
            <w:vMerge w:val="continue"/>
            <w:tcBorders>
              <w:top w:val="single" w:color="auto" w:sz="4" w:space="0"/>
              <w:left w:val="single" w:color="auto" w:sz="4" w:space="0"/>
              <w:bottom w:val="single" w:color="auto" w:sz="4" w:space="0"/>
              <w:right w:val="single" w:color="auto" w:sz="4" w:space="0"/>
            </w:tcBorders>
            <w:vAlign w:val="center"/>
          </w:tcPr>
          <w:p w14:paraId="0289B22C">
            <w:pPr>
              <w:ind w:left="223" w:hanging="222"/>
              <w:jc w:val="center"/>
              <w:rPr>
                <w:rFonts w:hint="eastAsia" w:ascii="宋体" w:hAnsi="宋体" w:cs="宋体"/>
                <w:color w:val="auto"/>
                <w:highlight w:val="none"/>
              </w:rPr>
            </w:pPr>
          </w:p>
        </w:tc>
        <w:tc>
          <w:tcPr>
            <w:tcW w:w="816" w:type="dxa"/>
            <w:vMerge w:val="continue"/>
            <w:tcBorders>
              <w:top w:val="single" w:color="auto" w:sz="4" w:space="0"/>
              <w:left w:val="single" w:color="auto" w:sz="4" w:space="0"/>
              <w:bottom w:val="single" w:color="auto" w:sz="4" w:space="0"/>
              <w:right w:val="single" w:color="auto" w:sz="4" w:space="0"/>
            </w:tcBorders>
            <w:vAlign w:val="center"/>
          </w:tcPr>
          <w:p w14:paraId="2E5F3235">
            <w:pPr>
              <w:ind w:left="223" w:hanging="222"/>
              <w:jc w:val="center"/>
              <w:rPr>
                <w:rFonts w:hint="eastAsia" w:ascii="宋体" w:hAnsi="宋体" w:cs="宋体"/>
                <w:color w:val="auto"/>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14:paraId="07924919">
            <w:pPr>
              <w:ind w:left="223" w:hanging="222"/>
              <w:jc w:val="center"/>
              <w:rPr>
                <w:rFonts w:hint="eastAsia" w:ascii="宋体" w:hAnsi="宋体" w:cs="宋体"/>
                <w:color w:val="auto"/>
                <w:highlight w:val="none"/>
              </w:rPr>
            </w:pPr>
            <w:r>
              <w:rPr>
                <w:rFonts w:hint="eastAsia" w:ascii="宋体" w:hAnsi="宋体" w:cs="宋体"/>
                <w:color w:val="auto"/>
                <w:highlight w:val="none"/>
              </w:rPr>
              <w:t>证书名称</w:t>
            </w:r>
          </w:p>
        </w:tc>
        <w:tc>
          <w:tcPr>
            <w:tcW w:w="1148" w:type="dxa"/>
            <w:tcBorders>
              <w:top w:val="single" w:color="auto" w:sz="4" w:space="0"/>
              <w:left w:val="single" w:color="auto" w:sz="4" w:space="0"/>
              <w:bottom w:val="single" w:color="auto" w:sz="4" w:space="0"/>
              <w:right w:val="single" w:color="auto" w:sz="4" w:space="0"/>
            </w:tcBorders>
            <w:vAlign w:val="center"/>
          </w:tcPr>
          <w:p w14:paraId="2AA559B5">
            <w:pPr>
              <w:ind w:left="223" w:hanging="222"/>
              <w:jc w:val="center"/>
              <w:rPr>
                <w:rFonts w:hint="eastAsia" w:ascii="宋体" w:hAnsi="宋体" w:cs="宋体"/>
                <w:color w:val="auto"/>
                <w:highlight w:val="none"/>
              </w:rPr>
            </w:pPr>
            <w:r>
              <w:rPr>
                <w:rFonts w:hint="eastAsia" w:ascii="宋体" w:hAnsi="宋体" w:cs="宋体"/>
                <w:color w:val="auto"/>
                <w:highlight w:val="none"/>
              </w:rPr>
              <w:t>级别</w:t>
            </w:r>
          </w:p>
        </w:tc>
        <w:tc>
          <w:tcPr>
            <w:tcW w:w="1148" w:type="dxa"/>
            <w:tcBorders>
              <w:top w:val="single" w:color="auto" w:sz="4" w:space="0"/>
              <w:left w:val="single" w:color="auto" w:sz="4" w:space="0"/>
              <w:bottom w:val="single" w:color="auto" w:sz="4" w:space="0"/>
              <w:right w:val="single" w:color="auto" w:sz="4" w:space="0"/>
            </w:tcBorders>
            <w:vAlign w:val="center"/>
          </w:tcPr>
          <w:p w14:paraId="6BE7102F">
            <w:pPr>
              <w:ind w:left="223" w:hanging="222"/>
              <w:jc w:val="center"/>
              <w:rPr>
                <w:rFonts w:hint="eastAsia" w:ascii="宋体" w:hAnsi="宋体" w:cs="宋体"/>
                <w:color w:val="auto"/>
                <w:highlight w:val="none"/>
              </w:rPr>
            </w:pPr>
            <w:r>
              <w:rPr>
                <w:rFonts w:hint="eastAsia" w:ascii="宋体" w:hAnsi="宋体" w:cs="宋体"/>
                <w:color w:val="auto"/>
                <w:highlight w:val="none"/>
              </w:rPr>
              <w:t>证号</w:t>
            </w:r>
          </w:p>
        </w:tc>
        <w:tc>
          <w:tcPr>
            <w:tcW w:w="744" w:type="dxa"/>
            <w:tcBorders>
              <w:top w:val="single" w:color="auto" w:sz="4" w:space="0"/>
              <w:left w:val="single" w:color="auto" w:sz="4" w:space="0"/>
              <w:bottom w:val="single" w:color="auto" w:sz="4" w:space="0"/>
              <w:right w:val="single" w:color="auto" w:sz="4" w:space="0"/>
            </w:tcBorders>
            <w:vAlign w:val="center"/>
          </w:tcPr>
          <w:p w14:paraId="6B46FDCD">
            <w:pPr>
              <w:ind w:left="223" w:hanging="222"/>
              <w:jc w:val="center"/>
              <w:rPr>
                <w:rFonts w:hint="eastAsia" w:ascii="宋体" w:hAnsi="宋体" w:cs="宋体"/>
                <w:color w:val="auto"/>
                <w:highlight w:val="none"/>
              </w:rPr>
            </w:pPr>
            <w:r>
              <w:rPr>
                <w:rFonts w:hint="eastAsia" w:ascii="宋体" w:hAnsi="宋体" w:cs="宋体"/>
                <w:color w:val="auto"/>
                <w:highlight w:val="none"/>
              </w:rPr>
              <w:t>专业</w:t>
            </w:r>
          </w:p>
        </w:tc>
        <w:tc>
          <w:tcPr>
            <w:tcW w:w="1167" w:type="dxa"/>
            <w:tcBorders>
              <w:top w:val="single" w:color="auto" w:sz="4" w:space="0"/>
              <w:left w:val="single" w:color="auto" w:sz="4" w:space="0"/>
              <w:bottom w:val="single" w:color="auto" w:sz="4" w:space="0"/>
              <w:right w:val="single" w:color="auto" w:sz="4" w:space="0"/>
            </w:tcBorders>
            <w:vAlign w:val="center"/>
          </w:tcPr>
          <w:p w14:paraId="48F3283A">
            <w:pPr>
              <w:jc w:val="center"/>
              <w:rPr>
                <w:rFonts w:hint="eastAsia" w:ascii="宋体" w:hAnsi="宋体" w:cs="宋体"/>
                <w:color w:val="auto"/>
                <w:highlight w:val="none"/>
              </w:rPr>
            </w:pPr>
            <w:r>
              <w:rPr>
                <w:rFonts w:hint="eastAsia" w:ascii="宋体" w:hAnsi="宋体" w:cs="宋体"/>
                <w:color w:val="auto"/>
                <w:highlight w:val="none"/>
              </w:rPr>
              <w:t>完工/在建</w:t>
            </w:r>
          </w:p>
        </w:tc>
        <w:tc>
          <w:tcPr>
            <w:tcW w:w="1276" w:type="dxa"/>
            <w:tcBorders>
              <w:top w:val="single" w:color="auto" w:sz="4" w:space="0"/>
              <w:left w:val="single" w:color="auto" w:sz="4" w:space="0"/>
              <w:bottom w:val="single" w:color="auto" w:sz="4" w:space="0"/>
              <w:right w:val="single" w:color="auto" w:sz="4" w:space="0"/>
            </w:tcBorders>
            <w:vAlign w:val="center"/>
          </w:tcPr>
          <w:p w14:paraId="43C9C254">
            <w:pPr>
              <w:jc w:val="center"/>
              <w:rPr>
                <w:rFonts w:hint="eastAsia" w:ascii="宋体" w:hAnsi="宋体" w:cs="宋体"/>
                <w:color w:val="auto"/>
                <w:highlight w:val="none"/>
              </w:rPr>
            </w:pPr>
            <w:r>
              <w:rPr>
                <w:rFonts w:hint="eastAsia" w:ascii="宋体" w:hAnsi="宋体" w:cs="宋体"/>
                <w:color w:val="auto"/>
                <w:highlight w:val="none"/>
              </w:rPr>
              <w:t>主要项目</w:t>
            </w:r>
          </w:p>
          <w:p w14:paraId="3E7B36D4">
            <w:pPr>
              <w:jc w:val="center"/>
              <w:rPr>
                <w:rFonts w:hint="eastAsia" w:ascii="宋体" w:hAnsi="宋体" w:cs="宋体"/>
                <w:color w:val="auto"/>
                <w:highlight w:val="none"/>
              </w:rPr>
            </w:pPr>
            <w:r>
              <w:rPr>
                <w:rFonts w:hint="eastAsia" w:ascii="宋体" w:hAnsi="宋体" w:cs="宋体"/>
                <w:color w:val="auto"/>
                <w:highlight w:val="none"/>
              </w:rPr>
              <w:t>名称</w:t>
            </w:r>
          </w:p>
        </w:tc>
      </w:tr>
      <w:tr w14:paraId="2717C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tcBorders>
              <w:top w:val="single" w:color="auto" w:sz="4" w:space="0"/>
              <w:left w:val="single" w:color="auto" w:sz="4" w:space="0"/>
              <w:bottom w:val="single" w:color="auto" w:sz="4" w:space="0"/>
              <w:right w:val="single" w:color="auto" w:sz="4" w:space="0"/>
            </w:tcBorders>
            <w:vAlign w:val="center"/>
          </w:tcPr>
          <w:p w14:paraId="1247882A">
            <w:pPr>
              <w:pStyle w:val="331"/>
              <w:spacing w:line="240" w:lineRule="auto"/>
              <w:ind w:firstLine="0"/>
              <w:rPr>
                <w:rFonts w:hint="eastAsia"/>
                <w:color w:val="auto"/>
                <w:sz w:val="21"/>
                <w:szCs w:val="21"/>
                <w:highlight w:val="none"/>
              </w:rPr>
            </w:pPr>
            <w:r>
              <w:rPr>
                <w:rFonts w:hint="eastAsia"/>
                <w:color w:val="auto"/>
                <w:sz w:val="21"/>
                <w:szCs w:val="21"/>
                <w:highlight w:val="none"/>
                <w:lang w:val="en-US" w:eastAsia="en-US" w:bidi="en-US"/>
              </w:rPr>
              <w:t>1.</w:t>
            </w:r>
            <w:r>
              <w:rPr>
                <w:rFonts w:hint="eastAsia"/>
                <w:color w:val="auto"/>
                <w:sz w:val="21"/>
                <w:szCs w:val="21"/>
                <w:highlight w:val="none"/>
              </w:rPr>
              <w:t>项目经理</w:t>
            </w:r>
          </w:p>
        </w:tc>
        <w:tc>
          <w:tcPr>
            <w:tcW w:w="670" w:type="dxa"/>
            <w:tcBorders>
              <w:top w:val="single" w:color="auto" w:sz="4" w:space="0"/>
              <w:left w:val="single" w:color="auto" w:sz="4" w:space="0"/>
              <w:bottom w:val="single" w:color="auto" w:sz="4" w:space="0"/>
              <w:right w:val="single" w:color="auto" w:sz="4" w:space="0"/>
            </w:tcBorders>
            <w:vAlign w:val="center"/>
          </w:tcPr>
          <w:p w14:paraId="248CF088">
            <w:pPr>
              <w:ind w:left="223" w:hanging="222"/>
              <w:jc w:val="center"/>
              <w:rPr>
                <w:rFonts w:hint="eastAsia" w:ascii="宋体" w:hAnsi="宋体" w:cs="宋体"/>
                <w:color w:val="auto"/>
                <w:szCs w:val="21"/>
                <w:highlight w:val="none"/>
              </w:rPr>
            </w:pPr>
          </w:p>
        </w:tc>
        <w:tc>
          <w:tcPr>
            <w:tcW w:w="829" w:type="dxa"/>
            <w:tcBorders>
              <w:top w:val="single" w:color="auto" w:sz="4" w:space="0"/>
              <w:left w:val="single" w:color="auto" w:sz="4" w:space="0"/>
              <w:bottom w:val="single" w:color="auto" w:sz="4" w:space="0"/>
              <w:right w:val="single" w:color="auto" w:sz="4" w:space="0"/>
            </w:tcBorders>
            <w:vAlign w:val="center"/>
          </w:tcPr>
          <w:p w14:paraId="1B2276DA">
            <w:pPr>
              <w:ind w:left="223" w:hanging="222"/>
              <w:jc w:val="center"/>
              <w:rPr>
                <w:rFonts w:hint="eastAsia" w:ascii="宋体" w:hAnsi="宋体" w:cs="宋体"/>
                <w:color w:val="auto"/>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5CEC4626">
            <w:pPr>
              <w:ind w:left="223" w:hanging="222"/>
              <w:jc w:val="center"/>
              <w:rPr>
                <w:rFonts w:hint="eastAsia" w:ascii="宋体" w:hAnsi="宋体" w:cs="宋体"/>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14:paraId="3C5FDC25">
            <w:pPr>
              <w:ind w:left="223" w:hanging="222"/>
              <w:jc w:val="center"/>
              <w:rPr>
                <w:rFonts w:hint="eastAsia" w:ascii="宋体" w:hAnsi="宋体" w:cs="宋体"/>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14:paraId="51CA800C">
            <w:pPr>
              <w:ind w:left="223" w:hanging="222"/>
              <w:jc w:val="center"/>
              <w:rPr>
                <w:rFonts w:hint="eastAsia" w:ascii="宋体" w:hAnsi="宋体" w:cs="宋体"/>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14:paraId="67A4BDAF">
            <w:pPr>
              <w:ind w:left="223" w:hanging="222"/>
              <w:jc w:val="center"/>
              <w:rPr>
                <w:rFonts w:hint="eastAsia" w:ascii="宋体" w:hAnsi="宋体" w:cs="宋体"/>
                <w:color w:val="auto"/>
                <w:szCs w:val="21"/>
                <w:highlight w:val="none"/>
              </w:rPr>
            </w:pPr>
          </w:p>
        </w:tc>
        <w:tc>
          <w:tcPr>
            <w:tcW w:w="744" w:type="dxa"/>
            <w:tcBorders>
              <w:top w:val="single" w:color="auto" w:sz="4" w:space="0"/>
              <w:left w:val="single" w:color="auto" w:sz="4" w:space="0"/>
              <w:bottom w:val="single" w:color="auto" w:sz="4" w:space="0"/>
              <w:right w:val="single" w:color="auto" w:sz="4" w:space="0"/>
            </w:tcBorders>
            <w:vAlign w:val="center"/>
          </w:tcPr>
          <w:p w14:paraId="514D398E">
            <w:pPr>
              <w:ind w:left="223" w:hanging="222"/>
              <w:jc w:val="center"/>
              <w:rPr>
                <w:rFonts w:hint="eastAsia" w:ascii="宋体" w:hAnsi="宋体" w:cs="宋体"/>
                <w:color w:val="auto"/>
                <w:szCs w:val="21"/>
                <w:highlight w:val="none"/>
              </w:rPr>
            </w:pPr>
          </w:p>
        </w:tc>
        <w:tc>
          <w:tcPr>
            <w:tcW w:w="1167" w:type="dxa"/>
            <w:tcBorders>
              <w:top w:val="single" w:color="auto" w:sz="4" w:space="0"/>
              <w:left w:val="single" w:color="auto" w:sz="4" w:space="0"/>
              <w:bottom w:val="single" w:color="auto" w:sz="4" w:space="0"/>
              <w:right w:val="single" w:color="auto" w:sz="4" w:space="0"/>
            </w:tcBorders>
            <w:vAlign w:val="center"/>
          </w:tcPr>
          <w:p w14:paraId="59B01E00">
            <w:pPr>
              <w:ind w:left="223" w:hanging="222"/>
              <w:jc w:val="center"/>
              <w:rPr>
                <w:rFonts w:hint="eastAsia" w:ascii="宋体" w:hAnsi="宋体" w:cs="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1B63FD1A">
            <w:pPr>
              <w:ind w:left="223" w:hanging="222"/>
              <w:jc w:val="center"/>
              <w:rPr>
                <w:rFonts w:hint="eastAsia" w:ascii="宋体" w:hAnsi="宋体" w:cs="宋体"/>
                <w:color w:val="auto"/>
                <w:szCs w:val="21"/>
                <w:highlight w:val="none"/>
              </w:rPr>
            </w:pPr>
          </w:p>
        </w:tc>
      </w:tr>
      <w:tr w14:paraId="1F14B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tcBorders>
              <w:top w:val="single" w:color="auto" w:sz="4" w:space="0"/>
              <w:left w:val="single" w:color="auto" w:sz="4" w:space="0"/>
              <w:bottom w:val="single" w:color="auto" w:sz="4" w:space="0"/>
              <w:right w:val="single" w:color="auto" w:sz="4" w:space="0"/>
            </w:tcBorders>
            <w:vAlign w:val="center"/>
          </w:tcPr>
          <w:p w14:paraId="141D6EEB">
            <w:pPr>
              <w:pStyle w:val="331"/>
              <w:spacing w:line="240" w:lineRule="auto"/>
              <w:ind w:firstLine="0"/>
              <w:rPr>
                <w:rFonts w:hint="eastAsia"/>
                <w:color w:val="auto"/>
                <w:sz w:val="21"/>
                <w:szCs w:val="21"/>
                <w:highlight w:val="none"/>
              </w:rPr>
            </w:pPr>
            <w:r>
              <w:rPr>
                <w:rFonts w:hint="eastAsia"/>
                <w:color w:val="auto"/>
                <w:sz w:val="21"/>
                <w:szCs w:val="21"/>
                <w:highlight w:val="none"/>
                <w:lang w:val="en-US" w:bidi="en-US"/>
              </w:rPr>
              <w:t>2.</w:t>
            </w:r>
            <w:r>
              <w:rPr>
                <w:rFonts w:hint="eastAsia"/>
                <w:color w:val="auto"/>
                <w:sz w:val="21"/>
                <w:szCs w:val="21"/>
                <w:highlight w:val="none"/>
              </w:rPr>
              <w:t>项目总工</w:t>
            </w:r>
          </w:p>
        </w:tc>
        <w:tc>
          <w:tcPr>
            <w:tcW w:w="670" w:type="dxa"/>
            <w:tcBorders>
              <w:top w:val="single" w:color="auto" w:sz="4" w:space="0"/>
              <w:left w:val="single" w:color="auto" w:sz="4" w:space="0"/>
              <w:bottom w:val="single" w:color="auto" w:sz="4" w:space="0"/>
              <w:right w:val="single" w:color="auto" w:sz="4" w:space="0"/>
            </w:tcBorders>
            <w:vAlign w:val="center"/>
          </w:tcPr>
          <w:p w14:paraId="7B9C4659">
            <w:pPr>
              <w:ind w:left="223" w:hanging="222"/>
              <w:jc w:val="center"/>
              <w:rPr>
                <w:rFonts w:hint="eastAsia" w:ascii="宋体" w:hAnsi="宋体" w:cs="宋体"/>
                <w:color w:val="auto"/>
                <w:szCs w:val="21"/>
                <w:highlight w:val="none"/>
              </w:rPr>
            </w:pPr>
          </w:p>
        </w:tc>
        <w:tc>
          <w:tcPr>
            <w:tcW w:w="829" w:type="dxa"/>
            <w:tcBorders>
              <w:top w:val="single" w:color="auto" w:sz="4" w:space="0"/>
              <w:left w:val="single" w:color="auto" w:sz="4" w:space="0"/>
              <w:bottom w:val="single" w:color="auto" w:sz="4" w:space="0"/>
              <w:right w:val="single" w:color="auto" w:sz="4" w:space="0"/>
            </w:tcBorders>
            <w:vAlign w:val="center"/>
          </w:tcPr>
          <w:p w14:paraId="2E2C42FF">
            <w:pPr>
              <w:ind w:left="223" w:hanging="222"/>
              <w:jc w:val="center"/>
              <w:rPr>
                <w:rFonts w:hint="eastAsia" w:ascii="宋体" w:hAnsi="宋体" w:cs="宋体"/>
                <w:color w:val="auto"/>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7FDC5584">
            <w:pPr>
              <w:ind w:left="223" w:hanging="222"/>
              <w:jc w:val="center"/>
              <w:rPr>
                <w:rFonts w:hint="eastAsia" w:ascii="宋体" w:hAnsi="宋体" w:cs="宋体"/>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14:paraId="5332DA9C">
            <w:pPr>
              <w:ind w:left="223" w:hanging="222"/>
              <w:jc w:val="center"/>
              <w:rPr>
                <w:rFonts w:hint="eastAsia" w:ascii="宋体" w:hAnsi="宋体" w:cs="宋体"/>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14:paraId="3C7CD0F8">
            <w:pPr>
              <w:ind w:left="223" w:hanging="222"/>
              <w:jc w:val="center"/>
              <w:rPr>
                <w:rFonts w:hint="eastAsia" w:ascii="宋体" w:hAnsi="宋体" w:cs="宋体"/>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14:paraId="59E64C15">
            <w:pPr>
              <w:ind w:left="223" w:hanging="222"/>
              <w:jc w:val="center"/>
              <w:rPr>
                <w:rFonts w:hint="eastAsia" w:ascii="宋体" w:hAnsi="宋体" w:cs="宋体"/>
                <w:color w:val="auto"/>
                <w:szCs w:val="21"/>
                <w:highlight w:val="none"/>
              </w:rPr>
            </w:pPr>
          </w:p>
        </w:tc>
        <w:tc>
          <w:tcPr>
            <w:tcW w:w="744" w:type="dxa"/>
            <w:tcBorders>
              <w:top w:val="single" w:color="auto" w:sz="4" w:space="0"/>
              <w:left w:val="single" w:color="auto" w:sz="4" w:space="0"/>
              <w:bottom w:val="single" w:color="auto" w:sz="4" w:space="0"/>
              <w:right w:val="single" w:color="auto" w:sz="4" w:space="0"/>
            </w:tcBorders>
            <w:vAlign w:val="center"/>
          </w:tcPr>
          <w:p w14:paraId="6C780D43">
            <w:pPr>
              <w:ind w:left="223" w:hanging="222"/>
              <w:jc w:val="center"/>
              <w:rPr>
                <w:rFonts w:hint="eastAsia" w:ascii="宋体" w:hAnsi="宋体" w:cs="宋体"/>
                <w:color w:val="auto"/>
                <w:szCs w:val="21"/>
                <w:highlight w:val="none"/>
              </w:rPr>
            </w:pPr>
          </w:p>
        </w:tc>
        <w:tc>
          <w:tcPr>
            <w:tcW w:w="1167" w:type="dxa"/>
            <w:tcBorders>
              <w:top w:val="single" w:color="auto" w:sz="4" w:space="0"/>
              <w:left w:val="single" w:color="auto" w:sz="4" w:space="0"/>
              <w:bottom w:val="single" w:color="auto" w:sz="4" w:space="0"/>
              <w:right w:val="single" w:color="auto" w:sz="4" w:space="0"/>
            </w:tcBorders>
            <w:vAlign w:val="center"/>
          </w:tcPr>
          <w:p w14:paraId="4444B7A8">
            <w:pPr>
              <w:ind w:left="223" w:hanging="222"/>
              <w:jc w:val="center"/>
              <w:rPr>
                <w:rFonts w:hint="eastAsia" w:ascii="宋体" w:hAnsi="宋体" w:cs="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14420AF6">
            <w:pPr>
              <w:ind w:left="223" w:hanging="222"/>
              <w:jc w:val="center"/>
              <w:rPr>
                <w:rFonts w:hint="eastAsia" w:ascii="宋体" w:hAnsi="宋体" w:cs="宋体"/>
                <w:color w:val="auto"/>
                <w:szCs w:val="21"/>
                <w:highlight w:val="none"/>
              </w:rPr>
            </w:pPr>
          </w:p>
        </w:tc>
      </w:tr>
      <w:tr w14:paraId="3862D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tcBorders>
              <w:top w:val="single" w:color="auto" w:sz="4" w:space="0"/>
              <w:left w:val="single" w:color="auto" w:sz="4" w:space="0"/>
              <w:bottom w:val="single" w:color="auto" w:sz="4" w:space="0"/>
              <w:right w:val="single" w:color="auto" w:sz="4" w:space="0"/>
            </w:tcBorders>
            <w:vAlign w:val="center"/>
          </w:tcPr>
          <w:p w14:paraId="32D19238">
            <w:pPr>
              <w:pStyle w:val="331"/>
              <w:spacing w:line="240" w:lineRule="auto"/>
              <w:ind w:firstLine="0"/>
              <w:rPr>
                <w:rFonts w:hint="eastAsia"/>
                <w:color w:val="auto"/>
                <w:sz w:val="21"/>
                <w:szCs w:val="21"/>
                <w:highlight w:val="none"/>
              </w:rPr>
            </w:pPr>
            <w:r>
              <w:rPr>
                <w:rFonts w:hint="eastAsia"/>
                <w:color w:val="auto"/>
                <w:sz w:val="21"/>
                <w:szCs w:val="21"/>
                <w:highlight w:val="none"/>
                <w:lang w:val="en-US" w:eastAsia="en-US" w:bidi="en-US"/>
              </w:rPr>
              <w:t>3.</w:t>
            </w:r>
            <w:r>
              <w:rPr>
                <w:rFonts w:hint="eastAsia"/>
                <w:color w:val="auto"/>
                <w:sz w:val="21"/>
                <w:szCs w:val="21"/>
                <w:highlight w:val="none"/>
              </w:rPr>
              <w:t xml:space="preserve"> 施工员</w:t>
            </w:r>
          </w:p>
        </w:tc>
        <w:tc>
          <w:tcPr>
            <w:tcW w:w="670" w:type="dxa"/>
            <w:tcBorders>
              <w:top w:val="single" w:color="auto" w:sz="4" w:space="0"/>
              <w:left w:val="single" w:color="auto" w:sz="4" w:space="0"/>
              <w:bottom w:val="single" w:color="auto" w:sz="4" w:space="0"/>
              <w:right w:val="single" w:color="auto" w:sz="4" w:space="0"/>
            </w:tcBorders>
            <w:vAlign w:val="center"/>
          </w:tcPr>
          <w:p w14:paraId="321EBD0A">
            <w:pPr>
              <w:ind w:left="223" w:hanging="222"/>
              <w:jc w:val="center"/>
              <w:rPr>
                <w:rFonts w:hint="eastAsia" w:ascii="宋体" w:hAnsi="宋体" w:cs="宋体"/>
                <w:color w:val="auto"/>
                <w:szCs w:val="21"/>
                <w:highlight w:val="none"/>
              </w:rPr>
            </w:pPr>
          </w:p>
        </w:tc>
        <w:tc>
          <w:tcPr>
            <w:tcW w:w="829" w:type="dxa"/>
            <w:tcBorders>
              <w:top w:val="single" w:color="auto" w:sz="4" w:space="0"/>
              <w:left w:val="single" w:color="auto" w:sz="4" w:space="0"/>
              <w:bottom w:val="single" w:color="auto" w:sz="4" w:space="0"/>
              <w:right w:val="single" w:color="auto" w:sz="4" w:space="0"/>
            </w:tcBorders>
            <w:vAlign w:val="center"/>
          </w:tcPr>
          <w:p w14:paraId="3C45D64F">
            <w:pPr>
              <w:ind w:left="223" w:hanging="222"/>
              <w:jc w:val="center"/>
              <w:rPr>
                <w:rFonts w:hint="eastAsia" w:ascii="宋体" w:hAnsi="宋体" w:cs="宋体"/>
                <w:color w:val="auto"/>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202378EA">
            <w:pPr>
              <w:ind w:left="223" w:hanging="222"/>
              <w:jc w:val="center"/>
              <w:rPr>
                <w:rFonts w:hint="eastAsia" w:ascii="宋体" w:hAnsi="宋体" w:cs="宋体"/>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14:paraId="59214F1A">
            <w:pPr>
              <w:ind w:left="223" w:hanging="222"/>
              <w:jc w:val="center"/>
              <w:rPr>
                <w:rFonts w:hint="eastAsia" w:ascii="宋体" w:hAnsi="宋体" w:cs="宋体"/>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14:paraId="1E09EE20">
            <w:pPr>
              <w:ind w:left="223" w:hanging="222"/>
              <w:jc w:val="center"/>
              <w:rPr>
                <w:rFonts w:hint="eastAsia" w:ascii="宋体" w:hAnsi="宋体" w:cs="宋体"/>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14:paraId="10DFB8EE">
            <w:pPr>
              <w:ind w:left="223" w:hanging="222"/>
              <w:jc w:val="center"/>
              <w:rPr>
                <w:rFonts w:hint="eastAsia" w:ascii="宋体" w:hAnsi="宋体" w:cs="宋体"/>
                <w:color w:val="auto"/>
                <w:szCs w:val="21"/>
                <w:highlight w:val="none"/>
              </w:rPr>
            </w:pPr>
          </w:p>
        </w:tc>
        <w:tc>
          <w:tcPr>
            <w:tcW w:w="744" w:type="dxa"/>
            <w:tcBorders>
              <w:top w:val="single" w:color="auto" w:sz="4" w:space="0"/>
              <w:left w:val="single" w:color="auto" w:sz="4" w:space="0"/>
              <w:bottom w:val="single" w:color="auto" w:sz="4" w:space="0"/>
              <w:right w:val="single" w:color="auto" w:sz="4" w:space="0"/>
            </w:tcBorders>
            <w:vAlign w:val="center"/>
          </w:tcPr>
          <w:p w14:paraId="02F9C38C">
            <w:pPr>
              <w:ind w:left="223" w:hanging="222"/>
              <w:jc w:val="center"/>
              <w:rPr>
                <w:rFonts w:hint="eastAsia" w:ascii="宋体" w:hAnsi="宋体" w:cs="宋体"/>
                <w:color w:val="auto"/>
                <w:szCs w:val="21"/>
                <w:highlight w:val="none"/>
              </w:rPr>
            </w:pPr>
          </w:p>
        </w:tc>
        <w:tc>
          <w:tcPr>
            <w:tcW w:w="1167" w:type="dxa"/>
            <w:tcBorders>
              <w:top w:val="single" w:color="auto" w:sz="4" w:space="0"/>
              <w:left w:val="single" w:color="auto" w:sz="4" w:space="0"/>
              <w:bottom w:val="single" w:color="auto" w:sz="4" w:space="0"/>
              <w:right w:val="single" w:color="auto" w:sz="4" w:space="0"/>
            </w:tcBorders>
            <w:vAlign w:val="center"/>
          </w:tcPr>
          <w:p w14:paraId="234CC1DA">
            <w:pPr>
              <w:ind w:left="223" w:hanging="222"/>
              <w:jc w:val="center"/>
              <w:rPr>
                <w:rFonts w:hint="eastAsia" w:ascii="宋体" w:hAnsi="宋体" w:cs="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05DBF488">
            <w:pPr>
              <w:ind w:left="223" w:hanging="222"/>
              <w:jc w:val="center"/>
              <w:rPr>
                <w:rFonts w:hint="eastAsia" w:ascii="宋体" w:hAnsi="宋体" w:cs="宋体"/>
                <w:color w:val="auto"/>
                <w:szCs w:val="21"/>
                <w:highlight w:val="none"/>
              </w:rPr>
            </w:pPr>
          </w:p>
        </w:tc>
      </w:tr>
      <w:tr w14:paraId="52F62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tcBorders>
              <w:top w:val="single" w:color="auto" w:sz="4" w:space="0"/>
              <w:left w:val="single" w:color="auto" w:sz="4" w:space="0"/>
              <w:bottom w:val="single" w:color="auto" w:sz="4" w:space="0"/>
              <w:right w:val="single" w:color="auto" w:sz="4" w:space="0"/>
            </w:tcBorders>
            <w:vAlign w:val="center"/>
          </w:tcPr>
          <w:p w14:paraId="3502E763">
            <w:pPr>
              <w:pStyle w:val="331"/>
              <w:spacing w:line="240" w:lineRule="auto"/>
              <w:ind w:firstLine="0"/>
              <w:rPr>
                <w:rFonts w:hint="eastAsia"/>
                <w:color w:val="auto"/>
                <w:sz w:val="21"/>
                <w:szCs w:val="21"/>
                <w:highlight w:val="none"/>
              </w:rPr>
            </w:pPr>
            <w:r>
              <w:rPr>
                <w:rFonts w:hint="eastAsia"/>
                <w:color w:val="auto"/>
                <w:sz w:val="21"/>
                <w:szCs w:val="21"/>
                <w:highlight w:val="none"/>
                <w:lang w:val="en-US" w:eastAsia="en-US" w:bidi="en-US"/>
              </w:rPr>
              <w:t>4.</w:t>
            </w:r>
            <w:r>
              <w:rPr>
                <w:rFonts w:hint="eastAsia"/>
                <w:color w:val="auto"/>
                <w:sz w:val="21"/>
                <w:szCs w:val="21"/>
                <w:highlight w:val="none"/>
              </w:rPr>
              <w:t>安全员</w:t>
            </w:r>
          </w:p>
        </w:tc>
        <w:tc>
          <w:tcPr>
            <w:tcW w:w="670" w:type="dxa"/>
            <w:tcBorders>
              <w:top w:val="single" w:color="auto" w:sz="4" w:space="0"/>
              <w:left w:val="single" w:color="auto" w:sz="4" w:space="0"/>
              <w:bottom w:val="single" w:color="auto" w:sz="4" w:space="0"/>
              <w:right w:val="single" w:color="auto" w:sz="4" w:space="0"/>
            </w:tcBorders>
            <w:vAlign w:val="center"/>
          </w:tcPr>
          <w:p w14:paraId="3349A677">
            <w:pPr>
              <w:ind w:left="223" w:hanging="222"/>
              <w:jc w:val="center"/>
              <w:rPr>
                <w:rFonts w:hint="eastAsia" w:ascii="宋体" w:hAnsi="宋体" w:cs="宋体"/>
                <w:color w:val="auto"/>
                <w:szCs w:val="21"/>
                <w:highlight w:val="none"/>
              </w:rPr>
            </w:pPr>
          </w:p>
        </w:tc>
        <w:tc>
          <w:tcPr>
            <w:tcW w:w="829" w:type="dxa"/>
            <w:tcBorders>
              <w:top w:val="single" w:color="auto" w:sz="4" w:space="0"/>
              <w:left w:val="single" w:color="auto" w:sz="4" w:space="0"/>
              <w:bottom w:val="single" w:color="auto" w:sz="4" w:space="0"/>
              <w:right w:val="single" w:color="auto" w:sz="4" w:space="0"/>
            </w:tcBorders>
            <w:vAlign w:val="center"/>
          </w:tcPr>
          <w:p w14:paraId="03F49994">
            <w:pPr>
              <w:ind w:left="223" w:hanging="222"/>
              <w:jc w:val="center"/>
              <w:rPr>
                <w:rFonts w:hint="eastAsia" w:ascii="宋体" w:hAnsi="宋体" w:cs="宋体"/>
                <w:color w:val="auto"/>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5A2FA694">
            <w:pPr>
              <w:ind w:left="223" w:hanging="222"/>
              <w:jc w:val="center"/>
              <w:rPr>
                <w:rFonts w:hint="eastAsia" w:ascii="宋体" w:hAnsi="宋体" w:cs="宋体"/>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14:paraId="3CB1E5B7">
            <w:pPr>
              <w:ind w:left="223" w:hanging="222"/>
              <w:jc w:val="center"/>
              <w:rPr>
                <w:rFonts w:hint="eastAsia" w:ascii="宋体" w:hAnsi="宋体" w:cs="宋体"/>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14:paraId="5E758856">
            <w:pPr>
              <w:ind w:left="223" w:hanging="222"/>
              <w:jc w:val="center"/>
              <w:rPr>
                <w:rFonts w:hint="eastAsia" w:ascii="宋体" w:hAnsi="宋体" w:cs="宋体"/>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14:paraId="5B33E5B5">
            <w:pPr>
              <w:ind w:left="223" w:hanging="222"/>
              <w:jc w:val="center"/>
              <w:rPr>
                <w:rFonts w:hint="eastAsia" w:ascii="宋体" w:hAnsi="宋体" w:cs="宋体"/>
                <w:color w:val="auto"/>
                <w:szCs w:val="21"/>
                <w:highlight w:val="none"/>
              </w:rPr>
            </w:pPr>
          </w:p>
        </w:tc>
        <w:tc>
          <w:tcPr>
            <w:tcW w:w="744" w:type="dxa"/>
            <w:tcBorders>
              <w:top w:val="single" w:color="auto" w:sz="4" w:space="0"/>
              <w:left w:val="single" w:color="auto" w:sz="4" w:space="0"/>
              <w:bottom w:val="single" w:color="auto" w:sz="4" w:space="0"/>
              <w:right w:val="single" w:color="auto" w:sz="4" w:space="0"/>
            </w:tcBorders>
            <w:vAlign w:val="center"/>
          </w:tcPr>
          <w:p w14:paraId="5038DADD">
            <w:pPr>
              <w:ind w:left="223" w:hanging="222"/>
              <w:jc w:val="center"/>
              <w:rPr>
                <w:rFonts w:hint="eastAsia" w:ascii="宋体" w:hAnsi="宋体" w:cs="宋体"/>
                <w:color w:val="auto"/>
                <w:szCs w:val="21"/>
                <w:highlight w:val="none"/>
              </w:rPr>
            </w:pPr>
          </w:p>
        </w:tc>
        <w:tc>
          <w:tcPr>
            <w:tcW w:w="1167" w:type="dxa"/>
            <w:tcBorders>
              <w:top w:val="single" w:color="auto" w:sz="4" w:space="0"/>
              <w:left w:val="single" w:color="auto" w:sz="4" w:space="0"/>
              <w:bottom w:val="single" w:color="auto" w:sz="4" w:space="0"/>
              <w:right w:val="single" w:color="auto" w:sz="4" w:space="0"/>
            </w:tcBorders>
            <w:vAlign w:val="center"/>
          </w:tcPr>
          <w:p w14:paraId="6B7525D5">
            <w:pPr>
              <w:ind w:left="223" w:hanging="222"/>
              <w:jc w:val="center"/>
              <w:rPr>
                <w:rFonts w:hint="eastAsia" w:ascii="宋体" w:hAnsi="宋体" w:cs="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5DA0E906">
            <w:pPr>
              <w:ind w:left="223" w:hanging="222"/>
              <w:jc w:val="center"/>
              <w:rPr>
                <w:rFonts w:hint="eastAsia" w:ascii="宋体" w:hAnsi="宋体" w:cs="宋体"/>
                <w:color w:val="auto"/>
                <w:szCs w:val="21"/>
                <w:highlight w:val="none"/>
              </w:rPr>
            </w:pPr>
          </w:p>
        </w:tc>
      </w:tr>
      <w:tr w14:paraId="14D0A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tcBorders>
              <w:top w:val="single" w:color="auto" w:sz="4" w:space="0"/>
              <w:left w:val="single" w:color="auto" w:sz="4" w:space="0"/>
              <w:bottom w:val="single" w:color="auto" w:sz="4" w:space="0"/>
              <w:right w:val="single" w:color="auto" w:sz="4" w:space="0"/>
            </w:tcBorders>
            <w:vAlign w:val="center"/>
          </w:tcPr>
          <w:p w14:paraId="0562CFF6">
            <w:pPr>
              <w:jc w:val="left"/>
              <w:rPr>
                <w:rFonts w:hint="eastAsia" w:ascii="宋体" w:hAnsi="宋体" w:cs="宋体"/>
                <w:color w:val="auto"/>
                <w:szCs w:val="21"/>
                <w:highlight w:val="none"/>
              </w:rPr>
            </w:pPr>
            <w:r>
              <w:rPr>
                <w:rFonts w:hint="eastAsia" w:ascii="宋体" w:hAnsi="宋体" w:cs="宋体"/>
                <w:color w:val="auto"/>
                <w:szCs w:val="21"/>
                <w:highlight w:val="none"/>
              </w:rPr>
              <w:t>5. 质量员</w:t>
            </w:r>
          </w:p>
        </w:tc>
        <w:tc>
          <w:tcPr>
            <w:tcW w:w="670" w:type="dxa"/>
            <w:tcBorders>
              <w:top w:val="single" w:color="auto" w:sz="4" w:space="0"/>
              <w:left w:val="single" w:color="auto" w:sz="4" w:space="0"/>
              <w:bottom w:val="single" w:color="auto" w:sz="4" w:space="0"/>
              <w:right w:val="single" w:color="auto" w:sz="4" w:space="0"/>
            </w:tcBorders>
            <w:vAlign w:val="center"/>
          </w:tcPr>
          <w:p w14:paraId="4EFE96EC">
            <w:pPr>
              <w:ind w:left="223" w:hanging="222"/>
              <w:jc w:val="center"/>
              <w:rPr>
                <w:rFonts w:hint="eastAsia" w:ascii="宋体" w:hAnsi="宋体" w:cs="宋体"/>
                <w:color w:val="auto"/>
                <w:szCs w:val="21"/>
                <w:highlight w:val="none"/>
              </w:rPr>
            </w:pPr>
          </w:p>
        </w:tc>
        <w:tc>
          <w:tcPr>
            <w:tcW w:w="829" w:type="dxa"/>
            <w:tcBorders>
              <w:top w:val="single" w:color="auto" w:sz="4" w:space="0"/>
              <w:left w:val="single" w:color="auto" w:sz="4" w:space="0"/>
              <w:bottom w:val="single" w:color="auto" w:sz="4" w:space="0"/>
              <w:right w:val="single" w:color="auto" w:sz="4" w:space="0"/>
            </w:tcBorders>
            <w:vAlign w:val="center"/>
          </w:tcPr>
          <w:p w14:paraId="16238281">
            <w:pPr>
              <w:ind w:left="223" w:hanging="222"/>
              <w:jc w:val="center"/>
              <w:rPr>
                <w:rFonts w:hint="eastAsia" w:ascii="宋体" w:hAnsi="宋体" w:cs="宋体"/>
                <w:color w:val="auto"/>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30226D74">
            <w:pPr>
              <w:ind w:left="223" w:hanging="222"/>
              <w:jc w:val="center"/>
              <w:rPr>
                <w:rFonts w:hint="eastAsia" w:ascii="宋体" w:hAnsi="宋体" w:cs="宋体"/>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14:paraId="4A91B375">
            <w:pPr>
              <w:ind w:left="223" w:hanging="222"/>
              <w:jc w:val="center"/>
              <w:rPr>
                <w:rFonts w:hint="eastAsia" w:ascii="宋体" w:hAnsi="宋体" w:cs="宋体"/>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14:paraId="6A1931FA">
            <w:pPr>
              <w:ind w:left="223" w:hanging="222"/>
              <w:jc w:val="center"/>
              <w:rPr>
                <w:rFonts w:hint="eastAsia" w:ascii="宋体" w:hAnsi="宋体" w:cs="宋体"/>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14:paraId="499E1C62">
            <w:pPr>
              <w:ind w:left="223" w:hanging="222"/>
              <w:jc w:val="center"/>
              <w:rPr>
                <w:rFonts w:hint="eastAsia" w:ascii="宋体" w:hAnsi="宋体" w:cs="宋体"/>
                <w:color w:val="auto"/>
                <w:szCs w:val="21"/>
                <w:highlight w:val="none"/>
              </w:rPr>
            </w:pPr>
          </w:p>
        </w:tc>
        <w:tc>
          <w:tcPr>
            <w:tcW w:w="744" w:type="dxa"/>
            <w:tcBorders>
              <w:top w:val="single" w:color="auto" w:sz="4" w:space="0"/>
              <w:left w:val="single" w:color="auto" w:sz="4" w:space="0"/>
              <w:bottom w:val="single" w:color="auto" w:sz="4" w:space="0"/>
              <w:right w:val="single" w:color="auto" w:sz="4" w:space="0"/>
            </w:tcBorders>
            <w:vAlign w:val="center"/>
          </w:tcPr>
          <w:p w14:paraId="293BBC82">
            <w:pPr>
              <w:ind w:left="223" w:hanging="222"/>
              <w:jc w:val="center"/>
              <w:rPr>
                <w:rFonts w:hint="eastAsia" w:ascii="宋体" w:hAnsi="宋体" w:cs="宋体"/>
                <w:color w:val="auto"/>
                <w:szCs w:val="21"/>
                <w:highlight w:val="none"/>
              </w:rPr>
            </w:pPr>
          </w:p>
        </w:tc>
        <w:tc>
          <w:tcPr>
            <w:tcW w:w="1167" w:type="dxa"/>
            <w:tcBorders>
              <w:top w:val="single" w:color="auto" w:sz="4" w:space="0"/>
              <w:left w:val="single" w:color="auto" w:sz="4" w:space="0"/>
              <w:bottom w:val="single" w:color="auto" w:sz="4" w:space="0"/>
              <w:right w:val="single" w:color="auto" w:sz="4" w:space="0"/>
            </w:tcBorders>
            <w:vAlign w:val="center"/>
          </w:tcPr>
          <w:p w14:paraId="170251C4">
            <w:pPr>
              <w:ind w:left="223" w:hanging="222"/>
              <w:jc w:val="center"/>
              <w:rPr>
                <w:rFonts w:hint="eastAsia" w:ascii="宋体" w:hAnsi="宋体" w:cs="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096C22C0">
            <w:pPr>
              <w:ind w:left="223" w:hanging="222"/>
              <w:jc w:val="center"/>
              <w:rPr>
                <w:rFonts w:hint="eastAsia" w:ascii="宋体" w:hAnsi="宋体" w:cs="宋体"/>
                <w:color w:val="auto"/>
                <w:szCs w:val="21"/>
                <w:highlight w:val="none"/>
              </w:rPr>
            </w:pPr>
          </w:p>
        </w:tc>
      </w:tr>
      <w:tr w14:paraId="4EC34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tcBorders>
              <w:top w:val="single" w:color="auto" w:sz="4" w:space="0"/>
              <w:left w:val="single" w:color="auto" w:sz="4" w:space="0"/>
              <w:bottom w:val="single" w:color="auto" w:sz="4" w:space="0"/>
              <w:right w:val="single" w:color="auto" w:sz="4" w:space="0"/>
            </w:tcBorders>
            <w:vAlign w:val="center"/>
          </w:tcPr>
          <w:p w14:paraId="5297A105">
            <w:pPr>
              <w:jc w:val="left"/>
              <w:rPr>
                <w:rFonts w:hint="eastAsia" w:ascii="宋体" w:hAnsi="宋体" w:cs="宋体"/>
                <w:color w:val="auto"/>
                <w:szCs w:val="21"/>
                <w:highlight w:val="none"/>
              </w:rPr>
            </w:pPr>
            <w:r>
              <w:rPr>
                <w:rFonts w:hint="eastAsia" w:ascii="宋体" w:hAnsi="宋体" w:cs="宋体"/>
                <w:color w:val="auto"/>
                <w:szCs w:val="21"/>
                <w:highlight w:val="none"/>
              </w:rPr>
              <w:t>6.材料员</w:t>
            </w:r>
          </w:p>
        </w:tc>
        <w:tc>
          <w:tcPr>
            <w:tcW w:w="670" w:type="dxa"/>
            <w:tcBorders>
              <w:top w:val="single" w:color="auto" w:sz="4" w:space="0"/>
              <w:left w:val="single" w:color="auto" w:sz="4" w:space="0"/>
              <w:bottom w:val="single" w:color="auto" w:sz="4" w:space="0"/>
              <w:right w:val="single" w:color="auto" w:sz="4" w:space="0"/>
            </w:tcBorders>
            <w:vAlign w:val="center"/>
          </w:tcPr>
          <w:p w14:paraId="44E69C04">
            <w:pPr>
              <w:ind w:left="223" w:hanging="222"/>
              <w:jc w:val="center"/>
              <w:rPr>
                <w:rFonts w:hint="eastAsia" w:ascii="宋体" w:hAnsi="宋体" w:cs="宋体"/>
                <w:color w:val="auto"/>
                <w:szCs w:val="21"/>
                <w:highlight w:val="none"/>
              </w:rPr>
            </w:pPr>
          </w:p>
        </w:tc>
        <w:tc>
          <w:tcPr>
            <w:tcW w:w="829" w:type="dxa"/>
            <w:tcBorders>
              <w:top w:val="single" w:color="auto" w:sz="4" w:space="0"/>
              <w:left w:val="single" w:color="auto" w:sz="4" w:space="0"/>
              <w:bottom w:val="single" w:color="auto" w:sz="4" w:space="0"/>
              <w:right w:val="single" w:color="auto" w:sz="4" w:space="0"/>
            </w:tcBorders>
            <w:vAlign w:val="center"/>
          </w:tcPr>
          <w:p w14:paraId="08A92EDA">
            <w:pPr>
              <w:ind w:left="223" w:hanging="222"/>
              <w:jc w:val="center"/>
              <w:rPr>
                <w:rFonts w:hint="eastAsia" w:ascii="宋体" w:hAnsi="宋体" w:cs="宋体"/>
                <w:color w:val="auto"/>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5E782E8C">
            <w:pPr>
              <w:ind w:left="223" w:hanging="222"/>
              <w:jc w:val="center"/>
              <w:rPr>
                <w:rFonts w:hint="eastAsia" w:ascii="宋体" w:hAnsi="宋体" w:cs="宋体"/>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14:paraId="4E0C1633">
            <w:pPr>
              <w:ind w:left="223" w:hanging="222"/>
              <w:jc w:val="center"/>
              <w:rPr>
                <w:rFonts w:hint="eastAsia" w:ascii="宋体" w:hAnsi="宋体" w:cs="宋体"/>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14:paraId="77D349A3">
            <w:pPr>
              <w:ind w:left="223" w:hanging="222"/>
              <w:jc w:val="center"/>
              <w:rPr>
                <w:rFonts w:hint="eastAsia" w:ascii="宋体" w:hAnsi="宋体" w:cs="宋体"/>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14:paraId="7C287712">
            <w:pPr>
              <w:ind w:left="223" w:hanging="222"/>
              <w:jc w:val="center"/>
              <w:rPr>
                <w:rFonts w:hint="eastAsia" w:ascii="宋体" w:hAnsi="宋体" w:cs="宋体"/>
                <w:color w:val="auto"/>
                <w:szCs w:val="21"/>
                <w:highlight w:val="none"/>
              </w:rPr>
            </w:pPr>
          </w:p>
        </w:tc>
        <w:tc>
          <w:tcPr>
            <w:tcW w:w="744" w:type="dxa"/>
            <w:tcBorders>
              <w:top w:val="single" w:color="auto" w:sz="4" w:space="0"/>
              <w:left w:val="single" w:color="auto" w:sz="4" w:space="0"/>
              <w:bottom w:val="single" w:color="auto" w:sz="4" w:space="0"/>
              <w:right w:val="single" w:color="auto" w:sz="4" w:space="0"/>
            </w:tcBorders>
            <w:vAlign w:val="center"/>
          </w:tcPr>
          <w:p w14:paraId="4D95C8EB">
            <w:pPr>
              <w:ind w:left="223" w:hanging="222"/>
              <w:jc w:val="center"/>
              <w:rPr>
                <w:rFonts w:hint="eastAsia" w:ascii="宋体" w:hAnsi="宋体" w:cs="宋体"/>
                <w:color w:val="auto"/>
                <w:szCs w:val="21"/>
                <w:highlight w:val="none"/>
              </w:rPr>
            </w:pPr>
          </w:p>
        </w:tc>
        <w:tc>
          <w:tcPr>
            <w:tcW w:w="1167" w:type="dxa"/>
            <w:tcBorders>
              <w:top w:val="single" w:color="auto" w:sz="4" w:space="0"/>
              <w:left w:val="single" w:color="auto" w:sz="4" w:space="0"/>
              <w:bottom w:val="single" w:color="auto" w:sz="4" w:space="0"/>
              <w:right w:val="single" w:color="auto" w:sz="4" w:space="0"/>
            </w:tcBorders>
            <w:vAlign w:val="center"/>
          </w:tcPr>
          <w:p w14:paraId="4BB45662">
            <w:pPr>
              <w:ind w:left="223" w:hanging="222"/>
              <w:jc w:val="center"/>
              <w:rPr>
                <w:rFonts w:hint="eastAsia" w:ascii="宋体" w:hAnsi="宋体" w:cs="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762E1149">
            <w:pPr>
              <w:ind w:left="223" w:hanging="222"/>
              <w:jc w:val="center"/>
              <w:rPr>
                <w:rFonts w:hint="eastAsia" w:ascii="宋体" w:hAnsi="宋体" w:cs="宋体"/>
                <w:color w:val="auto"/>
                <w:szCs w:val="21"/>
                <w:highlight w:val="none"/>
              </w:rPr>
            </w:pPr>
          </w:p>
        </w:tc>
      </w:tr>
      <w:tr w14:paraId="688B0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tcBorders>
              <w:top w:val="single" w:color="auto" w:sz="4" w:space="0"/>
              <w:left w:val="single" w:color="auto" w:sz="4" w:space="0"/>
              <w:bottom w:val="single" w:color="auto" w:sz="4" w:space="0"/>
              <w:right w:val="single" w:color="auto" w:sz="4" w:space="0"/>
            </w:tcBorders>
            <w:vAlign w:val="center"/>
          </w:tcPr>
          <w:p w14:paraId="10401A75">
            <w:pPr>
              <w:ind w:left="223" w:hanging="222"/>
              <w:jc w:val="center"/>
              <w:rPr>
                <w:rFonts w:hint="eastAsia" w:ascii="宋体" w:hAnsi="宋体" w:cs="宋体"/>
                <w:color w:val="auto"/>
                <w:szCs w:val="21"/>
                <w:highlight w:val="none"/>
              </w:rPr>
            </w:pPr>
            <w:r>
              <w:rPr>
                <w:rFonts w:hint="eastAsia" w:ascii="宋体" w:hAnsi="宋体" w:cs="宋体"/>
                <w:color w:val="auto"/>
                <w:szCs w:val="21"/>
                <w:highlight w:val="none"/>
              </w:rPr>
              <w:t>……</w:t>
            </w:r>
          </w:p>
        </w:tc>
        <w:tc>
          <w:tcPr>
            <w:tcW w:w="670" w:type="dxa"/>
            <w:tcBorders>
              <w:top w:val="single" w:color="auto" w:sz="4" w:space="0"/>
              <w:left w:val="single" w:color="auto" w:sz="4" w:space="0"/>
              <w:bottom w:val="single" w:color="auto" w:sz="4" w:space="0"/>
              <w:right w:val="single" w:color="auto" w:sz="4" w:space="0"/>
            </w:tcBorders>
            <w:vAlign w:val="center"/>
          </w:tcPr>
          <w:p w14:paraId="2EC92211">
            <w:pPr>
              <w:ind w:left="223" w:hanging="222"/>
              <w:jc w:val="center"/>
              <w:rPr>
                <w:rFonts w:hint="eastAsia" w:ascii="宋体" w:hAnsi="宋体" w:cs="宋体"/>
                <w:color w:val="auto"/>
                <w:szCs w:val="21"/>
                <w:highlight w:val="none"/>
              </w:rPr>
            </w:pPr>
          </w:p>
        </w:tc>
        <w:tc>
          <w:tcPr>
            <w:tcW w:w="829" w:type="dxa"/>
            <w:tcBorders>
              <w:top w:val="single" w:color="auto" w:sz="4" w:space="0"/>
              <w:left w:val="single" w:color="auto" w:sz="4" w:space="0"/>
              <w:bottom w:val="single" w:color="auto" w:sz="4" w:space="0"/>
              <w:right w:val="single" w:color="auto" w:sz="4" w:space="0"/>
            </w:tcBorders>
            <w:vAlign w:val="center"/>
          </w:tcPr>
          <w:p w14:paraId="437DA8BD">
            <w:pPr>
              <w:ind w:left="223" w:hanging="222"/>
              <w:jc w:val="center"/>
              <w:rPr>
                <w:rFonts w:hint="eastAsia" w:ascii="宋体" w:hAnsi="宋体" w:cs="宋体"/>
                <w:color w:val="auto"/>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63315250">
            <w:pPr>
              <w:ind w:left="223" w:hanging="222"/>
              <w:jc w:val="center"/>
              <w:rPr>
                <w:rFonts w:hint="eastAsia" w:ascii="宋体" w:hAnsi="宋体" w:cs="宋体"/>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14:paraId="58A3E55B">
            <w:pPr>
              <w:ind w:left="223" w:hanging="222"/>
              <w:jc w:val="center"/>
              <w:rPr>
                <w:rFonts w:hint="eastAsia" w:ascii="宋体" w:hAnsi="宋体" w:cs="宋体"/>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14:paraId="173B8189">
            <w:pPr>
              <w:ind w:left="223" w:hanging="222"/>
              <w:jc w:val="center"/>
              <w:rPr>
                <w:rFonts w:hint="eastAsia" w:ascii="宋体" w:hAnsi="宋体" w:cs="宋体"/>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14:paraId="642C498E">
            <w:pPr>
              <w:ind w:left="223" w:hanging="222"/>
              <w:jc w:val="center"/>
              <w:rPr>
                <w:rFonts w:hint="eastAsia" w:ascii="宋体" w:hAnsi="宋体" w:cs="宋体"/>
                <w:color w:val="auto"/>
                <w:szCs w:val="21"/>
                <w:highlight w:val="none"/>
              </w:rPr>
            </w:pPr>
          </w:p>
        </w:tc>
        <w:tc>
          <w:tcPr>
            <w:tcW w:w="744" w:type="dxa"/>
            <w:tcBorders>
              <w:top w:val="single" w:color="auto" w:sz="4" w:space="0"/>
              <w:left w:val="single" w:color="auto" w:sz="4" w:space="0"/>
              <w:bottom w:val="single" w:color="auto" w:sz="4" w:space="0"/>
              <w:right w:val="single" w:color="auto" w:sz="4" w:space="0"/>
            </w:tcBorders>
            <w:vAlign w:val="center"/>
          </w:tcPr>
          <w:p w14:paraId="79F68A95">
            <w:pPr>
              <w:ind w:left="223" w:hanging="222"/>
              <w:jc w:val="center"/>
              <w:rPr>
                <w:rFonts w:hint="eastAsia" w:ascii="宋体" w:hAnsi="宋体" w:cs="宋体"/>
                <w:color w:val="auto"/>
                <w:szCs w:val="21"/>
                <w:highlight w:val="none"/>
              </w:rPr>
            </w:pPr>
          </w:p>
        </w:tc>
        <w:tc>
          <w:tcPr>
            <w:tcW w:w="1167" w:type="dxa"/>
            <w:tcBorders>
              <w:top w:val="single" w:color="auto" w:sz="4" w:space="0"/>
              <w:left w:val="single" w:color="auto" w:sz="4" w:space="0"/>
              <w:bottom w:val="single" w:color="auto" w:sz="4" w:space="0"/>
              <w:right w:val="single" w:color="auto" w:sz="4" w:space="0"/>
            </w:tcBorders>
            <w:vAlign w:val="center"/>
          </w:tcPr>
          <w:p w14:paraId="31D6E24D">
            <w:pPr>
              <w:ind w:left="223" w:hanging="222"/>
              <w:jc w:val="center"/>
              <w:rPr>
                <w:rFonts w:hint="eastAsia" w:ascii="宋体" w:hAnsi="宋体" w:cs="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34A4AB52">
            <w:pPr>
              <w:ind w:left="223" w:hanging="222"/>
              <w:jc w:val="center"/>
              <w:rPr>
                <w:rFonts w:hint="eastAsia" w:ascii="宋体" w:hAnsi="宋体" w:cs="宋体"/>
                <w:color w:val="auto"/>
                <w:szCs w:val="21"/>
                <w:highlight w:val="none"/>
              </w:rPr>
            </w:pPr>
          </w:p>
        </w:tc>
      </w:tr>
      <w:tr w14:paraId="7A084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866" w:type="dxa"/>
            <w:gridSpan w:val="10"/>
            <w:tcBorders>
              <w:top w:val="single" w:color="auto" w:sz="4" w:space="0"/>
              <w:left w:val="single" w:color="auto" w:sz="4" w:space="0"/>
              <w:bottom w:val="single" w:color="auto" w:sz="4" w:space="0"/>
              <w:right w:val="single" w:color="auto" w:sz="4" w:space="0"/>
            </w:tcBorders>
            <w:vAlign w:val="center"/>
          </w:tcPr>
          <w:p w14:paraId="78D9BF0C">
            <w:pPr>
              <w:spacing w:line="360" w:lineRule="auto"/>
              <w:ind w:left="223" w:hanging="222"/>
              <w:jc w:val="center"/>
              <w:rPr>
                <w:rFonts w:hint="eastAsia" w:ascii="宋体" w:hAnsi="宋体" w:cs="宋体"/>
                <w:color w:val="auto"/>
                <w:highlight w:val="none"/>
              </w:rPr>
            </w:pPr>
            <w:r>
              <w:rPr>
                <w:rFonts w:hint="eastAsia" w:ascii="宋体" w:hAnsi="宋体" w:cs="宋体"/>
                <w:color w:val="auto"/>
                <w:highlight w:val="none"/>
              </w:rPr>
              <w:t>一旦我单位成交，将实行项目经理负责制，我方保证并配备上述项目管理机构。上述填报内容真实，若不真实，愿按有关规定接受处理。项目管理班子机构设置、职责分工等情况另附资料说明。</w:t>
            </w:r>
          </w:p>
        </w:tc>
      </w:tr>
    </w:tbl>
    <w:p w14:paraId="4AF8D573">
      <w:pPr>
        <w:spacing w:line="360" w:lineRule="auto"/>
        <w:contextualSpacing/>
        <w:jc w:val="left"/>
        <w:rPr>
          <w:rFonts w:hint="eastAsia" w:ascii="宋体" w:hAnsi="宋体" w:cs="宋体"/>
          <w:color w:val="auto"/>
          <w:sz w:val="24"/>
          <w:szCs w:val="20"/>
          <w:highlight w:val="none"/>
        </w:rPr>
      </w:pPr>
      <w:r>
        <w:rPr>
          <w:rFonts w:hint="eastAsia" w:ascii="宋体" w:hAnsi="宋体" w:cs="宋体"/>
          <w:color w:val="auto"/>
          <w:sz w:val="24"/>
          <w:szCs w:val="20"/>
          <w:highlight w:val="none"/>
        </w:rPr>
        <w:t>备注：</w:t>
      </w:r>
    </w:p>
    <w:p w14:paraId="55EAB054">
      <w:pPr>
        <w:spacing w:line="360" w:lineRule="auto"/>
        <w:ind w:firstLine="480"/>
        <w:contextualSpacing/>
        <w:jc w:val="left"/>
        <w:rPr>
          <w:rFonts w:hint="eastAsia" w:ascii="宋体" w:hAnsi="宋体" w:cs="宋体"/>
          <w:color w:val="auto"/>
          <w:sz w:val="24"/>
          <w:szCs w:val="20"/>
          <w:highlight w:val="none"/>
        </w:rPr>
      </w:pPr>
      <w:r>
        <w:rPr>
          <w:rFonts w:hint="eastAsia" w:ascii="宋体" w:hAnsi="宋体" w:cs="宋体"/>
          <w:color w:val="auto"/>
          <w:sz w:val="24"/>
          <w:szCs w:val="20"/>
          <w:highlight w:val="none"/>
        </w:rPr>
        <w:t>1.本表所列岗位的所有管理人员的情况均应如实填写。可按以上格式扩展为多页填写。</w:t>
      </w:r>
    </w:p>
    <w:p w14:paraId="094CE931">
      <w:pPr>
        <w:spacing w:line="360" w:lineRule="auto"/>
        <w:ind w:firstLine="480"/>
        <w:contextualSpacing/>
        <w:jc w:val="left"/>
        <w:rPr>
          <w:rFonts w:hint="eastAsia" w:ascii="宋体" w:hAnsi="宋体" w:cs="宋体"/>
          <w:color w:val="auto"/>
          <w:sz w:val="24"/>
          <w:szCs w:val="20"/>
          <w:highlight w:val="none"/>
        </w:rPr>
      </w:pPr>
      <w:r>
        <w:rPr>
          <w:rFonts w:hint="eastAsia" w:ascii="宋体" w:hAnsi="宋体" w:cs="宋体"/>
          <w:color w:val="auto"/>
          <w:sz w:val="24"/>
          <w:szCs w:val="20"/>
          <w:highlight w:val="none"/>
        </w:rPr>
        <w:t>2.供应商应当在本表后附所有管理人员的身份证、职称证（如有）、执业或职业资格证书、属于本单位人员的证明材料并加盖供应商电子签章。</w:t>
      </w:r>
    </w:p>
    <w:p w14:paraId="47AC751E">
      <w:pPr>
        <w:pStyle w:val="235"/>
        <w:rPr>
          <w:rFonts w:hint="eastAsia" w:ascii="宋体" w:hAnsi="宋体" w:cs="宋体"/>
          <w:color w:val="auto"/>
          <w:highlight w:val="none"/>
        </w:rPr>
      </w:pPr>
    </w:p>
    <w:p w14:paraId="77A6F3FF">
      <w:pPr>
        <w:spacing w:line="360" w:lineRule="auto"/>
        <w:ind w:firstLine="480"/>
        <w:contextualSpacing/>
        <w:rPr>
          <w:rFonts w:hint="eastAsia" w:ascii="宋体" w:hAnsi="宋体" w:cs="宋体"/>
          <w:color w:val="auto"/>
          <w:spacing w:val="20"/>
          <w:sz w:val="24"/>
          <w:szCs w:val="20"/>
          <w:highlight w:val="none"/>
          <w:u w:val="single"/>
        </w:rPr>
      </w:pPr>
      <w:r>
        <w:rPr>
          <w:rFonts w:hint="eastAsia" w:ascii="宋体" w:hAnsi="宋体" w:cs="宋体"/>
          <w:color w:val="auto"/>
          <w:sz w:val="24"/>
          <w:highlight w:val="none"/>
        </w:rPr>
        <w:t>法定代表人或者委托代理人（签字或者电子签名）</w:t>
      </w:r>
      <w:r>
        <w:rPr>
          <w:rFonts w:hint="eastAsia" w:ascii="宋体" w:hAnsi="宋体" w:cs="宋体"/>
          <w:color w:val="auto"/>
          <w:spacing w:val="20"/>
          <w:sz w:val="24"/>
          <w:highlight w:val="none"/>
        </w:rPr>
        <w:t>：</w:t>
      </w:r>
      <w:r>
        <w:rPr>
          <w:rFonts w:hint="eastAsia" w:ascii="宋体" w:hAnsi="宋体" w:cs="宋体"/>
          <w:color w:val="auto"/>
          <w:spacing w:val="20"/>
          <w:sz w:val="24"/>
          <w:highlight w:val="none"/>
          <w:u w:val="single"/>
        </w:rPr>
        <w:t xml:space="preserve">        </w:t>
      </w:r>
    </w:p>
    <w:p w14:paraId="1E842673">
      <w:pPr>
        <w:spacing w:line="360" w:lineRule="auto"/>
        <w:ind w:firstLine="560"/>
        <w:contextualSpacing/>
        <w:jc w:val="left"/>
        <w:rPr>
          <w:rFonts w:hint="eastAsia" w:ascii="宋体" w:hAnsi="宋体" w:cs="宋体"/>
          <w:color w:val="auto"/>
          <w:spacing w:val="20"/>
          <w:sz w:val="24"/>
          <w:highlight w:val="none"/>
        </w:rPr>
      </w:pPr>
    </w:p>
    <w:p w14:paraId="34657B1E">
      <w:pPr>
        <w:spacing w:line="360" w:lineRule="auto"/>
        <w:ind w:firstLine="560"/>
        <w:contextualSpacing/>
        <w:jc w:val="left"/>
        <w:rPr>
          <w:rFonts w:hint="eastAsia" w:ascii="宋体" w:hAnsi="宋体" w:cs="宋体"/>
          <w:color w:val="auto"/>
          <w:sz w:val="24"/>
          <w:szCs w:val="20"/>
          <w:highlight w:val="none"/>
        </w:rPr>
      </w:pPr>
      <w:r>
        <w:rPr>
          <w:rFonts w:hint="eastAsia" w:ascii="宋体" w:hAnsi="宋体" w:cs="宋体"/>
          <w:color w:val="auto"/>
          <w:spacing w:val="20"/>
          <w:sz w:val="24"/>
          <w:highlight w:val="none"/>
        </w:rPr>
        <w:t>供应商名称（电子签章）：</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 xml:space="preserve">       日 期：</w:t>
      </w:r>
      <w:r>
        <w:rPr>
          <w:rFonts w:hint="eastAsia" w:ascii="宋体" w:hAnsi="宋体" w:cs="宋体"/>
          <w:color w:val="auto"/>
          <w:spacing w:val="20"/>
          <w:sz w:val="24"/>
          <w:highlight w:val="none"/>
          <w:u w:val="single"/>
        </w:rPr>
        <w:t xml:space="preserve">         </w:t>
      </w:r>
    </w:p>
    <w:p w14:paraId="12AC1866">
      <w:pPr>
        <w:spacing w:line="360" w:lineRule="auto"/>
        <w:jc w:val="center"/>
        <w:rPr>
          <w:rFonts w:hint="eastAsia" w:ascii="宋体" w:hAnsi="宋体" w:cs="宋体"/>
          <w:b/>
          <w:color w:val="auto"/>
          <w:sz w:val="28"/>
          <w:szCs w:val="28"/>
          <w:highlight w:val="none"/>
        </w:rPr>
      </w:pPr>
      <w:r>
        <w:rPr>
          <w:rFonts w:hint="eastAsia" w:ascii="宋体" w:hAnsi="宋体" w:cs="宋体"/>
          <w:b/>
          <w:color w:val="auto"/>
          <w:sz w:val="32"/>
          <w:szCs w:val="32"/>
          <w:highlight w:val="none"/>
        </w:rPr>
        <w:br w:type="page" w:clear="all"/>
      </w:r>
      <w:r>
        <w:rPr>
          <w:rFonts w:hint="eastAsia" w:ascii="宋体" w:hAnsi="宋体" w:cs="宋体"/>
          <w:b/>
          <w:color w:val="auto"/>
          <w:sz w:val="28"/>
          <w:szCs w:val="28"/>
          <w:highlight w:val="none"/>
        </w:rPr>
        <w:t>（二）拟投入的主要人员简历表</w:t>
      </w:r>
    </w:p>
    <w:p w14:paraId="63C0F828">
      <w:pPr>
        <w:spacing w:line="360" w:lineRule="auto"/>
        <w:ind w:firstLine="562"/>
        <w:jc w:val="center"/>
        <w:rPr>
          <w:rFonts w:hint="eastAsia" w:ascii="宋体" w:hAnsi="宋体" w:cs="宋体"/>
          <w:color w:val="auto"/>
          <w:sz w:val="28"/>
          <w:szCs w:val="28"/>
          <w:highlight w:val="none"/>
          <w:u w:val="single"/>
        </w:rPr>
      </w:pPr>
      <w:r>
        <w:rPr>
          <w:rFonts w:hint="eastAsia" w:ascii="宋体" w:hAnsi="宋体" w:cs="宋体"/>
          <w:b/>
          <w:color w:val="auto"/>
          <w:sz w:val="28"/>
          <w:szCs w:val="28"/>
          <w:highlight w:val="none"/>
        </w:rPr>
        <w:t>项目经理简历表</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6"/>
        <w:gridCol w:w="55"/>
        <w:gridCol w:w="395"/>
        <w:gridCol w:w="880"/>
        <w:gridCol w:w="668"/>
        <w:gridCol w:w="320"/>
        <w:gridCol w:w="234"/>
        <w:gridCol w:w="66"/>
        <w:gridCol w:w="1217"/>
        <w:gridCol w:w="134"/>
        <w:gridCol w:w="242"/>
        <w:gridCol w:w="1096"/>
        <w:gridCol w:w="80"/>
        <w:gridCol w:w="409"/>
        <w:gridCol w:w="1108"/>
        <w:gridCol w:w="44"/>
        <w:gridCol w:w="71"/>
        <w:gridCol w:w="1413"/>
        <w:gridCol w:w="11"/>
      </w:tblGrid>
      <w:tr w14:paraId="2C71E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76" w:type="dxa"/>
            <w:tcBorders>
              <w:top w:val="single" w:color="auto" w:sz="4" w:space="0"/>
              <w:left w:val="single" w:color="auto" w:sz="4" w:space="0"/>
              <w:bottom w:val="single" w:color="auto" w:sz="4" w:space="0"/>
              <w:right w:val="single" w:color="auto" w:sz="4" w:space="0"/>
            </w:tcBorders>
            <w:vAlign w:val="center"/>
          </w:tcPr>
          <w:p w14:paraId="1FACCAF5">
            <w:pPr>
              <w:jc w:val="center"/>
              <w:rPr>
                <w:rFonts w:hint="eastAsia" w:ascii="宋体" w:hAnsi="宋体" w:cs="宋体"/>
                <w:color w:val="auto"/>
                <w:highlight w:val="none"/>
              </w:rPr>
            </w:pPr>
            <w:r>
              <w:rPr>
                <w:rFonts w:hint="eastAsia" w:ascii="宋体" w:hAnsi="宋体" w:cs="宋体"/>
                <w:color w:val="auto"/>
                <w:highlight w:val="none"/>
              </w:rPr>
              <w:t>姓名</w:t>
            </w:r>
          </w:p>
        </w:tc>
        <w:tc>
          <w:tcPr>
            <w:tcW w:w="2318" w:type="dxa"/>
            <w:gridSpan w:val="5"/>
            <w:tcBorders>
              <w:top w:val="single" w:color="auto" w:sz="4" w:space="0"/>
              <w:left w:val="single" w:color="auto" w:sz="4" w:space="0"/>
              <w:bottom w:val="single" w:color="auto" w:sz="4" w:space="0"/>
              <w:right w:val="single" w:color="auto" w:sz="4" w:space="0"/>
            </w:tcBorders>
            <w:vAlign w:val="center"/>
          </w:tcPr>
          <w:p w14:paraId="58795443">
            <w:pPr>
              <w:jc w:val="center"/>
              <w:rPr>
                <w:rFonts w:hint="eastAsia" w:ascii="宋体" w:hAnsi="宋体" w:cs="宋体"/>
                <w:color w:val="auto"/>
                <w:highlight w:val="none"/>
              </w:rPr>
            </w:pPr>
          </w:p>
        </w:tc>
        <w:tc>
          <w:tcPr>
            <w:tcW w:w="1893" w:type="dxa"/>
            <w:gridSpan w:val="5"/>
            <w:tcBorders>
              <w:top w:val="single" w:color="auto" w:sz="4" w:space="0"/>
              <w:left w:val="single" w:color="auto" w:sz="4" w:space="0"/>
              <w:bottom w:val="single" w:color="auto" w:sz="4" w:space="0"/>
              <w:right w:val="single" w:color="auto" w:sz="4" w:space="0"/>
            </w:tcBorders>
            <w:vAlign w:val="center"/>
          </w:tcPr>
          <w:p w14:paraId="458B6ADD">
            <w:pPr>
              <w:jc w:val="center"/>
              <w:rPr>
                <w:rFonts w:hint="eastAsia" w:ascii="宋体" w:hAnsi="宋体" w:cs="宋体"/>
                <w:color w:val="auto"/>
                <w:highlight w:val="none"/>
              </w:rPr>
            </w:pPr>
            <w:r>
              <w:rPr>
                <w:rFonts w:hint="eastAsia" w:ascii="宋体" w:hAnsi="宋体" w:cs="宋体"/>
                <w:color w:val="auto"/>
                <w:highlight w:val="none"/>
              </w:rPr>
              <w:t>性别</w:t>
            </w:r>
          </w:p>
        </w:tc>
        <w:tc>
          <w:tcPr>
            <w:tcW w:w="1585" w:type="dxa"/>
            <w:gridSpan w:val="3"/>
            <w:tcBorders>
              <w:top w:val="single" w:color="auto" w:sz="4" w:space="0"/>
              <w:left w:val="single" w:color="auto" w:sz="4" w:space="0"/>
              <w:bottom w:val="single" w:color="auto" w:sz="4" w:space="0"/>
              <w:right w:val="single" w:color="auto" w:sz="4" w:space="0"/>
            </w:tcBorders>
            <w:vAlign w:val="center"/>
          </w:tcPr>
          <w:p w14:paraId="39F878F4">
            <w:pPr>
              <w:jc w:val="center"/>
              <w:rPr>
                <w:rFonts w:hint="eastAsia" w:ascii="宋体" w:hAnsi="宋体" w:cs="宋体"/>
                <w:color w:val="auto"/>
                <w:highlight w:val="none"/>
              </w:rPr>
            </w:pPr>
          </w:p>
        </w:tc>
        <w:tc>
          <w:tcPr>
            <w:tcW w:w="1108" w:type="dxa"/>
            <w:tcBorders>
              <w:top w:val="single" w:color="auto" w:sz="4" w:space="0"/>
              <w:left w:val="single" w:color="auto" w:sz="4" w:space="0"/>
              <w:bottom w:val="single" w:color="auto" w:sz="4" w:space="0"/>
              <w:right w:val="single" w:color="auto" w:sz="4" w:space="0"/>
            </w:tcBorders>
            <w:vAlign w:val="center"/>
          </w:tcPr>
          <w:p w14:paraId="65AFFFF0">
            <w:pPr>
              <w:jc w:val="center"/>
              <w:rPr>
                <w:rFonts w:hint="eastAsia" w:ascii="宋体" w:hAnsi="宋体" w:cs="宋体"/>
                <w:color w:val="auto"/>
                <w:highlight w:val="none"/>
              </w:rPr>
            </w:pPr>
            <w:r>
              <w:rPr>
                <w:rFonts w:hint="eastAsia" w:ascii="宋体" w:hAnsi="宋体" w:cs="宋体"/>
                <w:color w:val="auto"/>
                <w:highlight w:val="none"/>
              </w:rPr>
              <w:t>年龄</w:t>
            </w:r>
          </w:p>
        </w:tc>
        <w:tc>
          <w:tcPr>
            <w:tcW w:w="1531" w:type="dxa"/>
            <w:gridSpan w:val="4"/>
            <w:tcBorders>
              <w:top w:val="single" w:color="auto" w:sz="4" w:space="0"/>
              <w:left w:val="single" w:color="auto" w:sz="4" w:space="0"/>
              <w:bottom w:val="single" w:color="auto" w:sz="4" w:space="0"/>
              <w:right w:val="single" w:color="auto" w:sz="4" w:space="0"/>
            </w:tcBorders>
            <w:vAlign w:val="center"/>
          </w:tcPr>
          <w:p w14:paraId="390611F3">
            <w:pPr>
              <w:jc w:val="center"/>
              <w:rPr>
                <w:rFonts w:hint="eastAsia" w:ascii="宋体" w:hAnsi="宋体" w:cs="宋体"/>
                <w:color w:val="auto"/>
                <w:highlight w:val="none"/>
              </w:rPr>
            </w:pPr>
          </w:p>
        </w:tc>
      </w:tr>
      <w:tr w14:paraId="4E821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176" w:type="dxa"/>
            <w:tcBorders>
              <w:top w:val="single" w:color="auto" w:sz="4" w:space="0"/>
              <w:left w:val="single" w:color="auto" w:sz="4" w:space="0"/>
              <w:bottom w:val="single" w:color="auto" w:sz="4" w:space="0"/>
              <w:right w:val="single" w:color="auto" w:sz="4" w:space="0"/>
            </w:tcBorders>
            <w:vAlign w:val="center"/>
          </w:tcPr>
          <w:p w14:paraId="791ADDDF">
            <w:pPr>
              <w:jc w:val="center"/>
              <w:rPr>
                <w:rFonts w:hint="eastAsia" w:ascii="宋体" w:hAnsi="宋体" w:cs="宋体"/>
                <w:color w:val="auto"/>
                <w:highlight w:val="none"/>
              </w:rPr>
            </w:pPr>
            <w:r>
              <w:rPr>
                <w:rFonts w:hint="eastAsia" w:ascii="宋体" w:hAnsi="宋体" w:cs="宋体"/>
                <w:color w:val="auto"/>
                <w:highlight w:val="none"/>
              </w:rPr>
              <w:t>岗位</w:t>
            </w:r>
          </w:p>
        </w:tc>
        <w:tc>
          <w:tcPr>
            <w:tcW w:w="2318" w:type="dxa"/>
            <w:gridSpan w:val="5"/>
            <w:tcBorders>
              <w:top w:val="single" w:color="auto" w:sz="4" w:space="0"/>
              <w:left w:val="single" w:color="auto" w:sz="4" w:space="0"/>
              <w:bottom w:val="single" w:color="auto" w:sz="4" w:space="0"/>
              <w:right w:val="single" w:color="auto" w:sz="4" w:space="0"/>
            </w:tcBorders>
            <w:vAlign w:val="center"/>
          </w:tcPr>
          <w:p w14:paraId="5F1C3D90">
            <w:pPr>
              <w:jc w:val="center"/>
              <w:rPr>
                <w:rFonts w:hint="eastAsia" w:ascii="宋体" w:hAnsi="宋体" w:cs="宋体"/>
                <w:color w:val="auto"/>
                <w:highlight w:val="none"/>
              </w:rPr>
            </w:pPr>
            <w:r>
              <w:rPr>
                <w:rFonts w:hint="eastAsia" w:ascii="宋体" w:hAnsi="宋体" w:cs="宋体"/>
                <w:color w:val="auto"/>
                <w:highlight w:val="none"/>
              </w:rPr>
              <w:t>项目经理</w:t>
            </w:r>
          </w:p>
        </w:tc>
        <w:tc>
          <w:tcPr>
            <w:tcW w:w="1893" w:type="dxa"/>
            <w:gridSpan w:val="5"/>
            <w:tcBorders>
              <w:top w:val="single" w:color="auto" w:sz="4" w:space="0"/>
              <w:left w:val="single" w:color="auto" w:sz="4" w:space="0"/>
              <w:bottom w:val="single" w:color="auto" w:sz="4" w:space="0"/>
              <w:right w:val="single" w:color="auto" w:sz="4" w:space="0"/>
            </w:tcBorders>
            <w:vAlign w:val="center"/>
          </w:tcPr>
          <w:p w14:paraId="0E01A103">
            <w:pPr>
              <w:jc w:val="center"/>
              <w:rPr>
                <w:rFonts w:hint="eastAsia" w:ascii="宋体" w:hAnsi="宋体" w:cs="宋体"/>
                <w:color w:val="auto"/>
                <w:highlight w:val="none"/>
              </w:rPr>
            </w:pPr>
            <w:r>
              <w:rPr>
                <w:rFonts w:hint="eastAsia" w:ascii="宋体" w:hAnsi="宋体" w:cs="宋体"/>
                <w:color w:val="auto"/>
                <w:highlight w:val="none"/>
              </w:rPr>
              <w:t>职称</w:t>
            </w:r>
          </w:p>
        </w:tc>
        <w:tc>
          <w:tcPr>
            <w:tcW w:w="1585" w:type="dxa"/>
            <w:gridSpan w:val="3"/>
            <w:tcBorders>
              <w:top w:val="single" w:color="auto" w:sz="4" w:space="0"/>
              <w:left w:val="single" w:color="auto" w:sz="4" w:space="0"/>
              <w:bottom w:val="single" w:color="auto" w:sz="4" w:space="0"/>
              <w:right w:val="single" w:color="auto" w:sz="4" w:space="0"/>
            </w:tcBorders>
            <w:vAlign w:val="center"/>
          </w:tcPr>
          <w:p w14:paraId="08BEDF8E">
            <w:pPr>
              <w:jc w:val="center"/>
              <w:rPr>
                <w:rFonts w:hint="eastAsia" w:ascii="宋体" w:hAnsi="宋体" w:cs="宋体"/>
                <w:color w:val="auto"/>
                <w:highlight w:val="none"/>
              </w:rPr>
            </w:pPr>
          </w:p>
        </w:tc>
        <w:tc>
          <w:tcPr>
            <w:tcW w:w="1108" w:type="dxa"/>
            <w:tcBorders>
              <w:top w:val="single" w:color="auto" w:sz="4" w:space="0"/>
              <w:left w:val="single" w:color="auto" w:sz="4" w:space="0"/>
              <w:bottom w:val="single" w:color="auto" w:sz="4" w:space="0"/>
              <w:right w:val="single" w:color="auto" w:sz="4" w:space="0"/>
            </w:tcBorders>
            <w:vAlign w:val="center"/>
          </w:tcPr>
          <w:p w14:paraId="649C54C3">
            <w:pPr>
              <w:jc w:val="center"/>
              <w:rPr>
                <w:rFonts w:hint="eastAsia" w:ascii="宋体" w:hAnsi="宋体" w:cs="宋体"/>
                <w:color w:val="auto"/>
                <w:highlight w:val="none"/>
              </w:rPr>
            </w:pPr>
            <w:r>
              <w:rPr>
                <w:rFonts w:hint="eastAsia" w:ascii="宋体" w:hAnsi="宋体" w:cs="宋体"/>
                <w:color w:val="auto"/>
                <w:highlight w:val="none"/>
              </w:rPr>
              <w:t>学历</w:t>
            </w:r>
          </w:p>
        </w:tc>
        <w:tc>
          <w:tcPr>
            <w:tcW w:w="1531" w:type="dxa"/>
            <w:gridSpan w:val="4"/>
            <w:tcBorders>
              <w:top w:val="single" w:color="auto" w:sz="4" w:space="0"/>
              <w:left w:val="single" w:color="auto" w:sz="4" w:space="0"/>
              <w:bottom w:val="single" w:color="auto" w:sz="4" w:space="0"/>
              <w:right w:val="single" w:color="auto" w:sz="4" w:space="0"/>
            </w:tcBorders>
            <w:vAlign w:val="center"/>
          </w:tcPr>
          <w:p w14:paraId="39F58BFE">
            <w:pPr>
              <w:jc w:val="center"/>
              <w:rPr>
                <w:rFonts w:hint="eastAsia" w:ascii="宋体" w:hAnsi="宋体" w:cs="宋体"/>
                <w:color w:val="auto"/>
                <w:highlight w:val="none"/>
              </w:rPr>
            </w:pPr>
          </w:p>
        </w:tc>
      </w:tr>
      <w:tr w14:paraId="4F2A6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176" w:type="dxa"/>
            <w:tcBorders>
              <w:top w:val="single" w:color="auto" w:sz="4" w:space="0"/>
              <w:left w:val="single" w:color="auto" w:sz="4" w:space="0"/>
              <w:bottom w:val="single" w:color="auto" w:sz="4" w:space="0"/>
              <w:right w:val="single" w:color="auto" w:sz="4" w:space="0"/>
            </w:tcBorders>
            <w:vAlign w:val="center"/>
          </w:tcPr>
          <w:p w14:paraId="3185F185">
            <w:pPr>
              <w:jc w:val="center"/>
              <w:rPr>
                <w:rFonts w:hint="eastAsia" w:ascii="宋体" w:hAnsi="宋体" w:cs="宋体"/>
                <w:color w:val="auto"/>
                <w:highlight w:val="none"/>
              </w:rPr>
            </w:pPr>
            <w:r>
              <w:rPr>
                <w:rFonts w:hint="eastAsia" w:ascii="宋体" w:hAnsi="宋体" w:cs="宋体"/>
                <w:color w:val="auto"/>
                <w:highlight w:val="none"/>
              </w:rPr>
              <w:t>从业开始时间</w:t>
            </w:r>
          </w:p>
        </w:tc>
        <w:tc>
          <w:tcPr>
            <w:tcW w:w="2318" w:type="dxa"/>
            <w:gridSpan w:val="5"/>
            <w:tcBorders>
              <w:top w:val="single" w:color="auto" w:sz="4" w:space="0"/>
              <w:left w:val="single" w:color="auto" w:sz="4" w:space="0"/>
              <w:bottom w:val="single" w:color="auto" w:sz="4" w:space="0"/>
              <w:right w:val="single" w:color="auto" w:sz="4" w:space="0"/>
            </w:tcBorders>
            <w:vAlign w:val="center"/>
          </w:tcPr>
          <w:p w14:paraId="03F9E63F">
            <w:pPr>
              <w:jc w:val="center"/>
              <w:rPr>
                <w:rFonts w:hint="eastAsia" w:ascii="宋体" w:hAnsi="宋体" w:cs="宋体"/>
                <w:color w:val="auto"/>
                <w:highlight w:val="none"/>
              </w:rPr>
            </w:pPr>
          </w:p>
        </w:tc>
        <w:tc>
          <w:tcPr>
            <w:tcW w:w="1893" w:type="dxa"/>
            <w:gridSpan w:val="5"/>
            <w:tcBorders>
              <w:top w:val="single" w:color="auto" w:sz="4" w:space="0"/>
              <w:left w:val="single" w:color="auto" w:sz="4" w:space="0"/>
              <w:bottom w:val="single" w:color="auto" w:sz="4" w:space="0"/>
              <w:right w:val="single" w:color="auto" w:sz="4" w:space="0"/>
            </w:tcBorders>
            <w:vAlign w:val="center"/>
          </w:tcPr>
          <w:p w14:paraId="189D1870">
            <w:pPr>
              <w:jc w:val="center"/>
              <w:rPr>
                <w:rFonts w:hint="eastAsia" w:ascii="宋体" w:hAnsi="宋体" w:cs="宋体"/>
                <w:color w:val="auto"/>
                <w:highlight w:val="none"/>
              </w:rPr>
            </w:pPr>
            <w:r>
              <w:rPr>
                <w:rFonts w:hint="eastAsia" w:ascii="宋体" w:hAnsi="宋体" w:cs="宋体"/>
                <w:color w:val="auto"/>
                <w:highlight w:val="none"/>
              </w:rPr>
              <w:t>职称获得时间</w:t>
            </w:r>
          </w:p>
        </w:tc>
        <w:tc>
          <w:tcPr>
            <w:tcW w:w="1585" w:type="dxa"/>
            <w:gridSpan w:val="3"/>
            <w:tcBorders>
              <w:top w:val="single" w:color="auto" w:sz="4" w:space="0"/>
              <w:left w:val="single" w:color="auto" w:sz="4" w:space="0"/>
              <w:bottom w:val="single" w:color="auto" w:sz="4" w:space="0"/>
              <w:right w:val="single" w:color="auto" w:sz="4" w:space="0"/>
            </w:tcBorders>
            <w:vAlign w:val="center"/>
          </w:tcPr>
          <w:p w14:paraId="23ADB6E6">
            <w:pPr>
              <w:jc w:val="center"/>
              <w:rPr>
                <w:rFonts w:hint="eastAsia" w:ascii="宋体" w:hAnsi="宋体" w:cs="宋体"/>
                <w:color w:val="auto"/>
                <w:highlight w:val="none"/>
              </w:rPr>
            </w:pPr>
          </w:p>
        </w:tc>
        <w:tc>
          <w:tcPr>
            <w:tcW w:w="1108" w:type="dxa"/>
            <w:tcBorders>
              <w:top w:val="single" w:color="auto" w:sz="4" w:space="0"/>
              <w:left w:val="single" w:color="auto" w:sz="4" w:space="0"/>
              <w:bottom w:val="single" w:color="auto" w:sz="4" w:space="0"/>
              <w:right w:val="single" w:color="auto" w:sz="4" w:space="0"/>
            </w:tcBorders>
            <w:vAlign w:val="center"/>
          </w:tcPr>
          <w:p w14:paraId="6831F9EF">
            <w:pPr>
              <w:jc w:val="center"/>
              <w:rPr>
                <w:rFonts w:hint="eastAsia" w:ascii="宋体" w:hAnsi="宋体" w:cs="宋体"/>
                <w:color w:val="auto"/>
                <w:highlight w:val="none"/>
              </w:rPr>
            </w:pPr>
            <w:r>
              <w:rPr>
                <w:rFonts w:hint="eastAsia" w:ascii="宋体" w:hAnsi="宋体" w:cs="宋体"/>
                <w:color w:val="auto"/>
                <w:highlight w:val="none"/>
              </w:rPr>
              <w:t>毕业时间</w:t>
            </w:r>
          </w:p>
        </w:tc>
        <w:tc>
          <w:tcPr>
            <w:tcW w:w="1531" w:type="dxa"/>
            <w:gridSpan w:val="4"/>
            <w:tcBorders>
              <w:top w:val="single" w:color="auto" w:sz="4" w:space="0"/>
              <w:left w:val="single" w:color="auto" w:sz="4" w:space="0"/>
              <w:bottom w:val="single" w:color="auto" w:sz="4" w:space="0"/>
              <w:right w:val="single" w:color="auto" w:sz="4" w:space="0"/>
            </w:tcBorders>
            <w:vAlign w:val="center"/>
          </w:tcPr>
          <w:p w14:paraId="0D2442CC">
            <w:pPr>
              <w:jc w:val="center"/>
              <w:rPr>
                <w:rFonts w:hint="eastAsia" w:ascii="宋体" w:hAnsi="宋体" w:cs="宋体"/>
                <w:color w:val="auto"/>
                <w:highlight w:val="none"/>
              </w:rPr>
            </w:pPr>
          </w:p>
        </w:tc>
      </w:tr>
      <w:tr w14:paraId="4276A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31" w:type="dxa"/>
            <w:gridSpan w:val="2"/>
            <w:tcBorders>
              <w:top w:val="single" w:color="auto" w:sz="4" w:space="0"/>
              <w:left w:val="single" w:color="auto" w:sz="4" w:space="0"/>
              <w:bottom w:val="single" w:color="auto" w:sz="4" w:space="0"/>
              <w:right w:val="single" w:color="auto" w:sz="4" w:space="0"/>
            </w:tcBorders>
            <w:vAlign w:val="center"/>
          </w:tcPr>
          <w:p w14:paraId="1AED324A">
            <w:pPr>
              <w:jc w:val="center"/>
              <w:rPr>
                <w:rFonts w:hint="eastAsia" w:ascii="宋体" w:hAnsi="宋体" w:cs="宋体"/>
                <w:color w:val="auto"/>
                <w:highlight w:val="none"/>
              </w:rPr>
            </w:pPr>
            <w:r>
              <w:rPr>
                <w:rFonts w:hint="eastAsia" w:ascii="宋体" w:hAnsi="宋体" w:cs="宋体"/>
                <w:color w:val="auto"/>
                <w:highlight w:val="none"/>
              </w:rPr>
              <w:t>担任项目经理年限</w:t>
            </w:r>
          </w:p>
        </w:tc>
        <w:tc>
          <w:tcPr>
            <w:tcW w:w="2563" w:type="dxa"/>
            <w:gridSpan w:val="6"/>
            <w:tcBorders>
              <w:top w:val="single" w:color="auto" w:sz="4" w:space="0"/>
              <w:left w:val="single" w:color="auto" w:sz="4" w:space="0"/>
              <w:bottom w:val="single" w:color="auto" w:sz="4" w:space="0"/>
              <w:right w:val="single" w:color="auto" w:sz="4" w:space="0"/>
            </w:tcBorders>
            <w:vAlign w:val="center"/>
          </w:tcPr>
          <w:p w14:paraId="47FD055E">
            <w:pPr>
              <w:jc w:val="center"/>
              <w:rPr>
                <w:rFonts w:hint="eastAsia" w:ascii="宋体" w:hAnsi="宋体" w:cs="宋体"/>
                <w:color w:val="auto"/>
                <w:highlight w:val="none"/>
              </w:rPr>
            </w:pPr>
          </w:p>
        </w:tc>
        <w:tc>
          <w:tcPr>
            <w:tcW w:w="1209" w:type="dxa"/>
            <w:tcBorders>
              <w:top w:val="single" w:color="auto" w:sz="4" w:space="0"/>
              <w:left w:val="single" w:color="auto" w:sz="4" w:space="0"/>
              <w:bottom w:val="single" w:color="auto" w:sz="4" w:space="0"/>
              <w:right w:val="single" w:color="auto" w:sz="4" w:space="0"/>
            </w:tcBorders>
            <w:vAlign w:val="center"/>
          </w:tcPr>
          <w:p w14:paraId="0EF1C41F">
            <w:pPr>
              <w:jc w:val="center"/>
              <w:rPr>
                <w:rFonts w:hint="eastAsia" w:ascii="宋体" w:hAnsi="宋体" w:cs="宋体"/>
                <w:color w:val="auto"/>
                <w:highlight w:val="none"/>
              </w:rPr>
            </w:pPr>
            <w:r>
              <w:rPr>
                <w:rFonts w:hint="eastAsia" w:ascii="宋体" w:hAnsi="宋体" w:cs="宋体"/>
                <w:color w:val="auto"/>
                <w:highlight w:val="none"/>
              </w:rPr>
              <w:t>身份证号码</w:t>
            </w:r>
          </w:p>
        </w:tc>
        <w:tc>
          <w:tcPr>
            <w:tcW w:w="4608" w:type="dxa"/>
            <w:gridSpan w:val="10"/>
            <w:tcBorders>
              <w:top w:val="single" w:color="auto" w:sz="4" w:space="0"/>
              <w:left w:val="single" w:color="auto" w:sz="4" w:space="0"/>
              <w:bottom w:val="single" w:color="auto" w:sz="4" w:space="0"/>
              <w:right w:val="single" w:color="auto" w:sz="4" w:space="0"/>
            </w:tcBorders>
            <w:vAlign w:val="center"/>
          </w:tcPr>
          <w:p w14:paraId="5F57E4AA">
            <w:pPr>
              <w:jc w:val="center"/>
              <w:rPr>
                <w:rFonts w:hint="eastAsia" w:ascii="宋体" w:hAnsi="宋体" w:cs="宋体"/>
                <w:color w:val="auto"/>
                <w:highlight w:val="none"/>
              </w:rPr>
            </w:pPr>
          </w:p>
        </w:tc>
      </w:tr>
      <w:tr w14:paraId="34629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31" w:type="dxa"/>
            <w:gridSpan w:val="2"/>
            <w:tcBorders>
              <w:top w:val="single" w:color="auto" w:sz="4" w:space="0"/>
              <w:left w:val="single" w:color="auto" w:sz="4" w:space="0"/>
              <w:bottom w:val="single" w:color="auto" w:sz="4" w:space="0"/>
              <w:right w:val="single" w:color="auto" w:sz="4" w:space="0"/>
            </w:tcBorders>
            <w:vAlign w:val="center"/>
          </w:tcPr>
          <w:p w14:paraId="22CE1601">
            <w:pPr>
              <w:jc w:val="center"/>
              <w:rPr>
                <w:rFonts w:hint="eastAsia" w:ascii="宋体" w:hAnsi="宋体" w:cs="宋体"/>
                <w:color w:val="auto"/>
                <w:highlight w:val="none"/>
              </w:rPr>
            </w:pPr>
            <w:r>
              <w:rPr>
                <w:rFonts w:hint="eastAsia" w:ascii="宋体" w:hAnsi="宋体" w:cs="宋体"/>
                <w:color w:val="auto"/>
                <w:highlight w:val="none"/>
              </w:rPr>
              <w:t>证书名称</w:t>
            </w:r>
          </w:p>
        </w:tc>
        <w:tc>
          <w:tcPr>
            <w:tcW w:w="1275" w:type="dxa"/>
            <w:gridSpan w:val="2"/>
            <w:tcBorders>
              <w:top w:val="single" w:color="auto" w:sz="4" w:space="0"/>
              <w:left w:val="single" w:color="auto" w:sz="4" w:space="0"/>
              <w:bottom w:val="single" w:color="auto" w:sz="4" w:space="0"/>
              <w:right w:val="single" w:color="auto" w:sz="4" w:space="0"/>
            </w:tcBorders>
            <w:vAlign w:val="center"/>
          </w:tcPr>
          <w:p w14:paraId="521FEFF9">
            <w:pPr>
              <w:jc w:val="center"/>
              <w:rPr>
                <w:rFonts w:hint="eastAsia" w:ascii="宋体" w:hAnsi="宋体" w:cs="宋体"/>
                <w:color w:val="auto"/>
                <w:highlight w:val="none"/>
              </w:rPr>
            </w:pPr>
            <w:r>
              <w:rPr>
                <w:rFonts w:hint="eastAsia" w:ascii="宋体" w:hAnsi="宋体" w:cs="宋体"/>
                <w:color w:val="auto"/>
                <w:highlight w:val="none"/>
              </w:rPr>
              <w:t>注册专业</w:t>
            </w:r>
          </w:p>
        </w:tc>
        <w:tc>
          <w:tcPr>
            <w:tcW w:w="1222" w:type="dxa"/>
            <w:gridSpan w:val="3"/>
            <w:tcBorders>
              <w:top w:val="single" w:color="auto" w:sz="4" w:space="0"/>
              <w:left w:val="single" w:color="auto" w:sz="4" w:space="0"/>
              <w:bottom w:val="single" w:color="auto" w:sz="4" w:space="0"/>
              <w:right w:val="single" w:color="auto" w:sz="4" w:space="0"/>
            </w:tcBorders>
            <w:vAlign w:val="center"/>
          </w:tcPr>
          <w:p w14:paraId="23CFF20A">
            <w:pPr>
              <w:jc w:val="center"/>
              <w:rPr>
                <w:rFonts w:hint="eastAsia" w:ascii="宋体" w:hAnsi="宋体" w:cs="宋体"/>
                <w:color w:val="auto"/>
                <w:highlight w:val="none"/>
              </w:rPr>
            </w:pPr>
            <w:r>
              <w:rPr>
                <w:rFonts w:hint="eastAsia" w:ascii="宋体" w:hAnsi="宋体" w:cs="宋体"/>
                <w:color w:val="auto"/>
                <w:highlight w:val="none"/>
              </w:rPr>
              <w:t>级别</w:t>
            </w:r>
          </w:p>
        </w:tc>
        <w:tc>
          <w:tcPr>
            <w:tcW w:w="1417" w:type="dxa"/>
            <w:gridSpan w:val="3"/>
            <w:tcBorders>
              <w:top w:val="single" w:color="auto" w:sz="4" w:space="0"/>
              <w:left w:val="single" w:color="auto" w:sz="4" w:space="0"/>
              <w:bottom w:val="single" w:color="auto" w:sz="4" w:space="0"/>
              <w:right w:val="single" w:color="auto" w:sz="4" w:space="0"/>
            </w:tcBorders>
            <w:vAlign w:val="center"/>
          </w:tcPr>
          <w:p w14:paraId="00A4BCD2">
            <w:pPr>
              <w:jc w:val="center"/>
              <w:rPr>
                <w:rFonts w:hint="eastAsia" w:ascii="宋体" w:hAnsi="宋体" w:cs="宋体"/>
                <w:color w:val="auto"/>
                <w:highlight w:val="none"/>
              </w:rPr>
            </w:pPr>
            <w:r>
              <w:rPr>
                <w:rFonts w:hint="eastAsia" w:ascii="宋体" w:hAnsi="宋体" w:cs="宋体"/>
                <w:color w:val="auto"/>
                <w:highlight w:val="none"/>
              </w:rPr>
              <w:t>证书编号</w:t>
            </w:r>
          </w:p>
        </w:tc>
        <w:tc>
          <w:tcPr>
            <w:tcW w:w="1418" w:type="dxa"/>
            <w:gridSpan w:val="3"/>
            <w:tcBorders>
              <w:top w:val="single" w:color="auto" w:sz="4" w:space="0"/>
              <w:left w:val="single" w:color="auto" w:sz="4" w:space="0"/>
              <w:bottom w:val="single" w:color="auto" w:sz="4" w:space="0"/>
              <w:right w:val="single" w:color="auto" w:sz="4" w:space="0"/>
            </w:tcBorders>
            <w:vAlign w:val="center"/>
          </w:tcPr>
          <w:p w14:paraId="6DA91C32">
            <w:pPr>
              <w:jc w:val="center"/>
              <w:rPr>
                <w:rFonts w:hint="eastAsia" w:ascii="宋体" w:hAnsi="宋体" w:cs="宋体"/>
                <w:color w:val="auto"/>
                <w:highlight w:val="none"/>
              </w:rPr>
            </w:pPr>
            <w:r>
              <w:rPr>
                <w:rFonts w:hint="eastAsia" w:ascii="宋体" w:hAnsi="宋体" w:cs="宋体"/>
                <w:color w:val="auto"/>
                <w:highlight w:val="none"/>
              </w:rPr>
              <w:t>注册时间</w:t>
            </w:r>
          </w:p>
        </w:tc>
        <w:tc>
          <w:tcPr>
            <w:tcW w:w="1632" w:type="dxa"/>
            <w:gridSpan w:val="4"/>
            <w:tcBorders>
              <w:top w:val="single" w:color="auto" w:sz="4" w:space="0"/>
              <w:left w:val="single" w:color="auto" w:sz="4" w:space="0"/>
              <w:bottom w:val="single" w:color="auto" w:sz="4" w:space="0"/>
              <w:right w:val="single" w:color="auto" w:sz="4" w:space="0"/>
            </w:tcBorders>
            <w:vAlign w:val="center"/>
          </w:tcPr>
          <w:p w14:paraId="58EAB089">
            <w:pPr>
              <w:jc w:val="center"/>
              <w:rPr>
                <w:rFonts w:hint="eastAsia" w:ascii="宋体" w:hAnsi="宋体" w:cs="宋体"/>
                <w:color w:val="auto"/>
                <w:highlight w:val="none"/>
              </w:rPr>
            </w:pPr>
            <w:r>
              <w:rPr>
                <w:rFonts w:hint="eastAsia" w:ascii="宋体" w:hAnsi="宋体" w:cs="宋体"/>
                <w:color w:val="auto"/>
                <w:highlight w:val="none"/>
              </w:rPr>
              <w:t>注册单位</w:t>
            </w:r>
          </w:p>
        </w:tc>
        <w:tc>
          <w:tcPr>
            <w:tcW w:w="1416" w:type="dxa"/>
            <w:gridSpan w:val="2"/>
            <w:tcBorders>
              <w:top w:val="single" w:color="auto" w:sz="4" w:space="0"/>
              <w:left w:val="single" w:color="auto" w:sz="4" w:space="0"/>
              <w:bottom w:val="single" w:color="auto" w:sz="4" w:space="0"/>
              <w:right w:val="single" w:color="auto" w:sz="4" w:space="0"/>
            </w:tcBorders>
            <w:vAlign w:val="center"/>
          </w:tcPr>
          <w:p w14:paraId="717CB6C8">
            <w:pPr>
              <w:jc w:val="center"/>
              <w:rPr>
                <w:rFonts w:hint="eastAsia" w:ascii="宋体" w:hAnsi="宋体" w:cs="宋体"/>
                <w:color w:val="auto"/>
                <w:highlight w:val="none"/>
              </w:rPr>
            </w:pPr>
            <w:r>
              <w:rPr>
                <w:rFonts w:hint="eastAsia" w:ascii="宋体" w:hAnsi="宋体" w:cs="宋体"/>
                <w:color w:val="auto"/>
                <w:highlight w:val="none"/>
              </w:rPr>
              <w:t>注册有效期</w:t>
            </w:r>
          </w:p>
        </w:tc>
      </w:tr>
      <w:tr w14:paraId="10120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31" w:type="dxa"/>
            <w:gridSpan w:val="2"/>
            <w:tcBorders>
              <w:top w:val="single" w:color="auto" w:sz="4" w:space="0"/>
              <w:left w:val="single" w:color="auto" w:sz="4" w:space="0"/>
              <w:bottom w:val="single" w:color="auto" w:sz="4" w:space="0"/>
              <w:right w:val="single" w:color="auto" w:sz="4" w:space="0"/>
            </w:tcBorders>
            <w:vAlign w:val="center"/>
          </w:tcPr>
          <w:p w14:paraId="3EC0E8BB">
            <w:pPr>
              <w:jc w:val="center"/>
              <w:rPr>
                <w:rFonts w:hint="eastAsia" w:ascii="宋体" w:hAnsi="宋体" w:cs="宋体"/>
                <w:color w:val="auto"/>
                <w:highlight w:val="none"/>
              </w:rPr>
            </w:pPr>
            <w:r>
              <w:rPr>
                <w:rFonts w:hint="eastAsia" w:ascii="宋体" w:hAnsi="宋体" w:cs="宋体"/>
                <w:color w:val="auto"/>
                <w:highlight w:val="none"/>
              </w:rPr>
              <w:t>安全生产考核合格证书</w:t>
            </w:r>
          </w:p>
        </w:tc>
        <w:tc>
          <w:tcPr>
            <w:tcW w:w="1275" w:type="dxa"/>
            <w:gridSpan w:val="2"/>
            <w:tcBorders>
              <w:top w:val="single" w:color="auto" w:sz="4" w:space="0"/>
              <w:left w:val="single" w:color="auto" w:sz="4" w:space="0"/>
              <w:bottom w:val="single" w:color="auto" w:sz="4" w:space="0"/>
              <w:right w:val="single" w:color="auto" w:sz="4" w:space="0"/>
            </w:tcBorders>
            <w:vAlign w:val="center"/>
          </w:tcPr>
          <w:p w14:paraId="3A155EDC">
            <w:pPr>
              <w:jc w:val="center"/>
              <w:rPr>
                <w:rFonts w:hint="eastAsia" w:ascii="宋体" w:hAnsi="宋体" w:cs="宋体"/>
                <w:color w:val="auto"/>
                <w:highlight w:val="none"/>
              </w:rPr>
            </w:pPr>
          </w:p>
        </w:tc>
        <w:tc>
          <w:tcPr>
            <w:tcW w:w="1222" w:type="dxa"/>
            <w:gridSpan w:val="3"/>
            <w:tcBorders>
              <w:top w:val="single" w:color="auto" w:sz="4" w:space="0"/>
              <w:left w:val="single" w:color="auto" w:sz="4" w:space="0"/>
              <w:bottom w:val="single" w:color="auto" w:sz="4" w:space="0"/>
              <w:right w:val="single" w:color="auto" w:sz="4" w:space="0"/>
            </w:tcBorders>
            <w:vAlign w:val="center"/>
          </w:tcPr>
          <w:p w14:paraId="48D94C8E">
            <w:pPr>
              <w:jc w:val="center"/>
              <w:rPr>
                <w:rFonts w:hint="eastAsia" w:ascii="宋体" w:hAnsi="宋体" w:cs="宋体"/>
                <w:color w:val="auto"/>
                <w:highlight w:val="none"/>
              </w:rPr>
            </w:pPr>
            <w:r>
              <w:rPr>
                <w:rFonts w:hint="eastAsia" w:ascii="宋体" w:hAnsi="宋体" w:cs="宋体"/>
                <w:color w:val="auto"/>
                <w:highlight w:val="none"/>
              </w:rPr>
              <w:t>B类</w:t>
            </w:r>
          </w:p>
        </w:tc>
        <w:tc>
          <w:tcPr>
            <w:tcW w:w="1417" w:type="dxa"/>
            <w:gridSpan w:val="3"/>
            <w:tcBorders>
              <w:top w:val="single" w:color="auto" w:sz="4" w:space="0"/>
              <w:left w:val="single" w:color="auto" w:sz="4" w:space="0"/>
              <w:bottom w:val="single" w:color="auto" w:sz="4" w:space="0"/>
              <w:right w:val="single" w:color="auto" w:sz="4" w:space="0"/>
            </w:tcBorders>
            <w:vAlign w:val="center"/>
          </w:tcPr>
          <w:p w14:paraId="12C2A320">
            <w:pPr>
              <w:jc w:val="center"/>
              <w:rPr>
                <w:rFonts w:hint="eastAsia" w:ascii="宋体" w:hAnsi="宋体" w:cs="宋体"/>
                <w:color w:val="auto"/>
                <w:highlight w:val="none"/>
              </w:rPr>
            </w:pPr>
          </w:p>
        </w:tc>
        <w:tc>
          <w:tcPr>
            <w:tcW w:w="1418" w:type="dxa"/>
            <w:gridSpan w:val="3"/>
            <w:tcBorders>
              <w:top w:val="single" w:color="auto" w:sz="4" w:space="0"/>
              <w:left w:val="single" w:color="auto" w:sz="4" w:space="0"/>
              <w:bottom w:val="single" w:color="auto" w:sz="4" w:space="0"/>
              <w:right w:val="single" w:color="auto" w:sz="4" w:space="0"/>
            </w:tcBorders>
            <w:vAlign w:val="center"/>
          </w:tcPr>
          <w:p w14:paraId="19C5E5F8">
            <w:pPr>
              <w:jc w:val="center"/>
              <w:rPr>
                <w:rFonts w:hint="eastAsia" w:ascii="宋体" w:hAnsi="宋体" w:cs="宋体"/>
                <w:color w:val="auto"/>
                <w:highlight w:val="none"/>
              </w:rPr>
            </w:pPr>
          </w:p>
        </w:tc>
        <w:tc>
          <w:tcPr>
            <w:tcW w:w="1632" w:type="dxa"/>
            <w:gridSpan w:val="4"/>
            <w:tcBorders>
              <w:top w:val="single" w:color="auto" w:sz="4" w:space="0"/>
              <w:left w:val="single" w:color="auto" w:sz="4" w:space="0"/>
              <w:bottom w:val="single" w:color="auto" w:sz="4" w:space="0"/>
              <w:right w:val="single" w:color="auto" w:sz="4" w:space="0"/>
            </w:tcBorders>
            <w:vAlign w:val="center"/>
          </w:tcPr>
          <w:p w14:paraId="473F334D">
            <w:pPr>
              <w:jc w:val="center"/>
              <w:rPr>
                <w:rFonts w:hint="eastAsia" w:ascii="宋体" w:hAnsi="宋体" w:cs="宋体"/>
                <w:color w:val="auto"/>
                <w:highlight w:val="none"/>
              </w:rPr>
            </w:pPr>
          </w:p>
        </w:tc>
        <w:tc>
          <w:tcPr>
            <w:tcW w:w="1416" w:type="dxa"/>
            <w:gridSpan w:val="2"/>
            <w:tcBorders>
              <w:top w:val="single" w:color="auto" w:sz="4" w:space="0"/>
              <w:left w:val="single" w:color="auto" w:sz="4" w:space="0"/>
              <w:bottom w:val="single" w:color="auto" w:sz="4" w:space="0"/>
              <w:right w:val="single" w:color="auto" w:sz="4" w:space="0"/>
            </w:tcBorders>
            <w:vAlign w:val="center"/>
          </w:tcPr>
          <w:p w14:paraId="5D70686A">
            <w:pPr>
              <w:jc w:val="center"/>
              <w:rPr>
                <w:rFonts w:hint="eastAsia" w:ascii="宋体" w:hAnsi="宋体" w:cs="宋体"/>
                <w:color w:val="auto"/>
                <w:highlight w:val="none"/>
              </w:rPr>
            </w:pPr>
          </w:p>
        </w:tc>
      </w:tr>
      <w:tr w14:paraId="07E5A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31" w:type="dxa"/>
            <w:gridSpan w:val="2"/>
            <w:tcBorders>
              <w:top w:val="single" w:color="auto" w:sz="4" w:space="0"/>
              <w:left w:val="single" w:color="auto" w:sz="4" w:space="0"/>
              <w:bottom w:val="single" w:color="auto" w:sz="4" w:space="0"/>
              <w:right w:val="single" w:color="auto" w:sz="4" w:space="0"/>
            </w:tcBorders>
            <w:vAlign w:val="center"/>
          </w:tcPr>
          <w:p w14:paraId="5262D311">
            <w:pPr>
              <w:jc w:val="center"/>
              <w:rPr>
                <w:rFonts w:hint="eastAsia" w:ascii="宋体" w:hAnsi="宋体" w:cs="宋体"/>
                <w:color w:val="auto"/>
                <w:highlight w:val="none"/>
              </w:rPr>
            </w:pPr>
          </w:p>
        </w:tc>
        <w:tc>
          <w:tcPr>
            <w:tcW w:w="1275" w:type="dxa"/>
            <w:gridSpan w:val="2"/>
            <w:tcBorders>
              <w:top w:val="single" w:color="auto" w:sz="4" w:space="0"/>
              <w:left w:val="single" w:color="auto" w:sz="4" w:space="0"/>
              <w:bottom w:val="single" w:color="auto" w:sz="4" w:space="0"/>
              <w:right w:val="single" w:color="auto" w:sz="4" w:space="0"/>
            </w:tcBorders>
            <w:vAlign w:val="center"/>
          </w:tcPr>
          <w:p w14:paraId="64B64EAB">
            <w:pPr>
              <w:jc w:val="center"/>
              <w:rPr>
                <w:rFonts w:hint="eastAsia" w:ascii="宋体" w:hAnsi="宋体" w:cs="宋体"/>
                <w:color w:val="auto"/>
                <w:highlight w:val="none"/>
              </w:rPr>
            </w:pPr>
          </w:p>
        </w:tc>
        <w:tc>
          <w:tcPr>
            <w:tcW w:w="1222" w:type="dxa"/>
            <w:gridSpan w:val="3"/>
            <w:tcBorders>
              <w:top w:val="single" w:color="auto" w:sz="4" w:space="0"/>
              <w:left w:val="single" w:color="auto" w:sz="4" w:space="0"/>
              <w:bottom w:val="single" w:color="auto" w:sz="4" w:space="0"/>
              <w:right w:val="single" w:color="auto" w:sz="4" w:space="0"/>
            </w:tcBorders>
            <w:vAlign w:val="center"/>
          </w:tcPr>
          <w:p w14:paraId="0A291CA2">
            <w:pPr>
              <w:jc w:val="center"/>
              <w:rPr>
                <w:rFonts w:hint="eastAsia" w:ascii="宋体" w:hAnsi="宋体" w:cs="宋体"/>
                <w:color w:val="auto"/>
                <w:highlight w:val="none"/>
              </w:rPr>
            </w:pPr>
          </w:p>
        </w:tc>
        <w:tc>
          <w:tcPr>
            <w:tcW w:w="1417" w:type="dxa"/>
            <w:gridSpan w:val="3"/>
            <w:tcBorders>
              <w:top w:val="single" w:color="auto" w:sz="4" w:space="0"/>
              <w:left w:val="single" w:color="auto" w:sz="4" w:space="0"/>
              <w:bottom w:val="single" w:color="auto" w:sz="4" w:space="0"/>
              <w:right w:val="single" w:color="auto" w:sz="4" w:space="0"/>
            </w:tcBorders>
            <w:vAlign w:val="center"/>
          </w:tcPr>
          <w:p w14:paraId="051073A7">
            <w:pPr>
              <w:jc w:val="center"/>
              <w:rPr>
                <w:rFonts w:hint="eastAsia" w:ascii="宋体" w:hAnsi="宋体" w:cs="宋体"/>
                <w:color w:val="auto"/>
                <w:highlight w:val="none"/>
              </w:rPr>
            </w:pPr>
          </w:p>
        </w:tc>
        <w:tc>
          <w:tcPr>
            <w:tcW w:w="1418" w:type="dxa"/>
            <w:gridSpan w:val="3"/>
            <w:tcBorders>
              <w:top w:val="single" w:color="auto" w:sz="4" w:space="0"/>
              <w:left w:val="single" w:color="auto" w:sz="4" w:space="0"/>
              <w:bottom w:val="single" w:color="auto" w:sz="4" w:space="0"/>
              <w:right w:val="single" w:color="auto" w:sz="4" w:space="0"/>
            </w:tcBorders>
            <w:vAlign w:val="center"/>
          </w:tcPr>
          <w:p w14:paraId="6F5FC4B9">
            <w:pPr>
              <w:jc w:val="center"/>
              <w:rPr>
                <w:rFonts w:hint="eastAsia" w:ascii="宋体" w:hAnsi="宋体" w:cs="宋体"/>
                <w:color w:val="auto"/>
                <w:highlight w:val="none"/>
              </w:rPr>
            </w:pPr>
          </w:p>
        </w:tc>
        <w:tc>
          <w:tcPr>
            <w:tcW w:w="1632" w:type="dxa"/>
            <w:gridSpan w:val="4"/>
            <w:tcBorders>
              <w:top w:val="single" w:color="auto" w:sz="4" w:space="0"/>
              <w:left w:val="single" w:color="auto" w:sz="4" w:space="0"/>
              <w:bottom w:val="single" w:color="auto" w:sz="4" w:space="0"/>
              <w:right w:val="single" w:color="auto" w:sz="4" w:space="0"/>
            </w:tcBorders>
            <w:vAlign w:val="center"/>
          </w:tcPr>
          <w:p w14:paraId="456B20A5">
            <w:pPr>
              <w:jc w:val="center"/>
              <w:rPr>
                <w:rFonts w:hint="eastAsia" w:ascii="宋体" w:hAnsi="宋体" w:cs="宋体"/>
                <w:color w:val="auto"/>
                <w:highlight w:val="none"/>
              </w:rPr>
            </w:pPr>
          </w:p>
        </w:tc>
        <w:tc>
          <w:tcPr>
            <w:tcW w:w="1416" w:type="dxa"/>
            <w:gridSpan w:val="2"/>
            <w:tcBorders>
              <w:top w:val="single" w:color="auto" w:sz="4" w:space="0"/>
              <w:left w:val="single" w:color="auto" w:sz="4" w:space="0"/>
              <w:bottom w:val="single" w:color="auto" w:sz="4" w:space="0"/>
              <w:right w:val="single" w:color="auto" w:sz="4" w:space="0"/>
            </w:tcBorders>
            <w:vAlign w:val="center"/>
          </w:tcPr>
          <w:p w14:paraId="080BFB48">
            <w:pPr>
              <w:jc w:val="center"/>
              <w:rPr>
                <w:rFonts w:hint="eastAsia" w:ascii="宋体" w:hAnsi="宋体" w:cs="宋体"/>
                <w:color w:val="auto"/>
                <w:highlight w:val="none"/>
              </w:rPr>
            </w:pPr>
          </w:p>
        </w:tc>
      </w:tr>
      <w:tr w14:paraId="49B14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611" w:type="dxa"/>
            <w:gridSpan w:val="19"/>
            <w:tcBorders>
              <w:top w:val="single" w:color="auto" w:sz="4" w:space="0"/>
              <w:left w:val="single" w:color="auto" w:sz="4" w:space="0"/>
              <w:bottom w:val="single" w:color="auto" w:sz="4" w:space="0"/>
              <w:right w:val="single" w:color="auto" w:sz="4" w:space="0"/>
            </w:tcBorders>
            <w:vAlign w:val="center"/>
          </w:tcPr>
          <w:p w14:paraId="7B06F0F4">
            <w:pPr>
              <w:jc w:val="center"/>
              <w:rPr>
                <w:rFonts w:hint="eastAsia" w:ascii="宋体" w:hAnsi="宋体" w:cs="宋体"/>
                <w:color w:val="auto"/>
                <w:highlight w:val="none"/>
              </w:rPr>
            </w:pPr>
            <w:r>
              <w:rPr>
                <w:rFonts w:hint="eastAsia" w:ascii="宋体" w:hAnsi="宋体" w:cs="宋体"/>
                <w:color w:val="auto"/>
                <w:highlight w:val="none"/>
              </w:rPr>
              <w:t>在建和已完工程项目情况（如有）</w:t>
            </w:r>
          </w:p>
        </w:tc>
      </w:tr>
      <w:tr w14:paraId="1A9A2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3"/>
            <w:tcBorders>
              <w:top w:val="single" w:color="auto" w:sz="4" w:space="0"/>
              <w:left w:val="single" w:color="auto" w:sz="4" w:space="0"/>
              <w:bottom w:val="single" w:color="auto" w:sz="4" w:space="0"/>
              <w:right w:val="single" w:color="auto" w:sz="4" w:space="0"/>
            </w:tcBorders>
            <w:vAlign w:val="center"/>
          </w:tcPr>
          <w:p w14:paraId="3032FCE3">
            <w:pPr>
              <w:jc w:val="center"/>
              <w:rPr>
                <w:rFonts w:hint="eastAsia" w:ascii="宋体" w:hAnsi="宋体" w:cs="宋体"/>
                <w:color w:val="auto"/>
                <w:highlight w:val="none"/>
              </w:rPr>
            </w:pPr>
          </w:p>
        </w:tc>
        <w:tc>
          <w:tcPr>
            <w:tcW w:w="1548" w:type="dxa"/>
            <w:gridSpan w:val="2"/>
            <w:tcBorders>
              <w:top w:val="single" w:color="auto" w:sz="4" w:space="0"/>
              <w:left w:val="single" w:color="auto" w:sz="4" w:space="0"/>
              <w:bottom w:val="single" w:color="auto" w:sz="4" w:space="0"/>
              <w:right w:val="single" w:color="auto" w:sz="4" w:space="0"/>
            </w:tcBorders>
            <w:vAlign w:val="center"/>
          </w:tcPr>
          <w:p w14:paraId="2F2F399E">
            <w:pPr>
              <w:jc w:val="center"/>
              <w:rPr>
                <w:rFonts w:hint="eastAsia" w:ascii="宋体" w:hAnsi="宋体" w:cs="宋体"/>
                <w:color w:val="auto"/>
                <w:highlight w:val="none"/>
              </w:rPr>
            </w:pPr>
            <w:r>
              <w:rPr>
                <w:rFonts w:hint="eastAsia" w:ascii="宋体" w:hAnsi="宋体" w:cs="宋体"/>
                <w:color w:val="auto"/>
                <w:highlight w:val="none"/>
              </w:rPr>
              <w:t>项目1</w:t>
            </w:r>
          </w:p>
        </w:tc>
        <w:tc>
          <w:tcPr>
            <w:tcW w:w="1837" w:type="dxa"/>
            <w:gridSpan w:val="4"/>
            <w:tcBorders>
              <w:top w:val="single" w:color="auto" w:sz="4" w:space="0"/>
              <w:left w:val="single" w:color="auto" w:sz="4" w:space="0"/>
              <w:bottom w:val="single" w:color="auto" w:sz="4" w:space="0"/>
              <w:right w:val="single" w:color="auto" w:sz="4" w:space="0"/>
            </w:tcBorders>
            <w:vAlign w:val="center"/>
          </w:tcPr>
          <w:p w14:paraId="49BCA4C5">
            <w:pPr>
              <w:jc w:val="center"/>
              <w:rPr>
                <w:rFonts w:hint="eastAsia" w:ascii="宋体" w:hAnsi="宋体" w:cs="宋体"/>
                <w:color w:val="auto"/>
                <w:highlight w:val="none"/>
              </w:rPr>
            </w:pPr>
            <w:r>
              <w:rPr>
                <w:rFonts w:hint="eastAsia" w:ascii="宋体" w:hAnsi="宋体" w:cs="宋体"/>
                <w:color w:val="auto"/>
                <w:highlight w:val="none"/>
              </w:rPr>
              <w:t>项目2</w:t>
            </w:r>
          </w:p>
        </w:tc>
        <w:tc>
          <w:tcPr>
            <w:tcW w:w="1472" w:type="dxa"/>
            <w:gridSpan w:val="3"/>
            <w:tcBorders>
              <w:top w:val="single" w:color="auto" w:sz="4" w:space="0"/>
              <w:left w:val="single" w:color="auto" w:sz="4" w:space="0"/>
              <w:bottom w:val="single" w:color="auto" w:sz="4" w:space="0"/>
              <w:right w:val="single" w:color="auto" w:sz="4" w:space="0"/>
            </w:tcBorders>
            <w:vAlign w:val="center"/>
          </w:tcPr>
          <w:p w14:paraId="38396EAC">
            <w:pPr>
              <w:jc w:val="center"/>
              <w:rPr>
                <w:rFonts w:hint="eastAsia" w:ascii="宋体" w:hAnsi="宋体" w:cs="宋体"/>
                <w:color w:val="auto"/>
                <w:highlight w:val="none"/>
              </w:rPr>
            </w:pPr>
            <w:r>
              <w:rPr>
                <w:rFonts w:hint="eastAsia" w:ascii="宋体" w:hAnsi="宋体" w:cs="宋体"/>
                <w:color w:val="auto"/>
                <w:highlight w:val="none"/>
              </w:rPr>
              <w:t>项目3</w:t>
            </w:r>
          </w:p>
        </w:tc>
        <w:tc>
          <w:tcPr>
            <w:tcW w:w="1641" w:type="dxa"/>
            <w:gridSpan w:val="4"/>
            <w:tcBorders>
              <w:top w:val="single" w:color="auto" w:sz="4" w:space="0"/>
              <w:left w:val="single" w:color="auto" w:sz="4" w:space="0"/>
              <w:bottom w:val="single" w:color="auto" w:sz="4" w:space="0"/>
              <w:right w:val="single" w:color="auto" w:sz="4" w:space="0"/>
            </w:tcBorders>
            <w:vAlign w:val="center"/>
          </w:tcPr>
          <w:p w14:paraId="0F137E64">
            <w:pPr>
              <w:jc w:val="center"/>
              <w:rPr>
                <w:rFonts w:hint="eastAsia" w:ascii="宋体" w:hAnsi="宋体" w:cs="宋体"/>
                <w:color w:val="auto"/>
                <w:highlight w:val="none"/>
              </w:rPr>
            </w:pPr>
            <w:r>
              <w:rPr>
                <w:rFonts w:hint="eastAsia" w:ascii="宋体" w:hAnsi="宋体" w:cs="宋体"/>
                <w:color w:val="auto"/>
                <w:highlight w:val="none"/>
              </w:rPr>
              <w:t>项目4</w:t>
            </w:r>
          </w:p>
        </w:tc>
        <w:tc>
          <w:tcPr>
            <w:tcW w:w="1484" w:type="dxa"/>
            <w:gridSpan w:val="2"/>
            <w:tcBorders>
              <w:top w:val="single" w:color="auto" w:sz="4" w:space="0"/>
              <w:left w:val="single" w:color="auto" w:sz="4" w:space="0"/>
              <w:bottom w:val="single" w:color="auto" w:sz="4" w:space="0"/>
              <w:right w:val="single" w:color="auto" w:sz="4" w:space="0"/>
            </w:tcBorders>
            <w:vAlign w:val="center"/>
          </w:tcPr>
          <w:p w14:paraId="4FD74602">
            <w:pPr>
              <w:jc w:val="center"/>
              <w:rPr>
                <w:rFonts w:hint="eastAsia" w:ascii="宋体" w:hAnsi="宋体" w:cs="宋体"/>
                <w:color w:val="auto"/>
                <w:highlight w:val="none"/>
              </w:rPr>
            </w:pPr>
            <w:r>
              <w:rPr>
                <w:rFonts w:hint="eastAsia" w:ascii="宋体" w:hAnsi="宋体" w:cs="宋体"/>
                <w:color w:val="auto"/>
                <w:highlight w:val="none"/>
              </w:rPr>
              <w:t>……</w:t>
            </w:r>
          </w:p>
        </w:tc>
      </w:tr>
      <w:tr w14:paraId="0A833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3"/>
            <w:tcBorders>
              <w:top w:val="single" w:color="auto" w:sz="4" w:space="0"/>
              <w:left w:val="single" w:color="auto" w:sz="4" w:space="0"/>
              <w:bottom w:val="single" w:color="auto" w:sz="4" w:space="0"/>
              <w:right w:val="single" w:color="auto" w:sz="4" w:space="0"/>
            </w:tcBorders>
            <w:vAlign w:val="center"/>
          </w:tcPr>
          <w:p w14:paraId="00688C6B">
            <w:pPr>
              <w:jc w:val="center"/>
              <w:rPr>
                <w:rFonts w:hint="eastAsia" w:ascii="宋体" w:hAnsi="宋体" w:cs="宋体"/>
                <w:color w:val="auto"/>
                <w:highlight w:val="none"/>
              </w:rPr>
            </w:pPr>
            <w:r>
              <w:rPr>
                <w:rFonts w:hint="eastAsia" w:ascii="宋体" w:hAnsi="宋体" w:cs="宋体"/>
                <w:color w:val="auto"/>
                <w:highlight w:val="none"/>
              </w:rPr>
              <w:t>项目名称</w:t>
            </w:r>
          </w:p>
        </w:tc>
        <w:tc>
          <w:tcPr>
            <w:tcW w:w="1548" w:type="dxa"/>
            <w:gridSpan w:val="2"/>
            <w:tcBorders>
              <w:top w:val="single" w:color="auto" w:sz="4" w:space="0"/>
              <w:left w:val="single" w:color="auto" w:sz="4" w:space="0"/>
              <w:bottom w:val="single" w:color="auto" w:sz="4" w:space="0"/>
              <w:right w:val="single" w:color="auto" w:sz="4" w:space="0"/>
            </w:tcBorders>
            <w:vAlign w:val="center"/>
          </w:tcPr>
          <w:p w14:paraId="4BEFCD50">
            <w:pPr>
              <w:jc w:val="center"/>
              <w:rPr>
                <w:rFonts w:hint="eastAsia" w:ascii="宋体" w:hAnsi="宋体" w:cs="宋体"/>
                <w:color w:val="auto"/>
                <w:highlight w:val="none"/>
              </w:rPr>
            </w:pPr>
          </w:p>
        </w:tc>
        <w:tc>
          <w:tcPr>
            <w:tcW w:w="1837" w:type="dxa"/>
            <w:gridSpan w:val="4"/>
            <w:tcBorders>
              <w:top w:val="single" w:color="auto" w:sz="4" w:space="0"/>
              <w:left w:val="single" w:color="auto" w:sz="4" w:space="0"/>
              <w:bottom w:val="single" w:color="auto" w:sz="4" w:space="0"/>
              <w:right w:val="single" w:color="auto" w:sz="4" w:space="0"/>
            </w:tcBorders>
            <w:vAlign w:val="center"/>
          </w:tcPr>
          <w:p w14:paraId="746DE67F">
            <w:pPr>
              <w:jc w:val="center"/>
              <w:rPr>
                <w:rFonts w:hint="eastAsia" w:ascii="宋体" w:hAnsi="宋体" w:cs="宋体"/>
                <w:color w:val="auto"/>
                <w:highlight w:val="none"/>
              </w:rPr>
            </w:pPr>
          </w:p>
        </w:tc>
        <w:tc>
          <w:tcPr>
            <w:tcW w:w="1472" w:type="dxa"/>
            <w:gridSpan w:val="3"/>
            <w:tcBorders>
              <w:top w:val="single" w:color="auto" w:sz="4" w:space="0"/>
              <w:left w:val="single" w:color="auto" w:sz="4" w:space="0"/>
              <w:bottom w:val="single" w:color="auto" w:sz="4" w:space="0"/>
              <w:right w:val="single" w:color="auto" w:sz="4" w:space="0"/>
            </w:tcBorders>
            <w:vAlign w:val="center"/>
          </w:tcPr>
          <w:p w14:paraId="22B93990">
            <w:pPr>
              <w:jc w:val="center"/>
              <w:rPr>
                <w:rFonts w:hint="eastAsia" w:ascii="宋体" w:hAnsi="宋体" w:cs="宋体"/>
                <w:color w:val="auto"/>
                <w:highlight w:val="none"/>
              </w:rPr>
            </w:pPr>
          </w:p>
        </w:tc>
        <w:tc>
          <w:tcPr>
            <w:tcW w:w="1641" w:type="dxa"/>
            <w:gridSpan w:val="4"/>
            <w:tcBorders>
              <w:top w:val="single" w:color="auto" w:sz="4" w:space="0"/>
              <w:left w:val="single" w:color="auto" w:sz="4" w:space="0"/>
              <w:bottom w:val="single" w:color="auto" w:sz="4" w:space="0"/>
              <w:right w:val="single" w:color="auto" w:sz="4" w:space="0"/>
            </w:tcBorders>
            <w:vAlign w:val="center"/>
          </w:tcPr>
          <w:p w14:paraId="5A1B781F">
            <w:pPr>
              <w:jc w:val="center"/>
              <w:rPr>
                <w:rFonts w:hint="eastAsia" w:ascii="宋体" w:hAnsi="宋体" w:cs="宋体"/>
                <w:color w:val="auto"/>
                <w:highlight w:val="none"/>
              </w:rPr>
            </w:pPr>
          </w:p>
        </w:tc>
        <w:tc>
          <w:tcPr>
            <w:tcW w:w="1484" w:type="dxa"/>
            <w:gridSpan w:val="2"/>
            <w:tcBorders>
              <w:top w:val="single" w:color="auto" w:sz="4" w:space="0"/>
              <w:left w:val="single" w:color="auto" w:sz="4" w:space="0"/>
              <w:bottom w:val="single" w:color="auto" w:sz="4" w:space="0"/>
              <w:right w:val="single" w:color="auto" w:sz="4" w:space="0"/>
            </w:tcBorders>
            <w:vAlign w:val="center"/>
          </w:tcPr>
          <w:p w14:paraId="44DD9465">
            <w:pPr>
              <w:jc w:val="center"/>
              <w:rPr>
                <w:rFonts w:hint="eastAsia" w:ascii="宋体" w:hAnsi="宋体" w:cs="宋体"/>
                <w:color w:val="auto"/>
                <w:highlight w:val="none"/>
              </w:rPr>
            </w:pPr>
          </w:p>
        </w:tc>
      </w:tr>
      <w:tr w14:paraId="05097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3"/>
            <w:tcBorders>
              <w:top w:val="single" w:color="auto" w:sz="4" w:space="0"/>
              <w:left w:val="single" w:color="auto" w:sz="4" w:space="0"/>
              <w:bottom w:val="single" w:color="auto" w:sz="4" w:space="0"/>
              <w:right w:val="single" w:color="auto" w:sz="4" w:space="0"/>
            </w:tcBorders>
            <w:vAlign w:val="center"/>
          </w:tcPr>
          <w:p w14:paraId="216220A4">
            <w:pPr>
              <w:jc w:val="center"/>
              <w:rPr>
                <w:rFonts w:hint="eastAsia" w:ascii="宋体" w:hAnsi="宋体" w:cs="宋体"/>
                <w:color w:val="auto"/>
                <w:highlight w:val="none"/>
              </w:rPr>
            </w:pPr>
            <w:r>
              <w:rPr>
                <w:rFonts w:hint="eastAsia" w:ascii="宋体" w:hAnsi="宋体" w:cs="宋体"/>
                <w:color w:val="auto"/>
                <w:highlight w:val="none"/>
              </w:rPr>
              <w:t>建设单位</w:t>
            </w:r>
          </w:p>
        </w:tc>
        <w:tc>
          <w:tcPr>
            <w:tcW w:w="1548" w:type="dxa"/>
            <w:gridSpan w:val="2"/>
            <w:tcBorders>
              <w:top w:val="single" w:color="auto" w:sz="4" w:space="0"/>
              <w:left w:val="single" w:color="auto" w:sz="4" w:space="0"/>
              <w:bottom w:val="single" w:color="auto" w:sz="4" w:space="0"/>
              <w:right w:val="single" w:color="auto" w:sz="4" w:space="0"/>
            </w:tcBorders>
            <w:vAlign w:val="center"/>
          </w:tcPr>
          <w:p w14:paraId="61615571">
            <w:pPr>
              <w:jc w:val="center"/>
              <w:rPr>
                <w:rFonts w:hint="eastAsia" w:ascii="宋体" w:hAnsi="宋体" w:cs="宋体"/>
                <w:color w:val="auto"/>
                <w:highlight w:val="none"/>
              </w:rPr>
            </w:pPr>
          </w:p>
        </w:tc>
        <w:tc>
          <w:tcPr>
            <w:tcW w:w="1837" w:type="dxa"/>
            <w:gridSpan w:val="4"/>
            <w:tcBorders>
              <w:top w:val="single" w:color="auto" w:sz="4" w:space="0"/>
              <w:left w:val="single" w:color="auto" w:sz="4" w:space="0"/>
              <w:bottom w:val="single" w:color="auto" w:sz="4" w:space="0"/>
              <w:right w:val="single" w:color="auto" w:sz="4" w:space="0"/>
            </w:tcBorders>
            <w:vAlign w:val="center"/>
          </w:tcPr>
          <w:p w14:paraId="10CB688B">
            <w:pPr>
              <w:jc w:val="center"/>
              <w:rPr>
                <w:rFonts w:hint="eastAsia" w:ascii="宋体" w:hAnsi="宋体" w:cs="宋体"/>
                <w:color w:val="auto"/>
                <w:highlight w:val="none"/>
              </w:rPr>
            </w:pPr>
          </w:p>
        </w:tc>
        <w:tc>
          <w:tcPr>
            <w:tcW w:w="1472" w:type="dxa"/>
            <w:gridSpan w:val="3"/>
            <w:tcBorders>
              <w:top w:val="single" w:color="auto" w:sz="4" w:space="0"/>
              <w:left w:val="single" w:color="auto" w:sz="4" w:space="0"/>
              <w:bottom w:val="single" w:color="auto" w:sz="4" w:space="0"/>
              <w:right w:val="single" w:color="auto" w:sz="4" w:space="0"/>
            </w:tcBorders>
            <w:vAlign w:val="center"/>
          </w:tcPr>
          <w:p w14:paraId="1714E2A3">
            <w:pPr>
              <w:jc w:val="center"/>
              <w:rPr>
                <w:rFonts w:hint="eastAsia" w:ascii="宋体" w:hAnsi="宋体" w:cs="宋体"/>
                <w:color w:val="auto"/>
                <w:highlight w:val="none"/>
              </w:rPr>
            </w:pPr>
          </w:p>
        </w:tc>
        <w:tc>
          <w:tcPr>
            <w:tcW w:w="1641" w:type="dxa"/>
            <w:gridSpan w:val="4"/>
            <w:tcBorders>
              <w:top w:val="single" w:color="auto" w:sz="4" w:space="0"/>
              <w:left w:val="single" w:color="auto" w:sz="4" w:space="0"/>
              <w:bottom w:val="single" w:color="auto" w:sz="4" w:space="0"/>
              <w:right w:val="single" w:color="auto" w:sz="4" w:space="0"/>
            </w:tcBorders>
            <w:vAlign w:val="center"/>
          </w:tcPr>
          <w:p w14:paraId="0E4DBA31">
            <w:pPr>
              <w:jc w:val="center"/>
              <w:rPr>
                <w:rFonts w:hint="eastAsia" w:ascii="宋体" w:hAnsi="宋体" w:cs="宋体"/>
                <w:color w:val="auto"/>
                <w:highlight w:val="none"/>
              </w:rPr>
            </w:pPr>
          </w:p>
        </w:tc>
        <w:tc>
          <w:tcPr>
            <w:tcW w:w="1484" w:type="dxa"/>
            <w:gridSpan w:val="2"/>
            <w:tcBorders>
              <w:top w:val="single" w:color="auto" w:sz="4" w:space="0"/>
              <w:left w:val="single" w:color="auto" w:sz="4" w:space="0"/>
              <w:bottom w:val="single" w:color="auto" w:sz="4" w:space="0"/>
              <w:right w:val="single" w:color="auto" w:sz="4" w:space="0"/>
            </w:tcBorders>
            <w:vAlign w:val="center"/>
          </w:tcPr>
          <w:p w14:paraId="690736F8">
            <w:pPr>
              <w:jc w:val="center"/>
              <w:rPr>
                <w:rFonts w:hint="eastAsia" w:ascii="宋体" w:hAnsi="宋体" w:cs="宋体"/>
                <w:color w:val="auto"/>
                <w:highlight w:val="none"/>
              </w:rPr>
            </w:pPr>
          </w:p>
        </w:tc>
      </w:tr>
      <w:tr w14:paraId="290BC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3"/>
            <w:tcBorders>
              <w:top w:val="single" w:color="auto" w:sz="4" w:space="0"/>
              <w:left w:val="single" w:color="auto" w:sz="4" w:space="0"/>
              <w:bottom w:val="single" w:color="auto" w:sz="4" w:space="0"/>
              <w:right w:val="single" w:color="auto" w:sz="4" w:space="0"/>
            </w:tcBorders>
            <w:vAlign w:val="center"/>
          </w:tcPr>
          <w:p w14:paraId="0CE9E55F">
            <w:pPr>
              <w:jc w:val="center"/>
              <w:rPr>
                <w:rFonts w:hint="eastAsia" w:ascii="宋体" w:hAnsi="宋体" w:cs="宋体"/>
                <w:color w:val="auto"/>
                <w:highlight w:val="none"/>
              </w:rPr>
            </w:pPr>
            <w:r>
              <w:rPr>
                <w:rFonts w:hint="eastAsia" w:ascii="宋体" w:hAnsi="宋体" w:cs="宋体"/>
                <w:color w:val="auto"/>
                <w:highlight w:val="none"/>
              </w:rPr>
              <w:t>建设规模</w:t>
            </w:r>
          </w:p>
        </w:tc>
        <w:tc>
          <w:tcPr>
            <w:tcW w:w="1548" w:type="dxa"/>
            <w:gridSpan w:val="2"/>
            <w:tcBorders>
              <w:top w:val="single" w:color="auto" w:sz="4" w:space="0"/>
              <w:left w:val="single" w:color="auto" w:sz="4" w:space="0"/>
              <w:bottom w:val="single" w:color="auto" w:sz="4" w:space="0"/>
              <w:right w:val="single" w:color="auto" w:sz="4" w:space="0"/>
            </w:tcBorders>
            <w:vAlign w:val="center"/>
          </w:tcPr>
          <w:p w14:paraId="61B31338">
            <w:pPr>
              <w:jc w:val="center"/>
              <w:rPr>
                <w:rFonts w:hint="eastAsia" w:ascii="宋体" w:hAnsi="宋体" w:cs="宋体"/>
                <w:color w:val="auto"/>
                <w:highlight w:val="none"/>
              </w:rPr>
            </w:pPr>
          </w:p>
        </w:tc>
        <w:tc>
          <w:tcPr>
            <w:tcW w:w="1837" w:type="dxa"/>
            <w:gridSpan w:val="4"/>
            <w:tcBorders>
              <w:top w:val="single" w:color="auto" w:sz="4" w:space="0"/>
              <w:left w:val="single" w:color="auto" w:sz="4" w:space="0"/>
              <w:bottom w:val="single" w:color="auto" w:sz="4" w:space="0"/>
              <w:right w:val="single" w:color="auto" w:sz="4" w:space="0"/>
            </w:tcBorders>
            <w:vAlign w:val="center"/>
          </w:tcPr>
          <w:p w14:paraId="2E67D46C">
            <w:pPr>
              <w:jc w:val="center"/>
              <w:rPr>
                <w:rFonts w:hint="eastAsia" w:ascii="宋体" w:hAnsi="宋体" w:cs="宋体"/>
                <w:color w:val="auto"/>
                <w:highlight w:val="none"/>
              </w:rPr>
            </w:pPr>
          </w:p>
        </w:tc>
        <w:tc>
          <w:tcPr>
            <w:tcW w:w="1472" w:type="dxa"/>
            <w:gridSpan w:val="3"/>
            <w:tcBorders>
              <w:top w:val="single" w:color="auto" w:sz="4" w:space="0"/>
              <w:left w:val="single" w:color="auto" w:sz="4" w:space="0"/>
              <w:bottom w:val="single" w:color="auto" w:sz="4" w:space="0"/>
              <w:right w:val="single" w:color="auto" w:sz="4" w:space="0"/>
            </w:tcBorders>
            <w:vAlign w:val="center"/>
          </w:tcPr>
          <w:p w14:paraId="4BE3C716">
            <w:pPr>
              <w:jc w:val="center"/>
              <w:rPr>
                <w:rFonts w:hint="eastAsia" w:ascii="宋体" w:hAnsi="宋体" w:cs="宋体"/>
                <w:color w:val="auto"/>
                <w:highlight w:val="none"/>
              </w:rPr>
            </w:pPr>
          </w:p>
        </w:tc>
        <w:tc>
          <w:tcPr>
            <w:tcW w:w="1641" w:type="dxa"/>
            <w:gridSpan w:val="4"/>
            <w:tcBorders>
              <w:top w:val="single" w:color="auto" w:sz="4" w:space="0"/>
              <w:left w:val="single" w:color="auto" w:sz="4" w:space="0"/>
              <w:bottom w:val="single" w:color="auto" w:sz="4" w:space="0"/>
              <w:right w:val="single" w:color="auto" w:sz="4" w:space="0"/>
            </w:tcBorders>
            <w:vAlign w:val="center"/>
          </w:tcPr>
          <w:p w14:paraId="0E7BF9A7">
            <w:pPr>
              <w:jc w:val="center"/>
              <w:rPr>
                <w:rFonts w:hint="eastAsia" w:ascii="宋体" w:hAnsi="宋体" w:cs="宋体"/>
                <w:color w:val="auto"/>
                <w:highlight w:val="none"/>
              </w:rPr>
            </w:pPr>
          </w:p>
        </w:tc>
        <w:tc>
          <w:tcPr>
            <w:tcW w:w="1484" w:type="dxa"/>
            <w:gridSpan w:val="2"/>
            <w:tcBorders>
              <w:top w:val="single" w:color="auto" w:sz="4" w:space="0"/>
              <w:left w:val="single" w:color="auto" w:sz="4" w:space="0"/>
              <w:bottom w:val="single" w:color="auto" w:sz="4" w:space="0"/>
              <w:right w:val="single" w:color="auto" w:sz="4" w:space="0"/>
            </w:tcBorders>
            <w:vAlign w:val="center"/>
          </w:tcPr>
          <w:p w14:paraId="257C273B">
            <w:pPr>
              <w:jc w:val="center"/>
              <w:rPr>
                <w:rFonts w:hint="eastAsia" w:ascii="宋体" w:hAnsi="宋体" w:cs="宋体"/>
                <w:color w:val="auto"/>
                <w:highlight w:val="none"/>
              </w:rPr>
            </w:pPr>
          </w:p>
        </w:tc>
      </w:tr>
      <w:tr w14:paraId="2DF28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3"/>
            <w:tcBorders>
              <w:top w:val="single" w:color="auto" w:sz="4" w:space="0"/>
              <w:left w:val="single" w:color="auto" w:sz="4" w:space="0"/>
              <w:bottom w:val="single" w:color="auto" w:sz="4" w:space="0"/>
              <w:right w:val="single" w:color="auto" w:sz="4" w:space="0"/>
            </w:tcBorders>
            <w:vAlign w:val="center"/>
          </w:tcPr>
          <w:p w14:paraId="04955478">
            <w:pPr>
              <w:jc w:val="center"/>
              <w:rPr>
                <w:rFonts w:hint="eastAsia" w:ascii="宋体" w:hAnsi="宋体" w:cs="宋体"/>
                <w:color w:val="auto"/>
                <w:sz w:val="27"/>
                <w:szCs w:val="27"/>
                <w:highlight w:val="none"/>
                <w:lang w:bidi="ar"/>
              </w:rPr>
            </w:pPr>
            <w:r>
              <w:rPr>
                <w:rFonts w:hint="eastAsia" w:ascii="宋体" w:hAnsi="宋体" w:cs="宋体"/>
                <w:color w:val="auto"/>
                <w:highlight w:val="none"/>
              </w:rPr>
              <w:t>开工日期</w:t>
            </w:r>
          </w:p>
        </w:tc>
        <w:tc>
          <w:tcPr>
            <w:tcW w:w="1548" w:type="dxa"/>
            <w:gridSpan w:val="2"/>
            <w:tcBorders>
              <w:top w:val="single" w:color="auto" w:sz="4" w:space="0"/>
              <w:left w:val="single" w:color="auto" w:sz="4" w:space="0"/>
              <w:bottom w:val="single" w:color="auto" w:sz="4" w:space="0"/>
              <w:right w:val="single" w:color="auto" w:sz="4" w:space="0"/>
            </w:tcBorders>
            <w:vAlign w:val="center"/>
          </w:tcPr>
          <w:p w14:paraId="76308037">
            <w:pPr>
              <w:jc w:val="center"/>
              <w:rPr>
                <w:rFonts w:hint="eastAsia" w:ascii="宋体" w:hAnsi="宋体" w:cs="宋体"/>
                <w:color w:val="auto"/>
                <w:highlight w:val="none"/>
              </w:rPr>
            </w:pPr>
          </w:p>
        </w:tc>
        <w:tc>
          <w:tcPr>
            <w:tcW w:w="1837" w:type="dxa"/>
            <w:gridSpan w:val="4"/>
            <w:tcBorders>
              <w:top w:val="single" w:color="auto" w:sz="4" w:space="0"/>
              <w:left w:val="single" w:color="auto" w:sz="4" w:space="0"/>
              <w:bottom w:val="single" w:color="auto" w:sz="4" w:space="0"/>
              <w:right w:val="single" w:color="auto" w:sz="4" w:space="0"/>
            </w:tcBorders>
            <w:vAlign w:val="center"/>
          </w:tcPr>
          <w:p w14:paraId="628BB617">
            <w:pPr>
              <w:jc w:val="center"/>
              <w:rPr>
                <w:rFonts w:hint="eastAsia" w:ascii="宋体" w:hAnsi="宋体" w:cs="宋体"/>
                <w:color w:val="auto"/>
                <w:highlight w:val="none"/>
              </w:rPr>
            </w:pPr>
          </w:p>
        </w:tc>
        <w:tc>
          <w:tcPr>
            <w:tcW w:w="1472" w:type="dxa"/>
            <w:gridSpan w:val="3"/>
            <w:tcBorders>
              <w:top w:val="single" w:color="auto" w:sz="4" w:space="0"/>
              <w:left w:val="single" w:color="auto" w:sz="4" w:space="0"/>
              <w:bottom w:val="single" w:color="auto" w:sz="4" w:space="0"/>
              <w:right w:val="single" w:color="auto" w:sz="4" w:space="0"/>
            </w:tcBorders>
            <w:vAlign w:val="center"/>
          </w:tcPr>
          <w:p w14:paraId="406F9C7A">
            <w:pPr>
              <w:jc w:val="center"/>
              <w:rPr>
                <w:rFonts w:hint="eastAsia" w:ascii="宋体" w:hAnsi="宋体" w:cs="宋体"/>
                <w:color w:val="auto"/>
                <w:highlight w:val="none"/>
              </w:rPr>
            </w:pPr>
          </w:p>
        </w:tc>
        <w:tc>
          <w:tcPr>
            <w:tcW w:w="1641" w:type="dxa"/>
            <w:gridSpan w:val="4"/>
            <w:tcBorders>
              <w:top w:val="single" w:color="auto" w:sz="4" w:space="0"/>
              <w:left w:val="single" w:color="auto" w:sz="4" w:space="0"/>
              <w:bottom w:val="single" w:color="auto" w:sz="4" w:space="0"/>
              <w:right w:val="single" w:color="auto" w:sz="4" w:space="0"/>
            </w:tcBorders>
            <w:vAlign w:val="center"/>
          </w:tcPr>
          <w:p w14:paraId="79944227">
            <w:pPr>
              <w:jc w:val="center"/>
              <w:rPr>
                <w:rFonts w:hint="eastAsia" w:ascii="宋体" w:hAnsi="宋体" w:cs="宋体"/>
                <w:color w:val="auto"/>
                <w:highlight w:val="none"/>
              </w:rPr>
            </w:pPr>
          </w:p>
        </w:tc>
        <w:tc>
          <w:tcPr>
            <w:tcW w:w="1484" w:type="dxa"/>
            <w:gridSpan w:val="2"/>
            <w:tcBorders>
              <w:top w:val="single" w:color="auto" w:sz="4" w:space="0"/>
              <w:left w:val="single" w:color="auto" w:sz="4" w:space="0"/>
              <w:bottom w:val="single" w:color="auto" w:sz="4" w:space="0"/>
              <w:right w:val="single" w:color="auto" w:sz="4" w:space="0"/>
            </w:tcBorders>
            <w:vAlign w:val="center"/>
          </w:tcPr>
          <w:p w14:paraId="2A5B6A77">
            <w:pPr>
              <w:jc w:val="center"/>
              <w:rPr>
                <w:rFonts w:hint="eastAsia" w:ascii="宋体" w:hAnsi="宋体" w:cs="宋体"/>
                <w:color w:val="auto"/>
                <w:highlight w:val="none"/>
              </w:rPr>
            </w:pPr>
          </w:p>
        </w:tc>
      </w:tr>
      <w:tr w14:paraId="65995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tcBorders>
              <w:top w:val="single" w:color="auto" w:sz="4" w:space="0"/>
              <w:left w:val="single" w:color="auto" w:sz="4" w:space="0"/>
              <w:bottom w:val="single" w:color="auto" w:sz="4" w:space="0"/>
              <w:right w:val="single" w:color="auto" w:sz="4" w:space="0"/>
            </w:tcBorders>
            <w:vAlign w:val="center"/>
          </w:tcPr>
          <w:p w14:paraId="4E4E9CA3">
            <w:pPr>
              <w:jc w:val="center"/>
              <w:rPr>
                <w:rFonts w:hint="eastAsia" w:ascii="宋体" w:hAnsi="宋体" w:cs="宋体"/>
                <w:color w:val="auto"/>
                <w:highlight w:val="none"/>
              </w:rPr>
            </w:pPr>
            <w:r>
              <w:rPr>
                <w:rFonts w:hint="eastAsia" w:ascii="宋体" w:hAnsi="宋体" w:cs="宋体"/>
                <w:color w:val="auto"/>
                <w:highlight w:val="none"/>
              </w:rPr>
              <w:t>竣工日期</w:t>
            </w:r>
          </w:p>
        </w:tc>
        <w:tc>
          <w:tcPr>
            <w:tcW w:w="1548" w:type="dxa"/>
            <w:gridSpan w:val="2"/>
            <w:tcBorders>
              <w:top w:val="single" w:color="auto" w:sz="4" w:space="0"/>
              <w:left w:val="single" w:color="auto" w:sz="4" w:space="0"/>
              <w:bottom w:val="single" w:color="auto" w:sz="4" w:space="0"/>
              <w:right w:val="single" w:color="auto" w:sz="4" w:space="0"/>
            </w:tcBorders>
            <w:vAlign w:val="center"/>
          </w:tcPr>
          <w:p w14:paraId="1AA30BBF">
            <w:pPr>
              <w:jc w:val="center"/>
              <w:rPr>
                <w:rFonts w:hint="eastAsia" w:ascii="宋体" w:hAnsi="宋体" w:cs="宋体"/>
                <w:color w:val="auto"/>
                <w:highlight w:val="none"/>
              </w:rPr>
            </w:pPr>
          </w:p>
        </w:tc>
        <w:tc>
          <w:tcPr>
            <w:tcW w:w="1837" w:type="dxa"/>
            <w:gridSpan w:val="4"/>
            <w:tcBorders>
              <w:top w:val="single" w:color="auto" w:sz="4" w:space="0"/>
              <w:left w:val="single" w:color="auto" w:sz="4" w:space="0"/>
              <w:bottom w:val="single" w:color="auto" w:sz="4" w:space="0"/>
              <w:right w:val="single" w:color="auto" w:sz="4" w:space="0"/>
            </w:tcBorders>
            <w:vAlign w:val="center"/>
          </w:tcPr>
          <w:p w14:paraId="3F2C1AF2">
            <w:pPr>
              <w:jc w:val="center"/>
              <w:rPr>
                <w:rFonts w:hint="eastAsia" w:ascii="宋体" w:hAnsi="宋体" w:cs="宋体"/>
                <w:color w:val="auto"/>
                <w:highlight w:val="none"/>
              </w:rPr>
            </w:pPr>
          </w:p>
        </w:tc>
        <w:tc>
          <w:tcPr>
            <w:tcW w:w="1472" w:type="dxa"/>
            <w:gridSpan w:val="3"/>
            <w:tcBorders>
              <w:top w:val="single" w:color="auto" w:sz="4" w:space="0"/>
              <w:left w:val="single" w:color="auto" w:sz="4" w:space="0"/>
              <w:bottom w:val="single" w:color="auto" w:sz="4" w:space="0"/>
              <w:right w:val="single" w:color="auto" w:sz="4" w:space="0"/>
            </w:tcBorders>
            <w:vAlign w:val="center"/>
          </w:tcPr>
          <w:p w14:paraId="5871CFED">
            <w:pPr>
              <w:jc w:val="center"/>
              <w:rPr>
                <w:rFonts w:hint="eastAsia" w:ascii="宋体" w:hAnsi="宋体" w:cs="宋体"/>
                <w:color w:val="auto"/>
                <w:highlight w:val="none"/>
              </w:rPr>
            </w:pPr>
          </w:p>
        </w:tc>
        <w:tc>
          <w:tcPr>
            <w:tcW w:w="1641" w:type="dxa"/>
            <w:gridSpan w:val="4"/>
            <w:tcBorders>
              <w:top w:val="single" w:color="auto" w:sz="4" w:space="0"/>
              <w:left w:val="single" w:color="auto" w:sz="4" w:space="0"/>
              <w:bottom w:val="single" w:color="auto" w:sz="4" w:space="0"/>
              <w:right w:val="single" w:color="auto" w:sz="4" w:space="0"/>
            </w:tcBorders>
            <w:vAlign w:val="center"/>
          </w:tcPr>
          <w:p w14:paraId="7E56A621">
            <w:pPr>
              <w:jc w:val="center"/>
              <w:rPr>
                <w:rFonts w:hint="eastAsia" w:ascii="宋体" w:hAnsi="宋体" w:cs="宋体"/>
                <w:color w:val="auto"/>
                <w:highlight w:val="none"/>
              </w:rPr>
            </w:pPr>
          </w:p>
        </w:tc>
        <w:tc>
          <w:tcPr>
            <w:tcW w:w="1484" w:type="dxa"/>
            <w:gridSpan w:val="2"/>
            <w:tcBorders>
              <w:top w:val="single" w:color="auto" w:sz="4" w:space="0"/>
              <w:left w:val="single" w:color="auto" w:sz="4" w:space="0"/>
              <w:bottom w:val="single" w:color="auto" w:sz="4" w:space="0"/>
              <w:right w:val="single" w:color="auto" w:sz="4" w:space="0"/>
            </w:tcBorders>
            <w:vAlign w:val="center"/>
          </w:tcPr>
          <w:p w14:paraId="0962DBF3">
            <w:pPr>
              <w:jc w:val="center"/>
              <w:rPr>
                <w:rFonts w:hint="eastAsia" w:ascii="宋体" w:hAnsi="宋体" w:cs="宋体"/>
                <w:color w:val="auto"/>
                <w:highlight w:val="none"/>
              </w:rPr>
            </w:pPr>
          </w:p>
        </w:tc>
      </w:tr>
      <w:tr w14:paraId="03E78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tcBorders>
              <w:top w:val="single" w:color="auto" w:sz="4" w:space="0"/>
              <w:left w:val="single" w:color="auto" w:sz="4" w:space="0"/>
              <w:bottom w:val="single" w:color="auto" w:sz="4" w:space="0"/>
              <w:right w:val="single" w:color="auto" w:sz="4" w:space="0"/>
            </w:tcBorders>
            <w:vAlign w:val="center"/>
          </w:tcPr>
          <w:p w14:paraId="7CE949D1">
            <w:pPr>
              <w:jc w:val="center"/>
              <w:rPr>
                <w:rFonts w:hint="eastAsia" w:ascii="宋体" w:hAnsi="宋体" w:cs="宋体"/>
                <w:color w:val="auto"/>
                <w:highlight w:val="none"/>
              </w:rPr>
            </w:pPr>
            <w:r>
              <w:rPr>
                <w:rFonts w:hint="eastAsia" w:ascii="宋体" w:hAnsi="宋体" w:cs="宋体"/>
                <w:color w:val="auto"/>
                <w:highlight w:val="none"/>
              </w:rPr>
              <w:t>人员角色</w:t>
            </w:r>
          </w:p>
        </w:tc>
        <w:tc>
          <w:tcPr>
            <w:tcW w:w="1548" w:type="dxa"/>
            <w:gridSpan w:val="2"/>
            <w:tcBorders>
              <w:top w:val="single" w:color="auto" w:sz="4" w:space="0"/>
              <w:left w:val="single" w:color="auto" w:sz="4" w:space="0"/>
              <w:bottom w:val="single" w:color="auto" w:sz="4" w:space="0"/>
              <w:right w:val="single" w:color="auto" w:sz="4" w:space="0"/>
            </w:tcBorders>
            <w:vAlign w:val="center"/>
          </w:tcPr>
          <w:p w14:paraId="38C8CA97">
            <w:pPr>
              <w:jc w:val="center"/>
              <w:rPr>
                <w:rFonts w:hint="eastAsia" w:ascii="宋体" w:hAnsi="宋体" w:cs="宋体"/>
                <w:color w:val="auto"/>
                <w:highlight w:val="none"/>
              </w:rPr>
            </w:pPr>
          </w:p>
        </w:tc>
        <w:tc>
          <w:tcPr>
            <w:tcW w:w="1837" w:type="dxa"/>
            <w:gridSpan w:val="4"/>
            <w:tcBorders>
              <w:top w:val="single" w:color="auto" w:sz="4" w:space="0"/>
              <w:left w:val="single" w:color="auto" w:sz="4" w:space="0"/>
              <w:bottom w:val="single" w:color="auto" w:sz="4" w:space="0"/>
              <w:right w:val="single" w:color="auto" w:sz="4" w:space="0"/>
            </w:tcBorders>
            <w:vAlign w:val="center"/>
          </w:tcPr>
          <w:p w14:paraId="13858C06">
            <w:pPr>
              <w:jc w:val="center"/>
              <w:rPr>
                <w:rFonts w:hint="eastAsia" w:ascii="宋体" w:hAnsi="宋体" w:cs="宋体"/>
                <w:color w:val="auto"/>
                <w:highlight w:val="none"/>
              </w:rPr>
            </w:pPr>
          </w:p>
        </w:tc>
        <w:tc>
          <w:tcPr>
            <w:tcW w:w="1472" w:type="dxa"/>
            <w:gridSpan w:val="3"/>
            <w:tcBorders>
              <w:top w:val="single" w:color="auto" w:sz="4" w:space="0"/>
              <w:left w:val="single" w:color="auto" w:sz="4" w:space="0"/>
              <w:bottom w:val="single" w:color="auto" w:sz="4" w:space="0"/>
              <w:right w:val="single" w:color="auto" w:sz="4" w:space="0"/>
            </w:tcBorders>
            <w:vAlign w:val="center"/>
          </w:tcPr>
          <w:p w14:paraId="409C8D3F">
            <w:pPr>
              <w:jc w:val="center"/>
              <w:rPr>
                <w:rFonts w:hint="eastAsia" w:ascii="宋体" w:hAnsi="宋体" w:cs="宋体"/>
                <w:color w:val="auto"/>
                <w:highlight w:val="none"/>
              </w:rPr>
            </w:pPr>
          </w:p>
        </w:tc>
        <w:tc>
          <w:tcPr>
            <w:tcW w:w="1641" w:type="dxa"/>
            <w:gridSpan w:val="4"/>
            <w:tcBorders>
              <w:top w:val="single" w:color="auto" w:sz="4" w:space="0"/>
              <w:left w:val="single" w:color="auto" w:sz="4" w:space="0"/>
              <w:bottom w:val="single" w:color="auto" w:sz="4" w:space="0"/>
              <w:right w:val="single" w:color="auto" w:sz="4" w:space="0"/>
            </w:tcBorders>
            <w:vAlign w:val="center"/>
          </w:tcPr>
          <w:p w14:paraId="421902C4">
            <w:pPr>
              <w:jc w:val="center"/>
              <w:rPr>
                <w:rFonts w:hint="eastAsia" w:ascii="宋体" w:hAnsi="宋体" w:cs="宋体"/>
                <w:color w:val="auto"/>
                <w:highlight w:val="none"/>
              </w:rPr>
            </w:pPr>
          </w:p>
        </w:tc>
        <w:tc>
          <w:tcPr>
            <w:tcW w:w="1484" w:type="dxa"/>
            <w:gridSpan w:val="2"/>
            <w:tcBorders>
              <w:top w:val="single" w:color="auto" w:sz="4" w:space="0"/>
              <w:left w:val="single" w:color="auto" w:sz="4" w:space="0"/>
              <w:bottom w:val="single" w:color="auto" w:sz="4" w:space="0"/>
              <w:right w:val="single" w:color="auto" w:sz="4" w:space="0"/>
            </w:tcBorders>
            <w:vAlign w:val="center"/>
          </w:tcPr>
          <w:p w14:paraId="50A37240">
            <w:pPr>
              <w:jc w:val="center"/>
              <w:rPr>
                <w:rFonts w:hint="eastAsia" w:ascii="宋体" w:hAnsi="宋体" w:cs="宋体"/>
                <w:color w:val="auto"/>
                <w:highlight w:val="none"/>
              </w:rPr>
            </w:pPr>
          </w:p>
        </w:tc>
      </w:tr>
      <w:tr w14:paraId="7EC06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tcBorders>
              <w:top w:val="single" w:color="auto" w:sz="4" w:space="0"/>
              <w:left w:val="single" w:color="auto" w:sz="4" w:space="0"/>
              <w:bottom w:val="single" w:color="auto" w:sz="4" w:space="0"/>
              <w:right w:val="single" w:color="auto" w:sz="4" w:space="0"/>
            </w:tcBorders>
            <w:vAlign w:val="center"/>
          </w:tcPr>
          <w:p w14:paraId="65E9DC6F">
            <w:pPr>
              <w:jc w:val="center"/>
              <w:rPr>
                <w:rFonts w:hint="eastAsia" w:ascii="宋体" w:hAnsi="宋体" w:cs="宋体"/>
                <w:color w:val="auto"/>
                <w:highlight w:val="none"/>
              </w:rPr>
            </w:pPr>
            <w:r>
              <w:rPr>
                <w:rFonts w:hint="eastAsia" w:ascii="宋体" w:hAnsi="宋体" w:cs="宋体"/>
                <w:color w:val="auto"/>
                <w:highlight w:val="none"/>
              </w:rPr>
              <w:t>在建或已完</w:t>
            </w:r>
          </w:p>
        </w:tc>
        <w:tc>
          <w:tcPr>
            <w:tcW w:w="1548" w:type="dxa"/>
            <w:gridSpan w:val="2"/>
            <w:tcBorders>
              <w:top w:val="single" w:color="auto" w:sz="4" w:space="0"/>
              <w:left w:val="single" w:color="auto" w:sz="4" w:space="0"/>
              <w:bottom w:val="single" w:color="auto" w:sz="4" w:space="0"/>
              <w:right w:val="single" w:color="auto" w:sz="4" w:space="0"/>
            </w:tcBorders>
            <w:vAlign w:val="center"/>
          </w:tcPr>
          <w:p w14:paraId="451447D9">
            <w:pPr>
              <w:jc w:val="center"/>
              <w:rPr>
                <w:rFonts w:hint="eastAsia" w:ascii="宋体" w:hAnsi="宋体" w:cs="宋体"/>
                <w:color w:val="auto"/>
                <w:highlight w:val="none"/>
              </w:rPr>
            </w:pPr>
          </w:p>
        </w:tc>
        <w:tc>
          <w:tcPr>
            <w:tcW w:w="1837" w:type="dxa"/>
            <w:gridSpan w:val="4"/>
            <w:tcBorders>
              <w:top w:val="single" w:color="auto" w:sz="4" w:space="0"/>
              <w:left w:val="single" w:color="auto" w:sz="4" w:space="0"/>
              <w:bottom w:val="single" w:color="auto" w:sz="4" w:space="0"/>
              <w:right w:val="single" w:color="auto" w:sz="4" w:space="0"/>
            </w:tcBorders>
            <w:vAlign w:val="center"/>
          </w:tcPr>
          <w:p w14:paraId="5F96029E">
            <w:pPr>
              <w:jc w:val="center"/>
              <w:rPr>
                <w:rFonts w:hint="eastAsia" w:ascii="宋体" w:hAnsi="宋体" w:cs="宋体"/>
                <w:color w:val="auto"/>
                <w:highlight w:val="none"/>
              </w:rPr>
            </w:pPr>
          </w:p>
        </w:tc>
        <w:tc>
          <w:tcPr>
            <w:tcW w:w="1472" w:type="dxa"/>
            <w:gridSpan w:val="3"/>
            <w:tcBorders>
              <w:top w:val="single" w:color="auto" w:sz="4" w:space="0"/>
              <w:left w:val="single" w:color="auto" w:sz="4" w:space="0"/>
              <w:bottom w:val="single" w:color="auto" w:sz="4" w:space="0"/>
              <w:right w:val="single" w:color="auto" w:sz="4" w:space="0"/>
            </w:tcBorders>
            <w:vAlign w:val="center"/>
          </w:tcPr>
          <w:p w14:paraId="490CC2A9">
            <w:pPr>
              <w:jc w:val="center"/>
              <w:rPr>
                <w:rFonts w:hint="eastAsia" w:ascii="宋体" w:hAnsi="宋体" w:cs="宋体"/>
                <w:color w:val="auto"/>
                <w:highlight w:val="none"/>
              </w:rPr>
            </w:pPr>
          </w:p>
        </w:tc>
        <w:tc>
          <w:tcPr>
            <w:tcW w:w="1641" w:type="dxa"/>
            <w:gridSpan w:val="4"/>
            <w:tcBorders>
              <w:top w:val="single" w:color="auto" w:sz="4" w:space="0"/>
              <w:left w:val="single" w:color="auto" w:sz="4" w:space="0"/>
              <w:bottom w:val="single" w:color="auto" w:sz="4" w:space="0"/>
              <w:right w:val="single" w:color="auto" w:sz="4" w:space="0"/>
            </w:tcBorders>
            <w:vAlign w:val="center"/>
          </w:tcPr>
          <w:p w14:paraId="19CEBC33">
            <w:pPr>
              <w:jc w:val="center"/>
              <w:rPr>
                <w:rFonts w:hint="eastAsia" w:ascii="宋体" w:hAnsi="宋体" w:cs="宋体"/>
                <w:color w:val="auto"/>
                <w:highlight w:val="none"/>
              </w:rPr>
            </w:pPr>
          </w:p>
        </w:tc>
        <w:tc>
          <w:tcPr>
            <w:tcW w:w="1484" w:type="dxa"/>
            <w:gridSpan w:val="2"/>
            <w:tcBorders>
              <w:top w:val="single" w:color="auto" w:sz="4" w:space="0"/>
              <w:left w:val="single" w:color="auto" w:sz="4" w:space="0"/>
              <w:bottom w:val="single" w:color="auto" w:sz="4" w:space="0"/>
              <w:right w:val="single" w:color="auto" w:sz="4" w:space="0"/>
            </w:tcBorders>
            <w:vAlign w:val="center"/>
          </w:tcPr>
          <w:p w14:paraId="65E28668">
            <w:pPr>
              <w:jc w:val="center"/>
              <w:rPr>
                <w:rFonts w:hint="eastAsia" w:ascii="宋体" w:hAnsi="宋体" w:cs="宋体"/>
                <w:color w:val="auto"/>
                <w:highlight w:val="none"/>
              </w:rPr>
            </w:pPr>
          </w:p>
        </w:tc>
      </w:tr>
      <w:tr w14:paraId="3C9BB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tcBorders>
              <w:top w:val="single" w:color="auto" w:sz="4" w:space="0"/>
              <w:left w:val="single" w:color="auto" w:sz="4" w:space="0"/>
              <w:bottom w:val="single" w:color="auto" w:sz="4" w:space="0"/>
              <w:right w:val="single" w:color="auto" w:sz="4" w:space="0"/>
            </w:tcBorders>
            <w:vAlign w:val="center"/>
          </w:tcPr>
          <w:p w14:paraId="1DBD4E9C">
            <w:pPr>
              <w:jc w:val="center"/>
              <w:rPr>
                <w:rFonts w:hint="eastAsia" w:ascii="宋体" w:hAnsi="宋体" w:cs="宋体"/>
                <w:color w:val="auto"/>
                <w:highlight w:val="none"/>
              </w:rPr>
            </w:pPr>
            <w:r>
              <w:rPr>
                <w:rFonts w:hint="eastAsia" w:ascii="宋体" w:hAnsi="宋体" w:cs="宋体"/>
                <w:color w:val="auto"/>
                <w:highlight w:val="none"/>
              </w:rPr>
              <w:t>工程质量</w:t>
            </w:r>
          </w:p>
        </w:tc>
        <w:tc>
          <w:tcPr>
            <w:tcW w:w="1548" w:type="dxa"/>
            <w:gridSpan w:val="2"/>
            <w:tcBorders>
              <w:top w:val="single" w:color="auto" w:sz="4" w:space="0"/>
              <w:left w:val="single" w:color="auto" w:sz="4" w:space="0"/>
              <w:bottom w:val="single" w:color="auto" w:sz="4" w:space="0"/>
              <w:right w:val="single" w:color="auto" w:sz="4" w:space="0"/>
            </w:tcBorders>
            <w:vAlign w:val="center"/>
          </w:tcPr>
          <w:p w14:paraId="42FF3BAE">
            <w:pPr>
              <w:jc w:val="center"/>
              <w:rPr>
                <w:rFonts w:hint="eastAsia" w:ascii="宋体" w:hAnsi="宋体" w:cs="宋体"/>
                <w:color w:val="auto"/>
                <w:highlight w:val="none"/>
              </w:rPr>
            </w:pPr>
          </w:p>
        </w:tc>
        <w:tc>
          <w:tcPr>
            <w:tcW w:w="1837" w:type="dxa"/>
            <w:gridSpan w:val="4"/>
            <w:tcBorders>
              <w:top w:val="single" w:color="auto" w:sz="4" w:space="0"/>
              <w:left w:val="single" w:color="auto" w:sz="4" w:space="0"/>
              <w:bottom w:val="single" w:color="auto" w:sz="4" w:space="0"/>
              <w:right w:val="single" w:color="auto" w:sz="4" w:space="0"/>
            </w:tcBorders>
            <w:vAlign w:val="center"/>
          </w:tcPr>
          <w:p w14:paraId="72B6E014">
            <w:pPr>
              <w:jc w:val="center"/>
              <w:rPr>
                <w:rFonts w:hint="eastAsia" w:ascii="宋体" w:hAnsi="宋体" w:cs="宋体"/>
                <w:color w:val="auto"/>
                <w:highlight w:val="none"/>
              </w:rPr>
            </w:pPr>
          </w:p>
        </w:tc>
        <w:tc>
          <w:tcPr>
            <w:tcW w:w="1472" w:type="dxa"/>
            <w:gridSpan w:val="3"/>
            <w:tcBorders>
              <w:top w:val="single" w:color="auto" w:sz="4" w:space="0"/>
              <w:left w:val="single" w:color="auto" w:sz="4" w:space="0"/>
              <w:bottom w:val="single" w:color="auto" w:sz="4" w:space="0"/>
              <w:right w:val="single" w:color="auto" w:sz="4" w:space="0"/>
            </w:tcBorders>
            <w:vAlign w:val="center"/>
          </w:tcPr>
          <w:p w14:paraId="692691F1">
            <w:pPr>
              <w:jc w:val="center"/>
              <w:rPr>
                <w:rFonts w:hint="eastAsia" w:ascii="宋体" w:hAnsi="宋体" w:cs="宋体"/>
                <w:color w:val="auto"/>
                <w:highlight w:val="none"/>
              </w:rPr>
            </w:pPr>
          </w:p>
        </w:tc>
        <w:tc>
          <w:tcPr>
            <w:tcW w:w="1641" w:type="dxa"/>
            <w:gridSpan w:val="4"/>
            <w:tcBorders>
              <w:top w:val="single" w:color="auto" w:sz="4" w:space="0"/>
              <w:left w:val="single" w:color="auto" w:sz="4" w:space="0"/>
              <w:bottom w:val="single" w:color="auto" w:sz="4" w:space="0"/>
              <w:right w:val="single" w:color="auto" w:sz="4" w:space="0"/>
            </w:tcBorders>
            <w:vAlign w:val="center"/>
          </w:tcPr>
          <w:p w14:paraId="1E34E236">
            <w:pPr>
              <w:jc w:val="center"/>
              <w:rPr>
                <w:rFonts w:hint="eastAsia" w:ascii="宋体" w:hAnsi="宋体" w:cs="宋体"/>
                <w:color w:val="auto"/>
                <w:highlight w:val="none"/>
              </w:rPr>
            </w:pPr>
          </w:p>
        </w:tc>
        <w:tc>
          <w:tcPr>
            <w:tcW w:w="1484" w:type="dxa"/>
            <w:gridSpan w:val="2"/>
            <w:tcBorders>
              <w:top w:val="single" w:color="auto" w:sz="4" w:space="0"/>
              <w:left w:val="single" w:color="auto" w:sz="4" w:space="0"/>
              <w:bottom w:val="single" w:color="auto" w:sz="4" w:space="0"/>
              <w:right w:val="single" w:color="auto" w:sz="4" w:space="0"/>
            </w:tcBorders>
            <w:vAlign w:val="center"/>
          </w:tcPr>
          <w:p w14:paraId="2151056E">
            <w:pPr>
              <w:jc w:val="center"/>
              <w:rPr>
                <w:rFonts w:hint="eastAsia" w:ascii="宋体" w:hAnsi="宋体" w:cs="宋体"/>
                <w:color w:val="auto"/>
                <w:highlight w:val="none"/>
              </w:rPr>
            </w:pPr>
          </w:p>
        </w:tc>
      </w:tr>
      <w:tr w14:paraId="2CF83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tcBorders>
              <w:top w:val="single" w:color="auto" w:sz="4" w:space="0"/>
              <w:left w:val="single" w:color="auto" w:sz="4" w:space="0"/>
              <w:bottom w:val="single" w:color="auto" w:sz="4" w:space="0"/>
              <w:right w:val="single" w:color="auto" w:sz="4" w:space="0"/>
            </w:tcBorders>
            <w:vAlign w:val="center"/>
          </w:tcPr>
          <w:p w14:paraId="5EEF4823">
            <w:pPr>
              <w:jc w:val="center"/>
              <w:rPr>
                <w:rFonts w:hint="eastAsia" w:ascii="宋体" w:hAnsi="宋体" w:cs="宋体"/>
                <w:color w:val="auto"/>
                <w:highlight w:val="none"/>
              </w:rPr>
            </w:pPr>
            <w:r>
              <w:rPr>
                <w:rFonts w:hint="eastAsia" w:ascii="宋体" w:hAnsi="宋体" w:cs="宋体"/>
                <w:color w:val="auto"/>
                <w:highlight w:val="none"/>
              </w:rPr>
              <w:t>受奖情况</w:t>
            </w:r>
          </w:p>
        </w:tc>
        <w:tc>
          <w:tcPr>
            <w:tcW w:w="1548" w:type="dxa"/>
            <w:gridSpan w:val="2"/>
            <w:tcBorders>
              <w:top w:val="single" w:color="auto" w:sz="4" w:space="0"/>
              <w:left w:val="single" w:color="auto" w:sz="4" w:space="0"/>
              <w:bottom w:val="single" w:color="auto" w:sz="4" w:space="0"/>
              <w:right w:val="single" w:color="auto" w:sz="4" w:space="0"/>
            </w:tcBorders>
            <w:vAlign w:val="center"/>
          </w:tcPr>
          <w:p w14:paraId="469E37DB">
            <w:pPr>
              <w:jc w:val="center"/>
              <w:rPr>
                <w:rFonts w:hint="eastAsia" w:ascii="宋体" w:hAnsi="宋体" w:cs="宋体"/>
                <w:color w:val="auto"/>
                <w:highlight w:val="none"/>
              </w:rPr>
            </w:pPr>
          </w:p>
        </w:tc>
        <w:tc>
          <w:tcPr>
            <w:tcW w:w="1837" w:type="dxa"/>
            <w:gridSpan w:val="4"/>
            <w:tcBorders>
              <w:top w:val="single" w:color="auto" w:sz="4" w:space="0"/>
              <w:left w:val="single" w:color="auto" w:sz="4" w:space="0"/>
              <w:bottom w:val="single" w:color="auto" w:sz="4" w:space="0"/>
              <w:right w:val="single" w:color="auto" w:sz="4" w:space="0"/>
            </w:tcBorders>
            <w:vAlign w:val="center"/>
          </w:tcPr>
          <w:p w14:paraId="5827A542">
            <w:pPr>
              <w:jc w:val="center"/>
              <w:rPr>
                <w:rFonts w:hint="eastAsia" w:ascii="宋体" w:hAnsi="宋体" w:cs="宋体"/>
                <w:color w:val="auto"/>
                <w:highlight w:val="none"/>
              </w:rPr>
            </w:pPr>
          </w:p>
        </w:tc>
        <w:tc>
          <w:tcPr>
            <w:tcW w:w="1472" w:type="dxa"/>
            <w:gridSpan w:val="3"/>
            <w:tcBorders>
              <w:top w:val="single" w:color="auto" w:sz="4" w:space="0"/>
              <w:left w:val="single" w:color="auto" w:sz="4" w:space="0"/>
              <w:bottom w:val="single" w:color="auto" w:sz="4" w:space="0"/>
              <w:right w:val="single" w:color="auto" w:sz="4" w:space="0"/>
            </w:tcBorders>
            <w:vAlign w:val="center"/>
          </w:tcPr>
          <w:p w14:paraId="451C6939">
            <w:pPr>
              <w:jc w:val="center"/>
              <w:rPr>
                <w:rFonts w:hint="eastAsia" w:ascii="宋体" w:hAnsi="宋体" w:cs="宋体"/>
                <w:color w:val="auto"/>
                <w:highlight w:val="none"/>
              </w:rPr>
            </w:pPr>
          </w:p>
        </w:tc>
        <w:tc>
          <w:tcPr>
            <w:tcW w:w="1641" w:type="dxa"/>
            <w:gridSpan w:val="4"/>
            <w:tcBorders>
              <w:top w:val="single" w:color="auto" w:sz="4" w:space="0"/>
              <w:left w:val="single" w:color="auto" w:sz="4" w:space="0"/>
              <w:bottom w:val="single" w:color="auto" w:sz="4" w:space="0"/>
              <w:right w:val="single" w:color="auto" w:sz="4" w:space="0"/>
            </w:tcBorders>
            <w:vAlign w:val="center"/>
          </w:tcPr>
          <w:p w14:paraId="0DB5CBDB">
            <w:pPr>
              <w:jc w:val="center"/>
              <w:rPr>
                <w:rFonts w:hint="eastAsia" w:ascii="宋体" w:hAnsi="宋体" w:cs="宋体"/>
                <w:color w:val="auto"/>
                <w:highlight w:val="none"/>
              </w:rPr>
            </w:pPr>
          </w:p>
        </w:tc>
        <w:tc>
          <w:tcPr>
            <w:tcW w:w="1484" w:type="dxa"/>
            <w:gridSpan w:val="2"/>
            <w:tcBorders>
              <w:top w:val="single" w:color="auto" w:sz="4" w:space="0"/>
              <w:left w:val="single" w:color="auto" w:sz="4" w:space="0"/>
              <w:bottom w:val="single" w:color="auto" w:sz="4" w:space="0"/>
              <w:right w:val="single" w:color="auto" w:sz="4" w:space="0"/>
            </w:tcBorders>
            <w:vAlign w:val="center"/>
          </w:tcPr>
          <w:p w14:paraId="42E1BFB2">
            <w:pPr>
              <w:jc w:val="center"/>
              <w:rPr>
                <w:rFonts w:hint="eastAsia" w:ascii="宋体" w:hAnsi="宋体" w:cs="宋体"/>
                <w:color w:val="auto"/>
                <w:highlight w:val="none"/>
              </w:rPr>
            </w:pPr>
          </w:p>
        </w:tc>
      </w:tr>
    </w:tbl>
    <w:p w14:paraId="307E07E6">
      <w:pPr>
        <w:rPr>
          <w:rFonts w:hint="eastAsia" w:ascii="宋体" w:hAnsi="宋体" w:cs="宋体"/>
          <w:color w:val="auto"/>
          <w:szCs w:val="21"/>
          <w:highlight w:val="none"/>
        </w:rPr>
      </w:pPr>
      <w:r>
        <w:rPr>
          <w:rFonts w:hint="eastAsia" w:ascii="宋体" w:hAnsi="宋体" w:cs="宋体"/>
          <w:color w:val="auto"/>
          <w:szCs w:val="21"/>
          <w:highlight w:val="none"/>
        </w:rPr>
        <w:t>备注：</w:t>
      </w:r>
    </w:p>
    <w:p w14:paraId="22061EB8">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1.项目数可以根据需要增加。</w:t>
      </w:r>
    </w:p>
    <w:p w14:paraId="62C217E3">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2.本表后附项目经理的学历证（如有）、安全生产考核合格证（B类）、本表所列证书复印件、属于本单位人员的证明材料并加盖供应商电子签章。</w:t>
      </w:r>
    </w:p>
    <w:p w14:paraId="072C5E3B">
      <w:pPr>
        <w:spacing w:before="120"/>
        <w:ind w:firstLine="643"/>
        <w:jc w:val="center"/>
        <w:rPr>
          <w:rFonts w:hint="eastAsia" w:ascii="宋体" w:hAnsi="宋体" w:cs="宋体"/>
          <w:color w:val="auto"/>
          <w:sz w:val="28"/>
          <w:szCs w:val="28"/>
          <w:highlight w:val="none"/>
          <w:u w:val="single"/>
        </w:rPr>
      </w:pPr>
      <w:r>
        <w:rPr>
          <w:rFonts w:hint="eastAsia" w:ascii="宋体" w:hAnsi="宋体" w:cs="宋体"/>
          <w:b/>
          <w:color w:val="auto"/>
          <w:sz w:val="32"/>
          <w:szCs w:val="32"/>
          <w:highlight w:val="none"/>
        </w:rPr>
        <w:br w:type="page" w:clear="all"/>
      </w:r>
      <w:r>
        <w:rPr>
          <w:rFonts w:hint="eastAsia" w:ascii="宋体" w:hAnsi="宋体" w:cs="宋体"/>
          <w:b/>
          <w:color w:val="auto"/>
          <w:sz w:val="28"/>
          <w:szCs w:val="28"/>
          <w:highlight w:val="none"/>
        </w:rPr>
        <w:t>项目总工简历表</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4"/>
        <w:gridCol w:w="164"/>
        <w:gridCol w:w="308"/>
        <w:gridCol w:w="880"/>
        <w:gridCol w:w="668"/>
        <w:gridCol w:w="320"/>
        <w:gridCol w:w="234"/>
        <w:gridCol w:w="66"/>
        <w:gridCol w:w="1217"/>
        <w:gridCol w:w="134"/>
        <w:gridCol w:w="242"/>
        <w:gridCol w:w="1096"/>
        <w:gridCol w:w="80"/>
        <w:gridCol w:w="409"/>
        <w:gridCol w:w="1108"/>
        <w:gridCol w:w="44"/>
        <w:gridCol w:w="71"/>
        <w:gridCol w:w="1413"/>
        <w:gridCol w:w="11"/>
      </w:tblGrid>
      <w:tr w14:paraId="743A8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54" w:type="dxa"/>
            <w:tcBorders>
              <w:top w:val="single" w:color="auto" w:sz="4" w:space="0"/>
              <w:left w:val="single" w:color="auto" w:sz="4" w:space="0"/>
              <w:bottom w:val="single" w:color="auto" w:sz="4" w:space="0"/>
              <w:right w:val="single" w:color="auto" w:sz="4" w:space="0"/>
            </w:tcBorders>
            <w:vAlign w:val="center"/>
          </w:tcPr>
          <w:p w14:paraId="418CF308">
            <w:pPr>
              <w:jc w:val="center"/>
              <w:rPr>
                <w:rFonts w:hint="eastAsia" w:ascii="宋体" w:hAnsi="宋体" w:cs="宋体"/>
                <w:color w:val="auto"/>
                <w:highlight w:val="none"/>
              </w:rPr>
            </w:pPr>
            <w:r>
              <w:rPr>
                <w:rFonts w:hint="eastAsia" w:ascii="宋体" w:hAnsi="宋体" w:cs="宋体"/>
                <w:color w:val="auto"/>
                <w:highlight w:val="none"/>
              </w:rPr>
              <w:t>姓名</w:t>
            </w:r>
          </w:p>
        </w:tc>
        <w:tc>
          <w:tcPr>
            <w:tcW w:w="2340" w:type="dxa"/>
            <w:gridSpan w:val="5"/>
            <w:tcBorders>
              <w:top w:val="single" w:color="auto" w:sz="4" w:space="0"/>
              <w:left w:val="single" w:color="auto" w:sz="4" w:space="0"/>
              <w:bottom w:val="single" w:color="auto" w:sz="4" w:space="0"/>
              <w:right w:val="single" w:color="auto" w:sz="4" w:space="0"/>
            </w:tcBorders>
            <w:vAlign w:val="center"/>
          </w:tcPr>
          <w:p w14:paraId="48FDFB03">
            <w:pPr>
              <w:jc w:val="center"/>
              <w:rPr>
                <w:rFonts w:hint="eastAsia" w:ascii="宋体" w:hAnsi="宋体" w:cs="宋体"/>
                <w:color w:val="auto"/>
                <w:highlight w:val="none"/>
              </w:rPr>
            </w:pPr>
          </w:p>
        </w:tc>
        <w:tc>
          <w:tcPr>
            <w:tcW w:w="1893" w:type="dxa"/>
            <w:gridSpan w:val="5"/>
            <w:tcBorders>
              <w:top w:val="single" w:color="auto" w:sz="4" w:space="0"/>
              <w:left w:val="single" w:color="auto" w:sz="4" w:space="0"/>
              <w:bottom w:val="single" w:color="auto" w:sz="4" w:space="0"/>
              <w:right w:val="single" w:color="auto" w:sz="4" w:space="0"/>
            </w:tcBorders>
            <w:vAlign w:val="center"/>
          </w:tcPr>
          <w:p w14:paraId="44387CC9">
            <w:pPr>
              <w:jc w:val="center"/>
              <w:rPr>
                <w:rFonts w:hint="eastAsia" w:ascii="宋体" w:hAnsi="宋体" w:cs="宋体"/>
                <w:color w:val="auto"/>
                <w:highlight w:val="none"/>
              </w:rPr>
            </w:pPr>
            <w:r>
              <w:rPr>
                <w:rFonts w:hint="eastAsia" w:ascii="宋体" w:hAnsi="宋体" w:cs="宋体"/>
                <w:color w:val="auto"/>
                <w:highlight w:val="none"/>
              </w:rPr>
              <w:t>性别</w:t>
            </w:r>
          </w:p>
        </w:tc>
        <w:tc>
          <w:tcPr>
            <w:tcW w:w="1585" w:type="dxa"/>
            <w:gridSpan w:val="3"/>
            <w:tcBorders>
              <w:top w:val="single" w:color="auto" w:sz="4" w:space="0"/>
              <w:left w:val="single" w:color="auto" w:sz="4" w:space="0"/>
              <w:bottom w:val="single" w:color="auto" w:sz="4" w:space="0"/>
              <w:right w:val="single" w:color="auto" w:sz="4" w:space="0"/>
            </w:tcBorders>
            <w:vAlign w:val="center"/>
          </w:tcPr>
          <w:p w14:paraId="6986DCE8">
            <w:pPr>
              <w:jc w:val="center"/>
              <w:rPr>
                <w:rFonts w:hint="eastAsia" w:ascii="宋体" w:hAnsi="宋体" w:cs="宋体"/>
                <w:color w:val="auto"/>
                <w:highlight w:val="none"/>
              </w:rPr>
            </w:pPr>
          </w:p>
        </w:tc>
        <w:tc>
          <w:tcPr>
            <w:tcW w:w="1108" w:type="dxa"/>
            <w:tcBorders>
              <w:top w:val="single" w:color="auto" w:sz="4" w:space="0"/>
              <w:left w:val="single" w:color="auto" w:sz="4" w:space="0"/>
              <w:bottom w:val="single" w:color="auto" w:sz="4" w:space="0"/>
              <w:right w:val="single" w:color="auto" w:sz="4" w:space="0"/>
            </w:tcBorders>
            <w:vAlign w:val="center"/>
          </w:tcPr>
          <w:p w14:paraId="52A58CB0">
            <w:pPr>
              <w:jc w:val="center"/>
              <w:rPr>
                <w:rFonts w:hint="eastAsia" w:ascii="宋体" w:hAnsi="宋体" w:cs="宋体"/>
                <w:color w:val="auto"/>
                <w:highlight w:val="none"/>
              </w:rPr>
            </w:pPr>
            <w:r>
              <w:rPr>
                <w:rFonts w:hint="eastAsia" w:ascii="宋体" w:hAnsi="宋体" w:cs="宋体"/>
                <w:color w:val="auto"/>
                <w:highlight w:val="none"/>
              </w:rPr>
              <w:t>年龄</w:t>
            </w:r>
          </w:p>
        </w:tc>
        <w:tc>
          <w:tcPr>
            <w:tcW w:w="1531" w:type="dxa"/>
            <w:gridSpan w:val="4"/>
            <w:tcBorders>
              <w:top w:val="single" w:color="auto" w:sz="4" w:space="0"/>
              <w:left w:val="single" w:color="auto" w:sz="4" w:space="0"/>
              <w:bottom w:val="single" w:color="auto" w:sz="4" w:space="0"/>
              <w:right w:val="single" w:color="auto" w:sz="4" w:space="0"/>
            </w:tcBorders>
            <w:vAlign w:val="center"/>
          </w:tcPr>
          <w:p w14:paraId="2AA0A8F1">
            <w:pPr>
              <w:jc w:val="center"/>
              <w:rPr>
                <w:rFonts w:hint="eastAsia" w:ascii="宋体" w:hAnsi="宋体" w:cs="宋体"/>
                <w:color w:val="auto"/>
                <w:highlight w:val="none"/>
              </w:rPr>
            </w:pPr>
          </w:p>
        </w:tc>
      </w:tr>
      <w:tr w14:paraId="6E3A3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154" w:type="dxa"/>
            <w:tcBorders>
              <w:top w:val="single" w:color="auto" w:sz="4" w:space="0"/>
              <w:left w:val="single" w:color="auto" w:sz="4" w:space="0"/>
              <w:bottom w:val="single" w:color="auto" w:sz="4" w:space="0"/>
              <w:right w:val="single" w:color="auto" w:sz="4" w:space="0"/>
            </w:tcBorders>
            <w:vAlign w:val="center"/>
          </w:tcPr>
          <w:p w14:paraId="289434E5">
            <w:pPr>
              <w:jc w:val="center"/>
              <w:rPr>
                <w:rFonts w:hint="eastAsia" w:ascii="宋体" w:hAnsi="宋体" w:cs="宋体"/>
                <w:color w:val="auto"/>
                <w:highlight w:val="none"/>
              </w:rPr>
            </w:pPr>
            <w:r>
              <w:rPr>
                <w:rFonts w:hint="eastAsia" w:ascii="宋体" w:hAnsi="宋体" w:cs="宋体"/>
                <w:color w:val="auto"/>
                <w:highlight w:val="none"/>
              </w:rPr>
              <w:t>岗位</w:t>
            </w:r>
          </w:p>
        </w:tc>
        <w:tc>
          <w:tcPr>
            <w:tcW w:w="2340" w:type="dxa"/>
            <w:gridSpan w:val="5"/>
            <w:tcBorders>
              <w:top w:val="single" w:color="auto" w:sz="4" w:space="0"/>
              <w:left w:val="single" w:color="auto" w:sz="4" w:space="0"/>
              <w:bottom w:val="single" w:color="auto" w:sz="4" w:space="0"/>
              <w:right w:val="single" w:color="auto" w:sz="4" w:space="0"/>
            </w:tcBorders>
            <w:vAlign w:val="center"/>
          </w:tcPr>
          <w:p w14:paraId="6D863EAB">
            <w:pPr>
              <w:jc w:val="center"/>
              <w:rPr>
                <w:rFonts w:hint="eastAsia" w:ascii="宋体" w:hAnsi="宋体" w:cs="宋体"/>
                <w:color w:val="auto"/>
                <w:highlight w:val="none"/>
              </w:rPr>
            </w:pPr>
            <w:r>
              <w:rPr>
                <w:rFonts w:hint="eastAsia" w:ascii="宋体" w:hAnsi="宋体" w:cs="宋体"/>
                <w:color w:val="auto"/>
                <w:highlight w:val="none"/>
              </w:rPr>
              <w:t>项目总工</w:t>
            </w:r>
          </w:p>
        </w:tc>
        <w:tc>
          <w:tcPr>
            <w:tcW w:w="1893" w:type="dxa"/>
            <w:gridSpan w:val="5"/>
            <w:tcBorders>
              <w:top w:val="single" w:color="auto" w:sz="4" w:space="0"/>
              <w:left w:val="single" w:color="auto" w:sz="4" w:space="0"/>
              <w:bottom w:val="single" w:color="auto" w:sz="4" w:space="0"/>
              <w:right w:val="single" w:color="auto" w:sz="4" w:space="0"/>
            </w:tcBorders>
            <w:vAlign w:val="center"/>
          </w:tcPr>
          <w:p w14:paraId="24E52672">
            <w:pPr>
              <w:jc w:val="center"/>
              <w:rPr>
                <w:rFonts w:hint="eastAsia" w:ascii="宋体" w:hAnsi="宋体" w:cs="宋体"/>
                <w:color w:val="auto"/>
                <w:highlight w:val="none"/>
              </w:rPr>
            </w:pPr>
            <w:r>
              <w:rPr>
                <w:rFonts w:hint="eastAsia" w:ascii="宋体" w:hAnsi="宋体" w:cs="宋体"/>
                <w:color w:val="auto"/>
                <w:highlight w:val="none"/>
              </w:rPr>
              <w:t>职称</w:t>
            </w:r>
          </w:p>
        </w:tc>
        <w:tc>
          <w:tcPr>
            <w:tcW w:w="1585" w:type="dxa"/>
            <w:gridSpan w:val="3"/>
            <w:tcBorders>
              <w:top w:val="single" w:color="auto" w:sz="4" w:space="0"/>
              <w:left w:val="single" w:color="auto" w:sz="4" w:space="0"/>
              <w:bottom w:val="single" w:color="auto" w:sz="4" w:space="0"/>
              <w:right w:val="single" w:color="auto" w:sz="4" w:space="0"/>
            </w:tcBorders>
            <w:vAlign w:val="center"/>
          </w:tcPr>
          <w:p w14:paraId="6DEDD993">
            <w:pPr>
              <w:jc w:val="center"/>
              <w:rPr>
                <w:rFonts w:hint="eastAsia" w:ascii="宋体" w:hAnsi="宋体" w:cs="宋体"/>
                <w:color w:val="auto"/>
                <w:highlight w:val="none"/>
              </w:rPr>
            </w:pPr>
          </w:p>
        </w:tc>
        <w:tc>
          <w:tcPr>
            <w:tcW w:w="1108" w:type="dxa"/>
            <w:tcBorders>
              <w:top w:val="single" w:color="auto" w:sz="4" w:space="0"/>
              <w:left w:val="single" w:color="auto" w:sz="4" w:space="0"/>
              <w:bottom w:val="single" w:color="auto" w:sz="4" w:space="0"/>
              <w:right w:val="single" w:color="auto" w:sz="4" w:space="0"/>
            </w:tcBorders>
            <w:vAlign w:val="center"/>
          </w:tcPr>
          <w:p w14:paraId="28C028FE">
            <w:pPr>
              <w:jc w:val="center"/>
              <w:rPr>
                <w:rFonts w:hint="eastAsia" w:ascii="宋体" w:hAnsi="宋体" w:cs="宋体"/>
                <w:color w:val="auto"/>
                <w:highlight w:val="none"/>
              </w:rPr>
            </w:pPr>
            <w:r>
              <w:rPr>
                <w:rFonts w:hint="eastAsia" w:ascii="宋体" w:hAnsi="宋体" w:cs="宋体"/>
                <w:color w:val="auto"/>
                <w:highlight w:val="none"/>
              </w:rPr>
              <w:t>学历</w:t>
            </w:r>
          </w:p>
        </w:tc>
        <w:tc>
          <w:tcPr>
            <w:tcW w:w="1531" w:type="dxa"/>
            <w:gridSpan w:val="4"/>
            <w:tcBorders>
              <w:top w:val="single" w:color="auto" w:sz="4" w:space="0"/>
              <w:left w:val="single" w:color="auto" w:sz="4" w:space="0"/>
              <w:bottom w:val="single" w:color="auto" w:sz="4" w:space="0"/>
              <w:right w:val="single" w:color="auto" w:sz="4" w:space="0"/>
            </w:tcBorders>
            <w:vAlign w:val="center"/>
          </w:tcPr>
          <w:p w14:paraId="65DDE0D2">
            <w:pPr>
              <w:jc w:val="center"/>
              <w:rPr>
                <w:rFonts w:hint="eastAsia" w:ascii="宋体" w:hAnsi="宋体" w:cs="宋体"/>
                <w:color w:val="auto"/>
                <w:highlight w:val="none"/>
              </w:rPr>
            </w:pPr>
          </w:p>
        </w:tc>
      </w:tr>
      <w:tr w14:paraId="5303B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154" w:type="dxa"/>
            <w:tcBorders>
              <w:top w:val="single" w:color="auto" w:sz="4" w:space="0"/>
              <w:left w:val="single" w:color="auto" w:sz="4" w:space="0"/>
              <w:bottom w:val="single" w:color="auto" w:sz="4" w:space="0"/>
              <w:right w:val="single" w:color="auto" w:sz="4" w:space="0"/>
            </w:tcBorders>
            <w:vAlign w:val="center"/>
          </w:tcPr>
          <w:p w14:paraId="7DCB270A">
            <w:pPr>
              <w:jc w:val="center"/>
              <w:rPr>
                <w:rFonts w:hint="eastAsia" w:ascii="宋体" w:hAnsi="宋体" w:cs="宋体"/>
                <w:color w:val="auto"/>
                <w:highlight w:val="none"/>
              </w:rPr>
            </w:pPr>
            <w:r>
              <w:rPr>
                <w:rFonts w:hint="eastAsia" w:ascii="宋体" w:hAnsi="宋体" w:cs="宋体"/>
                <w:color w:val="auto"/>
                <w:highlight w:val="none"/>
              </w:rPr>
              <w:t>从业开始时间</w:t>
            </w:r>
          </w:p>
        </w:tc>
        <w:tc>
          <w:tcPr>
            <w:tcW w:w="2340" w:type="dxa"/>
            <w:gridSpan w:val="5"/>
            <w:tcBorders>
              <w:top w:val="single" w:color="auto" w:sz="4" w:space="0"/>
              <w:left w:val="single" w:color="auto" w:sz="4" w:space="0"/>
              <w:bottom w:val="single" w:color="auto" w:sz="4" w:space="0"/>
              <w:right w:val="single" w:color="auto" w:sz="4" w:space="0"/>
            </w:tcBorders>
            <w:vAlign w:val="center"/>
          </w:tcPr>
          <w:p w14:paraId="0A4A29E8">
            <w:pPr>
              <w:jc w:val="center"/>
              <w:rPr>
                <w:rFonts w:hint="eastAsia" w:ascii="宋体" w:hAnsi="宋体" w:cs="宋体"/>
                <w:color w:val="auto"/>
                <w:highlight w:val="none"/>
              </w:rPr>
            </w:pPr>
          </w:p>
        </w:tc>
        <w:tc>
          <w:tcPr>
            <w:tcW w:w="1893" w:type="dxa"/>
            <w:gridSpan w:val="5"/>
            <w:tcBorders>
              <w:top w:val="single" w:color="auto" w:sz="4" w:space="0"/>
              <w:left w:val="single" w:color="auto" w:sz="4" w:space="0"/>
              <w:bottom w:val="single" w:color="auto" w:sz="4" w:space="0"/>
              <w:right w:val="single" w:color="auto" w:sz="4" w:space="0"/>
            </w:tcBorders>
            <w:vAlign w:val="center"/>
          </w:tcPr>
          <w:p w14:paraId="33074F3E">
            <w:pPr>
              <w:jc w:val="center"/>
              <w:rPr>
                <w:rFonts w:hint="eastAsia" w:ascii="宋体" w:hAnsi="宋体" w:cs="宋体"/>
                <w:color w:val="auto"/>
                <w:highlight w:val="none"/>
              </w:rPr>
            </w:pPr>
            <w:r>
              <w:rPr>
                <w:rFonts w:hint="eastAsia" w:ascii="宋体" w:hAnsi="宋体" w:cs="宋体"/>
                <w:color w:val="auto"/>
                <w:highlight w:val="none"/>
              </w:rPr>
              <w:t>职称获得时间</w:t>
            </w:r>
          </w:p>
        </w:tc>
        <w:tc>
          <w:tcPr>
            <w:tcW w:w="1585" w:type="dxa"/>
            <w:gridSpan w:val="3"/>
            <w:tcBorders>
              <w:top w:val="single" w:color="auto" w:sz="4" w:space="0"/>
              <w:left w:val="single" w:color="auto" w:sz="4" w:space="0"/>
              <w:bottom w:val="single" w:color="auto" w:sz="4" w:space="0"/>
              <w:right w:val="single" w:color="auto" w:sz="4" w:space="0"/>
            </w:tcBorders>
            <w:vAlign w:val="center"/>
          </w:tcPr>
          <w:p w14:paraId="2E900ABE">
            <w:pPr>
              <w:jc w:val="center"/>
              <w:rPr>
                <w:rFonts w:hint="eastAsia" w:ascii="宋体" w:hAnsi="宋体" w:cs="宋体"/>
                <w:color w:val="auto"/>
                <w:highlight w:val="none"/>
              </w:rPr>
            </w:pPr>
          </w:p>
        </w:tc>
        <w:tc>
          <w:tcPr>
            <w:tcW w:w="1108" w:type="dxa"/>
            <w:tcBorders>
              <w:top w:val="single" w:color="auto" w:sz="4" w:space="0"/>
              <w:left w:val="single" w:color="auto" w:sz="4" w:space="0"/>
              <w:bottom w:val="single" w:color="auto" w:sz="4" w:space="0"/>
              <w:right w:val="single" w:color="auto" w:sz="4" w:space="0"/>
            </w:tcBorders>
            <w:vAlign w:val="center"/>
          </w:tcPr>
          <w:p w14:paraId="6CCE1D92">
            <w:pPr>
              <w:jc w:val="center"/>
              <w:rPr>
                <w:rFonts w:hint="eastAsia" w:ascii="宋体" w:hAnsi="宋体" w:cs="宋体"/>
                <w:color w:val="auto"/>
                <w:highlight w:val="none"/>
              </w:rPr>
            </w:pPr>
            <w:r>
              <w:rPr>
                <w:rFonts w:hint="eastAsia" w:ascii="宋体" w:hAnsi="宋体" w:cs="宋体"/>
                <w:color w:val="auto"/>
                <w:highlight w:val="none"/>
              </w:rPr>
              <w:t>毕业时间</w:t>
            </w:r>
          </w:p>
        </w:tc>
        <w:tc>
          <w:tcPr>
            <w:tcW w:w="1531" w:type="dxa"/>
            <w:gridSpan w:val="4"/>
            <w:tcBorders>
              <w:top w:val="single" w:color="auto" w:sz="4" w:space="0"/>
              <w:left w:val="single" w:color="auto" w:sz="4" w:space="0"/>
              <w:bottom w:val="single" w:color="auto" w:sz="4" w:space="0"/>
              <w:right w:val="single" w:color="auto" w:sz="4" w:space="0"/>
            </w:tcBorders>
            <w:vAlign w:val="center"/>
          </w:tcPr>
          <w:p w14:paraId="08B66B2C">
            <w:pPr>
              <w:jc w:val="center"/>
              <w:rPr>
                <w:rFonts w:hint="eastAsia" w:ascii="宋体" w:hAnsi="宋体" w:cs="宋体"/>
                <w:color w:val="auto"/>
                <w:highlight w:val="none"/>
              </w:rPr>
            </w:pPr>
          </w:p>
        </w:tc>
      </w:tr>
      <w:tr w14:paraId="5B345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18" w:type="dxa"/>
            <w:gridSpan w:val="2"/>
            <w:tcBorders>
              <w:top w:val="single" w:color="auto" w:sz="4" w:space="0"/>
              <w:left w:val="single" w:color="auto" w:sz="4" w:space="0"/>
              <w:bottom w:val="single" w:color="auto" w:sz="4" w:space="0"/>
              <w:right w:val="single" w:color="auto" w:sz="4" w:space="0"/>
            </w:tcBorders>
            <w:vAlign w:val="center"/>
          </w:tcPr>
          <w:p w14:paraId="58D7A7DA">
            <w:pPr>
              <w:jc w:val="center"/>
              <w:rPr>
                <w:rFonts w:hint="eastAsia" w:ascii="宋体" w:hAnsi="宋体" w:cs="宋体"/>
                <w:color w:val="auto"/>
                <w:highlight w:val="none"/>
              </w:rPr>
            </w:pPr>
            <w:r>
              <w:rPr>
                <w:rFonts w:hint="eastAsia" w:ascii="宋体" w:hAnsi="宋体" w:cs="宋体"/>
                <w:color w:val="auto"/>
                <w:highlight w:val="none"/>
              </w:rPr>
              <w:t>担任……年限</w:t>
            </w:r>
          </w:p>
        </w:tc>
        <w:tc>
          <w:tcPr>
            <w:tcW w:w="2476" w:type="dxa"/>
            <w:gridSpan w:val="6"/>
            <w:tcBorders>
              <w:top w:val="single" w:color="auto" w:sz="4" w:space="0"/>
              <w:left w:val="single" w:color="auto" w:sz="4" w:space="0"/>
              <w:bottom w:val="single" w:color="auto" w:sz="4" w:space="0"/>
              <w:right w:val="single" w:color="auto" w:sz="4" w:space="0"/>
            </w:tcBorders>
            <w:vAlign w:val="center"/>
          </w:tcPr>
          <w:p w14:paraId="1E54D74D">
            <w:pPr>
              <w:jc w:val="center"/>
              <w:rPr>
                <w:rFonts w:hint="eastAsia" w:ascii="宋体" w:hAnsi="宋体" w:cs="宋体"/>
                <w:color w:val="auto"/>
                <w:highlight w:val="none"/>
              </w:rPr>
            </w:pPr>
          </w:p>
        </w:tc>
        <w:tc>
          <w:tcPr>
            <w:tcW w:w="1209" w:type="dxa"/>
            <w:tcBorders>
              <w:top w:val="single" w:color="auto" w:sz="4" w:space="0"/>
              <w:left w:val="single" w:color="auto" w:sz="4" w:space="0"/>
              <w:bottom w:val="single" w:color="auto" w:sz="4" w:space="0"/>
              <w:right w:val="single" w:color="auto" w:sz="4" w:space="0"/>
            </w:tcBorders>
            <w:vAlign w:val="center"/>
          </w:tcPr>
          <w:p w14:paraId="2646C5F2">
            <w:pPr>
              <w:jc w:val="center"/>
              <w:rPr>
                <w:rFonts w:hint="eastAsia" w:ascii="宋体" w:hAnsi="宋体" w:cs="宋体"/>
                <w:color w:val="auto"/>
                <w:highlight w:val="none"/>
              </w:rPr>
            </w:pPr>
            <w:r>
              <w:rPr>
                <w:rFonts w:hint="eastAsia" w:ascii="宋体" w:hAnsi="宋体" w:cs="宋体"/>
                <w:color w:val="auto"/>
                <w:highlight w:val="none"/>
              </w:rPr>
              <w:t>身份证号码</w:t>
            </w:r>
          </w:p>
        </w:tc>
        <w:tc>
          <w:tcPr>
            <w:tcW w:w="4608" w:type="dxa"/>
            <w:gridSpan w:val="10"/>
            <w:tcBorders>
              <w:top w:val="single" w:color="auto" w:sz="4" w:space="0"/>
              <w:left w:val="single" w:color="auto" w:sz="4" w:space="0"/>
              <w:bottom w:val="single" w:color="auto" w:sz="4" w:space="0"/>
              <w:right w:val="single" w:color="auto" w:sz="4" w:space="0"/>
            </w:tcBorders>
            <w:vAlign w:val="center"/>
          </w:tcPr>
          <w:p w14:paraId="14E99018">
            <w:pPr>
              <w:jc w:val="center"/>
              <w:rPr>
                <w:rFonts w:hint="eastAsia" w:ascii="宋体" w:hAnsi="宋体" w:cs="宋体"/>
                <w:color w:val="auto"/>
                <w:highlight w:val="none"/>
              </w:rPr>
            </w:pPr>
          </w:p>
        </w:tc>
      </w:tr>
      <w:tr w14:paraId="0F304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18" w:type="dxa"/>
            <w:gridSpan w:val="2"/>
            <w:tcBorders>
              <w:top w:val="single" w:color="auto" w:sz="4" w:space="0"/>
              <w:left w:val="single" w:color="auto" w:sz="4" w:space="0"/>
              <w:bottom w:val="single" w:color="auto" w:sz="4" w:space="0"/>
              <w:right w:val="single" w:color="auto" w:sz="4" w:space="0"/>
            </w:tcBorders>
            <w:vAlign w:val="center"/>
          </w:tcPr>
          <w:p w14:paraId="68622135">
            <w:pPr>
              <w:jc w:val="center"/>
              <w:rPr>
                <w:rFonts w:hint="eastAsia" w:ascii="宋体" w:hAnsi="宋体" w:cs="宋体"/>
                <w:color w:val="auto"/>
                <w:highlight w:val="none"/>
              </w:rPr>
            </w:pPr>
            <w:r>
              <w:rPr>
                <w:rFonts w:hint="eastAsia" w:ascii="宋体" w:hAnsi="宋体" w:cs="宋体"/>
                <w:color w:val="auto"/>
                <w:highlight w:val="none"/>
              </w:rPr>
              <w:t>证书名称</w:t>
            </w:r>
          </w:p>
        </w:tc>
        <w:tc>
          <w:tcPr>
            <w:tcW w:w="1188" w:type="dxa"/>
            <w:gridSpan w:val="2"/>
            <w:tcBorders>
              <w:top w:val="single" w:color="auto" w:sz="4" w:space="0"/>
              <w:left w:val="single" w:color="auto" w:sz="4" w:space="0"/>
              <w:bottom w:val="single" w:color="auto" w:sz="4" w:space="0"/>
              <w:right w:val="single" w:color="auto" w:sz="4" w:space="0"/>
            </w:tcBorders>
            <w:vAlign w:val="center"/>
          </w:tcPr>
          <w:p w14:paraId="75CF88D6">
            <w:pPr>
              <w:jc w:val="center"/>
              <w:rPr>
                <w:rFonts w:hint="eastAsia" w:ascii="宋体" w:hAnsi="宋体" w:cs="宋体"/>
                <w:color w:val="auto"/>
                <w:highlight w:val="none"/>
              </w:rPr>
            </w:pPr>
            <w:r>
              <w:rPr>
                <w:rFonts w:hint="eastAsia" w:ascii="宋体" w:hAnsi="宋体" w:cs="宋体"/>
                <w:color w:val="auto"/>
                <w:highlight w:val="none"/>
              </w:rPr>
              <w:t>注册专业</w:t>
            </w:r>
          </w:p>
        </w:tc>
        <w:tc>
          <w:tcPr>
            <w:tcW w:w="1222" w:type="dxa"/>
            <w:gridSpan w:val="3"/>
            <w:tcBorders>
              <w:top w:val="single" w:color="auto" w:sz="4" w:space="0"/>
              <w:left w:val="single" w:color="auto" w:sz="4" w:space="0"/>
              <w:bottom w:val="single" w:color="auto" w:sz="4" w:space="0"/>
              <w:right w:val="single" w:color="auto" w:sz="4" w:space="0"/>
            </w:tcBorders>
            <w:vAlign w:val="center"/>
          </w:tcPr>
          <w:p w14:paraId="22733CE6">
            <w:pPr>
              <w:jc w:val="center"/>
              <w:rPr>
                <w:rFonts w:hint="eastAsia" w:ascii="宋体" w:hAnsi="宋体" w:cs="宋体"/>
                <w:color w:val="auto"/>
                <w:highlight w:val="none"/>
              </w:rPr>
            </w:pPr>
            <w:r>
              <w:rPr>
                <w:rFonts w:hint="eastAsia" w:ascii="宋体" w:hAnsi="宋体" w:cs="宋体"/>
                <w:color w:val="auto"/>
                <w:highlight w:val="none"/>
              </w:rPr>
              <w:t>级别</w:t>
            </w:r>
          </w:p>
        </w:tc>
        <w:tc>
          <w:tcPr>
            <w:tcW w:w="1417" w:type="dxa"/>
            <w:gridSpan w:val="3"/>
            <w:tcBorders>
              <w:top w:val="single" w:color="auto" w:sz="4" w:space="0"/>
              <w:left w:val="single" w:color="auto" w:sz="4" w:space="0"/>
              <w:bottom w:val="single" w:color="auto" w:sz="4" w:space="0"/>
              <w:right w:val="single" w:color="auto" w:sz="4" w:space="0"/>
            </w:tcBorders>
            <w:vAlign w:val="center"/>
          </w:tcPr>
          <w:p w14:paraId="11DF801C">
            <w:pPr>
              <w:jc w:val="center"/>
              <w:rPr>
                <w:rFonts w:hint="eastAsia" w:ascii="宋体" w:hAnsi="宋体" w:cs="宋体"/>
                <w:color w:val="auto"/>
                <w:highlight w:val="none"/>
              </w:rPr>
            </w:pPr>
            <w:r>
              <w:rPr>
                <w:rFonts w:hint="eastAsia" w:ascii="宋体" w:hAnsi="宋体" w:cs="宋体"/>
                <w:color w:val="auto"/>
                <w:highlight w:val="none"/>
              </w:rPr>
              <w:t>证书编号</w:t>
            </w:r>
          </w:p>
        </w:tc>
        <w:tc>
          <w:tcPr>
            <w:tcW w:w="1418" w:type="dxa"/>
            <w:gridSpan w:val="3"/>
            <w:tcBorders>
              <w:top w:val="single" w:color="auto" w:sz="4" w:space="0"/>
              <w:left w:val="single" w:color="auto" w:sz="4" w:space="0"/>
              <w:bottom w:val="single" w:color="auto" w:sz="4" w:space="0"/>
              <w:right w:val="single" w:color="auto" w:sz="4" w:space="0"/>
            </w:tcBorders>
            <w:vAlign w:val="center"/>
          </w:tcPr>
          <w:p w14:paraId="02BE27A0">
            <w:pPr>
              <w:jc w:val="center"/>
              <w:rPr>
                <w:rFonts w:hint="eastAsia" w:ascii="宋体" w:hAnsi="宋体" w:cs="宋体"/>
                <w:color w:val="auto"/>
                <w:highlight w:val="none"/>
              </w:rPr>
            </w:pPr>
            <w:r>
              <w:rPr>
                <w:rFonts w:hint="eastAsia" w:ascii="宋体" w:hAnsi="宋体" w:cs="宋体"/>
                <w:color w:val="auto"/>
                <w:highlight w:val="none"/>
              </w:rPr>
              <w:t>注册时间</w:t>
            </w:r>
          </w:p>
        </w:tc>
        <w:tc>
          <w:tcPr>
            <w:tcW w:w="1632" w:type="dxa"/>
            <w:gridSpan w:val="4"/>
            <w:tcBorders>
              <w:top w:val="single" w:color="auto" w:sz="4" w:space="0"/>
              <w:left w:val="single" w:color="auto" w:sz="4" w:space="0"/>
              <w:bottom w:val="single" w:color="auto" w:sz="4" w:space="0"/>
              <w:right w:val="single" w:color="auto" w:sz="4" w:space="0"/>
            </w:tcBorders>
            <w:vAlign w:val="center"/>
          </w:tcPr>
          <w:p w14:paraId="79C43BEC">
            <w:pPr>
              <w:jc w:val="center"/>
              <w:rPr>
                <w:rFonts w:hint="eastAsia" w:ascii="宋体" w:hAnsi="宋体" w:cs="宋体"/>
                <w:color w:val="auto"/>
                <w:highlight w:val="none"/>
              </w:rPr>
            </w:pPr>
            <w:r>
              <w:rPr>
                <w:rFonts w:hint="eastAsia" w:ascii="宋体" w:hAnsi="宋体" w:cs="宋体"/>
                <w:color w:val="auto"/>
                <w:highlight w:val="none"/>
              </w:rPr>
              <w:t>注册单位</w:t>
            </w:r>
          </w:p>
        </w:tc>
        <w:tc>
          <w:tcPr>
            <w:tcW w:w="1416" w:type="dxa"/>
            <w:gridSpan w:val="2"/>
            <w:tcBorders>
              <w:top w:val="single" w:color="auto" w:sz="4" w:space="0"/>
              <w:left w:val="single" w:color="auto" w:sz="4" w:space="0"/>
              <w:bottom w:val="single" w:color="auto" w:sz="4" w:space="0"/>
              <w:right w:val="single" w:color="auto" w:sz="4" w:space="0"/>
            </w:tcBorders>
            <w:vAlign w:val="center"/>
          </w:tcPr>
          <w:p w14:paraId="08228961">
            <w:pPr>
              <w:jc w:val="center"/>
              <w:rPr>
                <w:rFonts w:hint="eastAsia" w:ascii="宋体" w:hAnsi="宋体" w:cs="宋体"/>
                <w:color w:val="auto"/>
                <w:highlight w:val="none"/>
              </w:rPr>
            </w:pPr>
            <w:r>
              <w:rPr>
                <w:rFonts w:hint="eastAsia" w:ascii="宋体" w:hAnsi="宋体" w:cs="宋体"/>
                <w:color w:val="auto"/>
                <w:highlight w:val="none"/>
              </w:rPr>
              <w:t>注册有效期</w:t>
            </w:r>
          </w:p>
        </w:tc>
      </w:tr>
      <w:tr w14:paraId="1ECFD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18" w:type="dxa"/>
            <w:gridSpan w:val="2"/>
            <w:tcBorders>
              <w:top w:val="single" w:color="auto" w:sz="4" w:space="0"/>
              <w:left w:val="single" w:color="auto" w:sz="4" w:space="0"/>
              <w:bottom w:val="single" w:color="auto" w:sz="4" w:space="0"/>
              <w:right w:val="single" w:color="auto" w:sz="4" w:space="0"/>
            </w:tcBorders>
            <w:vAlign w:val="center"/>
          </w:tcPr>
          <w:p w14:paraId="23F9D379">
            <w:pPr>
              <w:jc w:val="center"/>
              <w:rPr>
                <w:rFonts w:hint="eastAsia" w:ascii="宋体" w:hAnsi="宋体" w:cs="宋体"/>
                <w:color w:val="auto"/>
                <w:highlight w:val="none"/>
              </w:rPr>
            </w:pPr>
          </w:p>
        </w:tc>
        <w:tc>
          <w:tcPr>
            <w:tcW w:w="1188" w:type="dxa"/>
            <w:gridSpan w:val="2"/>
            <w:tcBorders>
              <w:top w:val="single" w:color="auto" w:sz="4" w:space="0"/>
              <w:left w:val="single" w:color="auto" w:sz="4" w:space="0"/>
              <w:bottom w:val="single" w:color="auto" w:sz="4" w:space="0"/>
              <w:right w:val="single" w:color="auto" w:sz="4" w:space="0"/>
            </w:tcBorders>
            <w:vAlign w:val="center"/>
          </w:tcPr>
          <w:p w14:paraId="11DD0F1A">
            <w:pPr>
              <w:jc w:val="center"/>
              <w:rPr>
                <w:rFonts w:hint="eastAsia" w:ascii="宋体" w:hAnsi="宋体" w:cs="宋体"/>
                <w:color w:val="auto"/>
                <w:highlight w:val="none"/>
              </w:rPr>
            </w:pPr>
          </w:p>
        </w:tc>
        <w:tc>
          <w:tcPr>
            <w:tcW w:w="1222" w:type="dxa"/>
            <w:gridSpan w:val="3"/>
            <w:tcBorders>
              <w:top w:val="single" w:color="auto" w:sz="4" w:space="0"/>
              <w:left w:val="single" w:color="auto" w:sz="4" w:space="0"/>
              <w:bottom w:val="single" w:color="auto" w:sz="4" w:space="0"/>
              <w:right w:val="single" w:color="auto" w:sz="4" w:space="0"/>
            </w:tcBorders>
            <w:vAlign w:val="center"/>
          </w:tcPr>
          <w:p w14:paraId="4948EC39">
            <w:pPr>
              <w:jc w:val="center"/>
              <w:rPr>
                <w:rFonts w:hint="eastAsia" w:ascii="宋体" w:hAnsi="宋体" w:cs="宋体"/>
                <w:color w:val="auto"/>
                <w:highlight w:val="none"/>
              </w:rPr>
            </w:pPr>
          </w:p>
        </w:tc>
        <w:tc>
          <w:tcPr>
            <w:tcW w:w="1417" w:type="dxa"/>
            <w:gridSpan w:val="3"/>
            <w:tcBorders>
              <w:top w:val="single" w:color="auto" w:sz="4" w:space="0"/>
              <w:left w:val="single" w:color="auto" w:sz="4" w:space="0"/>
              <w:bottom w:val="single" w:color="auto" w:sz="4" w:space="0"/>
              <w:right w:val="single" w:color="auto" w:sz="4" w:space="0"/>
            </w:tcBorders>
            <w:vAlign w:val="center"/>
          </w:tcPr>
          <w:p w14:paraId="6191623B">
            <w:pPr>
              <w:jc w:val="center"/>
              <w:rPr>
                <w:rFonts w:hint="eastAsia" w:ascii="宋体" w:hAnsi="宋体" w:cs="宋体"/>
                <w:color w:val="auto"/>
                <w:highlight w:val="none"/>
              </w:rPr>
            </w:pPr>
          </w:p>
        </w:tc>
        <w:tc>
          <w:tcPr>
            <w:tcW w:w="1418" w:type="dxa"/>
            <w:gridSpan w:val="3"/>
            <w:tcBorders>
              <w:top w:val="single" w:color="auto" w:sz="4" w:space="0"/>
              <w:left w:val="single" w:color="auto" w:sz="4" w:space="0"/>
              <w:bottom w:val="single" w:color="auto" w:sz="4" w:space="0"/>
              <w:right w:val="single" w:color="auto" w:sz="4" w:space="0"/>
            </w:tcBorders>
            <w:vAlign w:val="center"/>
          </w:tcPr>
          <w:p w14:paraId="16965532">
            <w:pPr>
              <w:jc w:val="center"/>
              <w:rPr>
                <w:rFonts w:hint="eastAsia" w:ascii="宋体" w:hAnsi="宋体" w:cs="宋体"/>
                <w:color w:val="auto"/>
                <w:highlight w:val="none"/>
              </w:rPr>
            </w:pPr>
          </w:p>
        </w:tc>
        <w:tc>
          <w:tcPr>
            <w:tcW w:w="1632" w:type="dxa"/>
            <w:gridSpan w:val="4"/>
            <w:tcBorders>
              <w:top w:val="single" w:color="auto" w:sz="4" w:space="0"/>
              <w:left w:val="single" w:color="auto" w:sz="4" w:space="0"/>
              <w:bottom w:val="single" w:color="auto" w:sz="4" w:space="0"/>
              <w:right w:val="single" w:color="auto" w:sz="4" w:space="0"/>
            </w:tcBorders>
            <w:vAlign w:val="center"/>
          </w:tcPr>
          <w:p w14:paraId="3BBFB5E1">
            <w:pPr>
              <w:jc w:val="center"/>
              <w:rPr>
                <w:rFonts w:hint="eastAsia" w:ascii="宋体" w:hAnsi="宋体" w:cs="宋体"/>
                <w:color w:val="auto"/>
                <w:highlight w:val="none"/>
              </w:rPr>
            </w:pPr>
          </w:p>
        </w:tc>
        <w:tc>
          <w:tcPr>
            <w:tcW w:w="1416" w:type="dxa"/>
            <w:gridSpan w:val="2"/>
            <w:tcBorders>
              <w:top w:val="single" w:color="auto" w:sz="4" w:space="0"/>
              <w:left w:val="single" w:color="auto" w:sz="4" w:space="0"/>
              <w:bottom w:val="single" w:color="auto" w:sz="4" w:space="0"/>
              <w:right w:val="single" w:color="auto" w:sz="4" w:space="0"/>
            </w:tcBorders>
            <w:vAlign w:val="center"/>
          </w:tcPr>
          <w:p w14:paraId="466D8253">
            <w:pPr>
              <w:jc w:val="center"/>
              <w:rPr>
                <w:rFonts w:hint="eastAsia" w:ascii="宋体" w:hAnsi="宋体" w:cs="宋体"/>
                <w:color w:val="auto"/>
                <w:highlight w:val="none"/>
              </w:rPr>
            </w:pPr>
          </w:p>
        </w:tc>
      </w:tr>
      <w:tr w14:paraId="2A499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18" w:type="dxa"/>
            <w:gridSpan w:val="2"/>
            <w:tcBorders>
              <w:top w:val="single" w:color="auto" w:sz="4" w:space="0"/>
              <w:left w:val="single" w:color="auto" w:sz="4" w:space="0"/>
              <w:bottom w:val="single" w:color="auto" w:sz="4" w:space="0"/>
              <w:right w:val="single" w:color="auto" w:sz="4" w:space="0"/>
            </w:tcBorders>
            <w:vAlign w:val="center"/>
          </w:tcPr>
          <w:p w14:paraId="5499B20D">
            <w:pPr>
              <w:jc w:val="center"/>
              <w:rPr>
                <w:rFonts w:hint="eastAsia" w:ascii="宋体" w:hAnsi="宋体" w:cs="宋体"/>
                <w:color w:val="auto"/>
                <w:highlight w:val="none"/>
              </w:rPr>
            </w:pPr>
          </w:p>
        </w:tc>
        <w:tc>
          <w:tcPr>
            <w:tcW w:w="1188" w:type="dxa"/>
            <w:gridSpan w:val="2"/>
            <w:tcBorders>
              <w:top w:val="single" w:color="auto" w:sz="4" w:space="0"/>
              <w:left w:val="single" w:color="auto" w:sz="4" w:space="0"/>
              <w:bottom w:val="single" w:color="auto" w:sz="4" w:space="0"/>
              <w:right w:val="single" w:color="auto" w:sz="4" w:space="0"/>
            </w:tcBorders>
            <w:vAlign w:val="center"/>
          </w:tcPr>
          <w:p w14:paraId="6E67802E">
            <w:pPr>
              <w:jc w:val="center"/>
              <w:rPr>
                <w:rFonts w:hint="eastAsia" w:ascii="宋体" w:hAnsi="宋体" w:cs="宋体"/>
                <w:color w:val="auto"/>
                <w:highlight w:val="none"/>
              </w:rPr>
            </w:pPr>
          </w:p>
        </w:tc>
        <w:tc>
          <w:tcPr>
            <w:tcW w:w="1222" w:type="dxa"/>
            <w:gridSpan w:val="3"/>
            <w:tcBorders>
              <w:top w:val="single" w:color="auto" w:sz="4" w:space="0"/>
              <w:left w:val="single" w:color="auto" w:sz="4" w:space="0"/>
              <w:bottom w:val="single" w:color="auto" w:sz="4" w:space="0"/>
              <w:right w:val="single" w:color="auto" w:sz="4" w:space="0"/>
            </w:tcBorders>
            <w:vAlign w:val="center"/>
          </w:tcPr>
          <w:p w14:paraId="7D0784B2">
            <w:pPr>
              <w:jc w:val="center"/>
              <w:rPr>
                <w:rFonts w:hint="eastAsia" w:ascii="宋体" w:hAnsi="宋体" w:cs="宋体"/>
                <w:color w:val="auto"/>
                <w:highlight w:val="none"/>
              </w:rPr>
            </w:pPr>
          </w:p>
        </w:tc>
        <w:tc>
          <w:tcPr>
            <w:tcW w:w="1417" w:type="dxa"/>
            <w:gridSpan w:val="3"/>
            <w:tcBorders>
              <w:top w:val="single" w:color="auto" w:sz="4" w:space="0"/>
              <w:left w:val="single" w:color="auto" w:sz="4" w:space="0"/>
              <w:bottom w:val="single" w:color="auto" w:sz="4" w:space="0"/>
              <w:right w:val="single" w:color="auto" w:sz="4" w:space="0"/>
            </w:tcBorders>
            <w:vAlign w:val="center"/>
          </w:tcPr>
          <w:p w14:paraId="3E5237D5">
            <w:pPr>
              <w:jc w:val="center"/>
              <w:rPr>
                <w:rFonts w:hint="eastAsia" w:ascii="宋体" w:hAnsi="宋体" w:cs="宋体"/>
                <w:color w:val="auto"/>
                <w:highlight w:val="none"/>
              </w:rPr>
            </w:pPr>
          </w:p>
        </w:tc>
        <w:tc>
          <w:tcPr>
            <w:tcW w:w="1418" w:type="dxa"/>
            <w:gridSpan w:val="3"/>
            <w:tcBorders>
              <w:top w:val="single" w:color="auto" w:sz="4" w:space="0"/>
              <w:left w:val="single" w:color="auto" w:sz="4" w:space="0"/>
              <w:bottom w:val="single" w:color="auto" w:sz="4" w:space="0"/>
              <w:right w:val="single" w:color="auto" w:sz="4" w:space="0"/>
            </w:tcBorders>
            <w:vAlign w:val="center"/>
          </w:tcPr>
          <w:p w14:paraId="53131CD6">
            <w:pPr>
              <w:jc w:val="center"/>
              <w:rPr>
                <w:rFonts w:hint="eastAsia" w:ascii="宋体" w:hAnsi="宋体" w:cs="宋体"/>
                <w:color w:val="auto"/>
                <w:highlight w:val="none"/>
              </w:rPr>
            </w:pPr>
          </w:p>
        </w:tc>
        <w:tc>
          <w:tcPr>
            <w:tcW w:w="1632" w:type="dxa"/>
            <w:gridSpan w:val="4"/>
            <w:tcBorders>
              <w:top w:val="single" w:color="auto" w:sz="4" w:space="0"/>
              <w:left w:val="single" w:color="auto" w:sz="4" w:space="0"/>
              <w:bottom w:val="single" w:color="auto" w:sz="4" w:space="0"/>
              <w:right w:val="single" w:color="auto" w:sz="4" w:space="0"/>
            </w:tcBorders>
            <w:vAlign w:val="center"/>
          </w:tcPr>
          <w:p w14:paraId="45D1CB28">
            <w:pPr>
              <w:jc w:val="center"/>
              <w:rPr>
                <w:rFonts w:hint="eastAsia" w:ascii="宋体" w:hAnsi="宋体" w:cs="宋体"/>
                <w:color w:val="auto"/>
                <w:highlight w:val="none"/>
              </w:rPr>
            </w:pPr>
          </w:p>
        </w:tc>
        <w:tc>
          <w:tcPr>
            <w:tcW w:w="1416" w:type="dxa"/>
            <w:gridSpan w:val="2"/>
            <w:tcBorders>
              <w:top w:val="single" w:color="auto" w:sz="4" w:space="0"/>
              <w:left w:val="single" w:color="auto" w:sz="4" w:space="0"/>
              <w:bottom w:val="single" w:color="auto" w:sz="4" w:space="0"/>
              <w:right w:val="single" w:color="auto" w:sz="4" w:space="0"/>
            </w:tcBorders>
            <w:vAlign w:val="center"/>
          </w:tcPr>
          <w:p w14:paraId="146C23D8">
            <w:pPr>
              <w:jc w:val="center"/>
              <w:rPr>
                <w:rFonts w:hint="eastAsia" w:ascii="宋体" w:hAnsi="宋体" w:cs="宋体"/>
                <w:color w:val="auto"/>
                <w:highlight w:val="none"/>
              </w:rPr>
            </w:pPr>
          </w:p>
        </w:tc>
      </w:tr>
      <w:tr w14:paraId="7B53B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611" w:type="dxa"/>
            <w:gridSpan w:val="19"/>
            <w:tcBorders>
              <w:top w:val="single" w:color="auto" w:sz="4" w:space="0"/>
              <w:left w:val="single" w:color="auto" w:sz="4" w:space="0"/>
              <w:bottom w:val="single" w:color="auto" w:sz="4" w:space="0"/>
              <w:right w:val="single" w:color="auto" w:sz="4" w:space="0"/>
            </w:tcBorders>
            <w:vAlign w:val="center"/>
          </w:tcPr>
          <w:p w14:paraId="4E4357C8">
            <w:pPr>
              <w:jc w:val="center"/>
              <w:rPr>
                <w:rFonts w:hint="eastAsia" w:ascii="宋体" w:hAnsi="宋体" w:cs="宋体"/>
                <w:color w:val="auto"/>
                <w:highlight w:val="none"/>
              </w:rPr>
            </w:pPr>
            <w:r>
              <w:rPr>
                <w:rFonts w:hint="eastAsia" w:ascii="宋体" w:hAnsi="宋体" w:cs="宋体"/>
                <w:color w:val="auto"/>
                <w:highlight w:val="none"/>
              </w:rPr>
              <w:t>在建和已完工程项目情况（如有）</w:t>
            </w:r>
          </w:p>
        </w:tc>
      </w:tr>
      <w:tr w14:paraId="58517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3"/>
            <w:tcBorders>
              <w:top w:val="single" w:color="auto" w:sz="4" w:space="0"/>
              <w:left w:val="single" w:color="auto" w:sz="4" w:space="0"/>
              <w:bottom w:val="single" w:color="auto" w:sz="4" w:space="0"/>
              <w:right w:val="single" w:color="auto" w:sz="4" w:space="0"/>
            </w:tcBorders>
            <w:vAlign w:val="center"/>
          </w:tcPr>
          <w:p w14:paraId="33570D82">
            <w:pPr>
              <w:jc w:val="center"/>
              <w:rPr>
                <w:rFonts w:hint="eastAsia" w:ascii="宋体" w:hAnsi="宋体" w:cs="宋体"/>
                <w:color w:val="auto"/>
                <w:highlight w:val="none"/>
              </w:rPr>
            </w:pPr>
          </w:p>
        </w:tc>
        <w:tc>
          <w:tcPr>
            <w:tcW w:w="1548" w:type="dxa"/>
            <w:gridSpan w:val="2"/>
            <w:tcBorders>
              <w:top w:val="single" w:color="auto" w:sz="4" w:space="0"/>
              <w:left w:val="single" w:color="auto" w:sz="4" w:space="0"/>
              <w:bottom w:val="single" w:color="auto" w:sz="4" w:space="0"/>
              <w:right w:val="single" w:color="auto" w:sz="4" w:space="0"/>
            </w:tcBorders>
            <w:vAlign w:val="center"/>
          </w:tcPr>
          <w:p w14:paraId="11587DC4">
            <w:pPr>
              <w:jc w:val="center"/>
              <w:rPr>
                <w:rFonts w:hint="eastAsia" w:ascii="宋体" w:hAnsi="宋体" w:cs="宋体"/>
                <w:color w:val="auto"/>
                <w:highlight w:val="none"/>
              </w:rPr>
            </w:pPr>
            <w:r>
              <w:rPr>
                <w:rFonts w:hint="eastAsia" w:ascii="宋体" w:hAnsi="宋体" w:cs="宋体"/>
                <w:color w:val="auto"/>
                <w:highlight w:val="none"/>
              </w:rPr>
              <w:t>项目1</w:t>
            </w:r>
          </w:p>
        </w:tc>
        <w:tc>
          <w:tcPr>
            <w:tcW w:w="1837" w:type="dxa"/>
            <w:gridSpan w:val="4"/>
            <w:tcBorders>
              <w:top w:val="single" w:color="auto" w:sz="4" w:space="0"/>
              <w:left w:val="single" w:color="auto" w:sz="4" w:space="0"/>
              <w:bottom w:val="single" w:color="auto" w:sz="4" w:space="0"/>
              <w:right w:val="single" w:color="auto" w:sz="4" w:space="0"/>
            </w:tcBorders>
            <w:vAlign w:val="center"/>
          </w:tcPr>
          <w:p w14:paraId="15D74C64">
            <w:pPr>
              <w:jc w:val="center"/>
              <w:rPr>
                <w:rFonts w:hint="eastAsia" w:ascii="宋体" w:hAnsi="宋体" w:cs="宋体"/>
                <w:color w:val="auto"/>
                <w:highlight w:val="none"/>
              </w:rPr>
            </w:pPr>
            <w:r>
              <w:rPr>
                <w:rFonts w:hint="eastAsia" w:ascii="宋体" w:hAnsi="宋体" w:cs="宋体"/>
                <w:color w:val="auto"/>
                <w:highlight w:val="none"/>
              </w:rPr>
              <w:t>项目2</w:t>
            </w:r>
          </w:p>
        </w:tc>
        <w:tc>
          <w:tcPr>
            <w:tcW w:w="1472" w:type="dxa"/>
            <w:gridSpan w:val="3"/>
            <w:tcBorders>
              <w:top w:val="single" w:color="auto" w:sz="4" w:space="0"/>
              <w:left w:val="single" w:color="auto" w:sz="4" w:space="0"/>
              <w:bottom w:val="single" w:color="auto" w:sz="4" w:space="0"/>
              <w:right w:val="single" w:color="auto" w:sz="4" w:space="0"/>
            </w:tcBorders>
            <w:vAlign w:val="center"/>
          </w:tcPr>
          <w:p w14:paraId="1D4E164E">
            <w:pPr>
              <w:jc w:val="center"/>
              <w:rPr>
                <w:rFonts w:hint="eastAsia" w:ascii="宋体" w:hAnsi="宋体" w:cs="宋体"/>
                <w:color w:val="auto"/>
                <w:highlight w:val="none"/>
              </w:rPr>
            </w:pPr>
            <w:r>
              <w:rPr>
                <w:rFonts w:hint="eastAsia" w:ascii="宋体" w:hAnsi="宋体" w:cs="宋体"/>
                <w:color w:val="auto"/>
                <w:highlight w:val="none"/>
              </w:rPr>
              <w:t>项目3</w:t>
            </w:r>
          </w:p>
        </w:tc>
        <w:tc>
          <w:tcPr>
            <w:tcW w:w="1641" w:type="dxa"/>
            <w:gridSpan w:val="4"/>
            <w:tcBorders>
              <w:top w:val="single" w:color="auto" w:sz="4" w:space="0"/>
              <w:left w:val="single" w:color="auto" w:sz="4" w:space="0"/>
              <w:bottom w:val="single" w:color="auto" w:sz="4" w:space="0"/>
              <w:right w:val="single" w:color="auto" w:sz="4" w:space="0"/>
            </w:tcBorders>
            <w:vAlign w:val="center"/>
          </w:tcPr>
          <w:p w14:paraId="2C26C5E1">
            <w:pPr>
              <w:jc w:val="center"/>
              <w:rPr>
                <w:rFonts w:hint="eastAsia" w:ascii="宋体" w:hAnsi="宋体" w:cs="宋体"/>
                <w:color w:val="auto"/>
                <w:highlight w:val="none"/>
              </w:rPr>
            </w:pPr>
            <w:r>
              <w:rPr>
                <w:rFonts w:hint="eastAsia" w:ascii="宋体" w:hAnsi="宋体" w:cs="宋体"/>
                <w:color w:val="auto"/>
                <w:highlight w:val="none"/>
              </w:rPr>
              <w:t>项目4</w:t>
            </w:r>
          </w:p>
        </w:tc>
        <w:tc>
          <w:tcPr>
            <w:tcW w:w="1484" w:type="dxa"/>
            <w:gridSpan w:val="2"/>
            <w:tcBorders>
              <w:top w:val="single" w:color="auto" w:sz="4" w:space="0"/>
              <w:left w:val="single" w:color="auto" w:sz="4" w:space="0"/>
              <w:bottom w:val="single" w:color="auto" w:sz="4" w:space="0"/>
              <w:right w:val="single" w:color="auto" w:sz="4" w:space="0"/>
            </w:tcBorders>
            <w:vAlign w:val="center"/>
          </w:tcPr>
          <w:p w14:paraId="7B70BDD3">
            <w:pPr>
              <w:jc w:val="center"/>
              <w:rPr>
                <w:rFonts w:hint="eastAsia" w:ascii="宋体" w:hAnsi="宋体" w:cs="宋体"/>
                <w:color w:val="auto"/>
                <w:highlight w:val="none"/>
              </w:rPr>
            </w:pPr>
            <w:r>
              <w:rPr>
                <w:rFonts w:hint="eastAsia" w:ascii="宋体" w:hAnsi="宋体" w:cs="宋体"/>
                <w:color w:val="auto"/>
                <w:highlight w:val="none"/>
              </w:rPr>
              <w:t>……</w:t>
            </w:r>
          </w:p>
        </w:tc>
      </w:tr>
      <w:tr w14:paraId="326C5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3"/>
            <w:tcBorders>
              <w:top w:val="single" w:color="auto" w:sz="4" w:space="0"/>
              <w:left w:val="single" w:color="auto" w:sz="4" w:space="0"/>
              <w:bottom w:val="single" w:color="auto" w:sz="4" w:space="0"/>
              <w:right w:val="single" w:color="auto" w:sz="4" w:space="0"/>
            </w:tcBorders>
            <w:vAlign w:val="center"/>
          </w:tcPr>
          <w:p w14:paraId="65ACBD88">
            <w:pPr>
              <w:jc w:val="center"/>
              <w:rPr>
                <w:rFonts w:hint="eastAsia" w:ascii="宋体" w:hAnsi="宋体" w:cs="宋体"/>
                <w:color w:val="auto"/>
                <w:highlight w:val="none"/>
              </w:rPr>
            </w:pPr>
            <w:r>
              <w:rPr>
                <w:rFonts w:hint="eastAsia" w:ascii="宋体" w:hAnsi="宋体" w:cs="宋体"/>
                <w:color w:val="auto"/>
                <w:highlight w:val="none"/>
              </w:rPr>
              <w:t>项目名称</w:t>
            </w:r>
          </w:p>
        </w:tc>
        <w:tc>
          <w:tcPr>
            <w:tcW w:w="1548" w:type="dxa"/>
            <w:gridSpan w:val="2"/>
            <w:tcBorders>
              <w:top w:val="single" w:color="auto" w:sz="4" w:space="0"/>
              <w:left w:val="single" w:color="auto" w:sz="4" w:space="0"/>
              <w:bottom w:val="single" w:color="auto" w:sz="4" w:space="0"/>
              <w:right w:val="single" w:color="auto" w:sz="4" w:space="0"/>
            </w:tcBorders>
            <w:vAlign w:val="center"/>
          </w:tcPr>
          <w:p w14:paraId="16C4144D">
            <w:pPr>
              <w:jc w:val="center"/>
              <w:rPr>
                <w:rFonts w:hint="eastAsia" w:ascii="宋体" w:hAnsi="宋体" w:cs="宋体"/>
                <w:color w:val="auto"/>
                <w:highlight w:val="none"/>
              </w:rPr>
            </w:pPr>
          </w:p>
        </w:tc>
        <w:tc>
          <w:tcPr>
            <w:tcW w:w="1837" w:type="dxa"/>
            <w:gridSpan w:val="4"/>
            <w:tcBorders>
              <w:top w:val="single" w:color="auto" w:sz="4" w:space="0"/>
              <w:left w:val="single" w:color="auto" w:sz="4" w:space="0"/>
              <w:bottom w:val="single" w:color="auto" w:sz="4" w:space="0"/>
              <w:right w:val="single" w:color="auto" w:sz="4" w:space="0"/>
            </w:tcBorders>
            <w:vAlign w:val="center"/>
          </w:tcPr>
          <w:p w14:paraId="24460E21">
            <w:pPr>
              <w:jc w:val="center"/>
              <w:rPr>
                <w:rFonts w:hint="eastAsia" w:ascii="宋体" w:hAnsi="宋体" w:cs="宋体"/>
                <w:color w:val="auto"/>
                <w:highlight w:val="none"/>
              </w:rPr>
            </w:pPr>
          </w:p>
        </w:tc>
        <w:tc>
          <w:tcPr>
            <w:tcW w:w="1472" w:type="dxa"/>
            <w:gridSpan w:val="3"/>
            <w:tcBorders>
              <w:top w:val="single" w:color="auto" w:sz="4" w:space="0"/>
              <w:left w:val="single" w:color="auto" w:sz="4" w:space="0"/>
              <w:bottom w:val="single" w:color="auto" w:sz="4" w:space="0"/>
              <w:right w:val="single" w:color="auto" w:sz="4" w:space="0"/>
            </w:tcBorders>
            <w:vAlign w:val="center"/>
          </w:tcPr>
          <w:p w14:paraId="050492D1">
            <w:pPr>
              <w:jc w:val="center"/>
              <w:rPr>
                <w:rFonts w:hint="eastAsia" w:ascii="宋体" w:hAnsi="宋体" w:cs="宋体"/>
                <w:color w:val="auto"/>
                <w:highlight w:val="none"/>
              </w:rPr>
            </w:pPr>
          </w:p>
        </w:tc>
        <w:tc>
          <w:tcPr>
            <w:tcW w:w="1641" w:type="dxa"/>
            <w:gridSpan w:val="4"/>
            <w:tcBorders>
              <w:top w:val="single" w:color="auto" w:sz="4" w:space="0"/>
              <w:left w:val="single" w:color="auto" w:sz="4" w:space="0"/>
              <w:bottom w:val="single" w:color="auto" w:sz="4" w:space="0"/>
              <w:right w:val="single" w:color="auto" w:sz="4" w:space="0"/>
            </w:tcBorders>
            <w:vAlign w:val="center"/>
          </w:tcPr>
          <w:p w14:paraId="6C1BAA4C">
            <w:pPr>
              <w:jc w:val="center"/>
              <w:rPr>
                <w:rFonts w:hint="eastAsia" w:ascii="宋体" w:hAnsi="宋体" w:cs="宋体"/>
                <w:color w:val="auto"/>
                <w:highlight w:val="none"/>
              </w:rPr>
            </w:pPr>
          </w:p>
        </w:tc>
        <w:tc>
          <w:tcPr>
            <w:tcW w:w="1484" w:type="dxa"/>
            <w:gridSpan w:val="2"/>
            <w:tcBorders>
              <w:top w:val="single" w:color="auto" w:sz="4" w:space="0"/>
              <w:left w:val="single" w:color="auto" w:sz="4" w:space="0"/>
              <w:bottom w:val="single" w:color="auto" w:sz="4" w:space="0"/>
              <w:right w:val="single" w:color="auto" w:sz="4" w:space="0"/>
            </w:tcBorders>
            <w:vAlign w:val="center"/>
          </w:tcPr>
          <w:p w14:paraId="1585FBF9">
            <w:pPr>
              <w:jc w:val="center"/>
              <w:rPr>
                <w:rFonts w:hint="eastAsia" w:ascii="宋体" w:hAnsi="宋体" w:cs="宋体"/>
                <w:color w:val="auto"/>
                <w:highlight w:val="none"/>
              </w:rPr>
            </w:pPr>
          </w:p>
        </w:tc>
      </w:tr>
      <w:tr w14:paraId="5C82F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3"/>
            <w:tcBorders>
              <w:top w:val="single" w:color="auto" w:sz="4" w:space="0"/>
              <w:left w:val="single" w:color="auto" w:sz="4" w:space="0"/>
              <w:bottom w:val="single" w:color="auto" w:sz="4" w:space="0"/>
              <w:right w:val="single" w:color="auto" w:sz="4" w:space="0"/>
            </w:tcBorders>
            <w:vAlign w:val="center"/>
          </w:tcPr>
          <w:p w14:paraId="13DCDBF6">
            <w:pPr>
              <w:jc w:val="center"/>
              <w:rPr>
                <w:rFonts w:hint="eastAsia" w:ascii="宋体" w:hAnsi="宋体" w:cs="宋体"/>
                <w:color w:val="auto"/>
                <w:highlight w:val="none"/>
              </w:rPr>
            </w:pPr>
            <w:r>
              <w:rPr>
                <w:rFonts w:hint="eastAsia" w:ascii="宋体" w:hAnsi="宋体" w:cs="宋体"/>
                <w:color w:val="auto"/>
                <w:highlight w:val="none"/>
              </w:rPr>
              <w:t>建设单位</w:t>
            </w:r>
          </w:p>
        </w:tc>
        <w:tc>
          <w:tcPr>
            <w:tcW w:w="1548" w:type="dxa"/>
            <w:gridSpan w:val="2"/>
            <w:tcBorders>
              <w:top w:val="single" w:color="auto" w:sz="4" w:space="0"/>
              <w:left w:val="single" w:color="auto" w:sz="4" w:space="0"/>
              <w:bottom w:val="single" w:color="auto" w:sz="4" w:space="0"/>
              <w:right w:val="single" w:color="auto" w:sz="4" w:space="0"/>
            </w:tcBorders>
            <w:vAlign w:val="center"/>
          </w:tcPr>
          <w:p w14:paraId="0DDE2EE4">
            <w:pPr>
              <w:jc w:val="center"/>
              <w:rPr>
                <w:rFonts w:hint="eastAsia" w:ascii="宋体" w:hAnsi="宋体" w:cs="宋体"/>
                <w:color w:val="auto"/>
                <w:highlight w:val="none"/>
              </w:rPr>
            </w:pPr>
          </w:p>
        </w:tc>
        <w:tc>
          <w:tcPr>
            <w:tcW w:w="1837" w:type="dxa"/>
            <w:gridSpan w:val="4"/>
            <w:tcBorders>
              <w:top w:val="single" w:color="auto" w:sz="4" w:space="0"/>
              <w:left w:val="single" w:color="auto" w:sz="4" w:space="0"/>
              <w:bottom w:val="single" w:color="auto" w:sz="4" w:space="0"/>
              <w:right w:val="single" w:color="auto" w:sz="4" w:space="0"/>
            </w:tcBorders>
            <w:vAlign w:val="center"/>
          </w:tcPr>
          <w:p w14:paraId="324FFAFE">
            <w:pPr>
              <w:jc w:val="center"/>
              <w:rPr>
                <w:rFonts w:hint="eastAsia" w:ascii="宋体" w:hAnsi="宋体" w:cs="宋体"/>
                <w:color w:val="auto"/>
                <w:highlight w:val="none"/>
              </w:rPr>
            </w:pPr>
          </w:p>
        </w:tc>
        <w:tc>
          <w:tcPr>
            <w:tcW w:w="1472" w:type="dxa"/>
            <w:gridSpan w:val="3"/>
            <w:tcBorders>
              <w:top w:val="single" w:color="auto" w:sz="4" w:space="0"/>
              <w:left w:val="single" w:color="auto" w:sz="4" w:space="0"/>
              <w:bottom w:val="single" w:color="auto" w:sz="4" w:space="0"/>
              <w:right w:val="single" w:color="auto" w:sz="4" w:space="0"/>
            </w:tcBorders>
            <w:vAlign w:val="center"/>
          </w:tcPr>
          <w:p w14:paraId="185A9940">
            <w:pPr>
              <w:jc w:val="center"/>
              <w:rPr>
                <w:rFonts w:hint="eastAsia" w:ascii="宋体" w:hAnsi="宋体" w:cs="宋体"/>
                <w:color w:val="auto"/>
                <w:highlight w:val="none"/>
              </w:rPr>
            </w:pPr>
          </w:p>
        </w:tc>
        <w:tc>
          <w:tcPr>
            <w:tcW w:w="1641" w:type="dxa"/>
            <w:gridSpan w:val="4"/>
            <w:tcBorders>
              <w:top w:val="single" w:color="auto" w:sz="4" w:space="0"/>
              <w:left w:val="single" w:color="auto" w:sz="4" w:space="0"/>
              <w:bottom w:val="single" w:color="auto" w:sz="4" w:space="0"/>
              <w:right w:val="single" w:color="auto" w:sz="4" w:space="0"/>
            </w:tcBorders>
            <w:vAlign w:val="center"/>
          </w:tcPr>
          <w:p w14:paraId="0F031659">
            <w:pPr>
              <w:jc w:val="center"/>
              <w:rPr>
                <w:rFonts w:hint="eastAsia" w:ascii="宋体" w:hAnsi="宋体" w:cs="宋体"/>
                <w:color w:val="auto"/>
                <w:highlight w:val="none"/>
              </w:rPr>
            </w:pPr>
          </w:p>
        </w:tc>
        <w:tc>
          <w:tcPr>
            <w:tcW w:w="1484" w:type="dxa"/>
            <w:gridSpan w:val="2"/>
            <w:tcBorders>
              <w:top w:val="single" w:color="auto" w:sz="4" w:space="0"/>
              <w:left w:val="single" w:color="auto" w:sz="4" w:space="0"/>
              <w:bottom w:val="single" w:color="auto" w:sz="4" w:space="0"/>
              <w:right w:val="single" w:color="auto" w:sz="4" w:space="0"/>
            </w:tcBorders>
            <w:vAlign w:val="center"/>
          </w:tcPr>
          <w:p w14:paraId="0C4BD502">
            <w:pPr>
              <w:jc w:val="center"/>
              <w:rPr>
                <w:rFonts w:hint="eastAsia" w:ascii="宋体" w:hAnsi="宋体" w:cs="宋体"/>
                <w:color w:val="auto"/>
                <w:highlight w:val="none"/>
              </w:rPr>
            </w:pPr>
          </w:p>
        </w:tc>
      </w:tr>
      <w:tr w14:paraId="3A603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3"/>
            <w:tcBorders>
              <w:top w:val="single" w:color="auto" w:sz="4" w:space="0"/>
              <w:left w:val="single" w:color="auto" w:sz="4" w:space="0"/>
              <w:bottom w:val="single" w:color="auto" w:sz="4" w:space="0"/>
              <w:right w:val="single" w:color="auto" w:sz="4" w:space="0"/>
            </w:tcBorders>
            <w:vAlign w:val="center"/>
          </w:tcPr>
          <w:p w14:paraId="2F20894B">
            <w:pPr>
              <w:jc w:val="center"/>
              <w:rPr>
                <w:rFonts w:hint="eastAsia" w:ascii="宋体" w:hAnsi="宋体" w:cs="宋体"/>
                <w:color w:val="auto"/>
                <w:highlight w:val="none"/>
              </w:rPr>
            </w:pPr>
            <w:r>
              <w:rPr>
                <w:rFonts w:hint="eastAsia" w:ascii="宋体" w:hAnsi="宋体" w:cs="宋体"/>
                <w:color w:val="auto"/>
                <w:highlight w:val="none"/>
              </w:rPr>
              <w:t>建设规模</w:t>
            </w:r>
          </w:p>
        </w:tc>
        <w:tc>
          <w:tcPr>
            <w:tcW w:w="1548" w:type="dxa"/>
            <w:gridSpan w:val="2"/>
            <w:tcBorders>
              <w:top w:val="single" w:color="auto" w:sz="4" w:space="0"/>
              <w:left w:val="single" w:color="auto" w:sz="4" w:space="0"/>
              <w:bottom w:val="single" w:color="auto" w:sz="4" w:space="0"/>
              <w:right w:val="single" w:color="auto" w:sz="4" w:space="0"/>
            </w:tcBorders>
            <w:vAlign w:val="center"/>
          </w:tcPr>
          <w:p w14:paraId="6870E41C">
            <w:pPr>
              <w:jc w:val="center"/>
              <w:rPr>
                <w:rFonts w:hint="eastAsia" w:ascii="宋体" w:hAnsi="宋体" w:cs="宋体"/>
                <w:color w:val="auto"/>
                <w:highlight w:val="none"/>
              </w:rPr>
            </w:pPr>
          </w:p>
        </w:tc>
        <w:tc>
          <w:tcPr>
            <w:tcW w:w="1837" w:type="dxa"/>
            <w:gridSpan w:val="4"/>
            <w:tcBorders>
              <w:top w:val="single" w:color="auto" w:sz="4" w:space="0"/>
              <w:left w:val="single" w:color="auto" w:sz="4" w:space="0"/>
              <w:bottom w:val="single" w:color="auto" w:sz="4" w:space="0"/>
              <w:right w:val="single" w:color="auto" w:sz="4" w:space="0"/>
            </w:tcBorders>
            <w:vAlign w:val="center"/>
          </w:tcPr>
          <w:p w14:paraId="1B8D093D">
            <w:pPr>
              <w:jc w:val="center"/>
              <w:rPr>
                <w:rFonts w:hint="eastAsia" w:ascii="宋体" w:hAnsi="宋体" w:cs="宋体"/>
                <w:color w:val="auto"/>
                <w:highlight w:val="none"/>
              </w:rPr>
            </w:pPr>
          </w:p>
        </w:tc>
        <w:tc>
          <w:tcPr>
            <w:tcW w:w="1472" w:type="dxa"/>
            <w:gridSpan w:val="3"/>
            <w:tcBorders>
              <w:top w:val="single" w:color="auto" w:sz="4" w:space="0"/>
              <w:left w:val="single" w:color="auto" w:sz="4" w:space="0"/>
              <w:bottom w:val="single" w:color="auto" w:sz="4" w:space="0"/>
              <w:right w:val="single" w:color="auto" w:sz="4" w:space="0"/>
            </w:tcBorders>
            <w:vAlign w:val="center"/>
          </w:tcPr>
          <w:p w14:paraId="4215C850">
            <w:pPr>
              <w:jc w:val="center"/>
              <w:rPr>
                <w:rFonts w:hint="eastAsia" w:ascii="宋体" w:hAnsi="宋体" w:cs="宋体"/>
                <w:color w:val="auto"/>
                <w:highlight w:val="none"/>
              </w:rPr>
            </w:pPr>
          </w:p>
        </w:tc>
        <w:tc>
          <w:tcPr>
            <w:tcW w:w="1641" w:type="dxa"/>
            <w:gridSpan w:val="4"/>
            <w:tcBorders>
              <w:top w:val="single" w:color="auto" w:sz="4" w:space="0"/>
              <w:left w:val="single" w:color="auto" w:sz="4" w:space="0"/>
              <w:bottom w:val="single" w:color="auto" w:sz="4" w:space="0"/>
              <w:right w:val="single" w:color="auto" w:sz="4" w:space="0"/>
            </w:tcBorders>
            <w:vAlign w:val="center"/>
          </w:tcPr>
          <w:p w14:paraId="3223C0D3">
            <w:pPr>
              <w:jc w:val="center"/>
              <w:rPr>
                <w:rFonts w:hint="eastAsia" w:ascii="宋体" w:hAnsi="宋体" w:cs="宋体"/>
                <w:color w:val="auto"/>
                <w:highlight w:val="none"/>
              </w:rPr>
            </w:pPr>
          </w:p>
        </w:tc>
        <w:tc>
          <w:tcPr>
            <w:tcW w:w="1484" w:type="dxa"/>
            <w:gridSpan w:val="2"/>
            <w:tcBorders>
              <w:top w:val="single" w:color="auto" w:sz="4" w:space="0"/>
              <w:left w:val="single" w:color="auto" w:sz="4" w:space="0"/>
              <w:bottom w:val="single" w:color="auto" w:sz="4" w:space="0"/>
              <w:right w:val="single" w:color="auto" w:sz="4" w:space="0"/>
            </w:tcBorders>
            <w:vAlign w:val="center"/>
          </w:tcPr>
          <w:p w14:paraId="52A23D99">
            <w:pPr>
              <w:jc w:val="center"/>
              <w:rPr>
                <w:rFonts w:hint="eastAsia" w:ascii="宋体" w:hAnsi="宋体" w:cs="宋体"/>
                <w:color w:val="auto"/>
                <w:highlight w:val="none"/>
              </w:rPr>
            </w:pPr>
          </w:p>
        </w:tc>
      </w:tr>
      <w:tr w14:paraId="2F708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3"/>
            <w:tcBorders>
              <w:top w:val="single" w:color="auto" w:sz="4" w:space="0"/>
              <w:left w:val="single" w:color="auto" w:sz="4" w:space="0"/>
              <w:bottom w:val="single" w:color="auto" w:sz="4" w:space="0"/>
              <w:right w:val="single" w:color="auto" w:sz="4" w:space="0"/>
            </w:tcBorders>
            <w:vAlign w:val="center"/>
          </w:tcPr>
          <w:p w14:paraId="0C123450">
            <w:pPr>
              <w:jc w:val="center"/>
              <w:rPr>
                <w:rFonts w:hint="eastAsia" w:ascii="宋体" w:hAnsi="宋体" w:cs="宋体"/>
                <w:color w:val="auto"/>
                <w:sz w:val="27"/>
                <w:szCs w:val="27"/>
                <w:highlight w:val="none"/>
                <w:lang w:bidi="ar"/>
              </w:rPr>
            </w:pPr>
            <w:r>
              <w:rPr>
                <w:rFonts w:hint="eastAsia" w:ascii="宋体" w:hAnsi="宋体" w:cs="宋体"/>
                <w:color w:val="auto"/>
                <w:highlight w:val="none"/>
              </w:rPr>
              <w:t>开工日期</w:t>
            </w:r>
          </w:p>
        </w:tc>
        <w:tc>
          <w:tcPr>
            <w:tcW w:w="1548" w:type="dxa"/>
            <w:gridSpan w:val="2"/>
            <w:tcBorders>
              <w:top w:val="single" w:color="auto" w:sz="4" w:space="0"/>
              <w:left w:val="single" w:color="auto" w:sz="4" w:space="0"/>
              <w:bottom w:val="single" w:color="auto" w:sz="4" w:space="0"/>
              <w:right w:val="single" w:color="auto" w:sz="4" w:space="0"/>
            </w:tcBorders>
            <w:vAlign w:val="center"/>
          </w:tcPr>
          <w:p w14:paraId="62B7A25B">
            <w:pPr>
              <w:jc w:val="center"/>
              <w:rPr>
                <w:rFonts w:hint="eastAsia" w:ascii="宋体" w:hAnsi="宋体" w:cs="宋体"/>
                <w:color w:val="auto"/>
                <w:highlight w:val="none"/>
              </w:rPr>
            </w:pPr>
          </w:p>
        </w:tc>
        <w:tc>
          <w:tcPr>
            <w:tcW w:w="1837" w:type="dxa"/>
            <w:gridSpan w:val="4"/>
            <w:tcBorders>
              <w:top w:val="single" w:color="auto" w:sz="4" w:space="0"/>
              <w:left w:val="single" w:color="auto" w:sz="4" w:space="0"/>
              <w:bottom w:val="single" w:color="auto" w:sz="4" w:space="0"/>
              <w:right w:val="single" w:color="auto" w:sz="4" w:space="0"/>
            </w:tcBorders>
            <w:vAlign w:val="center"/>
          </w:tcPr>
          <w:p w14:paraId="6E0CF0FD">
            <w:pPr>
              <w:jc w:val="center"/>
              <w:rPr>
                <w:rFonts w:hint="eastAsia" w:ascii="宋体" w:hAnsi="宋体" w:cs="宋体"/>
                <w:color w:val="auto"/>
                <w:highlight w:val="none"/>
              </w:rPr>
            </w:pPr>
          </w:p>
        </w:tc>
        <w:tc>
          <w:tcPr>
            <w:tcW w:w="1472" w:type="dxa"/>
            <w:gridSpan w:val="3"/>
            <w:tcBorders>
              <w:top w:val="single" w:color="auto" w:sz="4" w:space="0"/>
              <w:left w:val="single" w:color="auto" w:sz="4" w:space="0"/>
              <w:bottom w:val="single" w:color="auto" w:sz="4" w:space="0"/>
              <w:right w:val="single" w:color="auto" w:sz="4" w:space="0"/>
            </w:tcBorders>
            <w:vAlign w:val="center"/>
          </w:tcPr>
          <w:p w14:paraId="71882278">
            <w:pPr>
              <w:jc w:val="center"/>
              <w:rPr>
                <w:rFonts w:hint="eastAsia" w:ascii="宋体" w:hAnsi="宋体" w:cs="宋体"/>
                <w:color w:val="auto"/>
                <w:highlight w:val="none"/>
              </w:rPr>
            </w:pPr>
          </w:p>
        </w:tc>
        <w:tc>
          <w:tcPr>
            <w:tcW w:w="1641" w:type="dxa"/>
            <w:gridSpan w:val="4"/>
            <w:tcBorders>
              <w:top w:val="single" w:color="auto" w:sz="4" w:space="0"/>
              <w:left w:val="single" w:color="auto" w:sz="4" w:space="0"/>
              <w:bottom w:val="single" w:color="auto" w:sz="4" w:space="0"/>
              <w:right w:val="single" w:color="auto" w:sz="4" w:space="0"/>
            </w:tcBorders>
            <w:vAlign w:val="center"/>
          </w:tcPr>
          <w:p w14:paraId="73F08908">
            <w:pPr>
              <w:jc w:val="center"/>
              <w:rPr>
                <w:rFonts w:hint="eastAsia" w:ascii="宋体" w:hAnsi="宋体" w:cs="宋体"/>
                <w:color w:val="auto"/>
                <w:highlight w:val="none"/>
              </w:rPr>
            </w:pPr>
          </w:p>
        </w:tc>
        <w:tc>
          <w:tcPr>
            <w:tcW w:w="1484" w:type="dxa"/>
            <w:gridSpan w:val="2"/>
            <w:tcBorders>
              <w:top w:val="single" w:color="auto" w:sz="4" w:space="0"/>
              <w:left w:val="single" w:color="auto" w:sz="4" w:space="0"/>
              <w:bottom w:val="single" w:color="auto" w:sz="4" w:space="0"/>
              <w:right w:val="single" w:color="auto" w:sz="4" w:space="0"/>
            </w:tcBorders>
            <w:vAlign w:val="center"/>
          </w:tcPr>
          <w:p w14:paraId="3C43FB95">
            <w:pPr>
              <w:jc w:val="center"/>
              <w:rPr>
                <w:rFonts w:hint="eastAsia" w:ascii="宋体" w:hAnsi="宋体" w:cs="宋体"/>
                <w:color w:val="auto"/>
                <w:highlight w:val="none"/>
              </w:rPr>
            </w:pPr>
          </w:p>
        </w:tc>
      </w:tr>
      <w:tr w14:paraId="56545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3"/>
            <w:tcBorders>
              <w:top w:val="single" w:color="auto" w:sz="4" w:space="0"/>
              <w:left w:val="single" w:color="auto" w:sz="4" w:space="0"/>
              <w:bottom w:val="single" w:color="auto" w:sz="4" w:space="0"/>
              <w:right w:val="single" w:color="auto" w:sz="4" w:space="0"/>
            </w:tcBorders>
            <w:vAlign w:val="center"/>
          </w:tcPr>
          <w:p w14:paraId="417AE099">
            <w:pPr>
              <w:jc w:val="center"/>
              <w:rPr>
                <w:rFonts w:hint="eastAsia" w:ascii="宋体" w:hAnsi="宋体" w:cs="宋体"/>
                <w:color w:val="auto"/>
                <w:highlight w:val="none"/>
              </w:rPr>
            </w:pPr>
            <w:r>
              <w:rPr>
                <w:rFonts w:hint="eastAsia" w:ascii="宋体" w:hAnsi="宋体" w:cs="宋体"/>
                <w:color w:val="auto"/>
                <w:highlight w:val="none"/>
              </w:rPr>
              <w:t>竣工日期</w:t>
            </w:r>
          </w:p>
        </w:tc>
        <w:tc>
          <w:tcPr>
            <w:tcW w:w="1548" w:type="dxa"/>
            <w:gridSpan w:val="2"/>
            <w:tcBorders>
              <w:top w:val="single" w:color="auto" w:sz="4" w:space="0"/>
              <w:left w:val="single" w:color="auto" w:sz="4" w:space="0"/>
              <w:bottom w:val="single" w:color="auto" w:sz="4" w:space="0"/>
              <w:right w:val="single" w:color="auto" w:sz="4" w:space="0"/>
            </w:tcBorders>
            <w:vAlign w:val="center"/>
          </w:tcPr>
          <w:p w14:paraId="3F960E9C">
            <w:pPr>
              <w:jc w:val="center"/>
              <w:rPr>
                <w:rFonts w:hint="eastAsia" w:ascii="宋体" w:hAnsi="宋体" w:cs="宋体"/>
                <w:color w:val="auto"/>
                <w:highlight w:val="none"/>
              </w:rPr>
            </w:pPr>
          </w:p>
        </w:tc>
        <w:tc>
          <w:tcPr>
            <w:tcW w:w="1837" w:type="dxa"/>
            <w:gridSpan w:val="4"/>
            <w:tcBorders>
              <w:top w:val="single" w:color="auto" w:sz="4" w:space="0"/>
              <w:left w:val="single" w:color="auto" w:sz="4" w:space="0"/>
              <w:bottom w:val="single" w:color="auto" w:sz="4" w:space="0"/>
              <w:right w:val="single" w:color="auto" w:sz="4" w:space="0"/>
            </w:tcBorders>
            <w:vAlign w:val="center"/>
          </w:tcPr>
          <w:p w14:paraId="419D5816">
            <w:pPr>
              <w:jc w:val="center"/>
              <w:rPr>
                <w:rFonts w:hint="eastAsia" w:ascii="宋体" w:hAnsi="宋体" w:cs="宋体"/>
                <w:color w:val="auto"/>
                <w:highlight w:val="none"/>
              </w:rPr>
            </w:pPr>
          </w:p>
        </w:tc>
        <w:tc>
          <w:tcPr>
            <w:tcW w:w="1472" w:type="dxa"/>
            <w:gridSpan w:val="3"/>
            <w:tcBorders>
              <w:top w:val="single" w:color="auto" w:sz="4" w:space="0"/>
              <w:left w:val="single" w:color="auto" w:sz="4" w:space="0"/>
              <w:bottom w:val="single" w:color="auto" w:sz="4" w:space="0"/>
              <w:right w:val="single" w:color="auto" w:sz="4" w:space="0"/>
            </w:tcBorders>
            <w:vAlign w:val="center"/>
          </w:tcPr>
          <w:p w14:paraId="25B7CBB2">
            <w:pPr>
              <w:jc w:val="center"/>
              <w:rPr>
                <w:rFonts w:hint="eastAsia" w:ascii="宋体" w:hAnsi="宋体" w:cs="宋体"/>
                <w:color w:val="auto"/>
                <w:highlight w:val="none"/>
              </w:rPr>
            </w:pPr>
          </w:p>
        </w:tc>
        <w:tc>
          <w:tcPr>
            <w:tcW w:w="1641" w:type="dxa"/>
            <w:gridSpan w:val="4"/>
            <w:tcBorders>
              <w:top w:val="single" w:color="auto" w:sz="4" w:space="0"/>
              <w:left w:val="single" w:color="auto" w:sz="4" w:space="0"/>
              <w:bottom w:val="single" w:color="auto" w:sz="4" w:space="0"/>
              <w:right w:val="single" w:color="auto" w:sz="4" w:space="0"/>
            </w:tcBorders>
            <w:vAlign w:val="center"/>
          </w:tcPr>
          <w:p w14:paraId="0171C755">
            <w:pPr>
              <w:jc w:val="center"/>
              <w:rPr>
                <w:rFonts w:hint="eastAsia" w:ascii="宋体" w:hAnsi="宋体" w:cs="宋体"/>
                <w:color w:val="auto"/>
                <w:highlight w:val="none"/>
              </w:rPr>
            </w:pPr>
          </w:p>
        </w:tc>
        <w:tc>
          <w:tcPr>
            <w:tcW w:w="1484" w:type="dxa"/>
            <w:gridSpan w:val="2"/>
            <w:tcBorders>
              <w:top w:val="single" w:color="auto" w:sz="4" w:space="0"/>
              <w:left w:val="single" w:color="auto" w:sz="4" w:space="0"/>
              <w:bottom w:val="single" w:color="auto" w:sz="4" w:space="0"/>
              <w:right w:val="single" w:color="auto" w:sz="4" w:space="0"/>
            </w:tcBorders>
            <w:vAlign w:val="center"/>
          </w:tcPr>
          <w:p w14:paraId="675986E7">
            <w:pPr>
              <w:jc w:val="center"/>
              <w:rPr>
                <w:rFonts w:hint="eastAsia" w:ascii="宋体" w:hAnsi="宋体" w:cs="宋体"/>
                <w:color w:val="auto"/>
                <w:highlight w:val="none"/>
              </w:rPr>
            </w:pPr>
          </w:p>
        </w:tc>
      </w:tr>
      <w:tr w14:paraId="41617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tcBorders>
              <w:top w:val="single" w:color="auto" w:sz="4" w:space="0"/>
              <w:left w:val="single" w:color="auto" w:sz="4" w:space="0"/>
              <w:bottom w:val="single" w:color="auto" w:sz="4" w:space="0"/>
              <w:right w:val="single" w:color="auto" w:sz="4" w:space="0"/>
            </w:tcBorders>
            <w:vAlign w:val="center"/>
          </w:tcPr>
          <w:p w14:paraId="6032514F">
            <w:pPr>
              <w:jc w:val="center"/>
              <w:rPr>
                <w:rFonts w:hint="eastAsia" w:ascii="宋体" w:hAnsi="宋体" w:cs="宋体"/>
                <w:color w:val="auto"/>
                <w:highlight w:val="none"/>
              </w:rPr>
            </w:pPr>
            <w:r>
              <w:rPr>
                <w:rFonts w:hint="eastAsia" w:ascii="宋体" w:hAnsi="宋体" w:cs="宋体"/>
                <w:color w:val="auto"/>
                <w:highlight w:val="none"/>
              </w:rPr>
              <w:t>人员角色</w:t>
            </w:r>
          </w:p>
        </w:tc>
        <w:tc>
          <w:tcPr>
            <w:tcW w:w="1548" w:type="dxa"/>
            <w:gridSpan w:val="2"/>
            <w:tcBorders>
              <w:top w:val="single" w:color="auto" w:sz="4" w:space="0"/>
              <w:left w:val="single" w:color="auto" w:sz="4" w:space="0"/>
              <w:bottom w:val="single" w:color="auto" w:sz="4" w:space="0"/>
              <w:right w:val="single" w:color="auto" w:sz="4" w:space="0"/>
            </w:tcBorders>
            <w:vAlign w:val="center"/>
          </w:tcPr>
          <w:p w14:paraId="70F5E712">
            <w:pPr>
              <w:jc w:val="center"/>
              <w:rPr>
                <w:rFonts w:hint="eastAsia" w:ascii="宋体" w:hAnsi="宋体" w:cs="宋体"/>
                <w:color w:val="auto"/>
                <w:highlight w:val="none"/>
              </w:rPr>
            </w:pPr>
          </w:p>
        </w:tc>
        <w:tc>
          <w:tcPr>
            <w:tcW w:w="1837" w:type="dxa"/>
            <w:gridSpan w:val="4"/>
            <w:tcBorders>
              <w:top w:val="single" w:color="auto" w:sz="4" w:space="0"/>
              <w:left w:val="single" w:color="auto" w:sz="4" w:space="0"/>
              <w:bottom w:val="single" w:color="auto" w:sz="4" w:space="0"/>
              <w:right w:val="single" w:color="auto" w:sz="4" w:space="0"/>
            </w:tcBorders>
            <w:vAlign w:val="center"/>
          </w:tcPr>
          <w:p w14:paraId="3E1832C5">
            <w:pPr>
              <w:jc w:val="center"/>
              <w:rPr>
                <w:rFonts w:hint="eastAsia" w:ascii="宋体" w:hAnsi="宋体" w:cs="宋体"/>
                <w:color w:val="auto"/>
                <w:highlight w:val="none"/>
              </w:rPr>
            </w:pPr>
          </w:p>
        </w:tc>
        <w:tc>
          <w:tcPr>
            <w:tcW w:w="1472" w:type="dxa"/>
            <w:gridSpan w:val="3"/>
            <w:tcBorders>
              <w:top w:val="single" w:color="auto" w:sz="4" w:space="0"/>
              <w:left w:val="single" w:color="auto" w:sz="4" w:space="0"/>
              <w:bottom w:val="single" w:color="auto" w:sz="4" w:space="0"/>
              <w:right w:val="single" w:color="auto" w:sz="4" w:space="0"/>
            </w:tcBorders>
            <w:vAlign w:val="center"/>
          </w:tcPr>
          <w:p w14:paraId="5B826972">
            <w:pPr>
              <w:jc w:val="center"/>
              <w:rPr>
                <w:rFonts w:hint="eastAsia" w:ascii="宋体" w:hAnsi="宋体" w:cs="宋体"/>
                <w:color w:val="auto"/>
                <w:highlight w:val="none"/>
              </w:rPr>
            </w:pPr>
          </w:p>
        </w:tc>
        <w:tc>
          <w:tcPr>
            <w:tcW w:w="1641" w:type="dxa"/>
            <w:gridSpan w:val="4"/>
            <w:tcBorders>
              <w:top w:val="single" w:color="auto" w:sz="4" w:space="0"/>
              <w:left w:val="single" w:color="auto" w:sz="4" w:space="0"/>
              <w:bottom w:val="single" w:color="auto" w:sz="4" w:space="0"/>
              <w:right w:val="single" w:color="auto" w:sz="4" w:space="0"/>
            </w:tcBorders>
            <w:vAlign w:val="center"/>
          </w:tcPr>
          <w:p w14:paraId="08293C34">
            <w:pPr>
              <w:jc w:val="center"/>
              <w:rPr>
                <w:rFonts w:hint="eastAsia" w:ascii="宋体" w:hAnsi="宋体" w:cs="宋体"/>
                <w:color w:val="auto"/>
                <w:highlight w:val="none"/>
              </w:rPr>
            </w:pPr>
          </w:p>
        </w:tc>
        <w:tc>
          <w:tcPr>
            <w:tcW w:w="1484" w:type="dxa"/>
            <w:gridSpan w:val="2"/>
            <w:tcBorders>
              <w:top w:val="single" w:color="auto" w:sz="4" w:space="0"/>
              <w:left w:val="single" w:color="auto" w:sz="4" w:space="0"/>
              <w:bottom w:val="single" w:color="auto" w:sz="4" w:space="0"/>
              <w:right w:val="single" w:color="auto" w:sz="4" w:space="0"/>
            </w:tcBorders>
            <w:vAlign w:val="center"/>
          </w:tcPr>
          <w:p w14:paraId="0171F538">
            <w:pPr>
              <w:jc w:val="center"/>
              <w:rPr>
                <w:rFonts w:hint="eastAsia" w:ascii="宋体" w:hAnsi="宋体" w:cs="宋体"/>
                <w:color w:val="auto"/>
                <w:highlight w:val="none"/>
              </w:rPr>
            </w:pPr>
          </w:p>
        </w:tc>
      </w:tr>
      <w:tr w14:paraId="70CCD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tcBorders>
              <w:top w:val="single" w:color="auto" w:sz="4" w:space="0"/>
              <w:left w:val="single" w:color="auto" w:sz="4" w:space="0"/>
              <w:bottom w:val="single" w:color="auto" w:sz="4" w:space="0"/>
              <w:right w:val="single" w:color="auto" w:sz="4" w:space="0"/>
            </w:tcBorders>
            <w:vAlign w:val="center"/>
          </w:tcPr>
          <w:p w14:paraId="0EDD2A6C">
            <w:pPr>
              <w:jc w:val="center"/>
              <w:rPr>
                <w:rFonts w:hint="eastAsia" w:ascii="宋体" w:hAnsi="宋体" w:cs="宋体"/>
                <w:color w:val="auto"/>
                <w:highlight w:val="none"/>
              </w:rPr>
            </w:pPr>
            <w:r>
              <w:rPr>
                <w:rFonts w:hint="eastAsia" w:ascii="宋体" w:hAnsi="宋体" w:cs="宋体"/>
                <w:color w:val="auto"/>
                <w:highlight w:val="none"/>
              </w:rPr>
              <w:t>在建或已完</w:t>
            </w:r>
          </w:p>
        </w:tc>
        <w:tc>
          <w:tcPr>
            <w:tcW w:w="1548" w:type="dxa"/>
            <w:gridSpan w:val="2"/>
            <w:tcBorders>
              <w:top w:val="single" w:color="auto" w:sz="4" w:space="0"/>
              <w:left w:val="single" w:color="auto" w:sz="4" w:space="0"/>
              <w:bottom w:val="single" w:color="auto" w:sz="4" w:space="0"/>
              <w:right w:val="single" w:color="auto" w:sz="4" w:space="0"/>
            </w:tcBorders>
            <w:vAlign w:val="center"/>
          </w:tcPr>
          <w:p w14:paraId="53B644B1">
            <w:pPr>
              <w:jc w:val="center"/>
              <w:rPr>
                <w:rFonts w:hint="eastAsia" w:ascii="宋体" w:hAnsi="宋体" w:cs="宋体"/>
                <w:color w:val="auto"/>
                <w:highlight w:val="none"/>
              </w:rPr>
            </w:pPr>
          </w:p>
        </w:tc>
        <w:tc>
          <w:tcPr>
            <w:tcW w:w="1837" w:type="dxa"/>
            <w:gridSpan w:val="4"/>
            <w:tcBorders>
              <w:top w:val="single" w:color="auto" w:sz="4" w:space="0"/>
              <w:left w:val="single" w:color="auto" w:sz="4" w:space="0"/>
              <w:bottom w:val="single" w:color="auto" w:sz="4" w:space="0"/>
              <w:right w:val="single" w:color="auto" w:sz="4" w:space="0"/>
            </w:tcBorders>
            <w:vAlign w:val="center"/>
          </w:tcPr>
          <w:p w14:paraId="2D9A5078">
            <w:pPr>
              <w:jc w:val="center"/>
              <w:rPr>
                <w:rFonts w:hint="eastAsia" w:ascii="宋体" w:hAnsi="宋体" w:cs="宋体"/>
                <w:color w:val="auto"/>
                <w:highlight w:val="none"/>
              </w:rPr>
            </w:pPr>
          </w:p>
        </w:tc>
        <w:tc>
          <w:tcPr>
            <w:tcW w:w="1472" w:type="dxa"/>
            <w:gridSpan w:val="3"/>
            <w:tcBorders>
              <w:top w:val="single" w:color="auto" w:sz="4" w:space="0"/>
              <w:left w:val="single" w:color="auto" w:sz="4" w:space="0"/>
              <w:bottom w:val="single" w:color="auto" w:sz="4" w:space="0"/>
              <w:right w:val="single" w:color="auto" w:sz="4" w:space="0"/>
            </w:tcBorders>
            <w:vAlign w:val="center"/>
          </w:tcPr>
          <w:p w14:paraId="6CB1F7E7">
            <w:pPr>
              <w:jc w:val="center"/>
              <w:rPr>
                <w:rFonts w:hint="eastAsia" w:ascii="宋体" w:hAnsi="宋体" w:cs="宋体"/>
                <w:color w:val="auto"/>
                <w:highlight w:val="none"/>
              </w:rPr>
            </w:pPr>
          </w:p>
        </w:tc>
        <w:tc>
          <w:tcPr>
            <w:tcW w:w="1641" w:type="dxa"/>
            <w:gridSpan w:val="4"/>
            <w:tcBorders>
              <w:top w:val="single" w:color="auto" w:sz="4" w:space="0"/>
              <w:left w:val="single" w:color="auto" w:sz="4" w:space="0"/>
              <w:bottom w:val="single" w:color="auto" w:sz="4" w:space="0"/>
              <w:right w:val="single" w:color="auto" w:sz="4" w:space="0"/>
            </w:tcBorders>
            <w:vAlign w:val="center"/>
          </w:tcPr>
          <w:p w14:paraId="07ACE211">
            <w:pPr>
              <w:jc w:val="center"/>
              <w:rPr>
                <w:rFonts w:hint="eastAsia" w:ascii="宋体" w:hAnsi="宋体" w:cs="宋体"/>
                <w:color w:val="auto"/>
                <w:highlight w:val="none"/>
              </w:rPr>
            </w:pPr>
          </w:p>
        </w:tc>
        <w:tc>
          <w:tcPr>
            <w:tcW w:w="1484" w:type="dxa"/>
            <w:gridSpan w:val="2"/>
            <w:tcBorders>
              <w:top w:val="single" w:color="auto" w:sz="4" w:space="0"/>
              <w:left w:val="single" w:color="auto" w:sz="4" w:space="0"/>
              <w:bottom w:val="single" w:color="auto" w:sz="4" w:space="0"/>
              <w:right w:val="single" w:color="auto" w:sz="4" w:space="0"/>
            </w:tcBorders>
            <w:vAlign w:val="center"/>
          </w:tcPr>
          <w:p w14:paraId="4271BF68">
            <w:pPr>
              <w:jc w:val="center"/>
              <w:rPr>
                <w:rFonts w:hint="eastAsia" w:ascii="宋体" w:hAnsi="宋体" w:cs="宋体"/>
                <w:color w:val="auto"/>
                <w:highlight w:val="none"/>
              </w:rPr>
            </w:pPr>
          </w:p>
        </w:tc>
      </w:tr>
      <w:tr w14:paraId="09352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tcBorders>
              <w:top w:val="single" w:color="auto" w:sz="4" w:space="0"/>
              <w:left w:val="single" w:color="auto" w:sz="4" w:space="0"/>
              <w:bottom w:val="single" w:color="auto" w:sz="4" w:space="0"/>
              <w:right w:val="single" w:color="auto" w:sz="4" w:space="0"/>
            </w:tcBorders>
            <w:vAlign w:val="center"/>
          </w:tcPr>
          <w:p w14:paraId="1D69D01B">
            <w:pPr>
              <w:jc w:val="center"/>
              <w:rPr>
                <w:rFonts w:hint="eastAsia" w:ascii="宋体" w:hAnsi="宋体" w:cs="宋体"/>
                <w:color w:val="auto"/>
                <w:highlight w:val="none"/>
              </w:rPr>
            </w:pPr>
            <w:r>
              <w:rPr>
                <w:rFonts w:hint="eastAsia" w:ascii="宋体" w:hAnsi="宋体" w:cs="宋体"/>
                <w:color w:val="auto"/>
                <w:highlight w:val="none"/>
              </w:rPr>
              <w:t>工程质量</w:t>
            </w:r>
          </w:p>
        </w:tc>
        <w:tc>
          <w:tcPr>
            <w:tcW w:w="1548" w:type="dxa"/>
            <w:gridSpan w:val="2"/>
            <w:tcBorders>
              <w:top w:val="single" w:color="auto" w:sz="4" w:space="0"/>
              <w:left w:val="single" w:color="auto" w:sz="4" w:space="0"/>
              <w:bottom w:val="single" w:color="auto" w:sz="4" w:space="0"/>
              <w:right w:val="single" w:color="auto" w:sz="4" w:space="0"/>
            </w:tcBorders>
            <w:vAlign w:val="center"/>
          </w:tcPr>
          <w:p w14:paraId="28029722">
            <w:pPr>
              <w:jc w:val="center"/>
              <w:rPr>
                <w:rFonts w:hint="eastAsia" w:ascii="宋体" w:hAnsi="宋体" w:cs="宋体"/>
                <w:color w:val="auto"/>
                <w:highlight w:val="none"/>
              </w:rPr>
            </w:pPr>
          </w:p>
        </w:tc>
        <w:tc>
          <w:tcPr>
            <w:tcW w:w="1837" w:type="dxa"/>
            <w:gridSpan w:val="4"/>
            <w:tcBorders>
              <w:top w:val="single" w:color="auto" w:sz="4" w:space="0"/>
              <w:left w:val="single" w:color="auto" w:sz="4" w:space="0"/>
              <w:bottom w:val="single" w:color="auto" w:sz="4" w:space="0"/>
              <w:right w:val="single" w:color="auto" w:sz="4" w:space="0"/>
            </w:tcBorders>
            <w:vAlign w:val="center"/>
          </w:tcPr>
          <w:p w14:paraId="4A528C32">
            <w:pPr>
              <w:jc w:val="center"/>
              <w:rPr>
                <w:rFonts w:hint="eastAsia" w:ascii="宋体" w:hAnsi="宋体" w:cs="宋体"/>
                <w:color w:val="auto"/>
                <w:highlight w:val="none"/>
              </w:rPr>
            </w:pPr>
          </w:p>
        </w:tc>
        <w:tc>
          <w:tcPr>
            <w:tcW w:w="1472" w:type="dxa"/>
            <w:gridSpan w:val="3"/>
            <w:tcBorders>
              <w:top w:val="single" w:color="auto" w:sz="4" w:space="0"/>
              <w:left w:val="single" w:color="auto" w:sz="4" w:space="0"/>
              <w:bottom w:val="single" w:color="auto" w:sz="4" w:space="0"/>
              <w:right w:val="single" w:color="auto" w:sz="4" w:space="0"/>
            </w:tcBorders>
            <w:vAlign w:val="center"/>
          </w:tcPr>
          <w:p w14:paraId="5AFF88F3">
            <w:pPr>
              <w:jc w:val="center"/>
              <w:rPr>
                <w:rFonts w:hint="eastAsia" w:ascii="宋体" w:hAnsi="宋体" w:cs="宋体"/>
                <w:color w:val="auto"/>
                <w:highlight w:val="none"/>
              </w:rPr>
            </w:pPr>
          </w:p>
        </w:tc>
        <w:tc>
          <w:tcPr>
            <w:tcW w:w="1641" w:type="dxa"/>
            <w:gridSpan w:val="4"/>
            <w:tcBorders>
              <w:top w:val="single" w:color="auto" w:sz="4" w:space="0"/>
              <w:left w:val="single" w:color="auto" w:sz="4" w:space="0"/>
              <w:bottom w:val="single" w:color="auto" w:sz="4" w:space="0"/>
              <w:right w:val="single" w:color="auto" w:sz="4" w:space="0"/>
            </w:tcBorders>
            <w:vAlign w:val="center"/>
          </w:tcPr>
          <w:p w14:paraId="476B373F">
            <w:pPr>
              <w:jc w:val="center"/>
              <w:rPr>
                <w:rFonts w:hint="eastAsia" w:ascii="宋体" w:hAnsi="宋体" w:cs="宋体"/>
                <w:color w:val="auto"/>
                <w:highlight w:val="none"/>
              </w:rPr>
            </w:pPr>
          </w:p>
        </w:tc>
        <w:tc>
          <w:tcPr>
            <w:tcW w:w="1484" w:type="dxa"/>
            <w:gridSpan w:val="2"/>
            <w:tcBorders>
              <w:top w:val="single" w:color="auto" w:sz="4" w:space="0"/>
              <w:left w:val="single" w:color="auto" w:sz="4" w:space="0"/>
              <w:bottom w:val="single" w:color="auto" w:sz="4" w:space="0"/>
              <w:right w:val="single" w:color="auto" w:sz="4" w:space="0"/>
            </w:tcBorders>
            <w:vAlign w:val="center"/>
          </w:tcPr>
          <w:p w14:paraId="55176CB3">
            <w:pPr>
              <w:jc w:val="center"/>
              <w:rPr>
                <w:rFonts w:hint="eastAsia" w:ascii="宋体" w:hAnsi="宋体" w:cs="宋体"/>
                <w:color w:val="auto"/>
                <w:highlight w:val="none"/>
              </w:rPr>
            </w:pPr>
          </w:p>
        </w:tc>
      </w:tr>
      <w:tr w14:paraId="53D48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tcBorders>
              <w:top w:val="single" w:color="auto" w:sz="4" w:space="0"/>
              <w:left w:val="single" w:color="auto" w:sz="4" w:space="0"/>
              <w:bottom w:val="single" w:color="auto" w:sz="4" w:space="0"/>
              <w:right w:val="single" w:color="auto" w:sz="4" w:space="0"/>
            </w:tcBorders>
            <w:vAlign w:val="center"/>
          </w:tcPr>
          <w:p w14:paraId="6035553A">
            <w:pPr>
              <w:jc w:val="center"/>
              <w:rPr>
                <w:rFonts w:hint="eastAsia" w:ascii="宋体" w:hAnsi="宋体" w:cs="宋体"/>
                <w:color w:val="auto"/>
                <w:highlight w:val="none"/>
              </w:rPr>
            </w:pPr>
            <w:r>
              <w:rPr>
                <w:rFonts w:hint="eastAsia" w:ascii="宋体" w:hAnsi="宋体" w:cs="宋体"/>
                <w:color w:val="auto"/>
                <w:highlight w:val="none"/>
              </w:rPr>
              <w:t>受奖情况</w:t>
            </w:r>
          </w:p>
        </w:tc>
        <w:tc>
          <w:tcPr>
            <w:tcW w:w="1548" w:type="dxa"/>
            <w:gridSpan w:val="2"/>
            <w:tcBorders>
              <w:top w:val="single" w:color="auto" w:sz="4" w:space="0"/>
              <w:left w:val="single" w:color="auto" w:sz="4" w:space="0"/>
              <w:bottom w:val="single" w:color="auto" w:sz="4" w:space="0"/>
              <w:right w:val="single" w:color="auto" w:sz="4" w:space="0"/>
            </w:tcBorders>
            <w:vAlign w:val="center"/>
          </w:tcPr>
          <w:p w14:paraId="76D4898F">
            <w:pPr>
              <w:jc w:val="center"/>
              <w:rPr>
                <w:rFonts w:hint="eastAsia" w:ascii="宋体" w:hAnsi="宋体" w:cs="宋体"/>
                <w:color w:val="auto"/>
                <w:highlight w:val="none"/>
              </w:rPr>
            </w:pPr>
          </w:p>
        </w:tc>
        <w:tc>
          <w:tcPr>
            <w:tcW w:w="1837" w:type="dxa"/>
            <w:gridSpan w:val="4"/>
            <w:tcBorders>
              <w:top w:val="single" w:color="auto" w:sz="4" w:space="0"/>
              <w:left w:val="single" w:color="auto" w:sz="4" w:space="0"/>
              <w:bottom w:val="single" w:color="auto" w:sz="4" w:space="0"/>
              <w:right w:val="single" w:color="auto" w:sz="4" w:space="0"/>
            </w:tcBorders>
            <w:vAlign w:val="center"/>
          </w:tcPr>
          <w:p w14:paraId="3B8B72D5">
            <w:pPr>
              <w:jc w:val="center"/>
              <w:rPr>
                <w:rFonts w:hint="eastAsia" w:ascii="宋体" w:hAnsi="宋体" w:cs="宋体"/>
                <w:color w:val="auto"/>
                <w:highlight w:val="none"/>
              </w:rPr>
            </w:pPr>
          </w:p>
        </w:tc>
        <w:tc>
          <w:tcPr>
            <w:tcW w:w="1472" w:type="dxa"/>
            <w:gridSpan w:val="3"/>
            <w:tcBorders>
              <w:top w:val="single" w:color="auto" w:sz="4" w:space="0"/>
              <w:left w:val="single" w:color="auto" w:sz="4" w:space="0"/>
              <w:bottom w:val="single" w:color="auto" w:sz="4" w:space="0"/>
              <w:right w:val="single" w:color="auto" w:sz="4" w:space="0"/>
            </w:tcBorders>
            <w:vAlign w:val="center"/>
          </w:tcPr>
          <w:p w14:paraId="49BA0DB6">
            <w:pPr>
              <w:jc w:val="center"/>
              <w:rPr>
                <w:rFonts w:hint="eastAsia" w:ascii="宋体" w:hAnsi="宋体" w:cs="宋体"/>
                <w:color w:val="auto"/>
                <w:highlight w:val="none"/>
              </w:rPr>
            </w:pPr>
          </w:p>
        </w:tc>
        <w:tc>
          <w:tcPr>
            <w:tcW w:w="1641" w:type="dxa"/>
            <w:gridSpan w:val="4"/>
            <w:tcBorders>
              <w:top w:val="single" w:color="auto" w:sz="4" w:space="0"/>
              <w:left w:val="single" w:color="auto" w:sz="4" w:space="0"/>
              <w:bottom w:val="single" w:color="auto" w:sz="4" w:space="0"/>
              <w:right w:val="single" w:color="auto" w:sz="4" w:space="0"/>
            </w:tcBorders>
            <w:vAlign w:val="center"/>
          </w:tcPr>
          <w:p w14:paraId="24A77B4B">
            <w:pPr>
              <w:jc w:val="center"/>
              <w:rPr>
                <w:rFonts w:hint="eastAsia" w:ascii="宋体" w:hAnsi="宋体" w:cs="宋体"/>
                <w:color w:val="auto"/>
                <w:highlight w:val="none"/>
              </w:rPr>
            </w:pPr>
          </w:p>
        </w:tc>
        <w:tc>
          <w:tcPr>
            <w:tcW w:w="1484" w:type="dxa"/>
            <w:gridSpan w:val="2"/>
            <w:tcBorders>
              <w:top w:val="single" w:color="auto" w:sz="4" w:space="0"/>
              <w:left w:val="single" w:color="auto" w:sz="4" w:space="0"/>
              <w:bottom w:val="single" w:color="auto" w:sz="4" w:space="0"/>
              <w:right w:val="single" w:color="auto" w:sz="4" w:space="0"/>
            </w:tcBorders>
            <w:vAlign w:val="center"/>
          </w:tcPr>
          <w:p w14:paraId="7B97B1E2">
            <w:pPr>
              <w:jc w:val="center"/>
              <w:rPr>
                <w:rFonts w:hint="eastAsia" w:ascii="宋体" w:hAnsi="宋体" w:cs="宋体"/>
                <w:color w:val="auto"/>
                <w:highlight w:val="none"/>
              </w:rPr>
            </w:pPr>
          </w:p>
        </w:tc>
      </w:tr>
    </w:tbl>
    <w:p w14:paraId="3A432382">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备注：</w:t>
      </w:r>
    </w:p>
    <w:p w14:paraId="1B3391E0">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1.项目数可以根据需要增加。</w:t>
      </w:r>
    </w:p>
    <w:p w14:paraId="6D96E682">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2.本表后附项目总工的学历证（如有）、本表所列证书复印件、属于本单位人员的证明材料并加盖供应商电子签章。</w:t>
      </w:r>
    </w:p>
    <w:p w14:paraId="5525309D">
      <w:pPr>
        <w:spacing w:line="360" w:lineRule="auto"/>
        <w:rPr>
          <w:rFonts w:hint="eastAsia" w:ascii="宋体" w:hAnsi="宋体" w:cs="宋体"/>
          <w:color w:val="auto"/>
          <w:highlight w:val="none"/>
        </w:rPr>
      </w:pPr>
    </w:p>
    <w:p w14:paraId="41807B8E">
      <w:pPr>
        <w:pStyle w:val="405"/>
        <w:spacing w:line="360" w:lineRule="auto"/>
        <w:jc w:val="center"/>
        <w:outlineLvl w:val="0"/>
        <w:rPr>
          <w:rFonts w:hint="eastAsia" w:ascii="宋体" w:hAnsi="宋体" w:cs="宋体"/>
          <w:color w:val="auto"/>
          <w:sz w:val="28"/>
          <w:szCs w:val="28"/>
          <w:highlight w:val="none"/>
          <w:u w:val="single"/>
        </w:rPr>
      </w:pPr>
      <w:r>
        <w:rPr>
          <w:rFonts w:hint="eastAsia" w:ascii="宋体" w:hAnsi="宋体" w:cs="宋体"/>
          <w:b/>
          <w:bCs/>
          <w:color w:val="auto"/>
          <w:sz w:val="28"/>
          <w:szCs w:val="28"/>
          <w:highlight w:val="none"/>
        </w:rPr>
        <w:br w:type="page" w:clear="all"/>
      </w:r>
      <w:bookmarkStart w:id="138" w:name="_Toc122424266"/>
      <w:bookmarkStart w:id="139" w:name="_Toc122424017"/>
      <w:r>
        <w:rPr>
          <w:rFonts w:hint="eastAsia" w:ascii="宋体" w:hAnsi="宋体" w:cs="宋体"/>
          <w:b/>
          <w:color w:val="auto"/>
          <w:sz w:val="28"/>
          <w:szCs w:val="28"/>
          <w:highlight w:val="none"/>
        </w:rPr>
        <w:t>专职安全生产管理人员</w:t>
      </w:r>
      <w:bookmarkEnd w:id="138"/>
      <w:bookmarkEnd w:id="139"/>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4"/>
        <w:gridCol w:w="77"/>
        <w:gridCol w:w="395"/>
        <w:gridCol w:w="880"/>
        <w:gridCol w:w="668"/>
        <w:gridCol w:w="320"/>
        <w:gridCol w:w="234"/>
        <w:gridCol w:w="66"/>
        <w:gridCol w:w="1217"/>
        <w:gridCol w:w="134"/>
        <w:gridCol w:w="242"/>
        <w:gridCol w:w="1096"/>
        <w:gridCol w:w="80"/>
        <w:gridCol w:w="409"/>
        <w:gridCol w:w="1108"/>
        <w:gridCol w:w="44"/>
        <w:gridCol w:w="71"/>
        <w:gridCol w:w="1413"/>
        <w:gridCol w:w="11"/>
      </w:tblGrid>
      <w:tr w14:paraId="1CC46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54" w:type="dxa"/>
            <w:tcBorders>
              <w:top w:val="single" w:color="auto" w:sz="4" w:space="0"/>
              <w:left w:val="single" w:color="auto" w:sz="4" w:space="0"/>
              <w:bottom w:val="single" w:color="auto" w:sz="4" w:space="0"/>
              <w:right w:val="single" w:color="auto" w:sz="4" w:space="0"/>
            </w:tcBorders>
            <w:vAlign w:val="center"/>
          </w:tcPr>
          <w:p w14:paraId="63200A32">
            <w:pPr>
              <w:jc w:val="center"/>
              <w:rPr>
                <w:rFonts w:hint="eastAsia" w:ascii="宋体" w:hAnsi="宋体" w:cs="宋体"/>
                <w:color w:val="auto"/>
                <w:highlight w:val="none"/>
              </w:rPr>
            </w:pPr>
            <w:r>
              <w:rPr>
                <w:rFonts w:hint="eastAsia" w:ascii="宋体" w:hAnsi="宋体" w:cs="宋体"/>
                <w:color w:val="auto"/>
                <w:highlight w:val="none"/>
              </w:rPr>
              <w:t>姓名</w:t>
            </w:r>
          </w:p>
        </w:tc>
        <w:tc>
          <w:tcPr>
            <w:tcW w:w="2340" w:type="dxa"/>
            <w:gridSpan w:val="5"/>
            <w:tcBorders>
              <w:top w:val="single" w:color="auto" w:sz="4" w:space="0"/>
              <w:left w:val="single" w:color="auto" w:sz="4" w:space="0"/>
              <w:bottom w:val="single" w:color="auto" w:sz="4" w:space="0"/>
              <w:right w:val="single" w:color="auto" w:sz="4" w:space="0"/>
            </w:tcBorders>
            <w:vAlign w:val="center"/>
          </w:tcPr>
          <w:p w14:paraId="786B8262">
            <w:pPr>
              <w:jc w:val="center"/>
              <w:rPr>
                <w:rFonts w:hint="eastAsia" w:ascii="宋体" w:hAnsi="宋体" w:cs="宋体"/>
                <w:color w:val="auto"/>
                <w:highlight w:val="none"/>
              </w:rPr>
            </w:pPr>
          </w:p>
        </w:tc>
        <w:tc>
          <w:tcPr>
            <w:tcW w:w="1893" w:type="dxa"/>
            <w:gridSpan w:val="5"/>
            <w:tcBorders>
              <w:top w:val="single" w:color="auto" w:sz="4" w:space="0"/>
              <w:left w:val="single" w:color="auto" w:sz="4" w:space="0"/>
              <w:bottom w:val="single" w:color="auto" w:sz="4" w:space="0"/>
              <w:right w:val="single" w:color="auto" w:sz="4" w:space="0"/>
            </w:tcBorders>
            <w:vAlign w:val="center"/>
          </w:tcPr>
          <w:p w14:paraId="2D60E703">
            <w:pPr>
              <w:jc w:val="center"/>
              <w:rPr>
                <w:rFonts w:hint="eastAsia" w:ascii="宋体" w:hAnsi="宋体" w:cs="宋体"/>
                <w:color w:val="auto"/>
                <w:highlight w:val="none"/>
              </w:rPr>
            </w:pPr>
            <w:r>
              <w:rPr>
                <w:rFonts w:hint="eastAsia" w:ascii="宋体" w:hAnsi="宋体" w:cs="宋体"/>
                <w:color w:val="auto"/>
                <w:highlight w:val="none"/>
              </w:rPr>
              <w:t>性别</w:t>
            </w:r>
          </w:p>
        </w:tc>
        <w:tc>
          <w:tcPr>
            <w:tcW w:w="1585" w:type="dxa"/>
            <w:gridSpan w:val="3"/>
            <w:tcBorders>
              <w:top w:val="single" w:color="auto" w:sz="4" w:space="0"/>
              <w:left w:val="single" w:color="auto" w:sz="4" w:space="0"/>
              <w:bottom w:val="single" w:color="auto" w:sz="4" w:space="0"/>
              <w:right w:val="single" w:color="auto" w:sz="4" w:space="0"/>
            </w:tcBorders>
            <w:vAlign w:val="center"/>
          </w:tcPr>
          <w:p w14:paraId="24D973F3">
            <w:pPr>
              <w:jc w:val="center"/>
              <w:rPr>
                <w:rFonts w:hint="eastAsia" w:ascii="宋体" w:hAnsi="宋体" w:cs="宋体"/>
                <w:color w:val="auto"/>
                <w:highlight w:val="none"/>
              </w:rPr>
            </w:pPr>
          </w:p>
        </w:tc>
        <w:tc>
          <w:tcPr>
            <w:tcW w:w="1108" w:type="dxa"/>
            <w:tcBorders>
              <w:top w:val="single" w:color="auto" w:sz="4" w:space="0"/>
              <w:left w:val="single" w:color="auto" w:sz="4" w:space="0"/>
              <w:bottom w:val="single" w:color="auto" w:sz="4" w:space="0"/>
              <w:right w:val="single" w:color="auto" w:sz="4" w:space="0"/>
            </w:tcBorders>
            <w:vAlign w:val="center"/>
          </w:tcPr>
          <w:p w14:paraId="65C8C70A">
            <w:pPr>
              <w:jc w:val="center"/>
              <w:rPr>
                <w:rFonts w:hint="eastAsia" w:ascii="宋体" w:hAnsi="宋体" w:cs="宋体"/>
                <w:color w:val="auto"/>
                <w:highlight w:val="none"/>
              </w:rPr>
            </w:pPr>
            <w:r>
              <w:rPr>
                <w:rFonts w:hint="eastAsia" w:ascii="宋体" w:hAnsi="宋体" w:cs="宋体"/>
                <w:color w:val="auto"/>
                <w:highlight w:val="none"/>
              </w:rPr>
              <w:t>年龄</w:t>
            </w:r>
          </w:p>
        </w:tc>
        <w:tc>
          <w:tcPr>
            <w:tcW w:w="1531" w:type="dxa"/>
            <w:gridSpan w:val="4"/>
            <w:tcBorders>
              <w:top w:val="single" w:color="auto" w:sz="4" w:space="0"/>
              <w:left w:val="single" w:color="auto" w:sz="4" w:space="0"/>
              <w:bottom w:val="single" w:color="auto" w:sz="4" w:space="0"/>
              <w:right w:val="single" w:color="auto" w:sz="4" w:space="0"/>
            </w:tcBorders>
            <w:vAlign w:val="center"/>
          </w:tcPr>
          <w:p w14:paraId="73729411">
            <w:pPr>
              <w:jc w:val="center"/>
              <w:rPr>
                <w:rFonts w:hint="eastAsia" w:ascii="宋体" w:hAnsi="宋体" w:cs="宋体"/>
                <w:color w:val="auto"/>
                <w:highlight w:val="none"/>
              </w:rPr>
            </w:pPr>
          </w:p>
        </w:tc>
      </w:tr>
      <w:tr w14:paraId="1E2E7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154" w:type="dxa"/>
            <w:tcBorders>
              <w:top w:val="single" w:color="auto" w:sz="4" w:space="0"/>
              <w:left w:val="single" w:color="auto" w:sz="4" w:space="0"/>
              <w:bottom w:val="single" w:color="auto" w:sz="4" w:space="0"/>
              <w:right w:val="single" w:color="auto" w:sz="4" w:space="0"/>
            </w:tcBorders>
            <w:vAlign w:val="center"/>
          </w:tcPr>
          <w:p w14:paraId="24CEF026">
            <w:pPr>
              <w:jc w:val="center"/>
              <w:rPr>
                <w:rFonts w:hint="eastAsia" w:ascii="宋体" w:hAnsi="宋体" w:cs="宋体"/>
                <w:color w:val="auto"/>
                <w:highlight w:val="none"/>
              </w:rPr>
            </w:pPr>
            <w:r>
              <w:rPr>
                <w:rFonts w:hint="eastAsia" w:ascii="宋体" w:hAnsi="宋体" w:cs="宋体"/>
                <w:color w:val="auto"/>
                <w:highlight w:val="none"/>
              </w:rPr>
              <w:t>岗位</w:t>
            </w:r>
          </w:p>
        </w:tc>
        <w:tc>
          <w:tcPr>
            <w:tcW w:w="2340" w:type="dxa"/>
            <w:gridSpan w:val="5"/>
            <w:tcBorders>
              <w:top w:val="single" w:color="auto" w:sz="4" w:space="0"/>
              <w:left w:val="single" w:color="auto" w:sz="4" w:space="0"/>
              <w:bottom w:val="single" w:color="auto" w:sz="4" w:space="0"/>
              <w:right w:val="single" w:color="auto" w:sz="4" w:space="0"/>
            </w:tcBorders>
            <w:vAlign w:val="center"/>
          </w:tcPr>
          <w:p w14:paraId="288F9569">
            <w:pPr>
              <w:jc w:val="center"/>
              <w:rPr>
                <w:rFonts w:hint="eastAsia" w:ascii="宋体" w:hAnsi="宋体" w:cs="宋体"/>
                <w:color w:val="auto"/>
                <w:highlight w:val="none"/>
              </w:rPr>
            </w:pPr>
            <w:r>
              <w:rPr>
                <w:rFonts w:hint="eastAsia" w:ascii="宋体" w:hAnsi="宋体" w:cs="宋体"/>
                <w:color w:val="auto"/>
                <w:highlight w:val="none"/>
              </w:rPr>
              <w:t>专职安全生产管理人员</w:t>
            </w:r>
          </w:p>
        </w:tc>
        <w:tc>
          <w:tcPr>
            <w:tcW w:w="1893" w:type="dxa"/>
            <w:gridSpan w:val="5"/>
            <w:tcBorders>
              <w:top w:val="single" w:color="auto" w:sz="4" w:space="0"/>
              <w:left w:val="single" w:color="auto" w:sz="4" w:space="0"/>
              <w:bottom w:val="single" w:color="auto" w:sz="4" w:space="0"/>
              <w:right w:val="single" w:color="auto" w:sz="4" w:space="0"/>
            </w:tcBorders>
            <w:vAlign w:val="center"/>
          </w:tcPr>
          <w:p w14:paraId="49193930">
            <w:pPr>
              <w:jc w:val="center"/>
              <w:rPr>
                <w:rFonts w:hint="eastAsia" w:ascii="宋体" w:hAnsi="宋体" w:cs="宋体"/>
                <w:color w:val="auto"/>
                <w:highlight w:val="none"/>
              </w:rPr>
            </w:pPr>
            <w:r>
              <w:rPr>
                <w:rFonts w:hint="eastAsia" w:ascii="宋体" w:hAnsi="宋体" w:cs="宋体"/>
                <w:color w:val="auto"/>
                <w:highlight w:val="none"/>
              </w:rPr>
              <w:t>职称</w:t>
            </w:r>
          </w:p>
        </w:tc>
        <w:tc>
          <w:tcPr>
            <w:tcW w:w="1585" w:type="dxa"/>
            <w:gridSpan w:val="3"/>
            <w:tcBorders>
              <w:top w:val="single" w:color="auto" w:sz="4" w:space="0"/>
              <w:left w:val="single" w:color="auto" w:sz="4" w:space="0"/>
              <w:bottom w:val="single" w:color="auto" w:sz="4" w:space="0"/>
              <w:right w:val="single" w:color="auto" w:sz="4" w:space="0"/>
            </w:tcBorders>
            <w:vAlign w:val="center"/>
          </w:tcPr>
          <w:p w14:paraId="0930EE9A">
            <w:pPr>
              <w:jc w:val="center"/>
              <w:rPr>
                <w:rFonts w:hint="eastAsia" w:ascii="宋体" w:hAnsi="宋体" w:cs="宋体"/>
                <w:color w:val="auto"/>
                <w:highlight w:val="none"/>
              </w:rPr>
            </w:pPr>
          </w:p>
        </w:tc>
        <w:tc>
          <w:tcPr>
            <w:tcW w:w="1108" w:type="dxa"/>
            <w:tcBorders>
              <w:top w:val="single" w:color="auto" w:sz="4" w:space="0"/>
              <w:left w:val="single" w:color="auto" w:sz="4" w:space="0"/>
              <w:bottom w:val="single" w:color="auto" w:sz="4" w:space="0"/>
              <w:right w:val="single" w:color="auto" w:sz="4" w:space="0"/>
            </w:tcBorders>
            <w:vAlign w:val="center"/>
          </w:tcPr>
          <w:p w14:paraId="12C59192">
            <w:pPr>
              <w:jc w:val="center"/>
              <w:rPr>
                <w:rFonts w:hint="eastAsia" w:ascii="宋体" w:hAnsi="宋体" w:cs="宋体"/>
                <w:color w:val="auto"/>
                <w:highlight w:val="none"/>
              </w:rPr>
            </w:pPr>
            <w:r>
              <w:rPr>
                <w:rFonts w:hint="eastAsia" w:ascii="宋体" w:hAnsi="宋体" w:cs="宋体"/>
                <w:color w:val="auto"/>
                <w:highlight w:val="none"/>
              </w:rPr>
              <w:t>学历</w:t>
            </w:r>
          </w:p>
        </w:tc>
        <w:tc>
          <w:tcPr>
            <w:tcW w:w="1531" w:type="dxa"/>
            <w:gridSpan w:val="4"/>
            <w:tcBorders>
              <w:top w:val="single" w:color="auto" w:sz="4" w:space="0"/>
              <w:left w:val="single" w:color="auto" w:sz="4" w:space="0"/>
              <w:bottom w:val="single" w:color="auto" w:sz="4" w:space="0"/>
              <w:right w:val="single" w:color="auto" w:sz="4" w:space="0"/>
            </w:tcBorders>
            <w:vAlign w:val="center"/>
          </w:tcPr>
          <w:p w14:paraId="16CF8A2B">
            <w:pPr>
              <w:jc w:val="center"/>
              <w:rPr>
                <w:rFonts w:hint="eastAsia" w:ascii="宋体" w:hAnsi="宋体" w:cs="宋体"/>
                <w:color w:val="auto"/>
                <w:highlight w:val="none"/>
              </w:rPr>
            </w:pPr>
          </w:p>
        </w:tc>
      </w:tr>
      <w:tr w14:paraId="23C9C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154" w:type="dxa"/>
            <w:tcBorders>
              <w:top w:val="single" w:color="auto" w:sz="4" w:space="0"/>
              <w:left w:val="single" w:color="auto" w:sz="4" w:space="0"/>
              <w:bottom w:val="single" w:color="auto" w:sz="4" w:space="0"/>
              <w:right w:val="single" w:color="auto" w:sz="4" w:space="0"/>
            </w:tcBorders>
            <w:vAlign w:val="center"/>
          </w:tcPr>
          <w:p w14:paraId="0E79CC5A">
            <w:pPr>
              <w:jc w:val="center"/>
              <w:rPr>
                <w:rFonts w:hint="eastAsia" w:ascii="宋体" w:hAnsi="宋体" w:cs="宋体"/>
                <w:color w:val="auto"/>
                <w:highlight w:val="none"/>
              </w:rPr>
            </w:pPr>
            <w:r>
              <w:rPr>
                <w:rFonts w:hint="eastAsia" w:ascii="宋体" w:hAnsi="宋体" w:cs="宋体"/>
                <w:color w:val="auto"/>
                <w:highlight w:val="none"/>
              </w:rPr>
              <w:t>从业开始时间</w:t>
            </w:r>
          </w:p>
        </w:tc>
        <w:tc>
          <w:tcPr>
            <w:tcW w:w="2340" w:type="dxa"/>
            <w:gridSpan w:val="5"/>
            <w:tcBorders>
              <w:top w:val="single" w:color="auto" w:sz="4" w:space="0"/>
              <w:left w:val="single" w:color="auto" w:sz="4" w:space="0"/>
              <w:bottom w:val="single" w:color="auto" w:sz="4" w:space="0"/>
              <w:right w:val="single" w:color="auto" w:sz="4" w:space="0"/>
            </w:tcBorders>
            <w:vAlign w:val="center"/>
          </w:tcPr>
          <w:p w14:paraId="01BF88C7">
            <w:pPr>
              <w:jc w:val="center"/>
              <w:rPr>
                <w:rFonts w:hint="eastAsia" w:ascii="宋体" w:hAnsi="宋体" w:cs="宋体"/>
                <w:color w:val="auto"/>
                <w:highlight w:val="none"/>
              </w:rPr>
            </w:pPr>
          </w:p>
        </w:tc>
        <w:tc>
          <w:tcPr>
            <w:tcW w:w="1893" w:type="dxa"/>
            <w:gridSpan w:val="5"/>
            <w:tcBorders>
              <w:top w:val="single" w:color="auto" w:sz="4" w:space="0"/>
              <w:left w:val="single" w:color="auto" w:sz="4" w:space="0"/>
              <w:bottom w:val="single" w:color="auto" w:sz="4" w:space="0"/>
              <w:right w:val="single" w:color="auto" w:sz="4" w:space="0"/>
            </w:tcBorders>
            <w:vAlign w:val="center"/>
          </w:tcPr>
          <w:p w14:paraId="2A84BCD8">
            <w:pPr>
              <w:jc w:val="center"/>
              <w:rPr>
                <w:rFonts w:hint="eastAsia" w:ascii="宋体" w:hAnsi="宋体" w:cs="宋体"/>
                <w:color w:val="auto"/>
                <w:highlight w:val="none"/>
              </w:rPr>
            </w:pPr>
            <w:r>
              <w:rPr>
                <w:rFonts w:hint="eastAsia" w:ascii="宋体" w:hAnsi="宋体" w:cs="宋体"/>
                <w:color w:val="auto"/>
                <w:highlight w:val="none"/>
              </w:rPr>
              <w:t>职称获得时间</w:t>
            </w:r>
          </w:p>
        </w:tc>
        <w:tc>
          <w:tcPr>
            <w:tcW w:w="1585" w:type="dxa"/>
            <w:gridSpan w:val="3"/>
            <w:tcBorders>
              <w:top w:val="single" w:color="auto" w:sz="4" w:space="0"/>
              <w:left w:val="single" w:color="auto" w:sz="4" w:space="0"/>
              <w:bottom w:val="single" w:color="auto" w:sz="4" w:space="0"/>
              <w:right w:val="single" w:color="auto" w:sz="4" w:space="0"/>
            </w:tcBorders>
            <w:vAlign w:val="center"/>
          </w:tcPr>
          <w:p w14:paraId="0E826E45">
            <w:pPr>
              <w:jc w:val="center"/>
              <w:rPr>
                <w:rFonts w:hint="eastAsia" w:ascii="宋体" w:hAnsi="宋体" w:cs="宋体"/>
                <w:color w:val="auto"/>
                <w:highlight w:val="none"/>
              </w:rPr>
            </w:pPr>
          </w:p>
        </w:tc>
        <w:tc>
          <w:tcPr>
            <w:tcW w:w="1108" w:type="dxa"/>
            <w:tcBorders>
              <w:top w:val="single" w:color="auto" w:sz="4" w:space="0"/>
              <w:left w:val="single" w:color="auto" w:sz="4" w:space="0"/>
              <w:bottom w:val="single" w:color="auto" w:sz="4" w:space="0"/>
              <w:right w:val="single" w:color="auto" w:sz="4" w:space="0"/>
            </w:tcBorders>
            <w:vAlign w:val="center"/>
          </w:tcPr>
          <w:p w14:paraId="617465E3">
            <w:pPr>
              <w:jc w:val="center"/>
              <w:rPr>
                <w:rFonts w:hint="eastAsia" w:ascii="宋体" w:hAnsi="宋体" w:cs="宋体"/>
                <w:color w:val="auto"/>
                <w:highlight w:val="none"/>
              </w:rPr>
            </w:pPr>
            <w:r>
              <w:rPr>
                <w:rFonts w:hint="eastAsia" w:ascii="宋体" w:hAnsi="宋体" w:cs="宋体"/>
                <w:color w:val="auto"/>
                <w:highlight w:val="none"/>
              </w:rPr>
              <w:t>毕业时间</w:t>
            </w:r>
          </w:p>
        </w:tc>
        <w:tc>
          <w:tcPr>
            <w:tcW w:w="1531" w:type="dxa"/>
            <w:gridSpan w:val="4"/>
            <w:tcBorders>
              <w:top w:val="single" w:color="auto" w:sz="4" w:space="0"/>
              <w:left w:val="single" w:color="auto" w:sz="4" w:space="0"/>
              <w:bottom w:val="single" w:color="auto" w:sz="4" w:space="0"/>
              <w:right w:val="single" w:color="auto" w:sz="4" w:space="0"/>
            </w:tcBorders>
            <w:vAlign w:val="center"/>
          </w:tcPr>
          <w:p w14:paraId="1AD2CEF8">
            <w:pPr>
              <w:jc w:val="center"/>
              <w:rPr>
                <w:rFonts w:hint="eastAsia" w:ascii="宋体" w:hAnsi="宋体" w:cs="宋体"/>
                <w:color w:val="auto"/>
                <w:highlight w:val="none"/>
              </w:rPr>
            </w:pPr>
          </w:p>
        </w:tc>
      </w:tr>
      <w:tr w14:paraId="36F94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31" w:type="dxa"/>
            <w:gridSpan w:val="2"/>
            <w:tcBorders>
              <w:top w:val="single" w:color="auto" w:sz="4" w:space="0"/>
              <w:left w:val="single" w:color="auto" w:sz="4" w:space="0"/>
              <w:bottom w:val="single" w:color="auto" w:sz="4" w:space="0"/>
              <w:right w:val="single" w:color="auto" w:sz="4" w:space="0"/>
            </w:tcBorders>
            <w:vAlign w:val="center"/>
          </w:tcPr>
          <w:p w14:paraId="6DE7564C">
            <w:pPr>
              <w:jc w:val="center"/>
              <w:rPr>
                <w:rFonts w:hint="eastAsia" w:ascii="宋体" w:hAnsi="宋体" w:cs="宋体"/>
                <w:color w:val="auto"/>
                <w:highlight w:val="none"/>
              </w:rPr>
            </w:pPr>
            <w:r>
              <w:rPr>
                <w:rFonts w:hint="eastAsia" w:ascii="宋体" w:hAnsi="宋体" w:cs="宋体"/>
                <w:color w:val="auto"/>
                <w:highlight w:val="none"/>
              </w:rPr>
              <w:t>担任……年限</w:t>
            </w:r>
          </w:p>
        </w:tc>
        <w:tc>
          <w:tcPr>
            <w:tcW w:w="2563" w:type="dxa"/>
            <w:gridSpan w:val="6"/>
            <w:tcBorders>
              <w:top w:val="single" w:color="auto" w:sz="4" w:space="0"/>
              <w:left w:val="single" w:color="auto" w:sz="4" w:space="0"/>
              <w:bottom w:val="single" w:color="auto" w:sz="4" w:space="0"/>
              <w:right w:val="single" w:color="auto" w:sz="4" w:space="0"/>
            </w:tcBorders>
            <w:vAlign w:val="center"/>
          </w:tcPr>
          <w:p w14:paraId="5E167349">
            <w:pPr>
              <w:jc w:val="center"/>
              <w:rPr>
                <w:rFonts w:hint="eastAsia" w:ascii="宋体" w:hAnsi="宋体" w:cs="宋体"/>
                <w:color w:val="auto"/>
                <w:highlight w:val="none"/>
              </w:rPr>
            </w:pPr>
          </w:p>
        </w:tc>
        <w:tc>
          <w:tcPr>
            <w:tcW w:w="1209" w:type="dxa"/>
            <w:tcBorders>
              <w:top w:val="single" w:color="auto" w:sz="4" w:space="0"/>
              <w:left w:val="single" w:color="auto" w:sz="4" w:space="0"/>
              <w:bottom w:val="single" w:color="auto" w:sz="4" w:space="0"/>
              <w:right w:val="single" w:color="auto" w:sz="4" w:space="0"/>
            </w:tcBorders>
            <w:vAlign w:val="center"/>
          </w:tcPr>
          <w:p w14:paraId="5BA02795">
            <w:pPr>
              <w:jc w:val="center"/>
              <w:rPr>
                <w:rFonts w:hint="eastAsia" w:ascii="宋体" w:hAnsi="宋体" w:cs="宋体"/>
                <w:color w:val="auto"/>
                <w:highlight w:val="none"/>
              </w:rPr>
            </w:pPr>
            <w:r>
              <w:rPr>
                <w:rFonts w:hint="eastAsia" w:ascii="宋体" w:hAnsi="宋体" w:cs="宋体"/>
                <w:color w:val="auto"/>
                <w:highlight w:val="none"/>
              </w:rPr>
              <w:t>身份证号码</w:t>
            </w:r>
          </w:p>
        </w:tc>
        <w:tc>
          <w:tcPr>
            <w:tcW w:w="4608" w:type="dxa"/>
            <w:gridSpan w:val="10"/>
            <w:tcBorders>
              <w:top w:val="single" w:color="auto" w:sz="4" w:space="0"/>
              <w:left w:val="single" w:color="auto" w:sz="4" w:space="0"/>
              <w:bottom w:val="single" w:color="auto" w:sz="4" w:space="0"/>
              <w:right w:val="single" w:color="auto" w:sz="4" w:space="0"/>
            </w:tcBorders>
            <w:vAlign w:val="center"/>
          </w:tcPr>
          <w:p w14:paraId="6B3D2696">
            <w:pPr>
              <w:jc w:val="center"/>
              <w:rPr>
                <w:rFonts w:hint="eastAsia" w:ascii="宋体" w:hAnsi="宋体" w:cs="宋体"/>
                <w:color w:val="auto"/>
                <w:highlight w:val="none"/>
              </w:rPr>
            </w:pPr>
          </w:p>
        </w:tc>
      </w:tr>
      <w:tr w14:paraId="5F0AB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31" w:type="dxa"/>
            <w:gridSpan w:val="2"/>
            <w:tcBorders>
              <w:top w:val="single" w:color="auto" w:sz="4" w:space="0"/>
              <w:left w:val="single" w:color="auto" w:sz="4" w:space="0"/>
              <w:bottom w:val="single" w:color="auto" w:sz="4" w:space="0"/>
              <w:right w:val="single" w:color="auto" w:sz="4" w:space="0"/>
            </w:tcBorders>
            <w:vAlign w:val="center"/>
          </w:tcPr>
          <w:p w14:paraId="43023BFE">
            <w:pPr>
              <w:jc w:val="center"/>
              <w:rPr>
                <w:rFonts w:hint="eastAsia" w:ascii="宋体" w:hAnsi="宋体" w:cs="宋体"/>
                <w:color w:val="auto"/>
                <w:highlight w:val="none"/>
              </w:rPr>
            </w:pPr>
            <w:r>
              <w:rPr>
                <w:rFonts w:hint="eastAsia" w:ascii="宋体" w:hAnsi="宋体" w:cs="宋体"/>
                <w:color w:val="auto"/>
                <w:highlight w:val="none"/>
              </w:rPr>
              <w:t>证书名称</w:t>
            </w:r>
          </w:p>
        </w:tc>
        <w:tc>
          <w:tcPr>
            <w:tcW w:w="1275" w:type="dxa"/>
            <w:gridSpan w:val="2"/>
            <w:tcBorders>
              <w:top w:val="single" w:color="auto" w:sz="4" w:space="0"/>
              <w:left w:val="single" w:color="auto" w:sz="4" w:space="0"/>
              <w:bottom w:val="single" w:color="auto" w:sz="4" w:space="0"/>
              <w:right w:val="single" w:color="auto" w:sz="4" w:space="0"/>
            </w:tcBorders>
            <w:vAlign w:val="center"/>
          </w:tcPr>
          <w:p w14:paraId="66B292C2">
            <w:pPr>
              <w:jc w:val="center"/>
              <w:rPr>
                <w:rFonts w:hint="eastAsia" w:ascii="宋体" w:hAnsi="宋体" w:cs="宋体"/>
                <w:color w:val="auto"/>
                <w:highlight w:val="none"/>
              </w:rPr>
            </w:pPr>
            <w:r>
              <w:rPr>
                <w:rFonts w:hint="eastAsia" w:ascii="宋体" w:hAnsi="宋体" w:cs="宋体"/>
                <w:color w:val="auto"/>
                <w:highlight w:val="none"/>
              </w:rPr>
              <w:t>注册专业</w:t>
            </w:r>
          </w:p>
        </w:tc>
        <w:tc>
          <w:tcPr>
            <w:tcW w:w="1222" w:type="dxa"/>
            <w:gridSpan w:val="3"/>
            <w:tcBorders>
              <w:top w:val="single" w:color="auto" w:sz="4" w:space="0"/>
              <w:left w:val="single" w:color="auto" w:sz="4" w:space="0"/>
              <w:bottom w:val="single" w:color="auto" w:sz="4" w:space="0"/>
              <w:right w:val="single" w:color="auto" w:sz="4" w:space="0"/>
            </w:tcBorders>
            <w:vAlign w:val="center"/>
          </w:tcPr>
          <w:p w14:paraId="058B60DB">
            <w:pPr>
              <w:jc w:val="center"/>
              <w:rPr>
                <w:rFonts w:hint="eastAsia" w:ascii="宋体" w:hAnsi="宋体" w:cs="宋体"/>
                <w:color w:val="auto"/>
                <w:highlight w:val="none"/>
              </w:rPr>
            </w:pPr>
            <w:r>
              <w:rPr>
                <w:rFonts w:hint="eastAsia" w:ascii="宋体" w:hAnsi="宋体" w:cs="宋体"/>
                <w:color w:val="auto"/>
                <w:highlight w:val="none"/>
              </w:rPr>
              <w:t>级别</w:t>
            </w:r>
          </w:p>
        </w:tc>
        <w:tc>
          <w:tcPr>
            <w:tcW w:w="1417" w:type="dxa"/>
            <w:gridSpan w:val="3"/>
            <w:tcBorders>
              <w:top w:val="single" w:color="auto" w:sz="4" w:space="0"/>
              <w:left w:val="single" w:color="auto" w:sz="4" w:space="0"/>
              <w:bottom w:val="single" w:color="auto" w:sz="4" w:space="0"/>
              <w:right w:val="single" w:color="auto" w:sz="4" w:space="0"/>
            </w:tcBorders>
            <w:vAlign w:val="center"/>
          </w:tcPr>
          <w:p w14:paraId="64FCA378">
            <w:pPr>
              <w:jc w:val="center"/>
              <w:rPr>
                <w:rFonts w:hint="eastAsia" w:ascii="宋体" w:hAnsi="宋体" w:cs="宋体"/>
                <w:color w:val="auto"/>
                <w:highlight w:val="none"/>
              </w:rPr>
            </w:pPr>
            <w:r>
              <w:rPr>
                <w:rFonts w:hint="eastAsia" w:ascii="宋体" w:hAnsi="宋体" w:cs="宋体"/>
                <w:color w:val="auto"/>
                <w:highlight w:val="none"/>
              </w:rPr>
              <w:t>证书编号</w:t>
            </w:r>
          </w:p>
        </w:tc>
        <w:tc>
          <w:tcPr>
            <w:tcW w:w="1418" w:type="dxa"/>
            <w:gridSpan w:val="3"/>
            <w:tcBorders>
              <w:top w:val="single" w:color="auto" w:sz="4" w:space="0"/>
              <w:left w:val="single" w:color="auto" w:sz="4" w:space="0"/>
              <w:bottom w:val="single" w:color="auto" w:sz="4" w:space="0"/>
              <w:right w:val="single" w:color="auto" w:sz="4" w:space="0"/>
            </w:tcBorders>
            <w:vAlign w:val="center"/>
          </w:tcPr>
          <w:p w14:paraId="5A716407">
            <w:pPr>
              <w:jc w:val="center"/>
              <w:rPr>
                <w:rFonts w:hint="eastAsia" w:ascii="宋体" w:hAnsi="宋体" w:cs="宋体"/>
                <w:color w:val="auto"/>
                <w:highlight w:val="none"/>
              </w:rPr>
            </w:pPr>
            <w:r>
              <w:rPr>
                <w:rFonts w:hint="eastAsia" w:ascii="宋体" w:hAnsi="宋体" w:cs="宋体"/>
                <w:color w:val="auto"/>
                <w:highlight w:val="none"/>
              </w:rPr>
              <w:t>注册时间</w:t>
            </w:r>
          </w:p>
        </w:tc>
        <w:tc>
          <w:tcPr>
            <w:tcW w:w="1632" w:type="dxa"/>
            <w:gridSpan w:val="4"/>
            <w:tcBorders>
              <w:top w:val="single" w:color="auto" w:sz="4" w:space="0"/>
              <w:left w:val="single" w:color="auto" w:sz="4" w:space="0"/>
              <w:bottom w:val="single" w:color="auto" w:sz="4" w:space="0"/>
              <w:right w:val="single" w:color="auto" w:sz="4" w:space="0"/>
            </w:tcBorders>
            <w:vAlign w:val="center"/>
          </w:tcPr>
          <w:p w14:paraId="44DF0983">
            <w:pPr>
              <w:jc w:val="center"/>
              <w:rPr>
                <w:rFonts w:hint="eastAsia" w:ascii="宋体" w:hAnsi="宋体" w:cs="宋体"/>
                <w:color w:val="auto"/>
                <w:highlight w:val="none"/>
              </w:rPr>
            </w:pPr>
            <w:r>
              <w:rPr>
                <w:rFonts w:hint="eastAsia" w:ascii="宋体" w:hAnsi="宋体" w:cs="宋体"/>
                <w:color w:val="auto"/>
                <w:highlight w:val="none"/>
              </w:rPr>
              <w:t>注册单位</w:t>
            </w:r>
          </w:p>
        </w:tc>
        <w:tc>
          <w:tcPr>
            <w:tcW w:w="1416" w:type="dxa"/>
            <w:gridSpan w:val="2"/>
            <w:tcBorders>
              <w:top w:val="single" w:color="auto" w:sz="4" w:space="0"/>
              <w:left w:val="single" w:color="auto" w:sz="4" w:space="0"/>
              <w:bottom w:val="single" w:color="auto" w:sz="4" w:space="0"/>
              <w:right w:val="single" w:color="auto" w:sz="4" w:space="0"/>
            </w:tcBorders>
            <w:vAlign w:val="center"/>
          </w:tcPr>
          <w:p w14:paraId="4B81A5CE">
            <w:pPr>
              <w:jc w:val="center"/>
              <w:rPr>
                <w:rFonts w:hint="eastAsia" w:ascii="宋体" w:hAnsi="宋体" w:cs="宋体"/>
                <w:color w:val="auto"/>
                <w:highlight w:val="none"/>
              </w:rPr>
            </w:pPr>
            <w:r>
              <w:rPr>
                <w:rFonts w:hint="eastAsia" w:ascii="宋体" w:hAnsi="宋体" w:cs="宋体"/>
                <w:color w:val="auto"/>
                <w:highlight w:val="none"/>
              </w:rPr>
              <w:t>注册有效期</w:t>
            </w:r>
          </w:p>
        </w:tc>
      </w:tr>
      <w:tr w14:paraId="78DA3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31" w:type="dxa"/>
            <w:gridSpan w:val="2"/>
            <w:tcBorders>
              <w:top w:val="single" w:color="auto" w:sz="4" w:space="0"/>
              <w:left w:val="single" w:color="auto" w:sz="4" w:space="0"/>
              <w:bottom w:val="single" w:color="auto" w:sz="4" w:space="0"/>
              <w:right w:val="single" w:color="auto" w:sz="4" w:space="0"/>
            </w:tcBorders>
            <w:vAlign w:val="center"/>
          </w:tcPr>
          <w:p w14:paraId="07BA6C96">
            <w:pPr>
              <w:jc w:val="center"/>
              <w:rPr>
                <w:rFonts w:hint="eastAsia" w:ascii="宋体" w:hAnsi="宋体" w:cs="宋体"/>
                <w:color w:val="auto"/>
                <w:highlight w:val="none"/>
              </w:rPr>
            </w:pPr>
            <w:r>
              <w:rPr>
                <w:rFonts w:hint="eastAsia" w:ascii="宋体" w:hAnsi="宋体" w:cs="宋体"/>
                <w:color w:val="auto"/>
                <w:highlight w:val="none"/>
              </w:rPr>
              <w:t>安全生产考核合格证书</w:t>
            </w:r>
          </w:p>
        </w:tc>
        <w:tc>
          <w:tcPr>
            <w:tcW w:w="1275" w:type="dxa"/>
            <w:gridSpan w:val="2"/>
            <w:tcBorders>
              <w:top w:val="single" w:color="auto" w:sz="4" w:space="0"/>
              <w:left w:val="single" w:color="auto" w:sz="4" w:space="0"/>
              <w:bottom w:val="single" w:color="auto" w:sz="4" w:space="0"/>
              <w:right w:val="single" w:color="auto" w:sz="4" w:space="0"/>
            </w:tcBorders>
            <w:vAlign w:val="center"/>
          </w:tcPr>
          <w:p w14:paraId="7FF82EA9">
            <w:pPr>
              <w:jc w:val="center"/>
              <w:rPr>
                <w:rFonts w:hint="eastAsia" w:ascii="宋体" w:hAnsi="宋体" w:cs="宋体"/>
                <w:color w:val="auto"/>
                <w:highlight w:val="none"/>
              </w:rPr>
            </w:pPr>
          </w:p>
        </w:tc>
        <w:tc>
          <w:tcPr>
            <w:tcW w:w="1222" w:type="dxa"/>
            <w:gridSpan w:val="3"/>
            <w:tcBorders>
              <w:top w:val="single" w:color="auto" w:sz="4" w:space="0"/>
              <w:left w:val="single" w:color="auto" w:sz="4" w:space="0"/>
              <w:bottom w:val="single" w:color="auto" w:sz="4" w:space="0"/>
              <w:right w:val="single" w:color="auto" w:sz="4" w:space="0"/>
            </w:tcBorders>
            <w:vAlign w:val="center"/>
          </w:tcPr>
          <w:p w14:paraId="3EA39408">
            <w:pPr>
              <w:jc w:val="center"/>
              <w:rPr>
                <w:rFonts w:hint="eastAsia" w:ascii="宋体" w:hAnsi="宋体" w:cs="宋体"/>
                <w:color w:val="auto"/>
                <w:highlight w:val="none"/>
              </w:rPr>
            </w:pPr>
            <w:r>
              <w:rPr>
                <w:rFonts w:hint="eastAsia" w:ascii="宋体" w:hAnsi="宋体" w:cs="宋体"/>
                <w:color w:val="auto"/>
                <w:highlight w:val="none"/>
              </w:rPr>
              <w:t>C类</w:t>
            </w:r>
          </w:p>
        </w:tc>
        <w:tc>
          <w:tcPr>
            <w:tcW w:w="1417" w:type="dxa"/>
            <w:gridSpan w:val="3"/>
            <w:tcBorders>
              <w:top w:val="single" w:color="auto" w:sz="4" w:space="0"/>
              <w:left w:val="single" w:color="auto" w:sz="4" w:space="0"/>
              <w:bottom w:val="single" w:color="auto" w:sz="4" w:space="0"/>
              <w:right w:val="single" w:color="auto" w:sz="4" w:space="0"/>
            </w:tcBorders>
            <w:vAlign w:val="center"/>
          </w:tcPr>
          <w:p w14:paraId="24C94CF7">
            <w:pPr>
              <w:jc w:val="center"/>
              <w:rPr>
                <w:rFonts w:hint="eastAsia" w:ascii="宋体" w:hAnsi="宋体" w:cs="宋体"/>
                <w:color w:val="auto"/>
                <w:highlight w:val="none"/>
              </w:rPr>
            </w:pPr>
          </w:p>
        </w:tc>
        <w:tc>
          <w:tcPr>
            <w:tcW w:w="1418" w:type="dxa"/>
            <w:gridSpan w:val="3"/>
            <w:tcBorders>
              <w:top w:val="single" w:color="auto" w:sz="4" w:space="0"/>
              <w:left w:val="single" w:color="auto" w:sz="4" w:space="0"/>
              <w:bottom w:val="single" w:color="auto" w:sz="4" w:space="0"/>
              <w:right w:val="single" w:color="auto" w:sz="4" w:space="0"/>
            </w:tcBorders>
            <w:vAlign w:val="center"/>
          </w:tcPr>
          <w:p w14:paraId="625ACFFD">
            <w:pPr>
              <w:jc w:val="center"/>
              <w:rPr>
                <w:rFonts w:hint="eastAsia" w:ascii="宋体" w:hAnsi="宋体" w:cs="宋体"/>
                <w:color w:val="auto"/>
                <w:highlight w:val="none"/>
              </w:rPr>
            </w:pPr>
          </w:p>
        </w:tc>
        <w:tc>
          <w:tcPr>
            <w:tcW w:w="1632" w:type="dxa"/>
            <w:gridSpan w:val="4"/>
            <w:tcBorders>
              <w:top w:val="single" w:color="auto" w:sz="4" w:space="0"/>
              <w:left w:val="single" w:color="auto" w:sz="4" w:space="0"/>
              <w:bottom w:val="single" w:color="auto" w:sz="4" w:space="0"/>
              <w:right w:val="single" w:color="auto" w:sz="4" w:space="0"/>
            </w:tcBorders>
            <w:vAlign w:val="center"/>
          </w:tcPr>
          <w:p w14:paraId="5135FDF9">
            <w:pPr>
              <w:jc w:val="center"/>
              <w:rPr>
                <w:rFonts w:hint="eastAsia" w:ascii="宋体" w:hAnsi="宋体" w:cs="宋体"/>
                <w:color w:val="auto"/>
                <w:highlight w:val="none"/>
              </w:rPr>
            </w:pPr>
          </w:p>
        </w:tc>
        <w:tc>
          <w:tcPr>
            <w:tcW w:w="1416" w:type="dxa"/>
            <w:gridSpan w:val="2"/>
            <w:tcBorders>
              <w:top w:val="single" w:color="auto" w:sz="4" w:space="0"/>
              <w:left w:val="single" w:color="auto" w:sz="4" w:space="0"/>
              <w:bottom w:val="single" w:color="auto" w:sz="4" w:space="0"/>
              <w:right w:val="single" w:color="auto" w:sz="4" w:space="0"/>
            </w:tcBorders>
            <w:vAlign w:val="center"/>
          </w:tcPr>
          <w:p w14:paraId="226596FC">
            <w:pPr>
              <w:jc w:val="center"/>
              <w:rPr>
                <w:rFonts w:hint="eastAsia" w:ascii="宋体" w:hAnsi="宋体" w:cs="宋体"/>
                <w:color w:val="auto"/>
                <w:highlight w:val="none"/>
              </w:rPr>
            </w:pPr>
          </w:p>
        </w:tc>
      </w:tr>
      <w:tr w14:paraId="0F815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31" w:type="dxa"/>
            <w:gridSpan w:val="2"/>
            <w:tcBorders>
              <w:top w:val="single" w:color="auto" w:sz="4" w:space="0"/>
              <w:left w:val="single" w:color="auto" w:sz="4" w:space="0"/>
              <w:bottom w:val="single" w:color="auto" w:sz="4" w:space="0"/>
              <w:right w:val="single" w:color="auto" w:sz="4" w:space="0"/>
            </w:tcBorders>
            <w:vAlign w:val="center"/>
          </w:tcPr>
          <w:p w14:paraId="74D9C02C">
            <w:pPr>
              <w:jc w:val="center"/>
              <w:rPr>
                <w:rFonts w:hint="eastAsia" w:ascii="宋体" w:hAnsi="宋体" w:cs="宋体"/>
                <w:color w:val="auto"/>
                <w:highlight w:val="none"/>
              </w:rPr>
            </w:pPr>
          </w:p>
        </w:tc>
        <w:tc>
          <w:tcPr>
            <w:tcW w:w="1275" w:type="dxa"/>
            <w:gridSpan w:val="2"/>
            <w:tcBorders>
              <w:top w:val="single" w:color="auto" w:sz="4" w:space="0"/>
              <w:left w:val="single" w:color="auto" w:sz="4" w:space="0"/>
              <w:bottom w:val="single" w:color="auto" w:sz="4" w:space="0"/>
              <w:right w:val="single" w:color="auto" w:sz="4" w:space="0"/>
            </w:tcBorders>
            <w:vAlign w:val="center"/>
          </w:tcPr>
          <w:p w14:paraId="1C0A8A33">
            <w:pPr>
              <w:jc w:val="center"/>
              <w:rPr>
                <w:rFonts w:hint="eastAsia" w:ascii="宋体" w:hAnsi="宋体" w:cs="宋体"/>
                <w:color w:val="auto"/>
                <w:highlight w:val="none"/>
              </w:rPr>
            </w:pPr>
          </w:p>
        </w:tc>
        <w:tc>
          <w:tcPr>
            <w:tcW w:w="1222" w:type="dxa"/>
            <w:gridSpan w:val="3"/>
            <w:tcBorders>
              <w:top w:val="single" w:color="auto" w:sz="4" w:space="0"/>
              <w:left w:val="single" w:color="auto" w:sz="4" w:space="0"/>
              <w:bottom w:val="single" w:color="auto" w:sz="4" w:space="0"/>
              <w:right w:val="single" w:color="auto" w:sz="4" w:space="0"/>
            </w:tcBorders>
            <w:vAlign w:val="center"/>
          </w:tcPr>
          <w:p w14:paraId="1FB2983E">
            <w:pPr>
              <w:jc w:val="center"/>
              <w:rPr>
                <w:rFonts w:hint="eastAsia" w:ascii="宋体" w:hAnsi="宋体" w:cs="宋体"/>
                <w:color w:val="auto"/>
                <w:highlight w:val="none"/>
              </w:rPr>
            </w:pPr>
          </w:p>
        </w:tc>
        <w:tc>
          <w:tcPr>
            <w:tcW w:w="1417" w:type="dxa"/>
            <w:gridSpan w:val="3"/>
            <w:tcBorders>
              <w:top w:val="single" w:color="auto" w:sz="4" w:space="0"/>
              <w:left w:val="single" w:color="auto" w:sz="4" w:space="0"/>
              <w:bottom w:val="single" w:color="auto" w:sz="4" w:space="0"/>
              <w:right w:val="single" w:color="auto" w:sz="4" w:space="0"/>
            </w:tcBorders>
            <w:vAlign w:val="center"/>
          </w:tcPr>
          <w:p w14:paraId="7D8B87BB">
            <w:pPr>
              <w:jc w:val="center"/>
              <w:rPr>
                <w:rFonts w:hint="eastAsia" w:ascii="宋体" w:hAnsi="宋体" w:cs="宋体"/>
                <w:color w:val="auto"/>
                <w:highlight w:val="none"/>
              </w:rPr>
            </w:pPr>
          </w:p>
        </w:tc>
        <w:tc>
          <w:tcPr>
            <w:tcW w:w="1418" w:type="dxa"/>
            <w:gridSpan w:val="3"/>
            <w:tcBorders>
              <w:top w:val="single" w:color="auto" w:sz="4" w:space="0"/>
              <w:left w:val="single" w:color="auto" w:sz="4" w:space="0"/>
              <w:bottom w:val="single" w:color="auto" w:sz="4" w:space="0"/>
              <w:right w:val="single" w:color="auto" w:sz="4" w:space="0"/>
            </w:tcBorders>
            <w:vAlign w:val="center"/>
          </w:tcPr>
          <w:p w14:paraId="5A4B554E">
            <w:pPr>
              <w:jc w:val="center"/>
              <w:rPr>
                <w:rFonts w:hint="eastAsia" w:ascii="宋体" w:hAnsi="宋体" w:cs="宋体"/>
                <w:color w:val="auto"/>
                <w:highlight w:val="none"/>
              </w:rPr>
            </w:pPr>
          </w:p>
        </w:tc>
        <w:tc>
          <w:tcPr>
            <w:tcW w:w="1632" w:type="dxa"/>
            <w:gridSpan w:val="4"/>
            <w:tcBorders>
              <w:top w:val="single" w:color="auto" w:sz="4" w:space="0"/>
              <w:left w:val="single" w:color="auto" w:sz="4" w:space="0"/>
              <w:bottom w:val="single" w:color="auto" w:sz="4" w:space="0"/>
              <w:right w:val="single" w:color="auto" w:sz="4" w:space="0"/>
            </w:tcBorders>
            <w:vAlign w:val="center"/>
          </w:tcPr>
          <w:p w14:paraId="29F810A3">
            <w:pPr>
              <w:jc w:val="center"/>
              <w:rPr>
                <w:rFonts w:hint="eastAsia" w:ascii="宋体" w:hAnsi="宋体" w:cs="宋体"/>
                <w:color w:val="auto"/>
                <w:highlight w:val="none"/>
              </w:rPr>
            </w:pPr>
          </w:p>
        </w:tc>
        <w:tc>
          <w:tcPr>
            <w:tcW w:w="1416" w:type="dxa"/>
            <w:gridSpan w:val="2"/>
            <w:tcBorders>
              <w:top w:val="single" w:color="auto" w:sz="4" w:space="0"/>
              <w:left w:val="single" w:color="auto" w:sz="4" w:space="0"/>
              <w:bottom w:val="single" w:color="auto" w:sz="4" w:space="0"/>
              <w:right w:val="single" w:color="auto" w:sz="4" w:space="0"/>
            </w:tcBorders>
            <w:vAlign w:val="center"/>
          </w:tcPr>
          <w:p w14:paraId="040BE2AF">
            <w:pPr>
              <w:jc w:val="center"/>
              <w:rPr>
                <w:rFonts w:hint="eastAsia" w:ascii="宋体" w:hAnsi="宋体" w:cs="宋体"/>
                <w:color w:val="auto"/>
                <w:highlight w:val="none"/>
              </w:rPr>
            </w:pPr>
          </w:p>
        </w:tc>
      </w:tr>
      <w:tr w14:paraId="585DD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611" w:type="dxa"/>
            <w:gridSpan w:val="19"/>
            <w:tcBorders>
              <w:top w:val="single" w:color="auto" w:sz="4" w:space="0"/>
              <w:left w:val="single" w:color="auto" w:sz="4" w:space="0"/>
              <w:bottom w:val="single" w:color="auto" w:sz="4" w:space="0"/>
              <w:right w:val="single" w:color="auto" w:sz="4" w:space="0"/>
            </w:tcBorders>
            <w:vAlign w:val="center"/>
          </w:tcPr>
          <w:p w14:paraId="0FE0BBAB">
            <w:pPr>
              <w:jc w:val="center"/>
              <w:rPr>
                <w:rFonts w:hint="eastAsia" w:ascii="宋体" w:hAnsi="宋体" w:cs="宋体"/>
                <w:color w:val="auto"/>
                <w:highlight w:val="none"/>
              </w:rPr>
            </w:pPr>
            <w:r>
              <w:rPr>
                <w:rFonts w:hint="eastAsia" w:ascii="宋体" w:hAnsi="宋体" w:cs="宋体"/>
                <w:color w:val="auto"/>
                <w:highlight w:val="none"/>
              </w:rPr>
              <w:t>在建和已完工程项目情况（如有）</w:t>
            </w:r>
          </w:p>
        </w:tc>
      </w:tr>
      <w:tr w14:paraId="07D25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3"/>
            <w:tcBorders>
              <w:top w:val="single" w:color="auto" w:sz="4" w:space="0"/>
              <w:left w:val="single" w:color="auto" w:sz="4" w:space="0"/>
              <w:bottom w:val="single" w:color="auto" w:sz="4" w:space="0"/>
              <w:right w:val="single" w:color="auto" w:sz="4" w:space="0"/>
            </w:tcBorders>
            <w:vAlign w:val="center"/>
          </w:tcPr>
          <w:p w14:paraId="13F3C71E">
            <w:pPr>
              <w:jc w:val="center"/>
              <w:rPr>
                <w:rFonts w:hint="eastAsia" w:ascii="宋体" w:hAnsi="宋体" w:cs="宋体"/>
                <w:color w:val="auto"/>
                <w:highlight w:val="none"/>
              </w:rPr>
            </w:pPr>
          </w:p>
        </w:tc>
        <w:tc>
          <w:tcPr>
            <w:tcW w:w="1548" w:type="dxa"/>
            <w:gridSpan w:val="2"/>
            <w:tcBorders>
              <w:top w:val="single" w:color="auto" w:sz="4" w:space="0"/>
              <w:left w:val="single" w:color="auto" w:sz="4" w:space="0"/>
              <w:bottom w:val="single" w:color="auto" w:sz="4" w:space="0"/>
              <w:right w:val="single" w:color="auto" w:sz="4" w:space="0"/>
            </w:tcBorders>
            <w:vAlign w:val="center"/>
          </w:tcPr>
          <w:p w14:paraId="1EA95951">
            <w:pPr>
              <w:jc w:val="center"/>
              <w:rPr>
                <w:rFonts w:hint="eastAsia" w:ascii="宋体" w:hAnsi="宋体" w:cs="宋体"/>
                <w:color w:val="auto"/>
                <w:highlight w:val="none"/>
              </w:rPr>
            </w:pPr>
            <w:r>
              <w:rPr>
                <w:rFonts w:hint="eastAsia" w:ascii="宋体" w:hAnsi="宋体" w:cs="宋体"/>
                <w:color w:val="auto"/>
                <w:highlight w:val="none"/>
              </w:rPr>
              <w:t>项目1</w:t>
            </w:r>
          </w:p>
        </w:tc>
        <w:tc>
          <w:tcPr>
            <w:tcW w:w="1837" w:type="dxa"/>
            <w:gridSpan w:val="4"/>
            <w:tcBorders>
              <w:top w:val="single" w:color="auto" w:sz="4" w:space="0"/>
              <w:left w:val="single" w:color="auto" w:sz="4" w:space="0"/>
              <w:bottom w:val="single" w:color="auto" w:sz="4" w:space="0"/>
              <w:right w:val="single" w:color="auto" w:sz="4" w:space="0"/>
            </w:tcBorders>
            <w:vAlign w:val="center"/>
          </w:tcPr>
          <w:p w14:paraId="6D1F2820">
            <w:pPr>
              <w:jc w:val="center"/>
              <w:rPr>
                <w:rFonts w:hint="eastAsia" w:ascii="宋体" w:hAnsi="宋体" w:cs="宋体"/>
                <w:color w:val="auto"/>
                <w:highlight w:val="none"/>
              </w:rPr>
            </w:pPr>
            <w:r>
              <w:rPr>
                <w:rFonts w:hint="eastAsia" w:ascii="宋体" w:hAnsi="宋体" w:cs="宋体"/>
                <w:color w:val="auto"/>
                <w:highlight w:val="none"/>
              </w:rPr>
              <w:t>项目2</w:t>
            </w:r>
          </w:p>
        </w:tc>
        <w:tc>
          <w:tcPr>
            <w:tcW w:w="1472" w:type="dxa"/>
            <w:gridSpan w:val="3"/>
            <w:tcBorders>
              <w:top w:val="single" w:color="auto" w:sz="4" w:space="0"/>
              <w:left w:val="single" w:color="auto" w:sz="4" w:space="0"/>
              <w:bottom w:val="single" w:color="auto" w:sz="4" w:space="0"/>
              <w:right w:val="single" w:color="auto" w:sz="4" w:space="0"/>
            </w:tcBorders>
            <w:vAlign w:val="center"/>
          </w:tcPr>
          <w:p w14:paraId="1980C82E">
            <w:pPr>
              <w:jc w:val="center"/>
              <w:rPr>
                <w:rFonts w:hint="eastAsia" w:ascii="宋体" w:hAnsi="宋体" w:cs="宋体"/>
                <w:color w:val="auto"/>
                <w:highlight w:val="none"/>
              </w:rPr>
            </w:pPr>
            <w:r>
              <w:rPr>
                <w:rFonts w:hint="eastAsia" w:ascii="宋体" w:hAnsi="宋体" w:cs="宋体"/>
                <w:color w:val="auto"/>
                <w:highlight w:val="none"/>
              </w:rPr>
              <w:t>项目3</w:t>
            </w:r>
          </w:p>
        </w:tc>
        <w:tc>
          <w:tcPr>
            <w:tcW w:w="1641" w:type="dxa"/>
            <w:gridSpan w:val="4"/>
            <w:tcBorders>
              <w:top w:val="single" w:color="auto" w:sz="4" w:space="0"/>
              <w:left w:val="single" w:color="auto" w:sz="4" w:space="0"/>
              <w:bottom w:val="single" w:color="auto" w:sz="4" w:space="0"/>
              <w:right w:val="single" w:color="auto" w:sz="4" w:space="0"/>
            </w:tcBorders>
            <w:vAlign w:val="center"/>
          </w:tcPr>
          <w:p w14:paraId="1009F6EA">
            <w:pPr>
              <w:jc w:val="center"/>
              <w:rPr>
                <w:rFonts w:hint="eastAsia" w:ascii="宋体" w:hAnsi="宋体" w:cs="宋体"/>
                <w:color w:val="auto"/>
                <w:highlight w:val="none"/>
              </w:rPr>
            </w:pPr>
            <w:r>
              <w:rPr>
                <w:rFonts w:hint="eastAsia" w:ascii="宋体" w:hAnsi="宋体" w:cs="宋体"/>
                <w:color w:val="auto"/>
                <w:highlight w:val="none"/>
              </w:rPr>
              <w:t>项目4</w:t>
            </w:r>
          </w:p>
        </w:tc>
        <w:tc>
          <w:tcPr>
            <w:tcW w:w="1484" w:type="dxa"/>
            <w:gridSpan w:val="2"/>
            <w:tcBorders>
              <w:top w:val="single" w:color="auto" w:sz="4" w:space="0"/>
              <w:left w:val="single" w:color="auto" w:sz="4" w:space="0"/>
              <w:bottom w:val="single" w:color="auto" w:sz="4" w:space="0"/>
              <w:right w:val="single" w:color="auto" w:sz="4" w:space="0"/>
            </w:tcBorders>
            <w:vAlign w:val="center"/>
          </w:tcPr>
          <w:p w14:paraId="4A2C46E1">
            <w:pPr>
              <w:jc w:val="center"/>
              <w:rPr>
                <w:rFonts w:hint="eastAsia" w:ascii="宋体" w:hAnsi="宋体" w:cs="宋体"/>
                <w:color w:val="auto"/>
                <w:highlight w:val="none"/>
              </w:rPr>
            </w:pPr>
            <w:r>
              <w:rPr>
                <w:rFonts w:hint="eastAsia" w:ascii="宋体" w:hAnsi="宋体" w:cs="宋体"/>
                <w:color w:val="auto"/>
                <w:highlight w:val="none"/>
              </w:rPr>
              <w:t>……</w:t>
            </w:r>
          </w:p>
        </w:tc>
      </w:tr>
      <w:tr w14:paraId="1E5C4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3"/>
            <w:tcBorders>
              <w:top w:val="single" w:color="auto" w:sz="4" w:space="0"/>
              <w:left w:val="single" w:color="auto" w:sz="4" w:space="0"/>
              <w:bottom w:val="single" w:color="auto" w:sz="4" w:space="0"/>
              <w:right w:val="single" w:color="auto" w:sz="4" w:space="0"/>
            </w:tcBorders>
            <w:vAlign w:val="center"/>
          </w:tcPr>
          <w:p w14:paraId="18B621DA">
            <w:pPr>
              <w:jc w:val="center"/>
              <w:rPr>
                <w:rFonts w:hint="eastAsia" w:ascii="宋体" w:hAnsi="宋体" w:cs="宋体"/>
                <w:color w:val="auto"/>
                <w:highlight w:val="none"/>
              </w:rPr>
            </w:pPr>
            <w:r>
              <w:rPr>
                <w:rFonts w:hint="eastAsia" w:ascii="宋体" w:hAnsi="宋体" w:cs="宋体"/>
                <w:color w:val="auto"/>
                <w:highlight w:val="none"/>
              </w:rPr>
              <w:t>项目名称</w:t>
            </w:r>
          </w:p>
        </w:tc>
        <w:tc>
          <w:tcPr>
            <w:tcW w:w="1548" w:type="dxa"/>
            <w:gridSpan w:val="2"/>
            <w:tcBorders>
              <w:top w:val="single" w:color="auto" w:sz="4" w:space="0"/>
              <w:left w:val="single" w:color="auto" w:sz="4" w:space="0"/>
              <w:bottom w:val="single" w:color="auto" w:sz="4" w:space="0"/>
              <w:right w:val="single" w:color="auto" w:sz="4" w:space="0"/>
            </w:tcBorders>
            <w:vAlign w:val="center"/>
          </w:tcPr>
          <w:p w14:paraId="64CCA35E">
            <w:pPr>
              <w:jc w:val="center"/>
              <w:rPr>
                <w:rFonts w:hint="eastAsia" w:ascii="宋体" w:hAnsi="宋体" w:cs="宋体"/>
                <w:color w:val="auto"/>
                <w:highlight w:val="none"/>
              </w:rPr>
            </w:pPr>
          </w:p>
        </w:tc>
        <w:tc>
          <w:tcPr>
            <w:tcW w:w="1837" w:type="dxa"/>
            <w:gridSpan w:val="4"/>
            <w:tcBorders>
              <w:top w:val="single" w:color="auto" w:sz="4" w:space="0"/>
              <w:left w:val="single" w:color="auto" w:sz="4" w:space="0"/>
              <w:bottom w:val="single" w:color="auto" w:sz="4" w:space="0"/>
              <w:right w:val="single" w:color="auto" w:sz="4" w:space="0"/>
            </w:tcBorders>
            <w:vAlign w:val="center"/>
          </w:tcPr>
          <w:p w14:paraId="128E5F08">
            <w:pPr>
              <w:jc w:val="center"/>
              <w:rPr>
                <w:rFonts w:hint="eastAsia" w:ascii="宋体" w:hAnsi="宋体" w:cs="宋体"/>
                <w:color w:val="auto"/>
                <w:highlight w:val="none"/>
              </w:rPr>
            </w:pPr>
          </w:p>
        </w:tc>
        <w:tc>
          <w:tcPr>
            <w:tcW w:w="1472" w:type="dxa"/>
            <w:gridSpan w:val="3"/>
            <w:tcBorders>
              <w:top w:val="single" w:color="auto" w:sz="4" w:space="0"/>
              <w:left w:val="single" w:color="auto" w:sz="4" w:space="0"/>
              <w:bottom w:val="single" w:color="auto" w:sz="4" w:space="0"/>
              <w:right w:val="single" w:color="auto" w:sz="4" w:space="0"/>
            </w:tcBorders>
            <w:vAlign w:val="center"/>
          </w:tcPr>
          <w:p w14:paraId="605C842C">
            <w:pPr>
              <w:jc w:val="center"/>
              <w:rPr>
                <w:rFonts w:hint="eastAsia" w:ascii="宋体" w:hAnsi="宋体" w:cs="宋体"/>
                <w:color w:val="auto"/>
                <w:highlight w:val="none"/>
              </w:rPr>
            </w:pPr>
          </w:p>
        </w:tc>
        <w:tc>
          <w:tcPr>
            <w:tcW w:w="1641" w:type="dxa"/>
            <w:gridSpan w:val="4"/>
            <w:tcBorders>
              <w:top w:val="single" w:color="auto" w:sz="4" w:space="0"/>
              <w:left w:val="single" w:color="auto" w:sz="4" w:space="0"/>
              <w:bottom w:val="single" w:color="auto" w:sz="4" w:space="0"/>
              <w:right w:val="single" w:color="auto" w:sz="4" w:space="0"/>
            </w:tcBorders>
            <w:vAlign w:val="center"/>
          </w:tcPr>
          <w:p w14:paraId="02301D48">
            <w:pPr>
              <w:jc w:val="center"/>
              <w:rPr>
                <w:rFonts w:hint="eastAsia" w:ascii="宋体" w:hAnsi="宋体" w:cs="宋体"/>
                <w:color w:val="auto"/>
                <w:highlight w:val="none"/>
              </w:rPr>
            </w:pPr>
          </w:p>
        </w:tc>
        <w:tc>
          <w:tcPr>
            <w:tcW w:w="1484" w:type="dxa"/>
            <w:gridSpan w:val="2"/>
            <w:tcBorders>
              <w:top w:val="single" w:color="auto" w:sz="4" w:space="0"/>
              <w:left w:val="single" w:color="auto" w:sz="4" w:space="0"/>
              <w:bottom w:val="single" w:color="auto" w:sz="4" w:space="0"/>
              <w:right w:val="single" w:color="auto" w:sz="4" w:space="0"/>
            </w:tcBorders>
            <w:vAlign w:val="center"/>
          </w:tcPr>
          <w:p w14:paraId="3412A888">
            <w:pPr>
              <w:jc w:val="center"/>
              <w:rPr>
                <w:rFonts w:hint="eastAsia" w:ascii="宋体" w:hAnsi="宋体" w:cs="宋体"/>
                <w:color w:val="auto"/>
                <w:highlight w:val="none"/>
              </w:rPr>
            </w:pPr>
          </w:p>
        </w:tc>
      </w:tr>
      <w:tr w14:paraId="3DE7F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3"/>
            <w:tcBorders>
              <w:top w:val="single" w:color="auto" w:sz="4" w:space="0"/>
              <w:left w:val="single" w:color="auto" w:sz="4" w:space="0"/>
              <w:bottom w:val="single" w:color="auto" w:sz="4" w:space="0"/>
              <w:right w:val="single" w:color="auto" w:sz="4" w:space="0"/>
            </w:tcBorders>
            <w:vAlign w:val="center"/>
          </w:tcPr>
          <w:p w14:paraId="64C98D60">
            <w:pPr>
              <w:jc w:val="center"/>
              <w:rPr>
                <w:rFonts w:hint="eastAsia" w:ascii="宋体" w:hAnsi="宋体" w:cs="宋体"/>
                <w:color w:val="auto"/>
                <w:highlight w:val="none"/>
              </w:rPr>
            </w:pPr>
            <w:r>
              <w:rPr>
                <w:rFonts w:hint="eastAsia" w:ascii="宋体" w:hAnsi="宋体" w:cs="宋体"/>
                <w:color w:val="auto"/>
                <w:highlight w:val="none"/>
              </w:rPr>
              <w:t>建设单位</w:t>
            </w:r>
          </w:p>
        </w:tc>
        <w:tc>
          <w:tcPr>
            <w:tcW w:w="1548" w:type="dxa"/>
            <w:gridSpan w:val="2"/>
            <w:tcBorders>
              <w:top w:val="single" w:color="auto" w:sz="4" w:space="0"/>
              <w:left w:val="single" w:color="auto" w:sz="4" w:space="0"/>
              <w:bottom w:val="single" w:color="auto" w:sz="4" w:space="0"/>
              <w:right w:val="single" w:color="auto" w:sz="4" w:space="0"/>
            </w:tcBorders>
            <w:vAlign w:val="center"/>
          </w:tcPr>
          <w:p w14:paraId="1D2EDD5E">
            <w:pPr>
              <w:jc w:val="center"/>
              <w:rPr>
                <w:rFonts w:hint="eastAsia" w:ascii="宋体" w:hAnsi="宋体" w:cs="宋体"/>
                <w:color w:val="auto"/>
                <w:highlight w:val="none"/>
              </w:rPr>
            </w:pPr>
          </w:p>
        </w:tc>
        <w:tc>
          <w:tcPr>
            <w:tcW w:w="1837" w:type="dxa"/>
            <w:gridSpan w:val="4"/>
            <w:tcBorders>
              <w:top w:val="single" w:color="auto" w:sz="4" w:space="0"/>
              <w:left w:val="single" w:color="auto" w:sz="4" w:space="0"/>
              <w:bottom w:val="single" w:color="auto" w:sz="4" w:space="0"/>
              <w:right w:val="single" w:color="auto" w:sz="4" w:space="0"/>
            </w:tcBorders>
            <w:vAlign w:val="center"/>
          </w:tcPr>
          <w:p w14:paraId="6EFC9CD6">
            <w:pPr>
              <w:jc w:val="center"/>
              <w:rPr>
                <w:rFonts w:hint="eastAsia" w:ascii="宋体" w:hAnsi="宋体" w:cs="宋体"/>
                <w:color w:val="auto"/>
                <w:highlight w:val="none"/>
              </w:rPr>
            </w:pPr>
          </w:p>
        </w:tc>
        <w:tc>
          <w:tcPr>
            <w:tcW w:w="1472" w:type="dxa"/>
            <w:gridSpan w:val="3"/>
            <w:tcBorders>
              <w:top w:val="single" w:color="auto" w:sz="4" w:space="0"/>
              <w:left w:val="single" w:color="auto" w:sz="4" w:space="0"/>
              <w:bottom w:val="single" w:color="auto" w:sz="4" w:space="0"/>
              <w:right w:val="single" w:color="auto" w:sz="4" w:space="0"/>
            </w:tcBorders>
            <w:vAlign w:val="center"/>
          </w:tcPr>
          <w:p w14:paraId="71AF8D8E">
            <w:pPr>
              <w:jc w:val="center"/>
              <w:rPr>
                <w:rFonts w:hint="eastAsia" w:ascii="宋体" w:hAnsi="宋体" w:cs="宋体"/>
                <w:color w:val="auto"/>
                <w:highlight w:val="none"/>
              </w:rPr>
            </w:pPr>
          </w:p>
        </w:tc>
        <w:tc>
          <w:tcPr>
            <w:tcW w:w="1641" w:type="dxa"/>
            <w:gridSpan w:val="4"/>
            <w:tcBorders>
              <w:top w:val="single" w:color="auto" w:sz="4" w:space="0"/>
              <w:left w:val="single" w:color="auto" w:sz="4" w:space="0"/>
              <w:bottom w:val="single" w:color="auto" w:sz="4" w:space="0"/>
              <w:right w:val="single" w:color="auto" w:sz="4" w:space="0"/>
            </w:tcBorders>
            <w:vAlign w:val="center"/>
          </w:tcPr>
          <w:p w14:paraId="503AC35E">
            <w:pPr>
              <w:jc w:val="center"/>
              <w:rPr>
                <w:rFonts w:hint="eastAsia" w:ascii="宋体" w:hAnsi="宋体" w:cs="宋体"/>
                <w:color w:val="auto"/>
                <w:highlight w:val="none"/>
              </w:rPr>
            </w:pPr>
          </w:p>
        </w:tc>
        <w:tc>
          <w:tcPr>
            <w:tcW w:w="1484" w:type="dxa"/>
            <w:gridSpan w:val="2"/>
            <w:tcBorders>
              <w:top w:val="single" w:color="auto" w:sz="4" w:space="0"/>
              <w:left w:val="single" w:color="auto" w:sz="4" w:space="0"/>
              <w:bottom w:val="single" w:color="auto" w:sz="4" w:space="0"/>
              <w:right w:val="single" w:color="auto" w:sz="4" w:space="0"/>
            </w:tcBorders>
            <w:vAlign w:val="center"/>
          </w:tcPr>
          <w:p w14:paraId="4778B192">
            <w:pPr>
              <w:jc w:val="center"/>
              <w:rPr>
                <w:rFonts w:hint="eastAsia" w:ascii="宋体" w:hAnsi="宋体" w:cs="宋体"/>
                <w:color w:val="auto"/>
                <w:highlight w:val="none"/>
              </w:rPr>
            </w:pPr>
          </w:p>
        </w:tc>
      </w:tr>
      <w:tr w14:paraId="4579F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3"/>
            <w:tcBorders>
              <w:top w:val="single" w:color="auto" w:sz="4" w:space="0"/>
              <w:left w:val="single" w:color="auto" w:sz="4" w:space="0"/>
              <w:bottom w:val="single" w:color="auto" w:sz="4" w:space="0"/>
              <w:right w:val="single" w:color="auto" w:sz="4" w:space="0"/>
            </w:tcBorders>
            <w:vAlign w:val="center"/>
          </w:tcPr>
          <w:p w14:paraId="2EAFD48C">
            <w:pPr>
              <w:jc w:val="center"/>
              <w:rPr>
                <w:rFonts w:hint="eastAsia" w:ascii="宋体" w:hAnsi="宋体" w:cs="宋体"/>
                <w:color w:val="auto"/>
                <w:highlight w:val="none"/>
              </w:rPr>
            </w:pPr>
            <w:r>
              <w:rPr>
                <w:rFonts w:hint="eastAsia" w:ascii="宋体" w:hAnsi="宋体" w:cs="宋体"/>
                <w:color w:val="auto"/>
                <w:highlight w:val="none"/>
              </w:rPr>
              <w:t>建设规模</w:t>
            </w:r>
          </w:p>
        </w:tc>
        <w:tc>
          <w:tcPr>
            <w:tcW w:w="1548" w:type="dxa"/>
            <w:gridSpan w:val="2"/>
            <w:tcBorders>
              <w:top w:val="single" w:color="auto" w:sz="4" w:space="0"/>
              <w:left w:val="single" w:color="auto" w:sz="4" w:space="0"/>
              <w:bottom w:val="single" w:color="auto" w:sz="4" w:space="0"/>
              <w:right w:val="single" w:color="auto" w:sz="4" w:space="0"/>
            </w:tcBorders>
            <w:vAlign w:val="center"/>
          </w:tcPr>
          <w:p w14:paraId="4F1B25DA">
            <w:pPr>
              <w:jc w:val="center"/>
              <w:rPr>
                <w:rFonts w:hint="eastAsia" w:ascii="宋体" w:hAnsi="宋体" w:cs="宋体"/>
                <w:color w:val="auto"/>
                <w:highlight w:val="none"/>
              </w:rPr>
            </w:pPr>
          </w:p>
        </w:tc>
        <w:tc>
          <w:tcPr>
            <w:tcW w:w="1837" w:type="dxa"/>
            <w:gridSpan w:val="4"/>
            <w:tcBorders>
              <w:top w:val="single" w:color="auto" w:sz="4" w:space="0"/>
              <w:left w:val="single" w:color="auto" w:sz="4" w:space="0"/>
              <w:bottom w:val="single" w:color="auto" w:sz="4" w:space="0"/>
              <w:right w:val="single" w:color="auto" w:sz="4" w:space="0"/>
            </w:tcBorders>
            <w:vAlign w:val="center"/>
          </w:tcPr>
          <w:p w14:paraId="3D37C0B5">
            <w:pPr>
              <w:jc w:val="center"/>
              <w:rPr>
                <w:rFonts w:hint="eastAsia" w:ascii="宋体" w:hAnsi="宋体" w:cs="宋体"/>
                <w:color w:val="auto"/>
                <w:highlight w:val="none"/>
              </w:rPr>
            </w:pPr>
          </w:p>
        </w:tc>
        <w:tc>
          <w:tcPr>
            <w:tcW w:w="1472" w:type="dxa"/>
            <w:gridSpan w:val="3"/>
            <w:tcBorders>
              <w:top w:val="single" w:color="auto" w:sz="4" w:space="0"/>
              <w:left w:val="single" w:color="auto" w:sz="4" w:space="0"/>
              <w:bottom w:val="single" w:color="auto" w:sz="4" w:space="0"/>
              <w:right w:val="single" w:color="auto" w:sz="4" w:space="0"/>
            </w:tcBorders>
            <w:vAlign w:val="center"/>
          </w:tcPr>
          <w:p w14:paraId="3C70596F">
            <w:pPr>
              <w:jc w:val="center"/>
              <w:rPr>
                <w:rFonts w:hint="eastAsia" w:ascii="宋体" w:hAnsi="宋体" w:cs="宋体"/>
                <w:color w:val="auto"/>
                <w:highlight w:val="none"/>
              </w:rPr>
            </w:pPr>
          </w:p>
        </w:tc>
        <w:tc>
          <w:tcPr>
            <w:tcW w:w="1641" w:type="dxa"/>
            <w:gridSpan w:val="4"/>
            <w:tcBorders>
              <w:top w:val="single" w:color="auto" w:sz="4" w:space="0"/>
              <w:left w:val="single" w:color="auto" w:sz="4" w:space="0"/>
              <w:bottom w:val="single" w:color="auto" w:sz="4" w:space="0"/>
              <w:right w:val="single" w:color="auto" w:sz="4" w:space="0"/>
            </w:tcBorders>
            <w:vAlign w:val="center"/>
          </w:tcPr>
          <w:p w14:paraId="11D620DC">
            <w:pPr>
              <w:jc w:val="center"/>
              <w:rPr>
                <w:rFonts w:hint="eastAsia" w:ascii="宋体" w:hAnsi="宋体" w:cs="宋体"/>
                <w:color w:val="auto"/>
                <w:highlight w:val="none"/>
              </w:rPr>
            </w:pPr>
          </w:p>
        </w:tc>
        <w:tc>
          <w:tcPr>
            <w:tcW w:w="1484" w:type="dxa"/>
            <w:gridSpan w:val="2"/>
            <w:tcBorders>
              <w:top w:val="single" w:color="auto" w:sz="4" w:space="0"/>
              <w:left w:val="single" w:color="auto" w:sz="4" w:space="0"/>
              <w:bottom w:val="single" w:color="auto" w:sz="4" w:space="0"/>
              <w:right w:val="single" w:color="auto" w:sz="4" w:space="0"/>
            </w:tcBorders>
            <w:vAlign w:val="center"/>
          </w:tcPr>
          <w:p w14:paraId="072ABECA">
            <w:pPr>
              <w:jc w:val="center"/>
              <w:rPr>
                <w:rFonts w:hint="eastAsia" w:ascii="宋体" w:hAnsi="宋体" w:cs="宋体"/>
                <w:color w:val="auto"/>
                <w:highlight w:val="none"/>
              </w:rPr>
            </w:pPr>
          </w:p>
        </w:tc>
      </w:tr>
      <w:tr w14:paraId="4FCB7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3"/>
            <w:tcBorders>
              <w:top w:val="single" w:color="auto" w:sz="4" w:space="0"/>
              <w:left w:val="single" w:color="auto" w:sz="4" w:space="0"/>
              <w:bottom w:val="single" w:color="auto" w:sz="4" w:space="0"/>
              <w:right w:val="single" w:color="auto" w:sz="4" w:space="0"/>
            </w:tcBorders>
            <w:vAlign w:val="center"/>
          </w:tcPr>
          <w:p w14:paraId="196A1116">
            <w:pPr>
              <w:jc w:val="center"/>
              <w:rPr>
                <w:rFonts w:hint="eastAsia" w:ascii="宋体" w:hAnsi="宋体" w:cs="宋体"/>
                <w:color w:val="auto"/>
                <w:sz w:val="27"/>
                <w:szCs w:val="27"/>
                <w:highlight w:val="none"/>
                <w:lang w:bidi="ar"/>
              </w:rPr>
            </w:pPr>
            <w:r>
              <w:rPr>
                <w:rFonts w:hint="eastAsia" w:ascii="宋体" w:hAnsi="宋体" w:cs="宋体"/>
                <w:color w:val="auto"/>
                <w:highlight w:val="none"/>
              </w:rPr>
              <w:t>开工日期</w:t>
            </w:r>
          </w:p>
        </w:tc>
        <w:tc>
          <w:tcPr>
            <w:tcW w:w="1548" w:type="dxa"/>
            <w:gridSpan w:val="2"/>
            <w:tcBorders>
              <w:top w:val="single" w:color="auto" w:sz="4" w:space="0"/>
              <w:left w:val="single" w:color="auto" w:sz="4" w:space="0"/>
              <w:bottom w:val="single" w:color="auto" w:sz="4" w:space="0"/>
              <w:right w:val="single" w:color="auto" w:sz="4" w:space="0"/>
            </w:tcBorders>
            <w:vAlign w:val="center"/>
          </w:tcPr>
          <w:p w14:paraId="31B808BF">
            <w:pPr>
              <w:jc w:val="center"/>
              <w:rPr>
                <w:rFonts w:hint="eastAsia" w:ascii="宋体" w:hAnsi="宋体" w:cs="宋体"/>
                <w:color w:val="auto"/>
                <w:highlight w:val="none"/>
              </w:rPr>
            </w:pPr>
          </w:p>
        </w:tc>
        <w:tc>
          <w:tcPr>
            <w:tcW w:w="1837" w:type="dxa"/>
            <w:gridSpan w:val="4"/>
            <w:tcBorders>
              <w:top w:val="single" w:color="auto" w:sz="4" w:space="0"/>
              <w:left w:val="single" w:color="auto" w:sz="4" w:space="0"/>
              <w:bottom w:val="single" w:color="auto" w:sz="4" w:space="0"/>
              <w:right w:val="single" w:color="auto" w:sz="4" w:space="0"/>
            </w:tcBorders>
            <w:vAlign w:val="center"/>
          </w:tcPr>
          <w:p w14:paraId="2139FB48">
            <w:pPr>
              <w:jc w:val="center"/>
              <w:rPr>
                <w:rFonts w:hint="eastAsia" w:ascii="宋体" w:hAnsi="宋体" w:cs="宋体"/>
                <w:color w:val="auto"/>
                <w:highlight w:val="none"/>
              </w:rPr>
            </w:pPr>
          </w:p>
        </w:tc>
        <w:tc>
          <w:tcPr>
            <w:tcW w:w="1472" w:type="dxa"/>
            <w:gridSpan w:val="3"/>
            <w:tcBorders>
              <w:top w:val="single" w:color="auto" w:sz="4" w:space="0"/>
              <w:left w:val="single" w:color="auto" w:sz="4" w:space="0"/>
              <w:bottom w:val="single" w:color="auto" w:sz="4" w:space="0"/>
              <w:right w:val="single" w:color="auto" w:sz="4" w:space="0"/>
            </w:tcBorders>
            <w:vAlign w:val="center"/>
          </w:tcPr>
          <w:p w14:paraId="3651301C">
            <w:pPr>
              <w:jc w:val="center"/>
              <w:rPr>
                <w:rFonts w:hint="eastAsia" w:ascii="宋体" w:hAnsi="宋体" w:cs="宋体"/>
                <w:color w:val="auto"/>
                <w:highlight w:val="none"/>
              </w:rPr>
            </w:pPr>
          </w:p>
        </w:tc>
        <w:tc>
          <w:tcPr>
            <w:tcW w:w="1641" w:type="dxa"/>
            <w:gridSpan w:val="4"/>
            <w:tcBorders>
              <w:top w:val="single" w:color="auto" w:sz="4" w:space="0"/>
              <w:left w:val="single" w:color="auto" w:sz="4" w:space="0"/>
              <w:bottom w:val="single" w:color="auto" w:sz="4" w:space="0"/>
              <w:right w:val="single" w:color="auto" w:sz="4" w:space="0"/>
            </w:tcBorders>
            <w:vAlign w:val="center"/>
          </w:tcPr>
          <w:p w14:paraId="7E572D8B">
            <w:pPr>
              <w:jc w:val="center"/>
              <w:rPr>
                <w:rFonts w:hint="eastAsia" w:ascii="宋体" w:hAnsi="宋体" w:cs="宋体"/>
                <w:color w:val="auto"/>
                <w:highlight w:val="none"/>
              </w:rPr>
            </w:pPr>
          </w:p>
        </w:tc>
        <w:tc>
          <w:tcPr>
            <w:tcW w:w="1484" w:type="dxa"/>
            <w:gridSpan w:val="2"/>
            <w:tcBorders>
              <w:top w:val="single" w:color="auto" w:sz="4" w:space="0"/>
              <w:left w:val="single" w:color="auto" w:sz="4" w:space="0"/>
              <w:bottom w:val="single" w:color="auto" w:sz="4" w:space="0"/>
              <w:right w:val="single" w:color="auto" w:sz="4" w:space="0"/>
            </w:tcBorders>
            <w:vAlign w:val="center"/>
          </w:tcPr>
          <w:p w14:paraId="1AF529A7">
            <w:pPr>
              <w:jc w:val="center"/>
              <w:rPr>
                <w:rFonts w:hint="eastAsia" w:ascii="宋体" w:hAnsi="宋体" w:cs="宋体"/>
                <w:color w:val="auto"/>
                <w:highlight w:val="none"/>
              </w:rPr>
            </w:pPr>
          </w:p>
        </w:tc>
      </w:tr>
      <w:tr w14:paraId="0AD4A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tcBorders>
              <w:top w:val="single" w:color="auto" w:sz="4" w:space="0"/>
              <w:left w:val="single" w:color="auto" w:sz="4" w:space="0"/>
              <w:bottom w:val="single" w:color="auto" w:sz="4" w:space="0"/>
              <w:right w:val="single" w:color="auto" w:sz="4" w:space="0"/>
            </w:tcBorders>
            <w:vAlign w:val="center"/>
          </w:tcPr>
          <w:p w14:paraId="7528F4C1">
            <w:pPr>
              <w:jc w:val="center"/>
              <w:rPr>
                <w:rFonts w:hint="eastAsia" w:ascii="宋体" w:hAnsi="宋体" w:cs="宋体"/>
                <w:color w:val="auto"/>
                <w:highlight w:val="none"/>
              </w:rPr>
            </w:pPr>
            <w:r>
              <w:rPr>
                <w:rFonts w:hint="eastAsia" w:ascii="宋体" w:hAnsi="宋体" w:cs="宋体"/>
                <w:color w:val="auto"/>
                <w:highlight w:val="none"/>
              </w:rPr>
              <w:t>竣工日期</w:t>
            </w:r>
          </w:p>
        </w:tc>
        <w:tc>
          <w:tcPr>
            <w:tcW w:w="1548" w:type="dxa"/>
            <w:gridSpan w:val="2"/>
            <w:tcBorders>
              <w:top w:val="single" w:color="auto" w:sz="4" w:space="0"/>
              <w:left w:val="single" w:color="auto" w:sz="4" w:space="0"/>
              <w:bottom w:val="single" w:color="auto" w:sz="4" w:space="0"/>
              <w:right w:val="single" w:color="auto" w:sz="4" w:space="0"/>
            </w:tcBorders>
            <w:vAlign w:val="center"/>
          </w:tcPr>
          <w:p w14:paraId="5073B112">
            <w:pPr>
              <w:jc w:val="center"/>
              <w:rPr>
                <w:rFonts w:hint="eastAsia" w:ascii="宋体" w:hAnsi="宋体" w:cs="宋体"/>
                <w:color w:val="auto"/>
                <w:highlight w:val="none"/>
              </w:rPr>
            </w:pPr>
          </w:p>
        </w:tc>
        <w:tc>
          <w:tcPr>
            <w:tcW w:w="1837" w:type="dxa"/>
            <w:gridSpan w:val="4"/>
            <w:tcBorders>
              <w:top w:val="single" w:color="auto" w:sz="4" w:space="0"/>
              <w:left w:val="single" w:color="auto" w:sz="4" w:space="0"/>
              <w:bottom w:val="single" w:color="auto" w:sz="4" w:space="0"/>
              <w:right w:val="single" w:color="auto" w:sz="4" w:space="0"/>
            </w:tcBorders>
            <w:vAlign w:val="center"/>
          </w:tcPr>
          <w:p w14:paraId="382F0610">
            <w:pPr>
              <w:jc w:val="center"/>
              <w:rPr>
                <w:rFonts w:hint="eastAsia" w:ascii="宋体" w:hAnsi="宋体" w:cs="宋体"/>
                <w:color w:val="auto"/>
                <w:highlight w:val="none"/>
              </w:rPr>
            </w:pPr>
          </w:p>
        </w:tc>
        <w:tc>
          <w:tcPr>
            <w:tcW w:w="1472" w:type="dxa"/>
            <w:gridSpan w:val="3"/>
            <w:tcBorders>
              <w:top w:val="single" w:color="auto" w:sz="4" w:space="0"/>
              <w:left w:val="single" w:color="auto" w:sz="4" w:space="0"/>
              <w:bottom w:val="single" w:color="auto" w:sz="4" w:space="0"/>
              <w:right w:val="single" w:color="auto" w:sz="4" w:space="0"/>
            </w:tcBorders>
            <w:vAlign w:val="center"/>
          </w:tcPr>
          <w:p w14:paraId="2D00C53B">
            <w:pPr>
              <w:jc w:val="center"/>
              <w:rPr>
                <w:rFonts w:hint="eastAsia" w:ascii="宋体" w:hAnsi="宋体" w:cs="宋体"/>
                <w:color w:val="auto"/>
                <w:highlight w:val="none"/>
              </w:rPr>
            </w:pPr>
          </w:p>
        </w:tc>
        <w:tc>
          <w:tcPr>
            <w:tcW w:w="1641" w:type="dxa"/>
            <w:gridSpan w:val="4"/>
            <w:tcBorders>
              <w:top w:val="single" w:color="auto" w:sz="4" w:space="0"/>
              <w:left w:val="single" w:color="auto" w:sz="4" w:space="0"/>
              <w:bottom w:val="single" w:color="auto" w:sz="4" w:space="0"/>
              <w:right w:val="single" w:color="auto" w:sz="4" w:space="0"/>
            </w:tcBorders>
            <w:vAlign w:val="center"/>
          </w:tcPr>
          <w:p w14:paraId="276A41D2">
            <w:pPr>
              <w:jc w:val="center"/>
              <w:rPr>
                <w:rFonts w:hint="eastAsia" w:ascii="宋体" w:hAnsi="宋体" w:cs="宋体"/>
                <w:color w:val="auto"/>
                <w:highlight w:val="none"/>
              </w:rPr>
            </w:pPr>
          </w:p>
        </w:tc>
        <w:tc>
          <w:tcPr>
            <w:tcW w:w="1484" w:type="dxa"/>
            <w:gridSpan w:val="2"/>
            <w:tcBorders>
              <w:top w:val="single" w:color="auto" w:sz="4" w:space="0"/>
              <w:left w:val="single" w:color="auto" w:sz="4" w:space="0"/>
              <w:bottom w:val="single" w:color="auto" w:sz="4" w:space="0"/>
              <w:right w:val="single" w:color="auto" w:sz="4" w:space="0"/>
            </w:tcBorders>
            <w:vAlign w:val="center"/>
          </w:tcPr>
          <w:p w14:paraId="2E306BF0">
            <w:pPr>
              <w:jc w:val="center"/>
              <w:rPr>
                <w:rFonts w:hint="eastAsia" w:ascii="宋体" w:hAnsi="宋体" w:cs="宋体"/>
                <w:color w:val="auto"/>
                <w:highlight w:val="none"/>
              </w:rPr>
            </w:pPr>
          </w:p>
        </w:tc>
      </w:tr>
      <w:tr w14:paraId="7F7F1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tcBorders>
              <w:top w:val="single" w:color="auto" w:sz="4" w:space="0"/>
              <w:left w:val="single" w:color="auto" w:sz="4" w:space="0"/>
              <w:bottom w:val="single" w:color="auto" w:sz="4" w:space="0"/>
              <w:right w:val="single" w:color="auto" w:sz="4" w:space="0"/>
            </w:tcBorders>
            <w:vAlign w:val="center"/>
          </w:tcPr>
          <w:p w14:paraId="011E59CA">
            <w:pPr>
              <w:jc w:val="center"/>
              <w:rPr>
                <w:rFonts w:hint="eastAsia" w:ascii="宋体" w:hAnsi="宋体" w:cs="宋体"/>
                <w:color w:val="auto"/>
                <w:highlight w:val="none"/>
              </w:rPr>
            </w:pPr>
            <w:r>
              <w:rPr>
                <w:rFonts w:hint="eastAsia" w:ascii="宋体" w:hAnsi="宋体" w:cs="宋体"/>
                <w:color w:val="auto"/>
                <w:highlight w:val="none"/>
              </w:rPr>
              <w:t>人员角色</w:t>
            </w:r>
          </w:p>
        </w:tc>
        <w:tc>
          <w:tcPr>
            <w:tcW w:w="1548" w:type="dxa"/>
            <w:gridSpan w:val="2"/>
            <w:tcBorders>
              <w:top w:val="single" w:color="auto" w:sz="4" w:space="0"/>
              <w:left w:val="single" w:color="auto" w:sz="4" w:space="0"/>
              <w:bottom w:val="single" w:color="auto" w:sz="4" w:space="0"/>
              <w:right w:val="single" w:color="auto" w:sz="4" w:space="0"/>
            </w:tcBorders>
            <w:vAlign w:val="center"/>
          </w:tcPr>
          <w:p w14:paraId="0E695DAE">
            <w:pPr>
              <w:jc w:val="center"/>
              <w:rPr>
                <w:rFonts w:hint="eastAsia" w:ascii="宋体" w:hAnsi="宋体" w:cs="宋体"/>
                <w:color w:val="auto"/>
                <w:highlight w:val="none"/>
              </w:rPr>
            </w:pPr>
          </w:p>
        </w:tc>
        <w:tc>
          <w:tcPr>
            <w:tcW w:w="1837" w:type="dxa"/>
            <w:gridSpan w:val="4"/>
            <w:tcBorders>
              <w:top w:val="single" w:color="auto" w:sz="4" w:space="0"/>
              <w:left w:val="single" w:color="auto" w:sz="4" w:space="0"/>
              <w:bottom w:val="single" w:color="auto" w:sz="4" w:space="0"/>
              <w:right w:val="single" w:color="auto" w:sz="4" w:space="0"/>
            </w:tcBorders>
            <w:vAlign w:val="center"/>
          </w:tcPr>
          <w:p w14:paraId="188AE55C">
            <w:pPr>
              <w:jc w:val="center"/>
              <w:rPr>
                <w:rFonts w:hint="eastAsia" w:ascii="宋体" w:hAnsi="宋体" w:cs="宋体"/>
                <w:color w:val="auto"/>
                <w:highlight w:val="none"/>
              </w:rPr>
            </w:pPr>
          </w:p>
        </w:tc>
        <w:tc>
          <w:tcPr>
            <w:tcW w:w="1472" w:type="dxa"/>
            <w:gridSpan w:val="3"/>
            <w:tcBorders>
              <w:top w:val="single" w:color="auto" w:sz="4" w:space="0"/>
              <w:left w:val="single" w:color="auto" w:sz="4" w:space="0"/>
              <w:bottom w:val="single" w:color="auto" w:sz="4" w:space="0"/>
              <w:right w:val="single" w:color="auto" w:sz="4" w:space="0"/>
            </w:tcBorders>
            <w:vAlign w:val="center"/>
          </w:tcPr>
          <w:p w14:paraId="7D52F43A">
            <w:pPr>
              <w:jc w:val="center"/>
              <w:rPr>
                <w:rFonts w:hint="eastAsia" w:ascii="宋体" w:hAnsi="宋体" w:cs="宋体"/>
                <w:color w:val="auto"/>
                <w:highlight w:val="none"/>
              </w:rPr>
            </w:pPr>
          </w:p>
        </w:tc>
        <w:tc>
          <w:tcPr>
            <w:tcW w:w="1641" w:type="dxa"/>
            <w:gridSpan w:val="4"/>
            <w:tcBorders>
              <w:top w:val="single" w:color="auto" w:sz="4" w:space="0"/>
              <w:left w:val="single" w:color="auto" w:sz="4" w:space="0"/>
              <w:bottom w:val="single" w:color="auto" w:sz="4" w:space="0"/>
              <w:right w:val="single" w:color="auto" w:sz="4" w:space="0"/>
            </w:tcBorders>
            <w:vAlign w:val="center"/>
          </w:tcPr>
          <w:p w14:paraId="0BE74B21">
            <w:pPr>
              <w:jc w:val="center"/>
              <w:rPr>
                <w:rFonts w:hint="eastAsia" w:ascii="宋体" w:hAnsi="宋体" w:cs="宋体"/>
                <w:color w:val="auto"/>
                <w:highlight w:val="none"/>
              </w:rPr>
            </w:pPr>
          </w:p>
        </w:tc>
        <w:tc>
          <w:tcPr>
            <w:tcW w:w="1484" w:type="dxa"/>
            <w:gridSpan w:val="2"/>
            <w:tcBorders>
              <w:top w:val="single" w:color="auto" w:sz="4" w:space="0"/>
              <w:left w:val="single" w:color="auto" w:sz="4" w:space="0"/>
              <w:bottom w:val="single" w:color="auto" w:sz="4" w:space="0"/>
              <w:right w:val="single" w:color="auto" w:sz="4" w:space="0"/>
            </w:tcBorders>
            <w:vAlign w:val="center"/>
          </w:tcPr>
          <w:p w14:paraId="5F72206D">
            <w:pPr>
              <w:jc w:val="center"/>
              <w:rPr>
                <w:rFonts w:hint="eastAsia" w:ascii="宋体" w:hAnsi="宋体" w:cs="宋体"/>
                <w:color w:val="auto"/>
                <w:highlight w:val="none"/>
              </w:rPr>
            </w:pPr>
          </w:p>
        </w:tc>
      </w:tr>
      <w:tr w14:paraId="642B2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tcBorders>
              <w:top w:val="single" w:color="auto" w:sz="4" w:space="0"/>
              <w:left w:val="single" w:color="auto" w:sz="4" w:space="0"/>
              <w:bottom w:val="single" w:color="auto" w:sz="4" w:space="0"/>
              <w:right w:val="single" w:color="auto" w:sz="4" w:space="0"/>
            </w:tcBorders>
            <w:vAlign w:val="center"/>
          </w:tcPr>
          <w:p w14:paraId="63579719">
            <w:pPr>
              <w:jc w:val="center"/>
              <w:rPr>
                <w:rFonts w:hint="eastAsia" w:ascii="宋体" w:hAnsi="宋体" w:cs="宋体"/>
                <w:color w:val="auto"/>
                <w:highlight w:val="none"/>
              </w:rPr>
            </w:pPr>
            <w:r>
              <w:rPr>
                <w:rFonts w:hint="eastAsia" w:ascii="宋体" w:hAnsi="宋体" w:cs="宋体"/>
                <w:color w:val="auto"/>
                <w:highlight w:val="none"/>
              </w:rPr>
              <w:t>在建或已完</w:t>
            </w:r>
          </w:p>
        </w:tc>
        <w:tc>
          <w:tcPr>
            <w:tcW w:w="1548" w:type="dxa"/>
            <w:gridSpan w:val="2"/>
            <w:tcBorders>
              <w:top w:val="single" w:color="auto" w:sz="4" w:space="0"/>
              <w:left w:val="single" w:color="auto" w:sz="4" w:space="0"/>
              <w:bottom w:val="single" w:color="auto" w:sz="4" w:space="0"/>
              <w:right w:val="single" w:color="auto" w:sz="4" w:space="0"/>
            </w:tcBorders>
            <w:vAlign w:val="center"/>
          </w:tcPr>
          <w:p w14:paraId="2486BDA9">
            <w:pPr>
              <w:jc w:val="center"/>
              <w:rPr>
                <w:rFonts w:hint="eastAsia" w:ascii="宋体" w:hAnsi="宋体" w:cs="宋体"/>
                <w:color w:val="auto"/>
                <w:highlight w:val="none"/>
              </w:rPr>
            </w:pPr>
          </w:p>
        </w:tc>
        <w:tc>
          <w:tcPr>
            <w:tcW w:w="1837" w:type="dxa"/>
            <w:gridSpan w:val="4"/>
            <w:tcBorders>
              <w:top w:val="single" w:color="auto" w:sz="4" w:space="0"/>
              <w:left w:val="single" w:color="auto" w:sz="4" w:space="0"/>
              <w:bottom w:val="single" w:color="auto" w:sz="4" w:space="0"/>
              <w:right w:val="single" w:color="auto" w:sz="4" w:space="0"/>
            </w:tcBorders>
            <w:vAlign w:val="center"/>
          </w:tcPr>
          <w:p w14:paraId="4C351486">
            <w:pPr>
              <w:jc w:val="center"/>
              <w:rPr>
                <w:rFonts w:hint="eastAsia" w:ascii="宋体" w:hAnsi="宋体" w:cs="宋体"/>
                <w:color w:val="auto"/>
                <w:highlight w:val="none"/>
              </w:rPr>
            </w:pPr>
          </w:p>
        </w:tc>
        <w:tc>
          <w:tcPr>
            <w:tcW w:w="1472" w:type="dxa"/>
            <w:gridSpan w:val="3"/>
            <w:tcBorders>
              <w:top w:val="single" w:color="auto" w:sz="4" w:space="0"/>
              <w:left w:val="single" w:color="auto" w:sz="4" w:space="0"/>
              <w:bottom w:val="single" w:color="auto" w:sz="4" w:space="0"/>
              <w:right w:val="single" w:color="auto" w:sz="4" w:space="0"/>
            </w:tcBorders>
            <w:vAlign w:val="center"/>
          </w:tcPr>
          <w:p w14:paraId="77A319A1">
            <w:pPr>
              <w:jc w:val="center"/>
              <w:rPr>
                <w:rFonts w:hint="eastAsia" w:ascii="宋体" w:hAnsi="宋体" w:cs="宋体"/>
                <w:color w:val="auto"/>
                <w:highlight w:val="none"/>
              </w:rPr>
            </w:pPr>
          </w:p>
        </w:tc>
        <w:tc>
          <w:tcPr>
            <w:tcW w:w="1641" w:type="dxa"/>
            <w:gridSpan w:val="4"/>
            <w:tcBorders>
              <w:top w:val="single" w:color="auto" w:sz="4" w:space="0"/>
              <w:left w:val="single" w:color="auto" w:sz="4" w:space="0"/>
              <w:bottom w:val="single" w:color="auto" w:sz="4" w:space="0"/>
              <w:right w:val="single" w:color="auto" w:sz="4" w:space="0"/>
            </w:tcBorders>
            <w:vAlign w:val="center"/>
          </w:tcPr>
          <w:p w14:paraId="35E0F394">
            <w:pPr>
              <w:jc w:val="center"/>
              <w:rPr>
                <w:rFonts w:hint="eastAsia" w:ascii="宋体" w:hAnsi="宋体" w:cs="宋体"/>
                <w:color w:val="auto"/>
                <w:highlight w:val="none"/>
              </w:rPr>
            </w:pPr>
          </w:p>
        </w:tc>
        <w:tc>
          <w:tcPr>
            <w:tcW w:w="1484" w:type="dxa"/>
            <w:gridSpan w:val="2"/>
            <w:tcBorders>
              <w:top w:val="single" w:color="auto" w:sz="4" w:space="0"/>
              <w:left w:val="single" w:color="auto" w:sz="4" w:space="0"/>
              <w:bottom w:val="single" w:color="auto" w:sz="4" w:space="0"/>
              <w:right w:val="single" w:color="auto" w:sz="4" w:space="0"/>
            </w:tcBorders>
            <w:vAlign w:val="center"/>
          </w:tcPr>
          <w:p w14:paraId="08A7CB89">
            <w:pPr>
              <w:jc w:val="center"/>
              <w:rPr>
                <w:rFonts w:hint="eastAsia" w:ascii="宋体" w:hAnsi="宋体" w:cs="宋体"/>
                <w:color w:val="auto"/>
                <w:highlight w:val="none"/>
              </w:rPr>
            </w:pPr>
          </w:p>
        </w:tc>
      </w:tr>
      <w:tr w14:paraId="4E0AD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tcBorders>
              <w:top w:val="single" w:color="auto" w:sz="4" w:space="0"/>
              <w:left w:val="single" w:color="auto" w:sz="4" w:space="0"/>
              <w:bottom w:val="single" w:color="auto" w:sz="4" w:space="0"/>
              <w:right w:val="single" w:color="auto" w:sz="4" w:space="0"/>
            </w:tcBorders>
            <w:vAlign w:val="center"/>
          </w:tcPr>
          <w:p w14:paraId="3CD4955B">
            <w:pPr>
              <w:jc w:val="center"/>
              <w:rPr>
                <w:rFonts w:hint="eastAsia" w:ascii="宋体" w:hAnsi="宋体" w:cs="宋体"/>
                <w:color w:val="auto"/>
                <w:highlight w:val="none"/>
              </w:rPr>
            </w:pPr>
            <w:r>
              <w:rPr>
                <w:rFonts w:hint="eastAsia" w:ascii="宋体" w:hAnsi="宋体" w:cs="宋体"/>
                <w:color w:val="auto"/>
                <w:highlight w:val="none"/>
              </w:rPr>
              <w:t>工程质量</w:t>
            </w:r>
          </w:p>
        </w:tc>
        <w:tc>
          <w:tcPr>
            <w:tcW w:w="1548" w:type="dxa"/>
            <w:gridSpan w:val="2"/>
            <w:tcBorders>
              <w:top w:val="single" w:color="auto" w:sz="4" w:space="0"/>
              <w:left w:val="single" w:color="auto" w:sz="4" w:space="0"/>
              <w:bottom w:val="single" w:color="auto" w:sz="4" w:space="0"/>
              <w:right w:val="single" w:color="auto" w:sz="4" w:space="0"/>
            </w:tcBorders>
            <w:vAlign w:val="center"/>
          </w:tcPr>
          <w:p w14:paraId="77DC511B">
            <w:pPr>
              <w:jc w:val="center"/>
              <w:rPr>
                <w:rFonts w:hint="eastAsia" w:ascii="宋体" w:hAnsi="宋体" w:cs="宋体"/>
                <w:color w:val="auto"/>
                <w:highlight w:val="none"/>
              </w:rPr>
            </w:pPr>
          </w:p>
        </w:tc>
        <w:tc>
          <w:tcPr>
            <w:tcW w:w="1837" w:type="dxa"/>
            <w:gridSpan w:val="4"/>
            <w:tcBorders>
              <w:top w:val="single" w:color="auto" w:sz="4" w:space="0"/>
              <w:left w:val="single" w:color="auto" w:sz="4" w:space="0"/>
              <w:bottom w:val="single" w:color="auto" w:sz="4" w:space="0"/>
              <w:right w:val="single" w:color="auto" w:sz="4" w:space="0"/>
            </w:tcBorders>
            <w:vAlign w:val="center"/>
          </w:tcPr>
          <w:p w14:paraId="0190AFD1">
            <w:pPr>
              <w:jc w:val="center"/>
              <w:rPr>
                <w:rFonts w:hint="eastAsia" w:ascii="宋体" w:hAnsi="宋体" w:cs="宋体"/>
                <w:color w:val="auto"/>
                <w:highlight w:val="none"/>
              </w:rPr>
            </w:pPr>
          </w:p>
        </w:tc>
        <w:tc>
          <w:tcPr>
            <w:tcW w:w="1472" w:type="dxa"/>
            <w:gridSpan w:val="3"/>
            <w:tcBorders>
              <w:top w:val="single" w:color="auto" w:sz="4" w:space="0"/>
              <w:left w:val="single" w:color="auto" w:sz="4" w:space="0"/>
              <w:bottom w:val="single" w:color="auto" w:sz="4" w:space="0"/>
              <w:right w:val="single" w:color="auto" w:sz="4" w:space="0"/>
            </w:tcBorders>
            <w:vAlign w:val="center"/>
          </w:tcPr>
          <w:p w14:paraId="4E4FDB06">
            <w:pPr>
              <w:jc w:val="center"/>
              <w:rPr>
                <w:rFonts w:hint="eastAsia" w:ascii="宋体" w:hAnsi="宋体" w:cs="宋体"/>
                <w:color w:val="auto"/>
                <w:highlight w:val="none"/>
              </w:rPr>
            </w:pPr>
          </w:p>
        </w:tc>
        <w:tc>
          <w:tcPr>
            <w:tcW w:w="1641" w:type="dxa"/>
            <w:gridSpan w:val="4"/>
            <w:tcBorders>
              <w:top w:val="single" w:color="auto" w:sz="4" w:space="0"/>
              <w:left w:val="single" w:color="auto" w:sz="4" w:space="0"/>
              <w:bottom w:val="single" w:color="auto" w:sz="4" w:space="0"/>
              <w:right w:val="single" w:color="auto" w:sz="4" w:space="0"/>
            </w:tcBorders>
            <w:vAlign w:val="center"/>
          </w:tcPr>
          <w:p w14:paraId="0B56BAA0">
            <w:pPr>
              <w:jc w:val="center"/>
              <w:rPr>
                <w:rFonts w:hint="eastAsia" w:ascii="宋体" w:hAnsi="宋体" w:cs="宋体"/>
                <w:color w:val="auto"/>
                <w:highlight w:val="none"/>
              </w:rPr>
            </w:pPr>
          </w:p>
        </w:tc>
        <w:tc>
          <w:tcPr>
            <w:tcW w:w="1484" w:type="dxa"/>
            <w:gridSpan w:val="2"/>
            <w:tcBorders>
              <w:top w:val="single" w:color="auto" w:sz="4" w:space="0"/>
              <w:left w:val="single" w:color="auto" w:sz="4" w:space="0"/>
              <w:bottom w:val="single" w:color="auto" w:sz="4" w:space="0"/>
              <w:right w:val="single" w:color="auto" w:sz="4" w:space="0"/>
            </w:tcBorders>
            <w:vAlign w:val="center"/>
          </w:tcPr>
          <w:p w14:paraId="1BCD00F3">
            <w:pPr>
              <w:jc w:val="center"/>
              <w:rPr>
                <w:rFonts w:hint="eastAsia" w:ascii="宋体" w:hAnsi="宋体" w:cs="宋体"/>
                <w:color w:val="auto"/>
                <w:highlight w:val="none"/>
              </w:rPr>
            </w:pPr>
          </w:p>
        </w:tc>
      </w:tr>
      <w:tr w14:paraId="281C6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tcBorders>
              <w:top w:val="single" w:color="auto" w:sz="4" w:space="0"/>
              <w:left w:val="single" w:color="auto" w:sz="4" w:space="0"/>
              <w:bottom w:val="single" w:color="auto" w:sz="4" w:space="0"/>
              <w:right w:val="single" w:color="auto" w:sz="4" w:space="0"/>
            </w:tcBorders>
            <w:vAlign w:val="center"/>
          </w:tcPr>
          <w:p w14:paraId="286FB708">
            <w:pPr>
              <w:jc w:val="center"/>
              <w:rPr>
                <w:rFonts w:hint="eastAsia" w:ascii="宋体" w:hAnsi="宋体" w:cs="宋体"/>
                <w:color w:val="auto"/>
                <w:highlight w:val="none"/>
              </w:rPr>
            </w:pPr>
            <w:r>
              <w:rPr>
                <w:rFonts w:hint="eastAsia" w:ascii="宋体" w:hAnsi="宋体" w:cs="宋体"/>
                <w:color w:val="auto"/>
                <w:highlight w:val="none"/>
              </w:rPr>
              <w:t>受奖情况</w:t>
            </w:r>
          </w:p>
        </w:tc>
        <w:tc>
          <w:tcPr>
            <w:tcW w:w="1548" w:type="dxa"/>
            <w:gridSpan w:val="2"/>
            <w:tcBorders>
              <w:top w:val="single" w:color="auto" w:sz="4" w:space="0"/>
              <w:left w:val="single" w:color="auto" w:sz="4" w:space="0"/>
              <w:bottom w:val="single" w:color="auto" w:sz="4" w:space="0"/>
              <w:right w:val="single" w:color="auto" w:sz="4" w:space="0"/>
            </w:tcBorders>
            <w:vAlign w:val="center"/>
          </w:tcPr>
          <w:p w14:paraId="07E115FA">
            <w:pPr>
              <w:jc w:val="center"/>
              <w:rPr>
                <w:rFonts w:hint="eastAsia" w:ascii="宋体" w:hAnsi="宋体" w:cs="宋体"/>
                <w:color w:val="auto"/>
                <w:highlight w:val="none"/>
              </w:rPr>
            </w:pPr>
          </w:p>
        </w:tc>
        <w:tc>
          <w:tcPr>
            <w:tcW w:w="1837" w:type="dxa"/>
            <w:gridSpan w:val="4"/>
            <w:tcBorders>
              <w:top w:val="single" w:color="auto" w:sz="4" w:space="0"/>
              <w:left w:val="single" w:color="auto" w:sz="4" w:space="0"/>
              <w:bottom w:val="single" w:color="auto" w:sz="4" w:space="0"/>
              <w:right w:val="single" w:color="auto" w:sz="4" w:space="0"/>
            </w:tcBorders>
            <w:vAlign w:val="center"/>
          </w:tcPr>
          <w:p w14:paraId="6B2249EE">
            <w:pPr>
              <w:jc w:val="center"/>
              <w:rPr>
                <w:rFonts w:hint="eastAsia" w:ascii="宋体" w:hAnsi="宋体" w:cs="宋体"/>
                <w:color w:val="auto"/>
                <w:highlight w:val="none"/>
              </w:rPr>
            </w:pPr>
          </w:p>
        </w:tc>
        <w:tc>
          <w:tcPr>
            <w:tcW w:w="1472" w:type="dxa"/>
            <w:gridSpan w:val="3"/>
            <w:tcBorders>
              <w:top w:val="single" w:color="auto" w:sz="4" w:space="0"/>
              <w:left w:val="single" w:color="auto" w:sz="4" w:space="0"/>
              <w:bottom w:val="single" w:color="auto" w:sz="4" w:space="0"/>
              <w:right w:val="single" w:color="auto" w:sz="4" w:space="0"/>
            </w:tcBorders>
            <w:vAlign w:val="center"/>
          </w:tcPr>
          <w:p w14:paraId="17C91641">
            <w:pPr>
              <w:jc w:val="center"/>
              <w:rPr>
                <w:rFonts w:hint="eastAsia" w:ascii="宋体" w:hAnsi="宋体" w:cs="宋体"/>
                <w:color w:val="auto"/>
                <w:highlight w:val="none"/>
              </w:rPr>
            </w:pPr>
          </w:p>
        </w:tc>
        <w:tc>
          <w:tcPr>
            <w:tcW w:w="1641" w:type="dxa"/>
            <w:gridSpan w:val="4"/>
            <w:tcBorders>
              <w:top w:val="single" w:color="auto" w:sz="4" w:space="0"/>
              <w:left w:val="single" w:color="auto" w:sz="4" w:space="0"/>
              <w:bottom w:val="single" w:color="auto" w:sz="4" w:space="0"/>
              <w:right w:val="single" w:color="auto" w:sz="4" w:space="0"/>
            </w:tcBorders>
            <w:vAlign w:val="center"/>
          </w:tcPr>
          <w:p w14:paraId="0575001A">
            <w:pPr>
              <w:jc w:val="center"/>
              <w:rPr>
                <w:rFonts w:hint="eastAsia" w:ascii="宋体" w:hAnsi="宋体" w:cs="宋体"/>
                <w:color w:val="auto"/>
                <w:highlight w:val="none"/>
              </w:rPr>
            </w:pPr>
          </w:p>
        </w:tc>
        <w:tc>
          <w:tcPr>
            <w:tcW w:w="1484" w:type="dxa"/>
            <w:gridSpan w:val="2"/>
            <w:tcBorders>
              <w:top w:val="single" w:color="auto" w:sz="4" w:space="0"/>
              <w:left w:val="single" w:color="auto" w:sz="4" w:space="0"/>
              <w:bottom w:val="single" w:color="auto" w:sz="4" w:space="0"/>
              <w:right w:val="single" w:color="auto" w:sz="4" w:space="0"/>
            </w:tcBorders>
            <w:vAlign w:val="center"/>
          </w:tcPr>
          <w:p w14:paraId="1A7FEEB6">
            <w:pPr>
              <w:jc w:val="center"/>
              <w:rPr>
                <w:rFonts w:hint="eastAsia" w:ascii="宋体" w:hAnsi="宋体" w:cs="宋体"/>
                <w:color w:val="auto"/>
                <w:highlight w:val="none"/>
              </w:rPr>
            </w:pPr>
          </w:p>
        </w:tc>
      </w:tr>
    </w:tbl>
    <w:p w14:paraId="25F97A24">
      <w:pPr>
        <w:spacing w:line="360" w:lineRule="auto"/>
        <w:rPr>
          <w:rFonts w:hint="eastAsia" w:ascii="宋体" w:hAnsi="宋体" w:cs="宋体"/>
          <w:color w:val="auto"/>
          <w:highlight w:val="none"/>
        </w:rPr>
      </w:pPr>
      <w:r>
        <w:rPr>
          <w:rFonts w:hint="eastAsia" w:ascii="宋体" w:hAnsi="宋体" w:cs="宋体"/>
          <w:color w:val="auto"/>
          <w:highlight w:val="none"/>
        </w:rPr>
        <w:t>备注：</w:t>
      </w:r>
    </w:p>
    <w:p w14:paraId="3D243756">
      <w:pPr>
        <w:spacing w:line="360" w:lineRule="auto"/>
        <w:ind w:firstLine="420"/>
        <w:rPr>
          <w:rFonts w:hint="eastAsia" w:ascii="宋体" w:hAnsi="宋体" w:cs="宋体"/>
          <w:color w:val="auto"/>
          <w:highlight w:val="none"/>
        </w:rPr>
      </w:pPr>
      <w:r>
        <w:rPr>
          <w:rFonts w:hint="eastAsia" w:ascii="宋体" w:hAnsi="宋体" w:cs="宋体"/>
          <w:color w:val="auto"/>
          <w:highlight w:val="none"/>
        </w:rPr>
        <w:t>1.供应商可以根据项目情况增减表格内容，项目数可以根据需要增加。</w:t>
      </w:r>
    </w:p>
    <w:p w14:paraId="1EF2A525">
      <w:pPr>
        <w:spacing w:line="360" w:lineRule="auto"/>
        <w:ind w:firstLine="420"/>
        <w:rPr>
          <w:rFonts w:hint="eastAsia" w:ascii="宋体" w:hAnsi="宋体" w:cs="宋体"/>
          <w:color w:val="auto"/>
          <w:szCs w:val="21"/>
          <w:highlight w:val="none"/>
        </w:rPr>
      </w:pPr>
      <w:r>
        <w:rPr>
          <w:rFonts w:hint="eastAsia" w:ascii="宋体" w:hAnsi="宋体" w:cs="宋体"/>
          <w:color w:val="auto"/>
          <w:highlight w:val="none"/>
        </w:rPr>
        <w:t>2.</w:t>
      </w:r>
      <w:r>
        <w:rPr>
          <w:rFonts w:hint="eastAsia" w:ascii="宋体" w:hAnsi="宋体" w:cs="宋体"/>
          <w:color w:val="auto"/>
          <w:szCs w:val="21"/>
          <w:highlight w:val="none"/>
        </w:rPr>
        <w:t>本表后附专职安全生产管理人员的学历证（如有）、安全生产考核合格证（C类）、本表所列证书复印件、属于本单位人员的证明材料并加盖供应商电子签章。</w:t>
      </w:r>
    </w:p>
    <w:p w14:paraId="79F753F4">
      <w:pPr>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br w:type="page" w:clear="all"/>
      </w:r>
      <w:r>
        <w:rPr>
          <w:rFonts w:hint="eastAsia" w:ascii="宋体" w:hAnsi="宋体" w:cs="宋体"/>
          <w:b/>
          <w:bCs/>
          <w:color w:val="auto"/>
          <w:sz w:val="24"/>
          <w:highlight w:val="none"/>
        </w:rPr>
        <w:t>其他文书、文件格式</w:t>
      </w:r>
    </w:p>
    <w:p w14:paraId="16C64CC1">
      <w:pPr>
        <w:spacing w:line="360" w:lineRule="auto"/>
        <w:rPr>
          <w:rFonts w:hint="eastAsia" w:ascii="宋体" w:hAnsi="宋体" w:cs="宋体"/>
          <w:color w:val="auto"/>
          <w:szCs w:val="21"/>
          <w:highlight w:val="none"/>
        </w:rPr>
      </w:pPr>
    </w:p>
    <w:p w14:paraId="3ABE3163">
      <w:pPr>
        <w:jc w:val="center"/>
        <w:rPr>
          <w:rFonts w:hint="eastAsia" w:ascii="宋体" w:hAnsi="宋体" w:cs="宋体"/>
          <w:b/>
          <w:color w:val="auto"/>
          <w:sz w:val="32"/>
          <w:szCs w:val="32"/>
          <w:highlight w:val="none"/>
        </w:rPr>
      </w:pPr>
      <w:bookmarkStart w:id="140" w:name="_Toc71365926"/>
      <w:r>
        <w:rPr>
          <w:rFonts w:hint="eastAsia" w:ascii="宋体" w:hAnsi="宋体" w:cs="宋体"/>
          <w:b/>
          <w:color w:val="auto"/>
          <w:sz w:val="32"/>
          <w:szCs w:val="32"/>
          <w:highlight w:val="none"/>
        </w:rPr>
        <w:t>中小企业声明函（工程）</w:t>
      </w:r>
      <w:bookmarkEnd w:id="140"/>
    </w:p>
    <w:p w14:paraId="653BAB2C">
      <w:pPr>
        <w:pStyle w:val="217"/>
        <w:spacing w:line="500" w:lineRule="exact"/>
        <w:ind w:right="142" w:firstLine="705"/>
        <w:rPr>
          <w:rFonts w:hint="eastAsia" w:ascii="宋体" w:hAnsi="宋体" w:cs="宋体"/>
          <w:color w:val="auto"/>
          <w:sz w:val="24"/>
          <w:highlight w:val="none"/>
        </w:rPr>
      </w:pPr>
      <w:r>
        <w:rPr>
          <w:rFonts w:hint="eastAsia" w:ascii="宋体" w:hAnsi="宋体" w:cs="宋体"/>
          <w:color w:val="auto"/>
          <w:sz w:val="24"/>
          <w:highlight w:val="none"/>
        </w:rPr>
        <w:t>本公司（联合体）郑重声明，根据《政府采购促进中小企业发展管理办法》（财库〔2020〕46号）的规定，本公司（联合体）参加</w:t>
      </w:r>
      <w:r>
        <w:rPr>
          <w:rFonts w:hint="eastAsia" w:ascii="宋体" w:hAnsi="宋体" w:cs="宋体"/>
          <w:color w:val="auto"/>
          <w:sz w:val="24"/>
          <w:highlight w:val="none"/>
          <w:u w:val="single"/>
        </w:rPr>
        <w:t>（单位名称）</w:t>
      </w:r>
      <w:r>
        <w:rPr>
          <w:rFonts w:hint="eastAsia" w:ascii="宋体" w:hAnsi="宋体" w:cs="宋体"/>
          <w:color w:val="auto"/>
          <w:sz w:val="24"/>
          <w:highlight w:val="none"/>
        </w:rPr>
        <w:t>的</w:t>
      </w:r>
      <w:r>
        <w:rPr>
          <w:rFonts w:hint="eastAsia" w:ascii="宋体" w:hAnsi="宋体" w:cs="宋体"/>
          <w:color w:val="auto"/>
          <w:sz w:val="24"/>
          <w:highlight w:val="none"/>
          <w:u w:val="single"/>
        </w:rPr>
        <w:t>（项目名称）</w:t>
      </w:r>
      <w:r>
        <w:rPr>
          <w:rFonts w:hint="eastAsia" w:ascii="宋体" w:hAnsi="宋体" w:cs="宋体"/>
          <w:color w:val="auto"/>
          <w:sz w:val="24"/>
          <w:highlight w:val="none"/>
        </w:rPr>
        <w:t>采购活动，工程的施工单位全部为符合政策要求的中小企业。相关企业（含联合体中的中小企业、签订分包意向协议的中小企业）的具体情况如下：</w:t>
      </w:r>
    </w:p>
    <w:p w14:paraId="5B30E141">
      <w:pPr>
        <w:tabs>
          <w:tab w:val="left" w:pos="1384"/>
          <w:tab w:val="left" w:pos="4562"/>
          <w:tab w:val="left" w:pos="6803"/>
        </w:tabs>
        <w:spacing w:before="13" w:line="500" w:lineRule="exact"/>
        <w:ind w:right="142" w:firstLine="772"/>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u w:val="single"/>
        </w:rPr>
        <w:t>（标的名称）</w:t>
      </w:r>
      <w:r>
        <w:rPr>
          <w:rFonts w:hint="eastAsia" w:ascii="宋体" w:hAnsi="宋体" w:cs="宋体"/>
          <w:color w:val="auto"/>
          <w:sz w:val="24"/>
          <w:highlight w:val="none"/>
        </w:rPr>
        <w:t>，属于</w:t>
      </w:r>
      <w:r>
        <w:rPr>
          <w:rFonts w:hint="eastAsia" w:ascii="宋体" w:hAnsi="宋体" w:cs="宋体"/>
          <w:color w:val="auto"/>
          <w:sz w:val="24"/>
          <w:highlight w:val="none"/>
          <w:u w:val="single"/>
        </w:rPr>
        <w:t>（采购文件中明确的所属行业）</w:t>
      </w:r>
      <w:r>
        <w:rPr>
          <w:rFonts w:hint="eastAsia" w:ascii="宋体" w:hAnsi="宋体" w:cs="宋体"/>
          <w:color w:val="auto"/>
          <w:sz w:val="24"/>
          <w:highlight w:val="none"/>
        </w:rPr>
        <w:t>；承建企业为</w:t>
      </w:r>
      <w:r>
        <w:rPr>
          <w:rFonts w:hint="eastAsia" w:ascii="宋体" w:hAnsi="宋体" w:cs="宋体"/>
          <w:color w:val="auto"/>
          <w:sz w:val="24"/>
          <w:highlight w:val="none"/>
          <w:u w:val="single"/>
        </w:rPr>
        <w:t>（企业名称）</w:t>
      </w:r>
      <w:r>
        <w:rPr>
          <w:rFonts w:hint="eastAsia" w:ascii="宋体" w:hAnsi="宋体" w:cs="宋体"/>
          <w:color w:val="auto"/>
          <w:sz w:val="24"/>
          <w:highlight w:val="none"/>
        </w:rPr>
        <w:t>，从业人员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（中型企业、小型企业、微型企业）</w:t>
      </w:r>
      <w:r>
        <w:rPr>
          <w:rFonts w:hint="eastAsia" w:ascii="宋体" w:hAnsi="宋体" w:cs="宋体"/>
          <w:color w:val="auto"/>
          <w:sz w:val="24"/>
          <w:highlight w:val="none"/>
        </w:rPr>
        <w:t>；</w:t>
      </w:r>
    </w:p>
    <w:p w14:paraId="415E608F">
      <w:pPr>
        <w:tabs>
          <w:tab w:val="left" w:pos="1065"/>
          <w:tab w:val="left" w:pos="4262"/>
          <w:tab w:val="left" w:pos="6477"/>
        </w:tabs>
        <w:spacing w:before="20" w:line="500" w:lineRule="exact"/>
        <w:ind w:right="84" w:firstLine="772"/>
        <w:rPr>
          <w:rFonts w:hint="eastAsia" w:ascii="宋体" w:hAnsi="宋体" w:cs="宋体"/>
          <w:color w:val="auto"/>
          <w:sz w:val="24"/>
          <w:highlight w:val="none"/>
          <w:u w:val="single"/>
        </w:rPr>
      </w:pPr>
      <w:r>
        <w:rPr>
          <w:rFonts w:hint="eastAsia" w:ascii="宋体" w:hAnsi="宋体" w:cs="宋体"/>
          <w:color w:val="auto"/>
          <w:sz w:val="24"/>
          <w:highlight w:val="none"/>
        </w:rPr>
        <w:t>2.</w:t>
      </w:r>
      <w:r>
        <w:rPr>
          <w:rFonts w:hint="eastAsia" w:ascii="宋体" w:hAnsi="宋体" w:cs="宋体"/>
          <w:color w:val="auto"/>
          <w:sz w:val="24"/>
          <w:highlight w:val="none"/>
          <w:u w:val="single"/>
        </w:rPr>
        <w:t>（标的名称）</w:t>
      </w:r>
      <w:r>
        <w:rPr>
          <w:rFonts w:hint="eastAsia" w:ascii="宋体" w:hAnsi="宋体" w:cs="宋体"/>
          <w:color w:val="auto"/>
          <w:sz w:val="24"/>
          <w:highlight w:val="none"/>
        </w:rPr>
        <w:t>，属于</w:t>
      </w:r>
      <w:r>
        <w:rPr>
          <w:rFonts w:hint="eastAsia" w:ascii="宋体" w:hAnsi="宋体" w:cs="宋体"/>
          <w:color w:val="auto"/>
          <w:sz w:val="24"/>
          <w:highlight w:val="none"/>
          <w:u w:val="single"/>
        </w:rPr>
        <w:t>（采购文件中明确的所属行业）</w:t>
      </w:r>
      <w:r>
        <w:rPr>
          <w:rFonts w:hint="eastAsia" w:ascii="宋体" w:hAnsi="宋体" w:cs="宋体"/>
          <w:color w:val="auto"/>
          <w:sz w:val="24"/>
          <w:highlight w:val="none"/>
        </w:rPr>
        <w:t>；承建企业为</w:t>
      </w:r>
      <w:r>
        <w:rPr>
          <w:rFonts w:hint="eastAsia" w:ascii="宋体" w:hAnsi="宋体" w:cs="宋体"/>
          <w:color w:val="auto"/>
          <w:sz w:val="24"/>
          <w:highlight w:val="none"/>
          <w:u w:val="single"/>
        </w:rPr>
        <w:t>（企业名称）</w:t>
      </w:r>
      <w:r>
        <w:rPr>
          <w:rFonts w:hint="eastAsia" w:ascii="宋体" w:hAnsi="宋体" w:cs="宋体"/>
          <w:color w:val="auto"/>
          <w:sz w:val="24"/>
          <w:highlight w:val="none"/>
        </w:rPr>
        <w:t>，从业人员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（中型企业、小型企业、微型企业）</w:t>
      </w:r>
      <w:r>
        <w:rPr>
          <w:rFonts w:hint="eastAsia" w:ascii="宋体" w:hAnsi="宋体" w:cs="宋体"/>
          <w:color w:val="auto"/>
          <w:sz w:val="24"/>
          <w:highlight w:val="none"/>
        </w:rPr>
        <w:t>；</w:t>
      </w:r>
    </w:p>
    <w:p w14:paraId="2CAB34F3">
      <w:pPr>
        <w:pStyle w:val="217"/>
        <w:spacing w:before="34" w:line="500" w:lineRule="exact"/>
        <w:ind w:right="142" w:firstLine="705"/>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2E319484">
      <w:pPr>
        <w:pStyle w:val="217"/>
        <w:spacing w:before="34" w:line="500" w:lineRule="exact"/>
        <w:ind w:right="142" w:firstLine="705"/>
        <w:rPr>
          <w:rFonts w:hint="eastAsia" w:ascii="宋体" w:hAnsi="宋体" w:cs="宋体"/>
          <w:color w:val="auto"/>
          <w:sz w:val="24"/>
          <w:highlight w:val="none"/>
        </w:rPr>
      </w:pPr>
      <w:r>
        <w:rPr>
          <w:rFonts w:hint="eastAsia" w:ascii="宋体" w:hAnsi="宋体" w:cs="宋体"/>
          <w:color w:val="auto"/>
          <w:sz w:val="24"/>
          <w:highlight w:val="none"/>
        </w:rPr>
        <w:t>以上企业，不属于大企业的分支机构，不存在控股股东为大企业的情形，也不存在与大企业的负责人为同一人的情形。</w:t>
      </w:r>
    </w:p>
    <w:p w14:paraId="751F0FFF">
      <w:pPr>
        <w:pStyle w:val="217"/>
        <w:spacing w:before="25" w:line="500" w:lineRule="exact"/>
        <w:ind w:right="142" w:firstLine="705"/>
        <w:rPr>
          <w:rFonts w:hint="eastAsia" w:ascii="宋体" w:hAnsi="宋体" w:cs="宋体"/>
          <w:color w:val="auto"/>
          <w:sz w:val="24"/>
          <w:highlight w:val="none"/>
        </w:rPr>
      </w:pPr>
      <w:r>
        <w:rPr>
          <w:rFonts w:hint="eastAsia" w:ascii="宋体" w:hAnsi="宋体" w:cs="宋体"/>
          <w:color w:val="auto"/>
          <w:sz w:val="24"/>
          <w:highlight w:val="none"/>
        </w:rPr>
        <w:t>本企业对上述声明内容的真实性负责。如有虚假，将依法承担相应责任。</w:t>
      </w:r>
    </w:p>
    <w:p w14:paraId="17F9CB9A">
      <w:pPr>
        <w:pStyle w:val="217"/>
        <w:spacing w:before="56" w:line="500" w:lineRule="exact"/>
        <w:ind w:right="650" w:firstLine="5625"/>
        <w:rPr>
          <w:rFonts w:hint="eastAsia" w:ascii="宋体" w:hAnsi="宋体" w:cs="宋体"/>
          <w:color w:val="auto"/>
          <w:sz w:val="24"/>
          <w:highlight w:val="none"/>
        </w:rPr>
      </w:pPr>
      <w:r>
        <w:rPr>
          <w:rFonts w:hint="eastAsia" w:ascii="宋体" w:hAnsi="宋体" w:cs="宋体"/>
          <w:color w:val="auto"/>
          <w:sz w:val="24"/>
          <w:highlight w:val="none"/>
        </w:rPr>
        <w:t xml:space="preserve">企业名称（章）： </w:t>
      </w:r>
    </w:p>
    <w:p w14:paraId="62A5498D">
      <w:pPr>
        <w:pStyle w:val="217"/>
        <w:spacing w:before="56" w:line="500" w:lineRule="exact"/>
        <w:ind w:right="1808" w:firstLine="5625"/>
        <w:rPr>
          <w:rFonts w:hint="eastAsia" w:ascii="宋体" w:hAnsi="宋体" w:cs="宋体"/>
          <w:color w:val="auto"/>
          <w:sz w:val="24"/>
          <w:highlight w:val="none"/>
        </w:rPr>
      </w:pPr>
      <w:r>
        <w:rPr>
          <w:rFonts w:hint="eastAsia" w:ascii="宋体" w:hAnsi="宋体" w:cs="宋体"/>
          <w:color w:val="auto"/>
          <w:sz w:val="24"/>
          <w:highlight w:val="none"/>
        </w:rPr>
        <w:t>日 期：</w:t>
      </w:r>
    </w:p>
    <w:p w14:paraId="22FFDEAA">
      <w:pPr>
        <w:spacing w:line="520" w:lineRule="exact"/>
        <w:ind w:firstLine="420"/>
        <w:jc w:val="left"/>
        <w:rPr>
          <w:rFonts w:hint="eastAsia" w:ascii="宋体" w:hAnsi="宋体" w:cs="宋体"/>
          <w:color w:val="auto"/>
          <w:szCs w:val="21"/>
          <w:highlight w:val="none"/>
        </w:rPr>
      </w:pPr>
      <w:r>
        <w:rPr>
          <w:rFonts w:hint="eastAsia" w:ascii="宋体" w:hAnsi="宋体" w:cs="宋体"/>
          <w:color w:val="auto"/>
          <w:szCs w:val="21"/>
          <w:highlight w:val="none"/>
        </w:rPr>
        <w:t>注：1.对于联合体中由中小企业承担的部分，或者分包给中小企业的部分，供应商应当在声明函“项目名称”部分标明联合体中中小企业承担的具体内容或者中小企业的具体分包内容。</w:t>
      </w:r>
    </w:p>
    <w:p w14:paraId="468A362D">
      <w:pPr>
        <w:spacing w:line="520" w:lineRule="exact"/>
        <w:ind w:firstLine="420"/>
        <w:jc w:val="left"/>
        <w:rPr>
          <w:rFonts w:hint="eastAsia" w:ascii="宋体" w:hAnsi="宋体" w:cs="宋体"/>
          <w:color w:val="auto"/>
          <w:szCs w:val="21"/>
          <w:highlight w:val="none"/>
        </w:rPr>
      </w:pPr>
      <w:r>
        <w:rPr>
          <w:rFonts w:hint="eastAsia" w:ascii="宋体" w:hAnsi="宋体" w:cs="宋体"/>
          <w:color w:val="auto"/>
          <w:szCs w:val="21"/>
          <w:highlight w:val="none"/>
        </w:rPr>
        <w:t>2.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70AD499F">
      <w:pPr>
        <w:spacing w:line="520" w:lineRule="exact"/>
        <w:jc w:val="center"/>
        <w:rPr>
          <w:rFonts w:hint="eastAsia" w:ascii="宋体" w:hAnsi="宋体" w:cs="宋体"/>
          <w:b/>
          <w:color w:val="auto"/>
          <w:sz w:val="32"/>
          <w:szCs w:val="32"/>
          <w:highlight w:val="none"/>
        </w:rPr>
      </w:pPr>
      <w:r>
        <w:rPr>
          <w:rFonts w:hint="eastAsia" w:ascii="宋体" w:hAnsi="宋体" w:cs="宋体"/>
          <w:color w:val="auto"/>
          <w:sz w:val="24"/>
          <w:highlight w:val="none"/>
        </w:rPr>
        <w:br w:type="page" w:clear="all"/>
      </w:r>
      <w:r>
        <w:rPr>
          <w:rFonts w:hint="eastAsia" w:ascii="宋体" w:hAnsi="宋体" w:cs="宋体"/>
          <w:b/>
          <w:color w:val="auto"/>
          <w:sz w:val="32"/>
          <w:szCs w:val="32"/>
          <w:highlight w:val="none"/>
        </w:rPr>
        <w:t>残疾人福利性单位声明函</w:t>
      </w:r>
    </w:p>
    <w:p w14:paraId="1E606A5B">
      <w:pPr>
        <w:spacing w:line="360" w:lineRule="auto"/>
        <w:contextualSpacing/>
        <w:rPr>
          <w:rFonts w:hint="eastAsia" w:ascii="宋体" w:hAnsi="宋体" w:cs="宋体"/>
          <w:color w:val="auto"/>
          <w:sz w:val="32"/>
          <w:szCs w:val="32"/>
          <w:highlight w:val="none"/>
        </w:rPr>
      </w:pPr>
    </w:p>
    <w:p w14:paraId="3DD1F304">
      <w:pPr>
        <w:spacing w:line="360" w:lineRule="auto"/>
        <w:ind w:firstLine="480"/>
        <w:contextualSpacing/>
        <w:rPr>
          <w:rFonts w:hint="eastAsia" w:ascii="宋体" w:hAnsi="宋体" w:cs="宋体"/>
          <w:color w:val="auto"/>
          <w:sz w:val="24"/>
          <w:highlight w:val="none"/>
        </w:rPr>
      </w:pPr>
      <w:r>
        <w:rPr>
          <w:rFonts w:hint="eastAsia" w:ascii="宋体" w:hAnsi="宋体" w:cs="宋体"/>
          <w:color w:val="auto"/>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单位的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项目采购活动提供本单位制造的货物（由本单位承担工程/提供服务），或者提供其他残疾人福利性单位制造的货物（不包括使用非残疾人福利性单位注册商标的货物）。</w:t>
      </w:r>
    </w:p>
    <w:p w14:paraId="0AE633BE">
      <w:pPr>
        <w:spacing w:line="360" w:lineRule="auto"/>
        <w:ind w:firstLine="480"/>
        <w:contextualSpacing/>
        <w:rPr>
          <w:rFonts w:hint="eastAsia" w:ascii="宋体" w:hAnsi="宋体" w:cs="宋体"/>
          <w:color w:val="auto"/>
          <w:sz w:val="24"/>
          <w:highlight w:val="none"/>
        </w:rPr>
      </w:pPr>
      <w:r>
        <w:rPr>
          <w:rFonts w:hint="eastAsia" w:ascii="宋体" w:hAnsi="宋体" w:cs="宋体"/>
          <w:color w:val="auto"/>
          <w:sz w:val="24"/>
          <w:highlight w:val="none"/>
        </w:rPr>
        <w:t>本单位对上述声明的真实性负责。如有虚假，将依法承担相应责任。</w:t>
      </w:r>
    </w:p>
    <w:p w14:paraId="7F971436">
      <w:pPr>
        <w:spacing w:line="360" w:lineRule="auto"/>
        <w:contextualSpacing/>
        <w:rPr>
          <w:rFonts w:hint="eastAsia" w:ascii="宋体" w:hAnsi="宋体" w:cs="宋体"/>
          <w:color w:val="auto"/>
          <w:sz w:val="24"/>
          <w:highlight w:val="none"/>
        </w:rPr>
      </w:pPr>
    </w:p>
    <w:p w14:paraId="36A6B1CA">
      <w:pPr>
        <w:spacing w:line="360" w:lineRule="auto"/>
        <w:contextualSpacing/>
        <w:rPr>
          <w:rFonts w:hint="eastAsia" w:ascii="宋体" w:hAnsi="宋体" w:cs="宋体"/>
          <w:color w:val="auto"/>
          <w:sz w:val="24"/>
          <w:highlight w:val="none"/>
        </w:rPr>
      </w:pPr>
    </w:p>
    <w:p w14:paraId="3EB4AE23">
      <w:pPr>
        <w:spacing w:line="360" w:lineRule="auto"/>
        <w:contextualSpacing/>
        <w:rPr>
          <w:rFonts w:hint="eastAsia" w:ascii="宋体" w:hAnsi="宋体" w:cs="宋体"/>
          <w:color w:val="auto"/>
          <w:sz w:val="24"/>
          <w:highlight w:val="none"/>
        </w:rPr>
      </w:pPr>
    </w:p>
    <w:p w14:paraId="6A5D83F8">
      <w:pPr>
        <w:spacing w:line="360" w:lineRule="auto"/>
        <w:ind w:firstLine="2400"/>
        <w:contextualSpacing/>
        <w:rPr>
          <w:rFonts w:hint="eastAsia" w:ascii="宋体" w:hAnsi="宋体" w:cs="宋体"/>
          <w:color w:val="auto"/>
          <w:sz w:val="24"/>
          <w:highlight w:val="none"/>
        </w:rPr>
      </w:pPr>
      <w:r>
        <w:rPr>
          <w:rFonts w:hint="eastAsia" w:ascii="宋体" w:hAnsi="宋体" w:cs="宋体"/>
          <w:color w:val="auto"/>
          <w:sz w:val="24"/>
          <w:highlight w:val="none"/>
        </w:rPr>
        <w:t>单位名称（盖章）：</w:t>
      </w:r>
    </w:p>
    <w:p w14:paraId="60673AC5">
      <w:pPr>
        <w:spacing w:line="360" w:lineRule="auto"/>
        <w:ind w:firstLine="3600"/>
        <w:contextualSpacing/>
        <w:rPr>
          <w:rFonts w:hint="eastAsia" w:ascii="宋体" w:hAnsi="宋体" w:cs="宋体"/>
          <w:color w:val="auto"/>
          <w:sz w:val="24"/>
          <w:highlight w:val="none"/>
        </w:rPr>
      </w:pPr>
      <w:r>
        <w:rPr>
          <w:rFonts w:hint="eastAsia" w:ascii="宋体" w:hAnsi="宋体" w:cs="宋体"/>
          <w:color w:val="auto"/>
          <w:sz w:val="24"/>
          <w:highlight w:val="none"/>
        </w:rPr>
        <w:t>日  期：</w:t>
      </w:r>
    </w:p>
    <w:p w14:paraId="2380413F">
      <w:pPr>
        <w:spacing w:line="360" w:lineRule="auto"/>
        <w:contextualSpacing/>
        <w:rPr>
          <w:rFonts w:hint="eastAsia" w:ascii="宋体" w:hAnsi="宋体" w:cs="宋体"/>
          <w:color w:val="auto"/>
          <w:sz w:val="24"/>
          <w:highlight w:val="none"/>
        </w:rPr>
      </w:pPr>
    </w:p>
    <w:p w14:paraId="12EE5D8E">
      <w:pPr>
        <w:spacing w:line="360" w:lineRule="auto"/>
        <w:contextualSpacing/>
        <w:rPr>
          <w:rFonts w:hint="eastAsia" w:ascii="宋体" w:hAnsi="宋体" w:cs="宋体"/>
          <w:color w:val="auto"/>
          <w:sz w:val="24"/>
          <w:highlight w:val="none"/>
        </w:rPr>
      </w:pPr>
    </w:p>
    <w:p w14:paraId="3960B3D9">
      <w:pPr>
        <w:spacing w:line="360" w:lineRule="auto"/>
        <w:contextualSpacing/>
        <w:rPr>
          <w:rFonts w:hint="eastAsia" w:ascii="宋体" w:hAnsi="宋体" w:cs="宋体"/>
          <w:color w:val="auto"/>
          <w:sz w:val="24"/>
          <w:highlight w:val="none"/>
        </w:rPr>
      </w:pPr>
    </w:p>
    <w:p w14:paraId="052AE54C">
      <w:pPr>
        <w:spacing w:line="360" w:lineRule="auto"/>
        <w:ind w:firstLine="420"/>
        <w:contextualSpacing/>
        <w:rPr>
          <w:rFonts w:hint="eastAsia" w:ascii="宋体" w:hAnsi="宋体" w:cs="宋体"/>
          <w:color w:val="auto"/>
          <w:szCs w:val="21"/>
          <w:highlight w:val="none"/>
        </w:rPr>
      </w:pPr>
      <w:r>
        <w:rPr>
          <w:rFonts w:hint="eastAsia" w:ascii="宋体" w:hAnsi="宋体" w:cs="宋体"/>
          <w:color w:val="auto"/>
          <w:szCs w:val="21"/>
          <w:highlight w:val="none"/>
        </w:rPr>
        <w:t>注：请根据自己的真实情况出具《残疾人福利性单位声明函》。依法享受中小企业优惠政策的，采购人或者采购代理机构在公告成交结果时，同时公告其《残疾人福利性单位声明函》，接受社会监督。</w:t>
      </w:r>
    </w:p>
    <w:p w14:paraId="46898D1C">
      <w:pPr>
        <w:spacing w:line="360" w:lineRule="auto"/>
        <w:jc w:val="center"/>
        <w:rPr>
          <w:rFonts w:hint="eastAsia" w:ascii="宋体" w:hAnsi="宋体" w:cs="宋体"/>
          <w:b/>
          <w:bCs/>
          <w:color w:val="auto"/>
          <w:sz w:val="32"/>
          <w:szCs w:val="32"/>
          <w:highlight w:val="none"/>
        </w:rPr>
      </w:pPr>
      <w:r>
        <w:rPr>
          <w:rFonts w:hint="eastAsia" w:ascii="宋体" w:hAnsi="宋体" w:cs="宋体"/>
          <w:color w:val="auto"/>
          <w:sz w:val="24"/>
          <w:highlight w:val="none"/>
        </w:rPr>
        <w:br w:type="page" w:clear="all"/>
      </w:r>
      <w:r>
        <w:rPr>
          <w:rFonts w:hint="eastAsia" w:ascii="宋体" w:hAnsi="宋体" w:cs="宋体"/>
          <w:color w:val="auto"/>
          <w:sz w:val="44"/>
          <w:szCs w:val="44"/>
          <w:highlight w:val="none"/>
        </w:rPr>
        <w:t>质疑函（格式）</w:t>
      </w:r>
    </w:p>
    <w:p w14:paraId="5C90E3C2">
      <w:pPr>
        <w:pStyle w:val="226"/>
        <w:spacing w:line="360" w:lineRule="auto"/>
        <w:ind w:firstLine="482"/>
        <w:contextualSpacing/>
        <w:rPr>
          <w:rFonts w:hint="eastAsia" w:hAnsi="宋体" w:cs="宋体"/>
          <w:b/>
          <w:bCs/>
          <w:color w:val="auto"/>
          <w:sz w:val="24"/>
          <w:szCs w:val="24"/>
          <w:highlight w:val="none"/>
        </w:rPr>
      </w:pPr>
      <w:r>
        <w:rPr>
          <w:rFonts w:hint="eastAsia" w:hAnsi="宋体" w:cs="宋体"/>
          <w:b/>
          <w:bCs/>
          <w:color w:val="auto"/>
          <w:sz w:val="24"/>
          <w:szCs w:val="24"/>
          <w:highlight w:val="none"/>
        </w:rPr>
        <w:t>一、质疑供应商基本信息：</w:t>
      </w:r>
    </w:p>
    <w:p w14:paraId="1CE5A5DB">
      <w:pPr>
        <w:pStyle w:val="226"/>
        <w:spacing w:line="360" w:lineRule="auto"/>
        <w:ind w:firstLine="480"/>
        <w:contextualSpacing/>
        <w:rPr>
          <w:rFonts w:hint="eastAsia" w:hAnsi="宋体" w:cs="宋体"/>
          <w:bCs/>
          <w:color w:val="auto"/>
          <w:sz w:val="24"/>
          <w:szCs w:val="24"/>
          <w:highlight w:val="none"/>
          <w:u w:val="single"/>
        </w:rPr>
      </w:pPr>
      <w:r>
        <w:rPr>
          <w:rFonts w:hint="eastAsia" w:hAnsi="宋体" w:cs="宋体"/>
          <w:bCs/>
          <w:color w:val="auto"/>
          <w:sz w:val="24"/>
          <w:szCs w:val="24"/>
          <w:highlight w:val="none"/>
        </w:rPr>
        <w:t>质疑供应商：</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590D5C38">
      <w:pPr>
        <w:pStyle w:val="226"/>
        <w:spacing w:line="360" w:lineRule="auto"/>
        <w:ind w:firstLine="480"/>
        <w:contextualSpacing/>
        <w:rPr>
          <w:rFonts w:hint="eastAsia" w:hAnsi="宋体" w:cs="宋体"/>
          <w:bCs/>
          <w:color w:val="auto"/>
          <w:sz w:val="24"/>
          <w:szCs w:val="24"/>
          <w:highlight w:val="non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46CA21B1">
      <w:pPr>
        <w:pStyle w:val="226"/>
        <w:spacing w:line="360" w:lineRule="auto"/>
        <w:ind w:firstLine="480"/>
        <w:contextualSpacing/>
        <w:rPr>
          <w:rFonts w:hint="eastAsia" w:hAnsi="宋体" w:cs="宋体"/>
          <w:bCs/>
          <w:color w:val="auto"/>
          <w:sz w:val="24"/>
          <w:szCs w:val="24"/>
          <w:highlight w:val="none"/>
        </w:rPr>
      </w:pPr>
      <w:r>
        <w:rPr>
          <w:rFonts w:hint="eastAsia" w:hAnsi="宋体" w:cs="宋体"/>
          <w:bCs/>
          <w:color w:val="auto"/>
          <w:sz w:val="24"/>
          <w:szCs w:val="24"/>
          <w:highlight w:val="none"/>
        </w:rPr>
        <w:t>联系人：</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0DD5E8DF">
      <w:pPr>
        <w:pStyle w:val="226"/>
        <w:spacing w:line="360" w:lineRule="auto"/>
        <w:ind w:firstLine="480"/>
        <w:contextualSpacing/>
        <w:rPr>
          <w:rFonts w:hint="eastAsia" w:hAnsi="宋体" w:cs="宋体"/>
          <w:bCs/>
          <w:color w:val="auto"/>
          <w:sz w:val="24"/>
          <w:szCs w:val="24"/>
          <w:highlight w:val="none"/>
        </w:rPr>
      </w:pPr>
      <w:r>
        <w:rPr>
          <w:rFonts w:hint="eastAsia" w:hAnsi="宋体" w:cs="宋体"/>
          <w:bCs/>
          <w:color w:val="auto"/>
          <w:sz w:val="24"/>
          <w:szCs w:val="24"/>
          <w:highlight w:val="none"/>
        </w:rPr>
        <w:t>授权代表：</w:t>
      </w:r>
      <w:r>
        <w:rPr>
          <w:rFonts w:hint="eastAsia" w:hAnsi="宋体" w:cs="宋体"/>
          <w:bCs/>
          <w:color w:val="auto"/>
          <w:sz w:val="24"/>
          <w:szCs w:val="24"/>
          <w:highlight w:val="none"/>
          <w:u w:val="single"/>
        </w:rPr>
        <w:t xml:space="preserve">                      </w:t>
      </w:r>
    </w:p>
    <w:p w14:paraId="0BEBF9B1">
      <w:pPr>
        <w:pStyle w:val="226"/>
        <w:spacing w:line="360" w:lineRule="auto"/>
        <w:ind w:firstLine="480"/>
        <w:contextualSpacing/>
        <w:rPr>
          <w:rFonts w:hint="eastAsia" w:hAnsi="宋体" w:cs="宋体"/>
          <w:bCs/>
          <w:color w:val="auto"/>
          <w:sz w:val="24"/>
          <w:szCs w:val="24"/>
          <w:highlight w:val="none"/>
          <w:u w:val="single"/>
        </w:rPr>
      </w:pP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4A491325">
      <w:pPr>
        <w:pStyle w:val="226"/>
        <w:spacing w:line="360" w:lineRule="auto"/>
        <w:ind w:firstLine="480"/>
        <w:contextualSpacing/>
        <w:rPr>
          <w:rFonts w:hint="eastAsia" w:hAnsi="宋体" w:cs="宋体"/>
          <w:bCs/>
          <w:color w:val="auto"/>
          <w:sz w:val="24"/>
          <w:szCs w:val="24"/>
          <w:highlight w:val="non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211CED6A">
      <w:pPr>
        <w:pStyle w:val="226"/>
        <w:spacing w:line="360" w:lineRule="auto"/>
        <w:ind w:firstLine="482"/>
        <w:contextualSpacing/>
        <w:rPr>
          <w:rFonts w:hint="eastAsia" w:hAnsi="宋体" w:cs="宋体"/>
          <w:b/>
          <w:bCs/>
          <w:color w:val="auto"/>
          <w:sz w:val="24"/>
          <w:szCs w:val="24"/>
          <w:highlight w:val="none"/>
        </w:rPr>
      </w:pPr>
      <w:r>
        <w:rPr>
          <w:rFonts w:hint="eastAsia" w:hAnsi="宋体" w:cs="宋体"/>
          <w:b/>
          <w:bCs/>
          <w:color w:val="auto"/>
          <w:sz w:val="24"/>
          <w:szCs w:val="24"/>
          <w:highlight w:val="none"/>
        </w:rPr>
        <w:t>二、质疑项目基本情况：</w:t>
      </w:r>
    </w:p>
    <w:p w14:paraId="0C579AE2">
      <w:pPr>
        <w:pStyle w:val="226"/>
        <w:spacing w:line="360" w:lineRule="auto"/>
        <w:ind w:left="25" w:firstLine="472"/>
        <w:contextualSpacing/>
        <w:rPr>
          <w:rFonts w:hint="eastAsia" w:hAnsi="宋体" w:cs="宋体"/>
          <w:color w:val="auto"/>
          <w:sz w:val="24"/>
          <w:szCs w:val="24"/>
          <w:highlight w:val="none"/>
        </w:rPr>
      </w:pPr>
      <w:r>
        <w:rPr>
          <w:rFonts w:hint="eastAsia" w:hAnsi="宋体" w:cs="宋体"/>
          <w:bCs/>
          <w:color w:val="auto"/>
          <w:sz w:val="24"/>
          <w:szCs w:val="24"/>
          <w:highlight w:val="none"/>
        </w:rPr>
        <w:t>质疑</w:t>
      </w:r>
      <w:r>
        <w:rPr>
          <w:rFonts w:hint="eastAsia" w:hAnsi="宋体" w:cs="宋体"/>
          <w:color w:val="auto"/>
          <w:sz w:val="24"/>
          <w:szCs w:val="24"/>
          <w:highlight w:val="none"/>
        </w:rPr>
        <w:t>项目的名称：</w:t>
      </w:r>
      <w:r>
        <w:rPr>
          <w:rFonts w:hint="eastAsia" w:hAnsi="宋体" w:cs="宋体"/>
          <w:bCs/>
          <w:color w:val="auto"/>
          <w:sz w:val="24"/>
          <w:szCs w:val="24"/>
          <w:highlight w:val="none"/>
          <w:u w:val="single"/>
        </w:rPr>
        <w:t xml:space="preserve">                                     </w:t>
      </w:r>
    </w:p>
    <w:p w14:paraId="306254D7">
      <w:pPr>
        <w:pStyle w:val="226"/>
        <w:spacing w:line="360" w:lineRule="auto"/>
        <w:ind w:left="25" w:firstLine="472"/>
        <w:contextualSpacing/>
        <w:rPr>
          <w:rFonts w:hint="eastAsia" w:hAnsi="宋体" w:cs="宋体"/>
          <w:color w:val="auto"/>
          <w:sz w:val="24"/>
          <w:szCs w:val="24"/>
          <w:highlight w:val="none"/>
        </w:rPr>
      </w:pPr>
      <w:r>
        <w:rPr>
          <w:rFonts w:hint="eastAsia" w:hAnsi="宋体" w:cs="宋体"/>
          <w:bCs/>
          <w:color w:val="auto"/>
          <w:sz w:val="24"/>
          <w:szCs w:val="24"/>
          <w:highlight w:val="none"/>
        </w:rPr>
        <w:t>质疑</w:t>
      </w:r>
      <w:r>
        <w:rPr>
          <w:rFonts w:hint="eastAsia" w:hAnsi="宋体" w:cs="宋体"/>
          <w:color w:val="auto"/>
          <w:sz w:val="24"/>
          <w:szCs w:val="24"/>
          <w:highlight w:val="none"/>
        </w:rPr>
        <w:t>项目的编号：</w:t>
      </w:r>
      <w:r>
        <w:rPr>
          <w:rFonts w:hint="eastAsia" w:hAnsi="宋体" w:cs="宋体"/>
          <w:bCs/>
          <w:color w:val="auto"/>
          <w:sz w:val="24"/>
          <w:szCs w:val="24"/>
          <w:highlight w:val="none"/>
          <w:u w:val="single"/>
        </w:rPr>
        <w:t xml:space="preserve">                                     </w:t>
      </w:r>
    </w:p>
    <w:p w14:paraId="3EEBE927">
      <w:pPr>
        <w:pStyle w:val="226"/>
        <w:spacing w:line="360" w:lineRule="auto"/>
        <w:ind w:left="25" w:firstLine="472"/>
        <w:contextualSpacing/>
        <w:rPr>
          <w:rFonts w:hint="eastAsia" w:hAnsi="宋体" w:cs="宋体"/>
          <w:color w:val="auto"/>
          <w:sz w:val="24"/>
          <w:szCs w:val="24"/>
          <w:highlight w:val="none"/>
        </w:rPr>
      </w:pPr>
      <w:r>
        <w:rPr>
          <w:rFonts w:hint="eastAsia" w:hAnsi="宋体" w:cs="宋体"/>
          <w:color w:val="auto"/>
          <w:sz w:val="24"/>
          <w:szCs w:val="24"/>
          <w:highlight w:val="none"/>
        </w:rPr>
        <w:t>采购人名称：</w:t>
      </w:r>
      <w:r>
        <w:rPr>
          <w:rFonts w:hint="eastAsia" w:hAnsi="宋体" w:cs="宋体"/>
          <w:bCs/>
          <w:color w:val="auto"/>
          <w:sz w:val="24"/>
          <w:szCs w:val="24"/>
          <w:highlight w:val="none"/>
          <w:u w:val="single"/>
        </w:rPr>
        <w:t xml:space="preserve">                                         </w:t>
      </w:r>
    </w:p>
    <w:p w14:paraId="332D9048">
      <w:pPr>
        <w:pStyle w:val="226"/>
        <w:spacing w:line="360" w:lineRule="auto"/>
        <w:ind w:left="25" w:firstLine="472"/>
        <w:contextualSpacing/>
        <w:rPr>
          <w:rFonts w:hint="eastAsia" w:hAnsi="宋体" w:cs="宋体"/>
          <w:color w:val="auto"/>
          <w:sz w:val="24"/>
          <w:szCs w:val="24"/>
          <w:highlight w:val="none"/>
        </w:rPr>
      </w:pPr>
      <w:r>
        <w:rPr>
          <w:rFonts w:hint="eastAsia" w:hAnsi="宋体" w:cs="宋体"/>
          <w:color w:val="auto"/>
          <w:sz w:val="24"/>
          <w:szCs w:val="24"/>
          <w:highlight w:val="none"/>
        </w:rPr>
        <w:t>质疑事项：</w:t>
      </w:r>
    </w:p>
    <w:p w14:paraId="66AE3D64">
      <w:pPr>
        <w:pStyle w:val="226"/>
        <w:spacing w:line="360" w:lineRule="auto"/>
        <w:ind w:left="25" w:firstLine="352"/>
        <w:contextualSpacing/>
        <w:rPr>
          <w:rFonts w:hint="eastAsia" w:hAnsi="宋体" w:cs="宋体"/>
          <w:color w:val="auto"/>
          <w:sz w:val="24"/>
          <w:szCs w:val="24"/>
          <w:highlight w:val="none"/>
        </w:rPr>
      </w:pPr>
      <w:r>
        <w:rPr>
          <w:rFonts w:hint="eastAsia" w:hAnsi="宋体" w:cs="宋体"/>
          <w:color w:val="auto"/>
          <w:sz w:val="24"/>
          <w:szCs w:val="24"/>
          <w:highlight w:val="none"/>
        </w:rPr>
        <w:t>□采购文件   采购文件获取日期：</w:t>
      </w:r>
      <w:r>
        <w:rPr>
          <w:rFonts w:hint="eastAsia" w:hAnsi="宋体" w:cs="宋体"/>
          <w:bCs/>
          <w:color w:val="auto"/>
          <w:sz w:val="24"/>
          <w:szCs w:val="24"/>
          <w:highlight w:val="none"/>
          <w:u w:val="single"/>
        </w:rPr>
        <w:t xml:space="preserve">                                   </w:t>
      </w:r>
    </w:p>
    <w:p w14:paraId="6EAA4470">
      <w:pPr>
        <w:pStyle w:val="226"/>
        <w:spacing w:line="360" w:lineRule="auto"/>
        <w:ind w:left="25" w:firstLine="352"/>
        <w:contextualSpacing/>
        <w:rPr>
          <w:rFonts w:hint="eastAsia" w:hAnsi="宋体" w:cs="宋体"/>
          <w:color w:val="auto"/>
          <w:sz w:val="24"/>
          <w:szCs w:val="24"/>
          <w:highlight w:val="none"/>
        </w:rPr>
      </w:pPr>
      <w:r>
        <w:rPr>
          <w:rFonts w:hint="eastAsia" w:hAnsi="宋体" w:cs="宋体"/>
          <w:color w:val="auto"/>
          <w:sz w:val="24"/>
          <w:szCs w:val="24"/>
          <w:highlight w:val="none"/>
        </w:rPr>
        <w:t xml:space="preserve">□采购过程   </w:t>
      </w:r>
    </w:p>
    <w:p w14:paraId="395D81E1">
      <w:pPr>
        <w:pStyle w:val="226"/>
        <w:spacing w:line="360" w:lineRule="auto"/>
        <w:ind w:left="25" w:firstLine="352"/>
        <w:contextualSpacing/>
        <w:rPr>
          <w:rFonts w:hint="eastAsia" w:hAnsi="宋体" w:cs="宋体"/>
          <w:bCs/>
          <w:color w:val="auto"/>
          <w:sz w:val="24"/>
          <w:szCs w:val="24"/>
          <w:highlight w:val="none"/>
          <w:u w:val="single"/>
        </w:rPr>
      </w:pPr>
      <w:r>
        <w:rPr>
          <w:rFonts w:hint="eastAsia" w:hAnsi="宋体" w:cs="宋体"/>
          <w:color w:val="auto"/>
          <w:sz w:val="24"/>
          <w:szCs w:val="24"/>
          <w:highlight w:val="none"/>
        </w:rPr>
        <w:t xml:space="preserve">□成交结果   </w:t>
      </w:r>
    </w:p>
    <w:p w14:paraId="1641D6B1">
      <w:pPr>
        <w:pStyle w:val="226"/>
        <w:spacing w:line="360" w:lineRule="auto"/>
        <w:ind w:left="25" w:firstLine="472"/>
        <w:contextualSpacing/>
        <w:rPr>
          <w:rFonts w:hint="eastAsia" w:hAnsi="宋体" w:cs="宋体"/>
          <w:b/>
          <w:color w:val="auto"/>
          <w:sz w:val="24"/>
          <w:szCs w:val="24"/>
          <w:highlight w:val="none"/>
        </w:rPr>
      </w:pPr>
      <w:r>
        <w:rPr>
          <w:rFonts w:hint="eastAsia" w:hAnsi="宋体" w:cs="宋体"/>
          <w:b/>
          <w:color w:val="auto"/>
          <w:sz w:val="24"/>
          <w:szCs w:val="24"/>
          <w:highlight w:val="none"/>
        </w:rPr>
        <w:t>三、质疑事项具体内容</w:t>
      </w:r>
    </w:p>
    <w:p w14:paraId="5CD635CA">
      <w:pPr>
        <w:pStyle w:val="226"/>
        <w:spacing w:line="360" w:lineRule="auto"/>
        <w:ind w:left="25" w:firstLine="472"/>
        <w:contextualSpacing/>
        <w:rPr>
          <w:rFonts w:hint="eastAsia" w:hAnsi="宋体" w:cs="宋体"/>
          <w:color w:val="auto"/>
          <w:sz w:val="24"/>
          <w:szCs w:val="24"/>
          <w:highlight w:val="none"/>
        </w:rPr>
      </w:pPr>
      <w:r>
        <w:rPr>
          <w:rFonts w:hint="eastAsia" w:hAnsi="宋体" w:cs="宋体"/>
          <w:color w:val="auto"/>
          <w:sz w:val="24"/>
          <w:szCs w:val="24"/>
          <w:highlight w:val="none"/>
        </w:rPr>
        <w:t>质疑事项1：</w:t>
      </w:r>
      <w:r>
        <w:rPr>
          <w:rFonts w:hint="eastAsia" w:hAnsi="宋体" w:cs="宋体"/>
          <w:bCs/>
          <w:color w:val="auto"/>
          <w:sz w:val="24"/>
          <w:szCs w:val="24"/>
          <w:highlight w:val="none"/>
          <w:u w:val="single"/>
        </w:rPr>
        <w:t xml:space="preserve">                                                                    </w:t>
      </w:r>
    </w:p>
    <w:p w14:paraId="046EB77D">
      <w:pPr>
        <w:pStyle w:val="226"/>
        <w:spacing w:line="360" w:lineRule="auto"/>
        <w:ind w:left="25" w:firstLine="472"/>
        <w:contextualSpacing/>
        <w:rPr>
          <w:rFonts w:hint="eastAsia" w:hAnsi="宋体" w:cs="宋体"/>
          <w:color w:val="auto"/>
          <w:sz w:val="24"/>
          <w:szCs w:val="24"/>
          <w:highlight w:val="none"/>
        </w:rPr>
      </w:pPr>
      <w:r>
        <w:rPr>
          <w:rFonts w:hint="eastAsia" w:hAnsi="宋体" w:cs="宋体"/>
          <w:color w:val="auto"/>
          <w:sz w:val="24"/>
          <w:szCs w:val="24"/>
          <w:highlight w:val="none"/>
        </w:rPr>
        <w:t>事实依据：</w:t>
      </w:r>
      <w:r>
        <w:rPr>
          <w:rFonts w:hint="eastAsia" w:hAnsi="宋体" w:cs="宋体"/>
          <w:bCs/>
          <w:color w:val="auto"/>
          <w:sz w:val="24"/>
          <w:szCs w:val="24"/>
          <w:highlight w:val="none"/>
          <w:u w:val="single"/>
        </w:rPr>
        <w:t xml:space="preserve">                                                                      </w:t>
      </w:r>
    </w:p>
    <w:p w14:paraId="61476077">
      <w:pPr>
        <w:pStyle w:val="226"/>
        <w:spacing w:line="360" w:lineRule="auto"/>
        <w:ind w:left="25" w:firstLine="472"/>
        <w:contextualSpacing/>
        <w:rPr>
          <w:rFonts w:hint="eastAsia" w:hAnsi="宋体" w:cs="宋体"/>
          <w:color w:val="auto"/>
          <w:sz w:val="24"/>
          <w:szCs w:val="24"/>
          <w:highlight w:val="none"/>
        </w:rPr>
      </w:pPr>
      <w:r>
        <w:rPr>
          <w:rFonts w:hint="eastAsia" w:hAnsi="宋体" w:cs="宋体"/>
          <w:color w:val="auto"/>
          <w:sz w:val="24"/>
          <w:szCs w:val="24"/>
          <w:highlight w:val="none"/>
        </w:rPr>
        <w:t>法律依据：</w:t>
      </w:r>
      <w:r>
        <w:rPr>
          <w:rFonts w:hint="eastAsia" w:hAnsi="宋体" w:cs="宋体"/>
          <w:color w:val="auto"/>
          <w:sz w:val="24"/>
          <w:szCs w:val="24"/>
          <w:highlight w:val="none"/>
          <w:u w:val="single"/>
        </w:rPr>
        <w:t xml:space="preserve">                                                        </w:t>
      </w:r>
      <w:r>
        <w:rPr>
          <w:rFonts w:hint="eastAsia" w:hAnsi="宋体" w:cs="宋体"/>
          <w:bCs/>
          <w:color w:val="auto"/>
          <w:sz w:val="24"/>
          <w:szCs w:val="24"/>
          <w:highlight w:val="none"/>
          <w:u w:val="single"/>
        </w:rPr>
        <w:t xml:space="preserve">               </w:t>
      </w:r>
    </w:p>
    <w:p w14:paraId="15688034">
      <w:pPr>
        <w:pStyle w:val="226"/>
        <w:spacing w:line="360" w:lineRule="auto"/>
        <w:ind w:left="25" w:firstLine="472"/>
        <w:contextualSpacing/>
        <w:rPr>
          <w:rFonts w:hint="eastAsia" w:hAnsi="宋体" w:cs="宋体"/>
          <w:color w:val="auto"/>
          <w:sz w:val="24"/>
          <w:szCs w:val="24"/>
          <w:highlight w:val="none"/>
        </w:rPr>
      </w:pPr>
      <w:r>
        <w:rPr>
          <w:rFonts w:hint="eastAsia" w:hAnsi="宋体" w:cs="宋体"/>
          <w:color w:val="auto"/>
          <w:sz w:val="24"/>
          <w:szCs w:val="24"/>
          <w:highlight w:val="none"/>
        </w:rPr>
        <w:t>质疑事项2</w:t>
      </w:r>
    </w:p>
    <w:p w14:paraId="50249248">
      <w:pPr>
        <w:pStyle w:val="226"/>
        <w:spacing w:line="360" w:lineRule="auto"/>
        <w:ind w:left="25" w:firstLine="472"/>
        <w:contextualSpacing/>
        <w:rPr>
          <w:rFonts w:hint="eastAsia" w:hAnsi="宋体" w:cs="宋体"/>
          <w:color w:val="auto"/>
          <w:sz w:val="24"/>
          <w:szCs w:val="24"/>
          <w:highlight w:val="none"/>
        </w:rPr>
      </w:pPr>
      <w:r>
        <w:rPr>
          <w:rFonts w:hint="eastAsia" w:hAnsi="宋体" w:cs="宋体"/>
          <w:color w:val="auto"/>
          <w:sz w:val="24"/>
          <w:szCs w:val="24"/>
          <w:highlight w:val="none"/>
        </w:rPr>
        <w:t>……</w:t>
      </w:r>
    </w:p>
    <w:p w14:paraId="44086EC7">
      <w:pPr>
        <w:pStyle w:val="226"/>
        <w:spacing w:line="360" w:lineRule="auto"/>
        <w:ind w:left="25" w:firstLine="472"/>
        <w:contextualSpacing/>
        <w:rPr>
          <w:rFonts w:hint="eastAsia" w:hAnsi="宋体" w:cs="宋体"/>
          <w:color w:val="auto"/>
          <w:sz w:val="24"/>
          <w:szCs w:val="24"/>
          <w:highlight w:val="none"/>
        </w:rPr>
      </w:pPr>
      <w:r>
        <w:rPr>
          <w:rFonts w:hint="eastAsia" w:hAnsi="宋体" w:cs="宋体"/>
          <w:color w:val="auto"/>
          <w:sz w:val="24"/>
          <w:szCs w:val="24"/>
          <w:highlight w:val="none"/>
        </w:rPr>
        <w:t>四、与质疑事项相关的质疑请求：</w:t>
      </w:r>
    </w:p>
    <w:p w14:paraId="33EA2869">
      <w:pPr>
        <w:pStyle w:val="226"/>
        <w:spacing w:line="360" w:lineRule="auto"/>
        <w:ind w:left="25" w:firstLine="472"/>
        <w:contextualSpacing/>
        <w:rPr>
          <w:rFonts w:hint="eastAsia" w:hAnsi="宋体" w:cs="宋体"/>
          <w:color w:val="auto"/>
          <w:sz w:val="24"/>
          <w:szCs w:val="24"/>
          <w:highlight w:val="none"/>
        </w:rPr>
      </w:pPr>
      <w:r>
        <w:rPr>
          <w:rFonts w:hint="eastAsia" w:hAnsi="宋体" w:cs="宋体"/>
          <w:color w:val="auto"/>
          <w:sz w:val="24"/>
          <w:szCs w:val="24"/>
          <w:highlight w:val="none"/>
        </w:rPr>
        <w:t>请求：</w:t>
      </w:r>
      <w:r>
        <w:rPr>
          <w:rFonts w:hint="eastAsia" w:hAnsi="宋体" w:cs="宋体"/>
          <w:bCs/>
          <w:color w:val="auto"/>
          <w:sz w:val="24"/>
          <w:szCs w:val="24"/>
          <w:highlight w:val="none"/>
          <w:u w:val="single"/>
        </w:rPr>
        <w:t xml:space="preserve">                                                                </w:t>
      </w:r>
    </w:p>
    <w:p w14:paraId="7872B126">
      <w:pPr>
        <w:pStyle w:val="226"/>
        <w:spacing w:line="360" w:lineRule="auto"/>
        <w:ind w:left="25" w:firstLine="352"/>
        <w:contextualSpacing/>
        <w:rPr>
          <w:rFonts w:hint="eastAsia" w:hAnsi="宋体" w:cs="宋体"/>
          <w:color w:val="auto"/>
          <w:sz w:val="24"/>
          <w:szCs w:val="24"/>
          <w:highlight w:val="none"/>
        </w:rPr>
      </w:pPr>
    </w:p>
    <w:p w14:paraId="6F3735FB">
      <w:pPr>
        <w:pStyle w:val="226"/>
        <w:spacing w:line="360" w:lineRule="auto"/>
        <w:ind w:left="25" w:firstLine="472"/>
        <w:contextualSpacing/>
        <w:rPr>
          <w:rFonts w:hint="eastAsia" w:hAnsi="宋体" w:cs="宋体"/>
          <w:color w:val="auto"/>
          <w:sz w:val="24"/>
          <w:szCs w:val="24"/>
          <w:highlight w:val="none"/>
        </w:rPr>
      </w:pPr>
      <w:r>
        <w:rPr>
          <w:rFonts w:hint="eastAsia" w:hAnsi="宋体" w:cs="宋体"/>
          <w:color w:val="auto"/>
          <w:sz w:val="24"/>
          <w:szCs w:val="24"/>
          <w:highlight w:val="none"/>
        </w:rPr>
        <w:t>签字（签章）：                                       公章：</w:t>
      </w:r>
    </w:p>
    <w:p w14:paraId="09167819">
      <w:pPr>
        <w:pStyle w:val="226"/>
        <w:spacing w:line="360" w:lineRule="auto"/>
        <w:ind w:firstLine="480"/>
        <w:contextualSpacing/>
        <w:rPr>
          <w:rFonts w:hint="eastAsia" w:hAnsi="宋体" w:cs="宋体"/>
          <w:b/>
          <w:color w:val="auto"/>
          <w:sz w:val="24"/>
          <w:szCs w:val="24"/>
          <w:highlight w:val="none"/>
        </w:rPr>
      </w:pPr>
      <w:r>
        <w:rPr>
          <w:rFonts w:hint="eastAsia" w:hAnsi="宋体" w:cs="宋体"/>
          <w:color w:val="auto"/>
          <w:sz w:val="24"/>
          <w:szCs w:val="24"/>
          <w:highlight w:val="none"/>
        </w:rPr>
        <w:t>日期：</w:t>
      </w:r>
    </w:p>
    <w:p w14:paraId="7EFDD1FA">
      <w:pPr>
        <w:pStyle w:val="226"/>
        <w:spacing w:line="360" w:lineRule="auto"/>
        <w:contextualSpacing/>
        <w:rPr>
          <w:rFonts w:hint="eastAsia" w:hAnsi="宋体" w:cs="宋体"/>
          <w:b/>
          <w:color w:val="auto"/>
          <w:sz w:val="24"/>
          <w:szCs w:val="24"/>
          <w:highlight w:val="none"/>
        </w:rPr>
      </w:pPr>
      <w:r>
        <w:rPr>
          <w:rFonts w:hint="eastAsia" w:hAnsi="宋体" w:cs="宋体"/>
          <w:b/>
          <w:color w:val="auto"/>
          <w:sz w:val="24"/>
          <w:szCs w:val="24"/>
          <w:highlight w:val="none"/>
        </w:rPr>
        <w:t>说明：</w:t>
      </w:r>
    </w:p>
    <w:p w14:paraId="7385040B">
      <w:pPr>
        <w:pStyle w:val="226"/>
        <w:spacing w:line="360" w:lineRule="auto"/>
        <w:ind w:left="25" w:firstLine="354"/>
        <w:contextualSpacing/>
        <w:rPr>
          <w:rFonts w:hint="eastAsia" w:hAnsi="宋体" w:cs="宋体"/>
          <w:b/>
          <w:bCs/>
          <w:color w:val="auto"/>
          <w:sz w:val="24"/>
          <w:szCs w:val="24"/>
          <w:highlight w:val="none"/>
        </w:rPr>
      </w:pPr>
      <w:r>
        <w:rPr>
          <w:rFonts w:hint="eastAsia" w:hAnsi="宋体" w:cs="宋体"/>
          <w:b/>
          <w:color w:val="auto"/>
          <w:sz w:val="24"/>
          <w:szCs w:val="24"/>
          <w:highlight w:val="none"/>
        </w:rPr>
        <w:t>1.供应商提出质疑时，应提交质疑函和必要的证明材料</w:t>
      </w:r>
      <w:r>
        <w:rPr>
          <w:rFonts w:hint="eastAsia" w:hAnsi="宋体" w:cs="宋体"/>
          <w:b/>
          <w:bCs/>
          <w:color w:val="auto"/>
          <w:sz w:val="24"/>
          <w:szCs w:val="24"/>
          <w:highlight w:val="none"/>
        </w:rPr>
        <w:t>。</w:t>
      </w:r>
    </w:p>
    <w:p w14:paraId="499C4BB3">
      <w:pPr>
        <w:pStyle w:val="226"/>
        <w:spacing w:line="360" w:lineRule="auto"/>
        <w:ind w:left="25" w:firstLine="354"/>
        <w:contextualSpacing/>
        <w:rPr>
          <w:rFonts w:hint="eastAsia" w:hAnsi="宋体" w:cs="宋体"/>
          <w:b/>
          <w:color w:val="auto"/>
          <w:sz w:val="24"/>
          <w:szCs w:val="24"/>
          <w:highlight w:val="none"/>
        </w:rPr>
      </w:pPr>
      <w:r>
        <w:rPr>
          <w:rFonts w:hint="eastAsia" w:hAnsi="宋体" w:cs="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11A457B">
      <w:pPr>
        <w:pStyle w:val="226"/>
        <w:spacing w:line="360" w:lineRule="auto"/>
        <w:ind w:left="25" w:firstLine="354"/>
        <w:contextualSpacing/>
        <w:rPr>
          <w:rFonts w:hint="eastAsia" w:hAnsi="宋体" w:cs="宋体"/>
          <w:b/>
          <w:color w:val="auto"/>
          <w:sz w:val="24"/>
          <w:szCs w:val="24"/>
          <w:highlight w:val="none"/>
        </w:rPr>
      </w:pPr>
      <w:r>
        <w:rPr>
          <w:rFonts w:hint="eastAsia" w:hAnsi="宋体" w:cs="宋体"/>
          <w:b/>
          <w:color w:val="auto"/>
          <w:sz w:val="24"/>
          <w:szCs w:val="24"/>
          <w:highlight w:val="none"/>
        </w:rPr>
        <w:t>3.质疑函的质疑事项应具体、明确，并有必要的事实依据和法律依据。</w:t>
      </w:r>
    </w:p>
    <w:p w14:paraId="41C9C145">
      <w:pPr>
        <w:pStyle w:val="226"/>
        <w:spacing w:line="360" w:lineRule="auto"/>
        <w:ind w:left="25" w:firstLine="354"/>
        <w:contextualSpacing/>
        <w:rPr>
          <w:rFonts w:hint="eastAsia" w:hAnsi="宋体" w:cs="宋体"/>
          <w:b/>
          <w:color w:val="auto"/>
          <w:sz w:val="24"/>
          <w:szCs w:val="24"/>
          <w:highlight w:val="none"/>
        </w:rPr>
      </w:pPr>
      <w:r>
        <w:rPr>
          <w:rFonts w:hint="eastAsia" w:hAnsi="宋体" w:cs="宋体"/>
          <w:b/>
          <w:color w:val="auto"/>
          <w:sz w:val="24"/>
          <w:szCs w:val="24"/>
          <w:highlight w:val="none"/>
        </w:rPr>
        <w:t>4.质疑函的质疑请求应与质疑事项相关。</w:t>
      </w:r>
    </w:p>
    <w:p w14:paraId="310011B6">
      <w:pPr>
        <w:pStyle w:val="226"/>
        <w:spacing w:line="360" w:lineRule="auto"/>
        <w:ind w:left="25" w:firstLine="354"/>
        <w:contextualSpacing/>
        <w:rPr>
          <w:rFonts w:hint="eastAsia" w:hAnsi="宋体" w:cs="宋体"/>
          <w:b/>
          <w:color w:val="auto"/>
          <w:highlight w:val="none"/>
        </w:rPr>
      </w:pPr>
      <w:r>
        <w:rPr>
          <w:rFonts w:hint="eastAsia" w:hAnsi="宋体" w:cs="宋体"/>
          <w:b/>
          <w:color w:val="auto"/>
          <w:sz w:val="24"/>
          <w:szCs w:val="24"/>
          <w:highlight w:val="none"/>
        </w:rPr>
        <w:t>5.质疑供应商为法人或者其他组织的，质疑函应由法定代表人、主要负责人，或者其授权代表签字或者盖章，并加盖公章。</w:t>
      </w:r>
    </w:p>
    <w:p w14:paraId="72857CFB">
      <w:pPr>
        <w:pStyle w:val="226"/>
        <w:rPr>
          <w:rFonts w:hint="eastAsia" w:hAnsi="宋体" w:cs="宋体"/>
          <w:b/>
          <w:color w:val="auto"/>
          <w:sz w:val="24"/>
          <w:szCs w:val="24"/>
          <w:highlight w:val="none"/>
        </w:rPr>
      </w:pPr>
    </w:p>
    <w:p w14:paraId="1EB22428">
      <w:pPr>
        <w:rPr>
          <w:rFonts w:hint="eastAsia" w:ascii="宋体" w:hAnsi="宋体" w:cs="宋体"/>
          <w:color w:val="auto"/>
          <w:sz w:val="32"/>
          <w:szCs w:val="40"/>
          <w:highlight w:val="none"/>
        </w:rPr>
      </w:pPr>
    </w:p>
    <w:p w14:paraId="53B3AD13">
      <w:pPr>
        <w:rPr>
          <w:rFonts w:hint="eastAsia" w:ascii="宋体" w:hAnsi="宋体" w:cs="宋体"/>
          <w:color w:val="auto"/>
          <w:sz w:val="32"/>
          <w:szCs w:val="40"/>
          <w:highlight w:val="none"/>
        </w:rPr>
      </w:pPr>
    </w:p>
    <w:p w14:paraId="493610F1">
      <w:pPr>
        <w:rPr>
          <w:rFonts w:hint="eastAsia" w:ascii="宋体" w:hAnsi="宋体" w:cs="宋体"/>
          <w:color w:val="auto"/>
          <w:sz w:val="32"/>
          <w:szCs w:val="40"/>
          <w:highlight w:val="none"/>
        </w:rPr>
      </w:pPr>
    </w:p>
    <w:p w14:paraId="628814CA">
      <w:pPr>
        <w:rPr>
          <w:rFonts w:hint="eastAsia" w:ascii="宋体" w:hAnsi="宋体" w:cs="宋体"/>
          <w:color w:val="auto"/>
          <w:sz w:val="32"/>
          <w:szCs w:val="40"/>
          <w:highlight w:val="none"/>
        </w:rPr>
      </w:pPr>
    </w:p>
    <w:p w14:paraId="4CE819BE">
      <w:pPr>
        <w:rPr>
          <w:rFonts w:hint="eastAsia" w:ascii="宋体" w:hAnsi="宋体" w:cs="宋体"/>
          <w:color w:val="auto"/>
          <w:sz w:val="32"/>
          <w:szCs w:val="40"/>
          <w:highlight w:val="none"/>
        </w:rPr>
      </w:pPr>
    </w:p>
    <w:p w14:paraId="7EE231FF">
      <w:pPr>
        <w:rPr>
          <w:rFonts w:hint="eastAsia" w:ascii="宋体" w:hAnsi="宋体" w:cs="宋体"/>
          <w:color w:val="auto"/>
          <w:sz w:val="32"/>
          <w:szCs w:val="40"/>
          <w:highlight w:val="none"/>
        </w:rPr>
      </w:pPr>
    </w:p>
    <w:p w14:paraId="7E7D7DD4">
      <w:pPr>
        <w:rPr>
          <w:rFonts w:hint="eastAsia" w:ascii="宋体" w:hAnsi="宋体" w:cs="宋体"/>
          <w:color w:val="auto"/>
          <w:sz w:val="32"/>
          <w:szCs w:val="40"/>
          <w:highlight w:val="none"/>
        </w:rPr>
      </w:pPr>
    </w:p>
    <w:p w14:paraId="1143B899">
      <w:pPr>
        <w:rPr>
          <w:rFonts w:hint="eastAsia" w:ascii="宋体" w:hAnsi="宋体" w:cs="宋体"/>
          <w:color w:val="auto"/>
          <w:sz w:val="32"/>
          <w:szCs w:val="40"/>
          <w:highlight w:val="none"/>
        </w:rPr>
      </w:pPr>
    </w:p>
    <w:p w14:paraId="14421F37">
      <w:pPr>
        <w:rPr>
          <w:rFonts w:hint="eastAsia" w:ascii="宋体" w:hAnsi="宋体" w:cs="宋体"/>
          <w:color w:val="auto"/>
          <w:sz w:val="32"/>
          <w:szCs w:val="40"/>
          <w:highlight w:val="none"/>
        </w:rPr>
      </w:pPr>
    </w:p>
    <w:p w14:paraId="12FE2CC5">
      <w:pPr>
        <w:rPr>
          <w:rFonts w:hint="eastAsia" w:ascii="宋体" w:hAnsi="宋体" w:cs="宋体"/>
          <w:color w:val="auto"/>
          <w:sz w:val="32"/>
          <w:szCs w:val="40"/>
          <w:highlight w:val="none"/>
        </w:rPr>
      </w:pPr>
    </w:p>
    <w:p w14:paraId="29CD3360">
      <w:pPr>
        <w:rPr>
          <w:rFonts w:hint="eastAsia" w:ascii="宋体" w:hAnsi="宋体" w:cs="宋体"/>
          <w:color w:val="auto"/>
          <w:sz w:val="32"/>
          <w:szCs w:val="40"/>
          <w:highlight w:val="none"/>
        </w:rPr>
      </w:pPr>
    </w:p>
    <w:p w14:paraId="3C87DD72">
      <w:pPr>
        <w:rPr>
          <w:rFonts w:hint="eastAsia" w:ascii="宋体" w:hAnsi="宋体" w:cs="宋体"/>
          <w:color w:val="auto"/>
          <w:sz w:val="32"/>
          <w:szCs w:val="40"/>
          <w:highlight w:val="none"/>
        </w:rPr>
      </w:pPr>
    </w:p>
    <w:p w14:paraId="76193EF8">
      <w:pPr>
        <w:rPr>
          <w:rFonts w:hint="eastAsia" w:ascii="宋体" w:hAnsi="宋体" w:cs="宋体"/>
          <w:color w:val="auto"/>
          <w:sz w:val="32"/>
          <w:szCs w:val="40"/>
          <w:highlight w:val="none"/>
        </w:rPr>
      </w:pPr>
    </w:p>
    <w:p w14:paraId="56AFE235">
      <w:pPr>
        <w:rPr>
          <w:rFonts w:hint="eastAsia" w:ascii="宋体" w:hAnsi="宋体" w:cs="宋体"/>
          <w:color w:val="auto"/>
          <w:sz w:val="32"/>
          <w:szCs w:val="40"/>
          <w:highlight w:val="none"/>
        </w:rPr>
      </w:pPr>
    </w:p>
    <w:p w14:paraId="7D220033">
      <w:pPr>
        <w:spacing w:line="360" w:lineRule="auto"/>
        <w:jc w:val="center"/>
        <w:rPr>
          <w:rFonts w:hint="eastAsia" w:ascii="宋体" w:hAnsi="宋体" w:cs="宋体"/>
          <w:color w:val="auto"/>
          <w:sz w:val="44"/>
          <w:szCs w:val="44"/>
          <w:highlight w:val="none"/>
        </w:rPr>
      </w:pPr>
      <w:r>
        <w:rPr>
          <w:rFonts w:hint="eastAsia" w:ascii="宋体" w:hAnsi="宋体" w:cs="宋体"/>
          <w:color w:val="auto"/>
          <w:sz w:val="44"/>
          <w:szCs w:val="44"/>
          <w:highlight w:val="none"/>
        </w:rPr>
        <w:br w:type="page" w:clear="all"/>
      </w:r>
      <w:r>
        <w:rPr>
          <w:rFonts w:hint="eastAsia" w:ascii="宋体" w:hAnsi="宋体" w:cs="宋体"/>
          <w:color w:val="auto"/>
          <w:sz w:val="44"/>
          <w:szCs w:val="44"/>
          <w:highlight w:val="none"/>
        </w:rPr>
        <w:t>投诉书（格式）</w:t>
      </w:r>
    </w:p>
    <w:p w14:paraId="6538DA2A">
      <w:pPr>
        <w:pStyle w:val="226"/>
        <w:spacing w:line="360" w:lineRule="auto"/>
        <w:ind w:firstLine="482"/>
        <w:rPr>
          <w:rFonts w:hint="eastAsia" w:hAnsi="宋体" w:cs="宋体"/>
          <w:b/>
          <w:bCs/>
          <w:color w:val="auto"/>
          <w:sz w:val="24"/>
          <w:szCs w:val="24"/>
          <w:highlight w:val="none"/>
        </w:rPr>
      </w:pPr>
      <w:r>
        <w:rPr>
          <w:rFonts w:hint="eastAsia" w:hAnsi="宋体" w:cs="宋体"/>
          <w:b/>
          <w:bCs/>
          <w:color w:val="auto"/>
          <w:sz w:val="24"/>
          <w:szCs w:val="24"/>
          <w:highlight w:val="none"/>
        </w:rPr>
        <w:t>一、投诉相关主体基本情况：</w:t>
      </w:r>
    </w:p>
    <w:p w14:paraId="2EB3D869">
      <w:pPr>
        <w:pStyle w:val="226"/>
        <w:spacing w:line="360" w:lineRule="auto"/>
        <w:ind w:firstLine="480"/>
        <w:rPr>
          <w:rFonts w:hint="eastAsia" w:hAnsi="宋体" w:cs="宋体"/>
          <w:bCs/>
          <w:color w:val="auto"/>
          <w:sz w:val="24"/>
          <w:szCs w:val="24"/>
          <w:highlight w:val="none"/>
          <w:u w:val="single"/>
        </w:rPr>
      </w:pPr>
      <w:r>
        <w:rPr>
          <w:rFonts w:hint="eastAsia" w:hAnsi="宋体" w:cs="宋体"/>
          <w:bCs/>
          <w:color w:val="auto"/>
          <w:sz w:val="24"/>
          <w:szCs w:val="24"/>
          <w:highlight w:val="none"/>
        </w:rPr>
        <w:t>供应商：</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7704BD7B">
      <w:pPr>
        <w:pStyle w:val="226"/>
        <w:spacing w:line="360" w:lineRule="auto"/>
        <w:ind w:firstLine="480"/>
        <w:rPr>
          <w:rFonts w:hint="eastAsia" w:hAnsi="宋体" w:cs="宋体"/>
          <w:bCs/>
          <w:color w:val="auto"/>
          <w:sz w:val="24"/>
          <w:szCs w:val="24"/>
          <w:highlight w:val="non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304DF05C">
      <w:pPr>
        <w:pStyle w:val="226"/>
        <w:spacing w:line="360" w:lineRule="auto"/>
        <w:ind w:firstLine="480"/>
        <w:rPr>
          <w:rFonts w:hint="eastAsia" w:hAnsi="宋体" w:cs="宋体"/>
          <w:bCs/>
          <w:color w:val="auto"/>
          <w:sz w:val="24"/>
          <w:szCs w:val="24"/>
          <w:highlight w:val="none"/>
          <w:u w:val="single"/>
        </w:rPr>
      </w:pPr>
      <w:r>
        <w:rPr>
          <w:rFonts w:hint="eastAsia" w:hAnsi="宋体" w:cs="宋体"/>
          <w:bCs/>
          <w:color w:val="auto"/>
          <w:sz w:val="24"/>
          <w:szCs w:val="24"/>
          <w:highlight w:val="none"/>
        </w:rPr>
        <w:t>法定代表人/主要负责人：</w:t>
      </w:r>
      <w:r>
        <w:rPr>
          <w:rFonts w:hint="eastAsia" w:hAnsi="宋体" w:cs="宋体"/>
          <w:bCs/>
          <w:color w:val="auto"/>
          <w:sz w:val="24"/>
          <w:szCs w:val="24"/>
          <w:highlight w:val="none"/>
          <w:u w:val="single"/>
        </w:rPr>
        <w:t xml:space="preserve">                                                         </w:t>
      </w:r>
    </w:p>
    <w:p w14:paraId="4FE5A234">
      <w:pPr>
        <w:pStyle w:val="226"/>
        <w:spacing w:line="360" w:lineRule="auto"/>
        <w:ind w:firstLine="480"/>
        <w:rPr>
          <w:rFonts w:hint="eastAsia" w:hAnsi="宋体" w:cs="宋体"/>
          <w:bCs/>
          <w:color w:val="auto"/>
          <w:sz w:val="24"/>
          <w:szCs w:val="24"/>
          <w:highlight w:val="none"/>
        </w:rPr>
      </w:pP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12D697C0">
      <w:pPr>
        <w:pStyle w:val="226"/>
        <w:spacing w:line="360" w:lineRule="auto"/>
        <w:ind w:firstLine="480"/>
        <w:rPr>
          <w:rFonts w:hint="eastAsia" w:hAnsi="宋体" w:cs="宋体"/>
          <w:bCs/>
          <w:color w:val="auto"/>
          <w:sz w:val="24"/>
          <w:szCs w:val="24"/>
          <w:highlight w:val="none"/>
          <w:u w:val="single"/>
        </w:rPr>
      </w:pPr>
      <w:r>
        <w:rPr>
          <w:rFonts w:hint="eastAsia" w:hAnsi="宋体" w:cs="宋体"/>
          <w:bCs/>
          <w:color w:val="auto"/>
          <w:sz w:val="24"/>
          <w:szCs w:val="24"/>
          <w:highlight w:val="none"/>
        </w:rPr>
        <w:t>授权代表：</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1D704E38">
      <w:pPr>
        <w:pStyle w:val="226"/>
        <w:spacing w:line="360" w:lineRule="auto"/>
        <w:ind w:firstLine="480"/>
        <w:rPr>
          <w:rFonts w:hint="eastAsia" w:hAnsi="宋体" w:cs="宋体"/>
          <w:bCs/>
          <w:color w:val="auto"/>
          <w:sz w:val="24"/>
          <w:szCs w:val="24"/>
          <w:highlight w:val="none"/>
          <w:u w:val="singl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p>
    <w:p w14:paraId="49D4C33D">
      <w:pPr>
        <w:pStyle w:val="226"/>
        <w:spacing w:line="360" w:lineRule="auto"/>
        <w:ind w:firstLine="480"/>
        <w:rPr>
          <w:rFonts w:hint="eastAsia" w:hAnsi="宋体" w:cs="宋体"/>
          <w:bCs/>
          <w:color w:val="auto"/>
          <w:sz w:val="24"/>
          <w:szCs w:val="24"/>
          <w:highlight w:val="none"/>
        </w:rPr>
      </w:pP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5F1015CC">
      <w:pPr>
        <w:pStyle w:val="226"/>
        <w:spacing w:line="360" w:lineRule="auto"/>
        <w:ind w:firstLine="480"/>
        <w:rPr>
          <w:rFonts w:hint="eastAsia" w:hAnsi="宋体" w:cs="宋体"/>
          <w:bCs/>
          <w:color w:val="auto"/>
          <w:sz w:val="24"/>
          <w:szCs w:val="24"/>
          <w:highlight w:val="none"/>
        </w:rPr>
      </w:pPr>
      <w:r>
        <w:rPr>
          <w:rFonts w:hint="eastAsia" w:hAnsi="宋体" w:cs="宋体"/>
          <w:bCs/>
          <w:color w:val="auto"/>
          <w:sz w:val="24"/>
          <w:szCs w:val="24"/>
          <w:highlight w:val="none"/>
        </w:rPr>
        <w:t>被投诉人1：</w:t>
      </w:r>
    </w:p>
    <w:p w14:paraId="3374215B">
      <w:pPr>
        <w:pStyle w:val="226"/>
        <w:spacing w:line="360" w:lineRule="auto"/>
        <w:ind w:firstLine="480"/>
        <w:rPr>
          <w:rFonts w:hint="eastAsia" w:hAnsi="宋体" w:cs="宋体"/>
          <w:bCs/>
          <w:color w:val="auto"/>
          <w:sz w:val="24"/>
          <w:szCs w:val="24"/>
          <w:highlight w:val="none"/>
          <w:u w:val="singl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p>
    <w:p w14:paraId="71D8988E">
      <w:pPr>
        <w:pStyle w:val="226"/>
        <w:spacing w:line="360" w:lineRule="auto"/>
        <w:ind w:firstLine="480"/>
        <w:rPr>
          <w:rFonts w:hint="eastAsia" w:hAnsi="宋体" w:cs="宋体"/>
          <w:bCs/>
          <w:color w:val="auto"/>
          <w:sz w:val="24"/>
          <w:szCs w:val="24"/>
          <w:highlight w:val="none"/>
        </w:rPr>
      </w:pP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096BBB0A">
      <w:pPr>
        <w:pStyle w:val="226"/>
        <w:spacing w:line="360" w:lineRule="auto"/>
        <w:ind w:firstLine="480"/>
        <w:rPr>
          <w:rFonts w:hint="eastAsia" w:hAnsi="宋体" w:cs="宋体"/>
          <w:bCs/>
          <w:color w:val="auto"/>
          <w:sz w:val="24"/>
          <w:szCs w:val="24"/>
          <w:highlight w:val="none"/>
          <w:u w:val="single"/>
        </w:rPr>
      </w:pPr>
      <w:r>
        <w:rPr>
          <w:rFonts w:hint="eastAsia" w:hAnsi="宋体" w:cs="宋体"/>
          <w:bCs/>
          <w:color w:val="auto"/>
          <w:sz w:val="24"/>
          <w:szCs w:val="24"/>
          <w:highlight w:val="none"/>
        </w:rPr>
        <w:t>联系人：</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050EB37C">
      <w:pPr>
        <w:pStyle w:val="226"/>
        <w:spacing w:line="360" w:lineRule="auto"/>
        <w:ind w:firstLine="480"/>
        <w:rPr>
          <w:rFonts w:hint="eastAsia" w:hAnsi="宋体" w:cs="宋体"/>
          <w:bCs/>
          <w:color w:val="auto"/>
          <w:sz w:val="24"/>
          <w:szCs w:val="24"/>
          <w:highlight w:val="none"/>
        </w:rPr>
      </w:pPr>
      <w:r>
        <w:rPr>
          <w:rFonts w:hint="eastAsia" w:hAnsi="宋体" w:cs="宋体"/>
          <w:bCs/>
          <w:color w:val="auto"/>
          <w:sz w:val="24"/>
          <w:szCs w:val="24"/>
          <w:highlight w:val="none"/>
        </w:rPr>
        <w:t>被投诉人2：</w:t>
      </w:r>
    </w:p>
    <w:p w14:paraId="6EAC9D65">
      <w:pPr>
        <w:pStyle w:val="226"/>
        <w:spacing w:line="360" w:lineRule="auto"/>
        <w:ind w:firstLine="480"/>
        <w:rPr>
          <w:rFonts w:hint="eastAsia" w:hAnsi="宋体" w:cs="宋体"/>
          <w:bCs/>
          <w:color w:val="auto"/>
          <w:sz w:val="24"/>
          <w:szCs w:val="24"/>
          <w:highlight w:val="none"/>
        </w:rPr>
      </w:pPr>
      <w:r>
        <w:rPr>
          <w:rFonts w:hint="eastAsia" w:hAnsi="宋体" w:cs="宋体"/>
          <w:bCs/>
          <w:color w:val="auto"/>
          <w:sz w:val="24"/>
          <w:szCs w:val="24"/>
          <w:highlight w:val="none"/>
        </w:rPr>
        <w:t>……</w:t>
      </w:r>
    </w:p>
    <w:p w14:paraId="53D8705B">
      <w:pPr>
        <w:pStyle w:val="226"/>
        <w:spacing w:line="360" w:lineRule="auto"/>
        <w:ind w:firstLine="480"/>
        <w:rPr>
          <w:rFonts w:hint="eastAsia" w:hAnsi="宋体" w:cs="宋体"/>
          <w:bCs/>
          <w:color w:val="auto"/>
          <w:sz w:val="24"/>
          <w:szCs w:val="24"/>
          <w:highlight w:val="none"/>
          <w:u w:val="single"/>
        </w:rPr>
      </w:pPr>
      <w:r>
        <w:rPr>
          <w:rFonts w:hint="eastAsia" w:hAnsi="宋体" w:cs="宋体"/>
          <w:bCs/>
          <w:color w:val="auto"/>
          <w:sz w:val="24"/>
          <w:szCs w:val="24"/>
          <w:highlight w:val="none"/>
        </w:rPr>
        <w:t>相关供应商：</w:t>
      </w:r>
      <w:r>
        <w:rPr>
          <w:rFonts w:hint="eastAsia" w:hAnsi="宋体" w:cs="宋体"/>
          <w:bCs/>
          <w:color w:val="auto"/>
          <w:sz w:val="24"/>
          <w:szCs w:val="24"/>
          <w:highlight w:val="none"/>
          <w:u w:val="single"/>
        </w:rPr>
        <w:t xml:space="preserve">                                                                       </w:t>
      </w:r>
    </w:p>
    <w:p w14:paraId="69EFC9C1">
      <w:pPr>
        <w:pStyle w:val="226"/>
        <w:spacing w:line="360" w:lineRule="auto"/>
        <w:ind w:firstLine="480"/>
        <w:rPr>
          <w:rFonts w:hint="eastAsia" w:hAnsi="宋体" w:cs="宋体"/>
          <w:bCs/>
          <w:color w:val="auto"/>
          <w:sz w:val="24"/>
          <w:szCs w:val="24"/>
          <w:highlight w:val="none"/>
          <w:u w:val="singl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p>
    <w:p w14:paraId="686FBA92">
      <w:pPr>
        <w:pStyle w:val="226"/>
        <w:spacing w:line="360" w:lineRule="auto"/>
        <w:ind w:firstLine="480"/>
        <w:rPr>
          <w:rFonts w:hint="eastAsia" w:hAnsi="宋体" w:cs="宋体"/>
          <w:bCs/>
          <w:color w:val="auto"/>
          <w:sz w:val="24"/>
          <w:szCs w:val="24"/>
          <w:highlight w:val="none"/>
        </w:rPr>
      </w:pPr>
      <w:r>
        <w:rPr>
          <w:rFonts w:hint="eastAsia" w:hAnsi="宋体" w:cs="宋体"/>
          <w:bCs/>
          <w:color w:val="auto"/>
          <w:sz w:val="24"/>
          <w:szCs w:val="24"/>
          <w:highlight w:val="none"/>
        </w:rPr>
        <w:t>联系人：</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391831EE">
      <w:pPr>
        <w:pStyle w:val="226"/>
        <w:spacing w:line="360" w:lineRule="auto"/>
        <w:ind w:firstLine="482"/>
        <w:rPr>
          <w:rFonts w:hint="eastAsia" w:hAnsi="宋体" w:cs="宋体"/>
          <w:b/>
          <w:bCs/>
          <w:color w:val="auto"/>
          <w:sz w:val="24"/>
          <w:szCs w:val="24"/>
          <w:highlight w:val="none"/>
        </w:rPr>
      </w:pPr>
      <w:r>
        <w:rPr>
          <w:rFonts w:hint="eastAsia" w:hAnsi="宋体" w:cs="宋体"/>
          <w:b/>
          <w:bCs/>
          <w:color w:val="auto"/>
          <w:sz w:val="24"/>
          <w:szCs w:val="24"/>
          <w:highlight w:val="none"/>
        </w:rPr>
        <w:t>二、投诉项目基本情况：</w:t>
      </w:r>
    </w:p>
    <w:p w14:paraId="5BFFDA03">
      <w:pPr>
        <w:pStyle w:val="226"/>
        <w:spacing w:line="360" w:lineRule="auto"/>
        <w:ind w:left="25" w:firstLine="472"/>
        <w:rPr>
          <w:rFonts w:hint="eastAsia" w:hAnsi="宋体" w:cs="宋体"/>
          <w:color w:val="auto"/>
          <w:sz w:val="24"/>
          <w:szCs w:val="24"/>
          <w:highlight w:val="none"/>
        </w:rPr>
      </w:pPr>
      <w:r>
        <w:rPr>
          <w:rFonts w:hint="eastAsia" w:hAnsi="宋体" w:cs="宋体"/>
          <w:bCs/>
          <w:color w:val="auto"/>
          <w:sz w:val="24"/>
          <w:szCs w:val="24"/>
          <w:highlight w:val="none"/>
        </w:rPr>
        <w:t>采购</w:t>
      </w:r>
      <w:r>
        <w:rPr>
          <w:rFonts w:hint="eastAsia" w:hAnsi="宋体" w:cs="宋体"/>
          <w:color w:val="auto"/>
          <w:sz w:val="24"/>
          <w:szCs w:val="24"/>
          <w:highlight w:val="none"/>
        </w:rPr>
        <w:t>项目的名称：</w:t>
      </w:r>
      <w:r>
        <w:rPr>
          <w:rFonts w:hint="eastAsia" w:hAnsi="宋体" w:cs="宋体"/>
          <w:bCs/>
          <w:color w:val="auto"/>
          <w:sz w:val="24"/>
          <w:szCs w:val="24"/>
          <w:highlight w:val="none"/>
          <w:u w:val="single"/>
        </w:rPr>
        <w:t xml:space="preserve">                                                                   </w:t>
      </w:r>
    </w:p>
    <w:p w14:paraId="06940795">
      <w:pPr>
        <w:pStyle w:val="226"/>
        <w:spacing w:line="360" w:lineRule="auto"/>
        <w:ind w:left="25" w:firstLine="472"/>
        <w:rPr>
          <w:rFonts w:hint="eastAsia" w:hAnsi="宋体" w:cs="宋体"/>
          <w:color w:val="auto"/>
          <w:sz w:val="24"/>
          <w:szCs w:val="24"/>
          <w:highlight w:val="none"/>
        </w:rPr>
      </w:pPr>
      <w:r>
        <w:rPr>
          <w:rFonts w:hint="eastAsia" w:hAnsi="宋体" w:cs="宋体"/>
          <w:bCs/>
          <w:color w:val="auto"/>
          <w:sz w:val="24"/>
          <w:szCs w:val="24"/>
          <w:highlight w:val="none"/>
        </w:rPr>
        <w:t>采购</w:t>
      </w:r>
      <w:r>
        <w:rPr>
          <w:rFonts w:hint="eastAsia" w:hAnsi="宋体" w:cs="宋体"/>
          <w:color w:val="auto"/>
          <w:sz w:val="24"/>
          <w:szCs w:val="24"/>
          <w:highlight w:val="none"/>
        </w:rPr>
        <w:t>项目的编号：</w:t>
      </w:r>
      <w:r>
        <w:rPr>
          <w:rFonts w:hint="eastAsia" w:hAnsi="宋体" w:cs="宋体"/>
          <w:bCs/>
          <w:color w:val="auto"/>
          <w:sz w:val="24"/>
          <w:szCs w:val="24"/>
          <w:highlight w:val="none"/>
          <w:u w:val="single"/>
        </w:rPr>
        <w:t xml:space="preserve">                                          </w:t>
      </w:r>
    </w:p>
    <w:p w14:paraId="270329DE">
      <w:pPr>
        <w:pStyle w:val="226"/>
        <w:spacing w:line="360" w:lineRule="auto"/>
        <w:ind w:left="25" w:firstLine="472"/>
        <w:rPr>
          <w:rFonts w:hint="eastAsia" w:hAnsi="宋体" w:cs="宋体"/>
          <w:bCs/>
          <w:color w:val="auto"/>
          <w:sz w:val="24"/>
          <w:szCs w:val="24"/>
          <w:highlight w:val="none"/>
          <w:u w:val="single"/>
        </w:rPr>
      </w:pPr>
      <w:r>
        <w:rPr>
          <w:rFonts w:hint="eastAsia" w:hAnsi="宋体" w:cs="宋体"/>
          <w:color w:val="auto"/>
          <w:sz w:val="24"/>
          <w:szCs w:val="24"/>
          <w:highlight w:val="none"/>
        </w:rPr>
        <w:t>采购人名称：</w:t>
      </w:r>
      <w:r>
        <w:rPr>
          <w:rFonts w:hint="eastAsia" w:hAnsi="宋体" w:cs="宋体"/>
          <w:bCs/>
          <w:color w:val="auto"/>
          <w:sz w:val="24"/>
          <w:szCs w:val="24"/>
          <w:highlight w:val="none"/>
          <w:u w:val="single"/>
        </w:rPr>
        <w:t xml:space="preserve">                                                                        </w:t>
      </w:r>
    </w:p>
    <w:p w14:paraId="6BF78DD2">
      <w:pPr>
        <w:pStyle w:val="226"/>
        <w:spacing w:line="360" w:lineRule="auto"/>
        <w:ind w:left="25" w:firstLine="472"/>
        <w:rPr>
          <w:rFonts w:hint="eastAsia" w:hAnsi="宋体" w:cs="宋体"/>
          <w:bCs/>
          <w:color w:val="auto"/>
          <w:sz w:val="24"/>
          <w:szCs w:val="24"/>
          <w:highlight w:val="none"/>
          <w:u w:val="single"/>
        </w:rPr>
      </w:pPr>
      <w:r>
        <w:rPr>
          <w:rFonts w:hint="eastAsia" w:hAnsi="宋体" w:cs="宋体"/>
          <w:color w:val="auto"/>
          <w:sz w:val="24"/>
          <w:szCs w:val="24"/>
          <w:highlight w:val="none"/>
        </w:rPr>
        <w:t>代理机构名称：</w:t>
      </w:r>
      <w:r>
        <w:rPr>
          <w:rFonts w:hint="eastAsia" w:hAnsi="宋体" w:cs="宋体"/>
          <w:bCs/>
          <w:color w:val="auto"/>
          <w:sz w:val="24"/>
          <w:szCs w:val="24"/>
          <w:highlight w:val="none"/>
          <w:u w:val="single"/>
        </w:rPr>
        <w:t xml:space="preserve">                                                                      </w:t>
      </w:r>
    </w:p>
    <w:p w14:paraId="317EF42E">
      <w:pPr>
        <w:pStyle w:val="226"/>
        <w:spacing w:line="360" w:lineRule="auto"/>
        <w:ind w:left="25" w:firstLine="472"/>
        <w:rPr>
          <w:rFonts w:hint="eastAsia" w:hAnsi="宋体" w:cs="宋体"/>
          <w:bCs/>
          <w:color w:val="auto"/>
          <w:sz w:val="24"/>
          <w:szCs w:val="24"/>
          <w:highlight w:val="none"/>
          <w:u w:val="single"/>
        </w:rPr>
      </w:pPr>
      <w:r>
        <w:rPr>
          <w:rFonts w:hint="eastAsia" w:hAnsi="宋体" w:cs="宋体"/>
          <w:bCs/>
          <w:color w:val="auto"/>
          <w:sz w:val="24"/>
          <w:szCs w:val="24"/>
          <w:highlight w:val="none"/>
        </w:rPr>
        <w:t>采购文件公告：</w:t>
      </w:r>
      <w:r>
        <w:rPr>
          <w:rFonts w:hint="eastAsia" w:hAnsi="宋体" w:cs="宋体"/>
          <w:bCs/>
          <w:color w:val="auto"/>
          <w:sz w:val="24"/>
          <w:szCs w:val="24"/>
          <w:highlight w:val="none"/>
          <w:u w:val="single"/>
        </w:rPr>
        <w:t>是/否</w:t>
      </w:r>
      <w:r>
        <w:rPr>
          <w:rFonts w:hint="eastAsia" w:hAnsi="宋体" w:cs="宋体"/>
          <w:bCs/>
          <w:color w:val="auto"/>
          <w:sz w:val="24"/>
          <w:szCs w:val="24"/>
          <w:highlight w:val="none"/>
        </w:rPr>
        <w:t>公告期限：</w:t>
      </w:r>
      <w:r>
        <w:rPr>
          <w:rFonts w:hint="eastAsia" w:hAnsi="宋体" w:cs="宋体"/>
          <w:bCs/>
          <w:color w:val="auto"/>
          <w:sz w:val="24"/>
          <w:szCs w:val="24"/>
          <w:highlight w:val="none"/>
          <w:u w:val="single"/>
        </w:rPr>
        <w:t xml:space="preserve">                                                       </w:t>
      </w:r>
    </w:p>
    <w:p w14:paraId="0C979D2E">
      <w:pPr>
        <w:pStyle w:val="226"/>
        <w:spacing w:line="360" w:lineRule="auto"/>
        <w:ind w:left="25" w:firstLine="472"/>
        <w:rPr>
          <w:rFonts w:hint="eastAsia" w:hAnsi="宋体" w:cs="宋体"/>
          <w:b/>
          <w:color w:val="auto"/>
          <w:sz w:val="24"/>
          <w:szCs w:val="24"/>
          <w:highlight w:val="none"/>
        </w:rPr>
      </w:pPr>
      <w:r>
        <w:rPr>
          <w:rFonts w:hint="eastAsia" w:hAnsi="宋体" w:cs="宋体"/>
          <w:bCs/>
          <w:color w:val="auto"/>
          <w:sz w:val="24"/>
          <w:szCs w:val="24"/>
          <w:highlight w:val="none"/>
        </w:rPr>
        <w:t>采购结果公告：</w:t>
      </w:r>
      <w:r>
        <w:rPr>
          <w:rFonts w:hint="eastAsia" w:hAnsi="宋体" w:cs="宋体"/>
          <w:bCs/>
          <w:color w:val="auto"/>
          <w:sz w:val="24"/>
          <w:szCs w:val="24"/>
          <w:highlight w:val="none"/>
          <w:u w:val="single"/>
        </w:rPr>
        <w:t>是/否</w:t>
      </w:r>
      <w:r>
        <w:rPr>
          <w:rFonts w:hint="eastAsia" w:hAnsi="宋体" w:cs="宋体"/>
          <w:bCs/>
          <w:color w:val="auto"/>
          <w:sz w:val="24"/>
          <w:szCs w:val="24"/>
          <w:highlight w:val="none"/>
        </w:rPr>
        <w:t>公告期限：</w:t>
      </w:r>
      <w:r>
        <w:rPr>
          <w:rFonts w:hint="eastAsia" w:hAnsi="宋体" w:cs="宋体"/>
          <w:bCs/>
          <w:color w:val="auto"/>
          <w:sz w:val="24"/>
          <w:szCs w:val="24"/>
          <w:highlight w:val="none"/>
          <w:u w:val="single"/>
        </w:rPr>
        <w:t xml:space="preserve">                                                       </w:t>
      </w:r>
    </w:p>
    <w:p w14:paraId="69376763">
      <w:pPr>
        <w:pStyle w:val="226"/>
        <w:spacing w:line="360" w:lineRule="auto"/>
        <w:ind w:left="25" w:firstLine="472"/>
        <w:rPr>
          <w:rFonts w:hint="eastAsia" w:hAnsi="宋体" w:cs="宋体"/>
          <w:b/>
          <w:color w:val="auto"/>
          <w:sz w:val="24"/>
          <w:szCs w:val="24"/>
          <w:highlight w:val="none"/>
        </w:rPr>
      </w:pPr>
      <w:r>
        <w:rPr>
          <w:rFonts w:hint="eastAsia" w:hAnsi="宋体" w:cs="宋体"/>
          <w:b/>
          <w:color w:val="auto"/>
          <w:sz w:val="24"/>
          <w:szCs w:val="24"/>
          <w:highlight w:val="none"/>
        </w:rPr>
        <w:t>三、质疑基本情况</w:t>
      </w:r>
    </w:p>
    <w:p w14:paraId="445D5C1C">
      <w:pPr>
        <w:pStyle w:val="226"/>
        <w:spacing w:line="360" w:lineRule="auto"/>
        <w:ind w:firstLine="480"/>
        <w:rPr>
          <w:rFonts w:hint="eastAsia" w:hAnsi="宋体" w:cs="宋体"/>
          <w:color w:val="auto"/>
          <w:sz w:val="24"/>
          <w:szCs w:val="24"/>
          <w:highlight w:val="none"/>
        </w:rPr>
      </w:pPr>
      <w:r>
        <w:rPr>
          <w:rFonts w:hint="eastAsia" w:hAnsi="宋体" w:cs="宋体"/>
          <w:color w:val="auto"/>
          <w:sz w:val="24"/>
          <w:szCs w:val="24"/>
          <w:highlight w:val="none"/>
        </w:rPr>
        <w:t>投诉人于</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年</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月</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日，向</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提出质疑，质疑事项为：</w:t>
      </w:r>
    </w:p>
    <w:p w14:paraId="07F60D57">
      <w:pPr>
        <w:pStyle w:val="226"/>
        <w:spacing w:line="360" w:lineRule="auto"/>
        <w:ind w:firstLine="241"/>
        <w:rPr>
          <w:rFonts w:hint="eastAsia" w:hAnsi="宋体" w:cs="宋体"/>
          <w:bCs/>
          <w:color w:val="auto"/>
          <w:sz w:val="24"/>
          <w:szCs w:val="24"/>
          <w:highlight w:val="none"/>
          <w:u w:val="single"/>
        </w:rPr>
      </w:pPr>
      <w:r>
        <w:rPr>
          <w:rFonts w:hint="eastAsia" w:hAnsi="宋体" w:cs="宋体"/>
          <w:color w:val="auto"/>
          <w:sz w:val="24"/>
          <w:szCs w:val="24"/>
          <w:highlight w:val="none"/>
        </w:rPr>
        <w:t xml:space="preserve">    </w:t>
      </w:r>
      <w:r>
        <w:rPr>
          <w:rFonts w:hint="eastAsia" w:hAnsi="宋体" w:cs="宋体"/>
          <w:bCs/>
          <w:color w:val="auto"/>
          <w:sz w:val="24"/>
          <w:szCs w:val="24"/>
          <w:highlight w:val="none"/>
          <w:u w:val="single"/>
        </w:rPr>
        <w:t xml:space="preserve">                                                                                      </w:t>
      </w:r>
    </w:p>
    <w:p w14:paraId="572AFAB5">
      <w:pPr>
        <w:pStyle w:val="226"/>
        <w:spacing w:line="360" w:lineRule="auto"/>
        <w:ind w:firstLine="241"/>
        <w:rPr>
          <w:rFonts w:hint="eastAsia" w:hAnsi="宋体" w:cs="宋体"/>
          <w:bCs/>
          <w:color w:val="auto"/>
          <w:sz w:val="24"/>
          <w:szCs w:val="24"/>
          <w:highlight w:val="none"/>
          <w:u w:val="single"/>
        </w:rPr>
      </w:pPr>
      <w:r>
        <w:rPr>
          <w:rFonts w:hint="eastAsia" w:hAnsi="宋体" w:cs="宋体"/>
          <w:bCs/>
          <w:color w:val="auto"/>
          <w:sz w:val="24"/>
          <w:szCs w:val="24"/>
          <w:highlight w:val="none"/>
        </w:rPr>
        <w:t xml:space="preserve">    </w:t>
      </w:r>
      <w:r>
        <w:rPr>
          <w:rFonts w:hint="eastAsia" w:hAnsi="宋体" w:cs="宋体"/>
          <w:bCs/>
          <w:color w:val="auto"/>
          <w:sz w:val="24"/>
          <w:szCs w:val="24"/>
          <w:highlight w:val="none"/>
          <w:u w:val="single"/>
        </w:rPr>
        <w:t xml:space="preserve">                                                                                      </w:t>
      </w:r>
    </w:p>
    <w:p w14:paraId="246F54FE">
      <w:pPr>
        <w:pStyle w:val="226"/>
        <w:spacing w:line="360" w:lineRule="auto"/>
        <w:ind w:firstLine="480"/>
        <w:rPr>
          <w:rFonts w:hint="eastAsia" w:hAnsi="宋体" w:cs="宋体"/>
          <w:color w:val="auto"/>
          <w:sz w:val="24"/>
          <w:szCs w:val="24"/>
          <w:highlight w:val="none"/>
        </w:rPr>
      </w:pPr>
      <w:r>
        <w:rPr>
          <w:rFonts w:hint="eastAsia" w:hAnsi="宋体" w:cs="宋体"/>
          <w:bCs/>
          <w:color w:val="auto"/>
          <w:sz w:val="24"/>
          <w:szCs w:val="24"/>
          <w:highlight w:val="none"/>
          <w:u w:val="single"/>
        </w:rPr>
        <w:t>采购人/代理机构</w:t>
      </w:r>
      <w:r>
        <w:rPr>
          <w:rFonts w:hint="eastAsia" w:hAnsi="宋体" w:cs="宋体"/>
          <w:bCs/>
          <w:color w:val="auto"/>
          <w:sz w:val="24"/>
          <w:szCs w:val="24"/>
          <w:highlight w:val="none"/>
        </w:rPr>
        <w:t>于</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年</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月</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日，</w:t>
      </w:r>
      <w:r>
        <w:rPr>
          <w:rFonts w:hint="eastAsia" w:hAnsi="宋体" w:cs="宋体"/>
          <w:bCs/>
          <w:color w:val="auto"/>
          <w:sz w:val="24"/>
          <w:szCs w:val="24"/>
          <w:highlight w:val="none"/>
        </w:rPr>
        <w:t xml:space="preserve">就质疑事项作出了答复/没有在法定期限内作出答复。                                                                                             </w:t>
      </w:r>
    </w:p>
    <w:p w14:paraId="46A9F57D">
      <w:pPr>
        <w:pStyle w:val="226"/>
        <w:spacing w:line="360" w:lineRule="auto"/>
        <w:ind w:left="25" w:firstLine="472"/>
        <w:rPr>
          <w:rFonts w:hint="eastAsia" w:hAnsi="宋体" w:cs="宋体"/>
          <w:b/>
          <w:color w:val="auto"/>
          <w:sz w:val="24"/>
          <w:szCs w:val="24"/>
          <w:highlight w:val="none"/>
        </w:rPr>
      </w:pPr>
      <w:r>
        <w:rPr>
          <w:rFonts w:hint="eastAsia" w:hAnsi="宋体" w:cs="宋体"/>
          <w:b/>
          <w:color w:val="auto"/>
          <w:sz w:val="24"/>
          <w:szCs w:val="24"/>
          <w:highlight w:val="none"/>
        </w:rPr>
        <w:t>四、投诉事项具体内容</w:t>
      </w:r>
    </w:p>
    <w:p w14:paraId="5E2F84A8">
      <w:pPr>
        <w:pStyle w:val="226"/>
        <w:spacing w:line="360" w:lineRule="auto"/>
        <w:ind w:left="25" w:firstLine="472"/>
        <w:rPr>
          <w:rFonts w:hint="eastAsia" w:hAnsi="宋体" w:cs="宋体"/>
          <w:bCs/>
          <w:color w:val="auto"/>
          <w:sz w:val="24"/>
          <w:szCs w:val="24"/>
          <w:highlight w:val="none"/>
          <w:u w:val="single"/>
        </w:rPr>
      </w:pPr>
      <w:r>
        <w:rPr>
          <w:rFonts w:hint="eastAsia" w:hAnsi="宋体" w:cs="宋体"/>
          <w:color w:val="auto"/>
          <w:sz w:val="24"/>
          <w:szCs w:val="24"/>
          <w:highlight w:val="none"/>
        </w:rPr>
        <w:t>投诉事项1：</w:t>
      </w:r>
      <w:r>
        <w:rPr>
          <w:rFonts w:hint="eastAsia" w:hAnsi="宋体" w:cs="宋体"/>
          <w:bCs/>
          <w:color w:val="auto"/>
          <w:sz w:val="24"/>
          <w:szCs w:val="24"/>
          <w:highlight w:val="none"/>
          <w:u w:val="single"/>
        </w:rPr>
        <w:t xml:space="preserve">                                                                           </w:t>
      </w:r>
    </w:p>
    <w:p w14:paraId="045D033E">
      <w:pPr>
        <w:pStyle w:val="226"/>
        <w:spacing w:line="360" w:lineRule="auto"/>
        <w:ind w:firstLine="480"/>
        <w:rPr>
          <w:rFonts w:hint="eastAsia" w:hAnsi="宋体" w:cs="宋体"/>
          <w:bCs/>
          <w:color w:val="auto"/>
          <w:sz w:val="24"/>
          <w:szCs w:val="24"/>
          <w:highlight w:val="none"/>
          <w:u w:val="single"/>
        </w:rPr>
      </w:pPr>
      <w:r>
        <w:rPr>
          <w:rFonts w:hint="eastAsia" w:hAnsi="宋体" w:cs="宋体"/>
          <w:bCs/>
          <w:color w:val="auto"/>
          <w:sz w:val="24"/>
          <w:szCs w:val="24"/>
          <w:highlight w:val="none"/>
        </w:rPr>
        <w:t>事实依据：</w:t>
      </w:r>
      <w:r>
        <w:rPr>
          <w:rFonts w:hint="eastAsia" w:hAnsi="宋体" w:cs="宋体"/>
          <w:color w:val="auto"/>
          <w:sz w:val="24"/>
          <w:szCs w:val="24"/>
          <w:highlight w:val="none"/>
        </w:rPr>
        <w:t xml:space="preserve"> </w:t>
      </w:r>
      <w:r>
        <w:rPr>
          <w:rFonts w:hint="eastAsia" w:hAnsi="宋体" w:cs="宋体"/>
          <w:bCs/>
          <w:color w:val="auto"/>
          <w:sz w:val="24"/>
          <w:szCs w:val="24"/>
          <w:highlight w:val="none"/>
          <w:u w:val="single"/>
        </w:rPr>
        <w:t xml:space="preserve">                                                                                      </w:t>
      </w:r>
    </w:p>
    <w:p w14:paraId="24F4D2B4">
      <w:pPr>
        <w:pStyle w:val="226"/>
        <w:spacing w:line="360" w:lineRule="auto"/>
        <w:ind w:left="25" w:firstLine="472"/>
        <w:rPr>
          <w:rFonts w:hint="eastAsia" w:hAnsi="宋体" w:cs="宋体"/>
          <w:color w:val="auto"/>
          <w:sz w:val="24"/>
          <w:szCs w:val="24"/>
          <w:highlight w:val="none"/>
        </w:rPr>
      </w:pPr>
      <w:r>
        <w:rPr>
          <w:rFonts w:hint="eastAsia" w:hAnsi="宋体" w:cs="宋体"/>
          <w:bCs/>
          <w:color w:val="auto"/>
          <w:sz w:val="24"/>
          <w:szCs w:val="24"/>
          <w:highlight w:val="none"/>
          <w:u w:val="single"/>
        </w:rPr>
        <w:t xml:space="preserve">                                                                                        </w:t>
      </w:r>
    </w:p>
    <w:p w14:paraId="7DDD8CE2">
      <w:pPr>
        <w:pStyle w:val="226"/>
        <w:spacing w:line="360" w:lineRule="auto"/>
        <w:ind w:firstLine="480"/>
        <w:rPr>
          <w:rFonts w:hint="eastAsia" w:hAnsi="宋体" w:cs="宋体"/>
          <w:bCs/>
          <w:color w:val="auto"/>
          <w:sz w:val="24"/>
          <w:szCs w:val="24"/>
          <w:highlight w:val="none"/>
          <w:u w:val="single"/>
        </w:rPr>
      </w:pPr>
      <w:r>
        <w:rPr>
          <w:rFonts w:hint="eastAsia" w:hAnsi="宋体" w:cs="宋体"/>
          <w:bCs/>
          <w:color w:val="auto"/>
          <w:sz w:val="24"/>
          <w:szCs w:val="24"/>
          <w:highlight w:val="none"/>
        </w:rPr>
        <w:t>法律依据：</w:t>
      </w:r>
      <w:r>
        <w:rPr>
          <w:rFonts w:hint="eastAsia" w:hAnsi="宋体" w:cs="宋体"/>
          <w:color w:val="auto"/>
          <w:sz w:val="24"/>
          <w:szCs w:val="24"/>
          <w:highlight w:val="none"/>
        </w:rPr>
        <w:t xml:space="preserve"> </w:t>
      </w:r>
      <w:r>
        <w:rPr>
          <w:rFonts w:hint="eastAsia" w:hAnsi="宋体" w:cs="宋体"/>
          <w:bCs/>
          <w:color w:val="auto"/>
          <w:sz w:val="24"/>
          <w:szCs w:val="24"/>
          <w:highlight w:val="none"/>
          <w:u w:val="single"/>
        </w:rPr>
        <w:t xml:space="preserve">                                                                                      </w:t>
      </w:r>
    </w:p>
    <w:p w14:paraId="137B54E9">
      <w:pPr>
        <w:pStyle w:val="226"/>
        <w:spacing w:line="360" w:lineRule="auto"/>
        <w:ind w:left="25" w:firstLine="352"/>
        <w:rPr>
          <w:rFonts w:hint="eastAsia" w:hAnsi="宋体" w:cs="宋体"/>
          <w:bCs/>
          <w:color w:val="auto"/>
          <w:sz w:val="24"/>
          <w:szCs w:val="24"/>
          <w:highlight w:val="none"/>
          <w:u w:val="single"/>
        </w:rPr>
      </w:pPr>
      <w:r>
        <w:rPr>
          <w:rFonts w:hint="eastAsia" w:hAnsi="宋体" w:cs="宋体"/>
          <w:bCs/>
          <w:color w:val="auto"/>
          <w:sz w:val="24"/>
          <w:szCs w:val="24"/>
          <w:highlight w:val="none"/>
        </w:rPr>
        <w:t xml:space="preserve"> </w:t>
      </w:r>
      <w:r>
        <w:rPr>
          <w:rFonts w:hint="eastAsia" w:hAnsi="宋体" w:cs="宋体"/>
          <w:bCs/>
          <w:color w:val="auto"/>
          <w:sz w:val="24"/>
          <w:szCs w:val="24"/>
          <w:highlight w:val="none"/>
          <w:u w:val="single"/>
        </w:rPr>
        <w:t xml:space="preserve">                                                                                        </w:t>
      </w:r>
    </w:p>
    <w:p w14:paraId="17731FFB">
      <w:pPr>
        <w:pStyle w:val="226"/>
        <w:spacing w:line="360" w:lineRule="auto"/>
        <w:ind w:left="25" w:firstLine="472"/>
        <w:rPr>
          <w:rFonts w:hint="eastAsia" w:hAnsi="宋体" w:cs="宋体"/>
          <w:bCs/>
          <w:color w:val="auto"/>
          <w:sz w:val="24"/>
          <w:szCs w:val="24"/>
          <w:highlight w:val="none"/>
        </w:rPr>
      </w:pPr>
      <w:r>
        <w:rPr>
          <w:rFonts w:hint="eastAsia" w:hAnsi="宋体" w:cs="宋体"/>
          <w:color w:val="auto"/>
          <w:sz w:val="24"/>
          <w:szCs w:val="24"/>
          <w:highlight w:val="none"/>
        </w:rPr>
        <w:t xml:space="preserve">投诉事项2  </w:t>
      </w:r>
      <w:r>
        <w:rPr>
          <w:rFonts w:hint="eastAsia" w:hAnsi="宋体" w:cs="宋体"/>
          <w:bCs/>
          <w:color w:val="auto"/>
          <w:sz w:val="24"/>
          <w:szCs w:val="24"/>
          <w:highlight w:val="none"/>
        </w:rPr>
        <w:t xml:space="preserve">   </w:t>
      </w:r>
    </w:p>
    <w:p w14:paraId="532AF342">
      <w:pPr>
        <w:pStyle w:val="226"/>
        <w:spacing w:line="360" w:lineRule="auto"/>
        <w:ind w:left="25" w:firstLine="472"/>
        <w:rPr>
          <w:rFonts w:hint="eastAsia" w:hAnsi="宋体" w:cs="宋体"/>
          <w:bCs/>
          <w:color w:val="auto"/>
          <w:sz w:val="24"/>
          <w:szCs w:val="24"/>
          <w:highlight w:val="none"/>
        </w:rPr>
      </w:pPr>
      <w:r>
        <w:rPr>
          <w:rFonts w:hint="eastAsia" w:hAnsi="宋体" w:cs="宋体"/>
          <w:bCs/>
          <w:color w:val="auto"/>
          <w:sz w:val="24"/>
          <w:szCs w:val="24"/>
          <w:highlight w:val="none"/>
        </w:rPr>
        <w:t>……</w:t>
      </w:r>
    </w:p>
    <w:p w14:paraId="699D2783">
      <w:pPr>
        <w:pStyle w:val="226"/>
        <w:spacing w:line="360" w:lineRule="auto"/>
        <w:ind w:left="25" w:firstLine="472"/>
        <w:rPr>
          <w:rFonts w:hint="eastAsia" w:hAnsi="宋体" w:cs="宋体"/>
          <w:b/>
          <w:color w:val="auto"/>
          <w:sz w:val="24"/>
          <w:szCs w:val="24"/>
          <w:highlight w:val="none"/>
        </w:rPr>
      </w:pPr>
      <w:r>
        <w:rPr>
          <w:rFonts w:hint="eastAsia" w:hAnsi="宋体" w:cs="宋体"/>
          <w:b/>
          <w:color w:val="auto"/>
          <w:sz w:val="24"/>
          <w:szCs w:val="24"/>
          <w:highlight w:val="none"/>
        </w:rPr>
        <w:t>五、与投诉事项相关的投诉请求：</w:t>
      </w:r>
    </w:p>
    <w:p w14:paraId="6B669874">
      <w:pPr>
        <w:pStyle w:val="226"/>
        <w:spacing w:line="360" w:lineRule="auto"/>
        <w:ind w:left="25" w:firstLine="472"/>
        <w:rPr>
          <w:rFonts w:hint="eastAsia" w:hAnsi="宋体" w:cs="宋体"/>
          <w:color w:val="auto"/>
          <w:sz w:val="24"/>
          <w:szCs w:val="24"/>
          <w:highlight w:val="none"/>
        </w:rPr>
      </w:pPr>
      <w:r>
        <w:rPr>
          <w:rFonts w:hint="eastAsia" w:hAnsi="宋体" w:cs="宋体"/>
          <w:color w:val="auto"/>
          <w:sz w:val="24"/>
          <w:szCs w:val="24"/>
          <w:highlight w:val="none"/>
        </w:rPr>
        <w:t>请求：</w:t>
      </w:r>
      <w:r>
        <w:rPr>
          <w:rFonts w:hint="eastAsia" w:hAnsi="宋体" w:cs="宋体"/>
          <w:bCs/>
          <w:color w:val="auto"/>
          <w:sz w:val="24"/>
          <w:szCs w:val="24"/>
          <w:highlight w:val="none"/>
          <w:u w:val="single"/>
        </w:rPr>
        <w:t xml:space="preserve">                                                                                 </w:t>
      </w:r>
    </w:p>
    <w:p w14:paraId="050C75AA">
      <w:pPr>
        <w:pStyle w:val="226"/>
        <w:spacing w:line="360" w:lineRule="auto"/>
        <w:ind w:left="25" w:firstLine="352"/>
        <w:rPr>
          <w:rFonts w:hint="eastAsia" w:hAnsi="宋体" w:cs="宋体"/>
          <w:color w:val="auto"/>
          <w:sz w:val="24"/>
          <w:szCs w:val="24"/>
          <w:highlight w:val="none"/>
        </w:rPr>
      </w:pPr>
    </w:p>
    <w:p w14:paraId="5E819A59">
      <w:pPr>
        <w:pStyle w:val="226"/>
        <w:spacing w:line="360" w:lineRule="auto"/>
        <w:ind w:left="25" w:firstLine="472"/>
        <w:rPr>
          <w:rFonts w:hint="eastAsia" w:hAnsi="宋体" w:cs="宋体"/>
          <w:color w:val="auto"/>
          <w:sz w:val="24"/>
          <w:szCs w:val="24"/>
          <w:highlight w:val="none"/>
        </w:rPr>
      </w:pPr>
      <w:r>
        <w:rPr>
          <w:rFonts w:hint="eastAsia" w:hAnsi="宋体" w:cs="宋体"/>
          <w:color w:val="auto"/>
          <w:sz w:val="24"/>
          <w:szCs w:val="24"/>
          <w:highlight w:val="none"/>
        </w:rPr>
        <w:t>签字（签章）：                                       公章：</w:t>
      </w:r>
    </w:p>
    <w:p w14:paraId="37ACDF4D">
      <w:pPr>
        <w:pStyle w:val="226"/>
        <w:spacing w:line="360" w:lineRule="auto"/>
        <w:ind w:left="25" w:firstLine="352"/>
        <w:rPr>
          <w:rFonts w:hint="eastAsia" w:hAnsi="宋体" w:cs="宋体"/>
          <w:color w:val="auto"/>
          <w:sz w:val="24"/>
          <w:szCs w:val="24"/>
          <w:highlight w:val="none"/>
        </w:rPr>
      </w:pPr>
    </w:p>
    <w:p w14:paraId="3F20DBE7">
      <w:pPr>
        <w:pStyle w:val="226"/>
        <w:spacing w:line="360" w:lineRule="auto"/>
        <w:ind w:left="25" w:firstLine="472"/>
        <w:rPr>
          <w:rFonts w:hint="eastAsia" w:hAnsi="宋体" w:cs="宋体"/>
          <w:color w:val="auto"/>
          <w:sz w:val="24"/>
          <w:szCs w:val="24"/>
          <w:highlight w:val="none"/>
        </w:rPr>
      </w:pPr>
      <w:r>
        <w:rPr>
          <w:rFonts w:hint="eastAsia" w:hAnsi="宋体" w:cs="宋体"/>
          <w:color w:val="auto"/>
          <w:sz w:val="24"/>
          <w:szCs w:val="24"/>
          <w:highlight w:val="none"/>
        </w:rPr>
        <w:t>日期：</w:t>
      </w:r>
    </w:p>
    <w:p w14:paraId="000A0328">
      <w:pPr>
        <w:pStyle w:val="226"/>
        <w:spacing w:line="360" w:lineRule="auto"/>
        <w:ind w:left="25" w:firstLine="472"/>
        <w:rPr>
          <w:rFonts w:hint="eastAsia" w:hAnsi="宋体" w:cs="宋体"/>
          <w:b/>
          <w:color w:val="auto"/>
          <w:sz w:val="24"/>
          <w:szCs w:val="24"/>
          <w:highlight w:val="none"/>
        </w:rPr>
      </w:pPr>
      <w:r>
        <w:rPr>
          <w:rFonts w:hint="eastAsia" w:hAnsi="宋体" w:cs="宋体"/>
          <w:bCs/>
          <w:color w:val="auto"/>
          <w:sz w:val="24"/>
          <w:szCs w:val="24"/>
          <w:highlight w:val="none"/>
        </w:rPr>
        <w:t xml:space="preserve">                                                                                 </w:t>
      </w:r>
    </w:p>
    <w:p w14:paraId="4A059296">
      <w:pPr>
        <w:pStyle w:val="226"/>
        <w:spacing w:line="360" w:lineRule="auto"/>
        <w:rPr>
          <w:rFonts w:hint="eastAsia" w:hAnsi="宋体" w:cs="宋体"/>
          <w:b/>
          <w:color w:val="auto"/>
          <w:sz w:val="24"/>
          <w:szCs w:val="24"/>
          <w:highlight w:val="none"/>
        </w:rPr>
      </w:pPr>
      <w:r>
        <w:rPr>
          <w:rFonts w:hint="eastAsia" w:hAnsi="宋体" w:cs="宋体"/>
          <w:b/>
          <w:color w:val="auto"/>
          <w:sz w:val="24"/>
          <w:szCs w:val="24"/>
          <w:highlight w:val="none"/>
        </w:rPr>
        <w:t>说明：</w:t>
      </w:r>
    </w:p>
    <w:p w14:paraId="737F0911">
      <w:pPr>
        <w:pStyle w:val="226"/>
        <w:spacing w:line="360" w:lineRule="auto"/>
        <w:ind w:left="25" w:firstLine="354"/>
        <w:rPr>
          <w:rFonts w:hint="eastAsia" w:hAnsi="宋体" w:cs="宋体"/>
          <w:b/>
          <w:bCs/>
          <w:color w:val="auto"/>
          <w:sz w:val="24"/>
          <w:szCs w:val="24"/>
          <w:highlight w:val="none"/>
        </w:rPr>
      </w:pPr>
      <w:r>
        <w:rPr>
          <w:rFonts w:hint="eastAsia" w:hAnsi="宋体" w:cs="宋体"/>
          <w:b/>
          <w:color w:val="auto"/>
          <w:sz w:val="24"/>
          <w:szCs w:val="24"/>
          <w:highlight w:val="none"/>
        </w:rPr>
        <w:t>1.投诉人提起投诉时，应当提交投诉书和必要的证明材料，并按照被投诉人和与投诉事项有关的供应商数量提供投诉书副本</w:t>
      </w:r>
      <w:r>
        <w:rPr>
          <w:rFonts w:hint="eastAsia" w:hAnsi="宋体" w:cs="宋体"/>
          <w:b/>
          <w:bCs/>
          <w:color w:val="auto"/>
          <w:sz w:val="24"/>
          <w:szCs w:val="24"/>
          <w:highlight w:val="none"/>
        </w:rPr>
        <w:t>。</w:t>
      </w:r>
    </w:p>
    <w:p w14:paraId="20EB49AF">
      <w:pPr>
        <w:pStyle w:val="226"/>
        <w:spacing w:line="360" w:lineRule="auto"/>
        <w:ind w:left="25" w:firstLine="354"/>
        <w:rPr>
          <w:rFonts w:hint="eastAsia" w:hAnsi="宋体" w:cs="宋体"/>
          <w:b/>
          <w:color w:val="auto"/>
          <w:sz w:val="24"/>
          <w:szCs w:val="24"/>
          <w:highlight w:val="none"/>
        </w:rPr>
      </w:pPr>
      <w:r>
        <w:rPr>
          <w:rFonts w:hint="eastAsia" w:hAnsi="宋体" w:cs="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37E54FD7">
      <w:pPr>
        <w:pStyle w:val="226"/>
        <w:spacing w:line="360" w:lineRule="auto"/>
        <w:ind w:left="25" w:firstLine="354"/>
        <w:rPr>
          <w:rFonts w:hint="eastAsia" w:hAnsi="宋体" w:cs="宋体"/>
          <w:b/>
          <w:color w:val="auto"/>
          <w:sz w:val="24"/>
          <w:szCs w:val="24"/>
          <w:highlight w:val="none"/>
        </w:rPr>
      </w:pPr>
      <w:r>
        <w:rPr>
          <w:rFonts w:hint="eastAsia" w:hAnsi="宋体" w:cs="宋体"/>
          <w:b/>
          <w:color w:val="auto"/>
          <w:sz w:val="24"/>
          <w:szCs w:val="24"/>
          <w:highlight w:val="none"/>
        </w:rPr>
        <w:t>3.投诉书应简要列明质疑事项，质疑函、质疑答复等作为附件材料提供。</w:t>
      </w:r>
    </w:p>
    <w:p w14:paraId="32A63917">
      <w:pPr>
        <w:pStyle w:val="226"/>
        <w:spacing w:line="360" w:lineRule="auto"/>
        <w:ind w:left="25" w:firstLine="354"/>
        <w:rPr>
          <w:rFonts w:hint="eastAsia" w:hAnsi="宋体" w:cs="宋体"/>
          <w:b/>
          <w:color w:val="auto"/>
          <w:sz w:val="24"/>
          <w:szCs w:val="24"/>
          <w:highlight w:val="none"/>
        </w:rPr>
      </w:pPr>
      <w:r>
        <w:rPr>
          <w:rFonts w:hint="eastAsia" w:hAnsi="宋体" w:cs="宋体"/>
          <w:b/>
          <w:color w:val="auto"/>
          <w:sz w:val="24"/>
          <w:szCs w:val="24"/>
          <w:highlight w:val="none"/>
        </w:rPr>
        <w:t>4.投诉书的投诉事项应具体、明确，并有必要的事实依据和法律依据。</w:t>
      </w:r>
    </w:p>
    <w:p w14:paraId="6A43568D">
      <w:pPr>
        <w:pStyle w:val="226"/>
        <w:spacing w:line="360" w:lineRule="auto"/>
        <w:ind w:left="25" w:firstLine="354"/>
        <w:rPr>
          <w:rFonts w:hint="eastAsia" w:hAnsi="宋体" w:cs="宋体"/>
          <w:b/>
          <w:color w:val="auto"/>
          <w:sz w:val="24"/>
          <w:szCs w:val="24"/>
          <w:highlight w:val="none"/>
        </w:rPr>
      </w:pPr>
      <w:r>
        <w:rPr>
          <w:rFonts w:hint="eastAsia" w:hAnsi="宋体" w:cs="宋体"/>
          <w:b/>
          <w:color w:val="auto"/>
          <w:sz w:val="24"/>
          <w:szCs w:val="24"/>
          <w:highlight w:val="none"/>
        </w:rPr>
        <w:t>5.投诉书的投诉请求应与投诉事项相关。</w:t>
      </w:r>
    </w:p>
    <w:p w14:paraId="4F452DE7">
      <w:pPr>
        <w:pStyle w:val="226"/>
        <w:spacing w:line="360" w:lineRule="auto"/>
        <w:ind w:left="25" w:firstLine="354"/>
        <w:rPr>
          <w:rFonts w:hint="eastAsia" w:hAnsi="宋体" w:cs="宋体"/>
          <w:b/>
          <w:color w:val="auto"/>
          <w:highlight w:val="none"/>
        </w:rPr>
      </w:pPr>
      <w:r>
        <w:rPr>
          <w:rFonts w:hint="eastAsia" w:hAnsi="宋体" w:cs="宋体"/>
          <w:b/>
          <w:color w:val="auto"/>
          <w:sz w:val="24"/>
          <w:szCs w:val="24"/>
          <w:highlight w:val="none"/>
        </w:rPr>
        <w:t>6.投诉人为法人或者其他组织的，投诉书应由法定代表人、主要负责人，或者其授权代表签字或者盖章，并加盖公章。</w:t>
      </w:r>
    </w:p>
    <w:p w14:paraId="041CEF19">
      <w:pPr>
        <w:pStyle w:val="187"/>
        <w:jc w:val="center"/>
        <w:rPr>
          <w:rFonts w:hint="eastAsia" w:ascii="宋体" w:hAnsi="宋体" w:cs="宋体"/>
          <w:color w:val="auto"/>
          <w:highlight w:val="none"/>
        </w:rPr>
      </w:pPr>
    </w:p>
    <w:p w14:paraId="160AE734">
      <w:pPr>
        <w:pStyle w:val="187"/>
        <w:rPr>
          <w:rFonts w:hint="eastAsia" w:ascii="宋体" w:hAnsi="宋体" w:cs="宋体"/>
          <w:color w:val="auto"/>
          <w:highlight w:val="none"/>
        </w:rPr>
      </w:pPr>
    </w:p>
    <w:p w14:paraId="08531CF7">
      <w:pPr>
        <w:pStyle w:val="187"/>
        <w:jc w:val="center"/>
        <w:rPr>
          <w:rFonts w:hint="eastAsia" w:ascii="宋体" w:hAnsi="宋体" w:cs="宋体"/>
          <w:color w:val="auto"/>
          <w:highlight w:val="none"/>
        </w:rPr>
      </w:pPr>
    </w:p>
    <w:p w14:paraId="22F1E4F4">
      <w:pPr>
        <w:pStyle w:val="187"/>
        <w:jc w:val="center"/>
        <w:rPr>
          <w:rFonts w:hint="eastAsia" w:ascii="宋体" w:hAnsi="宋体" w:cs="宋体"/>
          <w:color w:val="auto"/>
          <w:highlight w:val="none"/>
        </w:rPr>
      </w:pPr>
      <w:bookmarkStart w:id="141" w:name="_Toc122424267"/>
    </w:p>
    <w:p w14:paraId="4AFB3331">
      <w:pPr>
        <w:pStyle w:val="187"/>
        <w:jc w:val="center"/>
        <w:rPr>
          <w:rFonts w:hint="eastAsia" w:ascii="宋体" w:hAnsi="宋体" w:cs="宋体"/>
          <w:color w:val="auto"/>
          <w:highlight w:val="none"/>
        </w:rPr>
      </w:pPr>
      <w:r>
        <w:rPr>
          <w:rFonts w:hint="eastAsia" w:ascii="宋体" w:hAnsi="宋体" w:cs="宋体"/>
          <w:color w:val="auto"/>
          <w:highlight w:val="none"/>
        </w:rPr>
        <w:t>第七章 合同文本</w:t>
      </w:r>
      <w:bookmarkEnd w:id="141"/>
    </w:p>
    <w:p w14:paraId="1088C718">
      <w:pPr>
        <w:spacing w:line="520" w:lineRule="exact"/>
        <w:rPr>
          <w:rFonts w:hint="eastAsia" w:ascii="宋体" w:hAnsi="宋体" w:cs="宋体"/>
          <w:b/>
          <w:color w:val="auto"/>
          <w:sz w:val="32"/>
          <w:szCs w:val="32"/>
          <w:highlight w:val="none"/>
        </w:rPr>
      </w:pPr>
    </w:p>
    <w:p w14:paraId="09657B44">
      <w:pPr>
        <w:pStyle w:val="344"/>
        <w:tabs>
          <w:tab w:val="left" w:pos="801"/>
        </w:tabs>
        <w:ind w:firstLine="0"/>
        <w:jc w:val="left"/>
        <w:rPr>
          <w:rFonts w:hint="eastAsia"/>
          <w:color w:val="auto"/>
          <w:sz w:val="24"/>
          <w:highlight w:val="none"/>
          <w:lang w:val="en-US"/>
        </w:rPr>
      </w:pPr>
      <w:r>
        <w:rPr>
          <w:rFonts w:hint="eastAsia"/>
          <w:color w:val="auto"/>
          <w:sz w:val="24"/>
          <w:highlight w:val="none"/>
          <w:lang w:val="en-US"/>
        </w:rPr>
        <w:br w:type="page" w:clear="all"/>
      </w:r>
    </w:p>
    <w:p w14:paraId="25CAD021">
      <w:pPr>
        <w:pStyle w:val="344"/>
        <w:tabs>
          <w:tab w:val="left" w:pos="801"/>
        </w:tabs>
        <w:ind w:firstLine="0"/>
        <w:jc w:val="left"/>
        <w:rPr>
          <w:rFonts w:hint="eastAsia"/>
          <w:color w:val="auto"/>
          <w:sz w:val="24"/>
          <w:highlight w:val="none"/>
          <w:lang w:val="en-US"/>
        </w:rPr>
      </w:pPr>
    </w:p>
    <w:p w14:paraId="03041FE9">
      <w:pPr>
        <w:pStyle w:val="344"/>
        <w:tabs>
          <w:tab w:val="left" w:pos="801"/>
        </w:tabs>
        <w:ind w:firstLine="0"/>
        <w:jc w:val="left"/>
        <w:rPr>
          <w:rFonts w:hint="eastAsia"/>
          <w:color w:val="auto"/>
          <w:sz w:val="24"/>
          <w:highlight w:val="none"/>
          <w:lang w:val="en-US"/>
        </w:rPr>
      </w:pPr>
    </w:p>
    <w:p w14:paraId="77D07CAE">
      <w:pPr>
        <w:pStyle w:val="344"/>
        <w:tabs>
          <w:tab w:val="left" w:pos="801"/>
        </w:tabs>
        <w:ind w:firstLine="0"/>
        <w:jc w:val="left"/>
        <w:rPr>
          <w:rFonts w:hint="eastAsia"/>
          <w:color w:val="auto"/>
          <w:sz w:val="24"/>
          <w:highlight w:val="none"/>
          <w:lang w:val="en-US"/>
        </w:rPr>
      </w:pPr>
    </w:p>
    <w:p w14:paraId="1B717832">
      <w:pPr>
        <w:pStyle w:val="344"/>
        <w:tabs>
          <w:tab w:val="left" w:pos="801"/>
        </w:tabs>
        <w:ind w:firstLine="0"/>
        <w:jc w:val="left"/>
        <w:rPr>
          <w:rFonts w:hint="eastAsia"/>
          <w:color w:val="auto"/>
          <w:sz w:val="24"/>
          <w:highlight w:val="none"/>
          <w:lang w:val="en-US"/>
        </w:rPr>
      </w:pPr>
    </w:p>
    <w:p w14:paraId="2E2DEB28">
      <w:pPr>
        <w:pStyle w:val="344"/>
        <w:tabs>
          <w:tab w:val="left" w:pos="801"/>
        </w:tabs>
        <w:ind w:firstLine="0"/>
        <w:jc w:val="left"/>
        <w:rPr>
          <w:rFonts w:hint="eastAsia"/>
          <w:color w:val="auto"/>
          <w:sz w:val="36"/>
          <w:szCs w:val="24"/>
          <w:highlight w:val="none"/>
          <w:lang w:val="en-US"/>
        </w:rPr>
      </w:pPr>
    </w:p>
    <w:p w14:paraId="2BBA783D">
      <w:pPr>
        <w:pStyle w:val="344"/>
        <w:tabs>
          <w:tab w:val="left" w:pos="801"/>
        </w:tabs>
        <w:ind w:firstLine="0"/>
        <w:jc w:val="center"/>
        <w:rPr>
          <w:rFonts w:hint="eastAsia"/>
          <w:b/>
          <w:color w:val="auto"/>
          <w:sz w:val="56"/>
          <w:szCs w:val="56"/>
          <w:highlight w:val="none"/>
          <w:lang w:val="en-US"/>
        </w:rPr>
      </w:pPr>
    </w:p>
    <w:p w14:paraId="543AECCB">
      <w:pPr>
        <w:pStyle w:val="344"/>
        <w:tabs>
          <w:tab w:val="left" w:pos="801"/>
        </w:tabs>
        <w:ind w:firstLine="0"/>
        <w:jc w:val="center"/>
        <w:rPr>
          <w:rFonts w:hint="eastAsia"/>
          <w:b/>
          <w:color w:val="auto"/>
          <w:sz w:val="56"/>
          <w:szCs w:val="56"/>
          <w:highlight w:val="none"/>
          <w:lang w:val="en-US"/>
        </w:rPr>
      </w:pPr>
      <w:r>
        <w:rPr>
          <w:rFonts w:hint="eastAsia"/>
          <w:b/>
          <w:color w:val="auto"/>
          <w:sz w:val="56"/>
          <w:szCs w:val="56"/>
          <w:highlight w:val="none"/>
        </w:rPr>
        <w:t>公路工程施工合同</w:t>
      </w:r>
    </w:p>
    <w:p w14:paraId="6CB0F3A8">
      <w:pPr>
        <w:spacing w:line="420" w:lineRule="exact"/>
        <w:ind w:firstLine="480"/>
        <w:jc w:val="center"/>
        <w:rPr>
          <w:rFonts w:hint="eastAsia" w:ascii="宋体" w:hAnsi="宋体" w:cs="宋体"/>
          <w:color w:val="auto"/>
          <w:sz w:val="28"/>
          <w:szCs w:val="28"/>
          <w:highlight w:val="none"/>
        </w:rPr>
      </w:pPr>
      <w:r>
        <w:rPr>
          <w:rFonts w:ascii="宋体" w:hAnsi="宋体" w:cs="宋体"/>
          <w:color w:val="auto"/>
          <w:sz w:val="24"/>
          <w:highlight w:val="none"/>
        </w:rPr>
        <w:br w:type="page" w:clear="all"/>
      </w:r>
      <w:bookmarkStart w:id="142" w:name="_Toc184635122"/>
      <w:bookmarkEnd w:id="142"/>
      <w:bookmarkStart w:id="143" w:name="_Toc451956342"/>
      <w:bookmarkEnd w:id="143"/>
      <w:bookmarkStart w:id="144" w:name="_Toc433386319"/>
      <w:bookmarkEnd w:id="144"/>
      <w:bookmarkStart w:id="145" w:name="_Toc247514197"/>
      <w:bookmarkEnd w:id="145"/>
      <w:bookmarkStart w:id="146" w:name="_Toc247527798"/>
      <w:bookmarkEnd w:id="146"/>
      <w:bookmarkStart w:id="147" w:name="_Toc433386845"/>
      <w:bookmarkEnd w:id="147"/>
      <w:bookmarkStart w:id="148" w:name="_Toc495994659"/>
      <w:bookmarkEnd w:id="148"/>
      <w:bookmarkStart w:id="149" w:name="_Toc3527"/>
      <w:bookmarkStart w:id="150" w:name="_Toc26462"/>
      <w:bookmarkStart w:id="151" w:name="_Toc122424483"/>
      <w:bookmarkStart w:id="152" w:name="_Toc122424234"/>
    </w:p>
    <w:p w14:paraId="214646C4">
      <w:pPr>
        <w:pStyle w:val="189"/>
        <w:ind w:firstLine="422"/>
        <w:jc w:val="center"/>
        <w:rPr>
          <w:rFonts w:hint="eastAsia" w:ascii="宋体" w:hAnsi="宋体" w:cs="宋体"/>
          <w:color w:val="auto"/>
          <w:sz w:val="24"/>
          <w:highlight w:val="none"/>
        </w:rPr>
      </w:pPr>
      <w:bookmarkStart w:id="153" w:name="_Toc511595186"/>
      <w:bookmarkStart w:id="154" w:name="_Toc514759025"/>
      <w:bookmarkStart w:id="155" w:name="_Toc517163145"/>
      <w:bookmarkStart w:id="156" w:name="_Toc2532"/>
      <w:bookmarkStart w:id="157" w:name="_Toc508779702"/>
      <w:bookmarkStart w:id="158" w:name="_Toc394929411"/>
      <w:bookmarkStart w:id="159" w:name="_Toc367270683"/>
      <w:r>
        <w:rPr>
          <w:rFonts w:ascii="宋体" w:hAnsi="宋体" w:cs="宋体"/>
          <w:color w:val="auto"/>
          <w:highlight w:val="none"/>
        </w:rPr>
        <w:t>第一节  通用合同条款</w:t>
      </w:r>
      <w:bookmarkEnd w:id="149"/>
      <w:bookmarkEnd w:id="150"/>
      <w:bookmarkEnd w:id="151"/>
      <w:bookmarkEnd w:id="152"/>
      <w:bookmarkEnd w:id="153"/>
      <w:bookmarkEnd w:id="154"/>
      <w:bookmarkEnd w:id="155"/>
    </w:p>
    <w:p w14:paraId="013FCEF7">
      <w:pPr>
        <w:pStyle w:val="189"/>
        <w:spacing w:before="0" w:after="0" w:line="360" w:lineRule="auto"/>
        <w:rPr>
          <w:color w:val="auto"/>
          <w:highlight w:val="none"/>
        </w:rPr>
      </w:pPr>
      <w:bookmarkStart w:id="160" w:name="_Toc122424433"/>
      <w:bookmarkStart w:id="161" w:name="_Toc122424184"/>
      <w:bookmarkStart w:id="162" w:name="_Toc27832"/>
      <w:r>
        <w:rPr>
          <w:rFonts w:hint="eastAsia"/>
          <w:color w:val="auto"/>
          <w:highlight w:val="none"/>
        </w:rPr>
        <w:t>1. 一般约定</w:t>
      </w:r>
      <w:bookmarkEnd w:id="156"/>
      <w:bookmarkEnd w:id="157"/>
      <w:bookmarkEnd w:id="158"/>
    </w:p>
    <w:p w14:paraId="7D376BB8">
      <w:pPr>
        <w:pStyle w:val="190"/>
        <w:rPr>
          <w:color w:val="auto"/>
          <w:highlight w:val="none"/>
        </w:rPr>
      </w:pPr>
      <w:bookmarkStart w:id="163" w:name="_Toc20252"/>
      <w:r>
        <w:rPr>
          <w:rFonts w:hint="eastAsia"/>
          <w:color w:val="auto"/>
          <w:highlight w:val="none"/>
        </w:rPr>
        <w:t>1.1 词语定义</w:t>
      </w:r>
      <w:bookmarkEnd w:id="159"/>
    </w:p>
    <w:p w14:paraId="7A266653">
      <w:pPr>
        <w:spacing w:line="360" w:lineRule="auto"/>
        <w:ind w:firstLine="480"/>
        <w:rPr>
          <w:color w:val="auto"/>
          <w:highlight w:val="none"/>
        </w:rPr>
      </w:pPr>
      <w:r>
        <w:rPr>
          <w:rFonts w:hint="eastAsia"/>
          <w:color w:val="auto"/>
          <w:highlight w:val="none"/>
        </w:rPr>
        <w:t>通用合同条款、专用合同条款中的下列词语应具有本款所赋予的含义。</w:t>
      </w:r>
    </w:p>
    <w:p w14:paraId="054ED112">
      <w:pPr>
        <w:spacing w:line="360" w:lineRule="auto"/>
        <w:ind w:firstLine="480"/>
        <w:rPr>
          <w:color w:val="auto"/>
          <w:highlight w:val="none"/>
        </w:rPr>
      </w:pPr>
      <w:r>
        <w:rPr>
          <w:rFonts w:hint="eastAsia"/>
          <w:color w:val="auto"/>
          <w:highlight w:val="none"/>
        </w:rPr>
        <w:t>1.1.1 合同</w:t>
      </w:r>
    </w:p>
    <w:p w14:paraId="7BEBE5B8">
      <w:pPr>
        <w:spacing w:line="360" w:lineRule="auto"/>
        <w:ind w:firstLine="480"/>
        <w:rPr>
          <w:color w:val="auto"/>
          <w:highlight w:val="none"/>
        </w:rPr>
      </w:pPr>
      <w:r>
        <w:rPr>
          <w:rFonts w:hint="eastAsia"/>
          <w:color w:val="auto"/>
          <w:highlight w:val="none"/>
        </w:rPr>
        <w:t>1.1.1.1 合同文件（或称合同）：指合同协议书、中标（成交）通知书、投标（竞标）函及投标（竞标）函附录、专用合同条款、通用合同条款、技术标准和要求、图纸、已标价工程量清单，以及其他合同文件。</w:t>
      </w:r>
    </w:p>
    <w:p w14:paraId="537ED506">
      <w:pPr>
        <w:spacing w:line="360" w:lineRule="auto"/>
        <w:ind w:firstLine="480"/>
        <w:rPr>
          <w:color w:val="auto"/>
          <w:highlight w:val="none"/>
        </w:rPr>
      </w:pPr>
      <w:r>
        <w:rPr>
          <w:rFonts w:hint="eastAsia"/>
          <w:color w:val="auto"/>
          <w:highlight w:val="none"/>
        </w:rPr>
        <w:t>1.1.1.2 合同协议书：指第1.5款所指的合同协议书。</w:t>
      </w:r>
    </w:p>
    <w:p w14:paraId="7A44235C">
      <w:pPr>
        <w:spacing w:line="360" w:lineRule="auto"/>
        <w:ind w:firstLine="480"/>
        <w:rPr>
          <w:color w:val="auto"/>
          <w:highlight w:val="none"/>
        </w:rPr>
      </w:pPr>
      <w:r>
        <w:rPr>
          <w:rFonts w:hint="eastAsia"/>
          <w:color w:val="auto"/>
          <w:highlight w:val="none"/>
        </w:rPr>
        <w:t>1.1.1.3 中标（成交）通知书：指发包人通知承包人中标（成交）的函件。</w:t>
      </w:r>
    </w:p>
    <w:p w14:paraId="3742E0C8">
      <w:pPr>
        <w:spacing w:line="360" w:lineRule="auto"/>
        <w:ind w:firstLine="480"/>
        <w:rPr>
          <w:color w:val="auto"/>
          <w:highlight w:val="none"/>
        </w:rPr>
      </w:pPr>
      <w:r>
        <w:rPr>
          <w:rFonts w:hint="eastAsia"/>
          <w:color w:val="auto"/>
          <w:highlight w:val="none"/>
        </w:rPr>
        <w:t>1.1.1.4 投标（竞标）函：指构成合同文件组成部分的由承包人填写并签署的投标函。</w:t>
      </w:r>
    </w:p>
    <w:p w14:paraId="3DEEB47E">
      <w:pPr>
        <w:spacing w:line="360" w:lineRule="auto"/>
        <w:ind w:firstLine="480"/>
        <w:rPr>
          <w:color w:val="auto"/>
          <w:highlight w:val="none"/>
        </w:rPr>
      </w:pPr>
      <w:r>
        <w:rPr>
          <w:rFonts w:hint="eastAsia"/>
          <w:color w:val="auto"/>
          <w:highlight w:val="none"/>
        </w:rPr>
        <w:t>1.1.1.5 投标（竞标）函附录：指附在投标（竞标）函后构成合同文件的投标（竞标）函附录。</w:t>
      </w:r>
    </w:p>
    <w:p w14:paraId="59D392AF">
      <w:pPr>
        <w:spacing w:line="360" w:lineRule="auto"/>
        <w:ind w:firstLine="480"/>
        <w:rPr>
          <w:color w:val="auto"/>
          <w:highlight w:val="none"/>
        </w:rPr>
      </w:pPr>
      <w:r>
        <w:rPr>
          <w:rFonts w:hint="eastAsia"/>
          <w:color w:val="auto"/>
          <w:highlight w:val="none"/>
        </w:rPr>
        <w:t>1.1.1.6 技术标准和要求：指构成合同文件组成部分的名为技术标准和要求的文件，包括合同双方当事人约定对其所作的修改或补充。</w:t>
      </w:r>
    </w:p>
    <w:p w14:paraId="231884FC">
      <w:pPr>
        <w:spacing w:line="360" w:lineRule="auto"/>
        <w:ind w:firstLine="480"/>
        <w:rPr>
          <w:color w:val="auto"/>
          <w:highlight w:val="none"/>
        </w:rPr>
      </w:pPr>
      <w:r>
        <w:rPr>
          <w:rFonts w:hint="eastAsia"/>
          <w:color w:val="auto"/>
          <w:highlight w:val="none"/>
        </w:rPr>
        <w:t>1.1.1.7 图纸：指包含在合同中的工程图纸，以及由发包人按合同约定提供的任何补充和修改的图纸，包括配套的说明。</w:t>
      </w:r>
    </w:p>
    <w:p w14:paraId="2766659F">
      <w:pPr>
        <w:spacing w:line="360" w:lineRule="auto"/>
        <w:ind w:firstLine="480"/>
        <w:rPr>
          <w:color w:val="auto"/>
          <w:highlight w:val="none"/>
        </w:rPr>
      </w:pPr>
      <w:r>
        <w:rPr>
          <w:rFonts w:hint="eastAsia"/>
          <w:color w:val="auto"/>
          <w:highlight w:val="none"/>
        </w:rPr>
        <w:t>1.1.1.8 已标价工程量清单：指构成合同文件组成部分的由承包人按照规定的格式和要求填写并标明价格的工程量清单。</w:t>
      </w:r>
    </w:p>
    <w:p w14:paraId="742F0D0B">
      <w:pPr>
        <w:spacing w:line="360" w:lineRule="auto"/>
        <w:ind w:firstLine="480"/>
        <w:rPr>
          <w:color w:val="auto"/>
          <w:highlight w:val="none"/>
        </w:rPr>
      </w:pPr>
      <w:r>
        <w:rPr>
          <w:rFonts w:hint="eastAsia"/>
          <w:color w:val="auto"/>
          <w:highlight w:val="none"/>
        </w:rPr>
        <w:t>1.1.1.9 其他合同文件：指经合同双方当事人确认构成合同文件的其他文件。</w:t>
      </w:r>
    </w:p>
    <w:p w14:paraId="32EF65A7">
      <w:pPr>
        <w:spacing w:line="360" w:lineRule="auto"/>
        <w:ind w:firstLine="480"/>
        <w:rPr>
          <w:color w:val="auto"/>
          <w:highlight w:val="none"/>
        </w:rPr>
      </w:pPr>
      <w:r>
        <w:rPr>
          <w:rFonts w:hint="eastAsia"/>
          <w:color w:val="auto"/>
          <w:highlight w:val="none"/>
        </w:rPr>
        <w:t>1.1.2 合同当事人和人员</w:t>
      </w:r>
    </w:p>
    <w:p w14:paraId="3D107C67">
      <w:pPr>
        <w:spacing w:line="360" w:lineRule="auto"/>
        <w:ind w:firstLine="480"/>
        <w:rPr>
          <w:color w:val="auto"/>
          <w:highlight w:val="none"/>
        </w:rPr>
      </w:pPr>
      <w:r>
        <w:rPr>
          <w:rFonts w:hint="eastAsia"/>
          <w:color w:val="auto"/>
          <w:highlight w:val="none"/>
        </w:rPr>
        <w:t>1.1.2.1 合同当事人:指发包人和（或）承包人。</w:t>
      </w:r>
    </w:p>
    <w:p w14:paraId="4747D279">
      <w:pPr>
        <w:spacing w:line="360" w:lineRule="auto"/>
        <w:ind w:firstLine="480"/>
        <w:rPr>
          <w:color w:val="auto"/>
          <w:highlight w:val="none"/>
        </w:rPr>
      </w:pPr>
      <w:r>
        <w:rPr>
          <w:rFonts w:hint="eastAsia"/>
          <w:color w:val="auto"/>
          <w:highlight w:val="none"/>
        </w:rPr>
        <w:t>1.1.2.2 发包人：指专用合同条款中指明并与承包人在合同协议书中签字的当事人。</w:t>
      </w:r>
    </w:p>
    <w:p w14:paraId="2542C257">
      <w:pPr>
        <w:spacing w:line="360" w:lineRule="auto"/>
        <w:ind w:firstLine="480"/>
        <w:rPr>
          <w:color w:val="auto"/>
          <w:highlight w:val="none"/>
        </w:rPr>
      </w:pPr>
      <w:r>
        <w:rPr>
          <w:rFonts w:hint="eastAsia"/>
          <w:color w:val="auto"/>
          <w:highlight w:val="none"/>
        </w:rPr>
        <w:t>1.1.2.3 承包人：指与发包人签订合同协议书的当事人。</w:t>
      </w:r>
    </w:p>
    <w:p w14:paraId="41D69096">
      <w:pPr>
        <w:spacing w:line="360" w:lineRule="auto"/>
        <w:ind w:firstLine="480"/>
        <w:rPr>
          <w:color w:val="auto"/>
          <w:highlight w:val="none"/>
        </w:rPr>
      </w:pPr>
      <w:r>
        <w:rPr>
          <w:rFonts w:hint="eastAsia"/>
          <w:color w:val="auto"/>
          <w:highlight w:val="none"/>
        </w:rPr>
        <w:t>1.1.2.4 承包人项目经理：指承包人派驻施工场地的全权负责人。</w:t>
      </w:r>
    </w:p>
    <w:p w14:paraId="29E79ED3">
      <w:pPr>
        <w:spacing w:line="360" w:lineRule="auto"/>
        <w:ind w:firstLine="480"/>
        <w:rPr>
          <w:color w:val="auto"/>
          <w:highlight w:val="none"/>
        </w:rPr>
      </w:pPr>
      <w:r>
        <w:rPr>
          <w:rFonts w:hint="eastAsia"/>
          <w:color w:val="auto"/>
          <w:highlight w:val="none"/>
        </w:rPr>
        <w:t>1.1.2.5 分包人：指从承包人处分包合同中某一部分工程，并与其签订分包合同的分包人。</w:t>
      </w:r>
    </w:p>
    <w:p w14:paraId="35162E11">
      <w:pPr>
        <w:spacing w:line="360" w:lineRule="auto"/>
        <w:ind w:firstLine="480"/>
        <w:rPr>
          <w:color w:val="auto"/>
          <w:highlight w:val="none"/>
        </w:rPr>
      </w:pPr>
      <w:r>
        <w:rPr>
          <w:rFonts w:hint="eastAsia"/>
          <w:color w:val="auto"/>
          <w:highlight w:val="none"/>
        </w:rPr>
        <w:t>1.1.2.6 监理人：指在专用合同条款中指明的，受发包人委托对合同履行实施管理的法人或其他组织。</w:t>
      </w:r>
    </w:p>
    <w:p w14:paraId="2F72D046">
      <w:pPr>
        <w:spacing w:line="360" w:lineRule="auto"/>
        <w:ind w:firstLine="480"/>
        <w:rPr>
          <w:color w:val="auto"/>
          <w:highlight w:val="none"/>
        </w:rPr>
      </w:pPr>
      <w:r>
        <w:rPr>
          <w:rFonts w:hint="eastAsia"/>
          <w:color w:val="auto"/>
          <w:highlight w:val="none"/>
        </w:rPr>
        <w:t>1.1.2.7 总监理工程师（总监）：指由监理人委派常驻施工场地对合同履行实施管理的全权负责人。</w:t>
      </w:r>
    </w:p>
    <w:p w14:paraId="2D3B9D5B">
      <w:pPr>
        <w:spacing w:line="360" w:lineRule="auto"/>
        <w:ind w:firstLine="480"/>
        <w:rPr>
          <w:color w:val="auto"/>
          <w:highlight w:val="none"/>
        </w:rPr>
      </w:pPr>
      <w:r>
        <w:rPr>
          <w:rFonts w:hint="eastAsia"/>
          <w:color w:val="auto"/>
          <w:highlight w:val="none"/>
        </w:rPr>
        <w:t>1.1.3 工程和设备</w:t>
      </w:r>
    </w:p>
    <w:p w14:paraId="3D51E621">
      <w:pPr>
        <w:spacing w:line="360" w:lineRule="auto"/>
        <w:ind w:firstLine="480"/>
        <w:rPr>
          <w:color w:val="auto"/>
          <w:highlight w:val="none"/>
        </w:rPr>
      </w:pPr>
      <w:r>
        <w:rPr>
          <w:rFonts w:hint="eastAsia"/>
          <w:color w:val="auto"/>
          <w:highlight w:val="none"/>
        </w:rPr>
        <w:t>1.1.3.1 工程：指永久工程和（或）临时工程。</w:t>
      </w:r>
    </w:p>
    <w:p w14:paraId="00F119F8">
      <w:pPr>
        <w:spacing w:line="360" w:lineRule="auto"/>
        <w:ind w:firstLine="480"/>
        <w:rPr>
          <w:color w:val="auto"/>
          <w:highlight w:val="none"/>
        </w:rPr>
      </w:pPr>
      <w:r>
        <w:rPr>
          <w:rFonts w:hint="eastAsia"/>
          <w:color w:val="auto"/>
          <w:highlight w:val="none"/>
        </w:rPr>
        <w:t>1.1.3.2 永久工程：指按合同约定建造并移交给发包人的工程，包括工程设备。</w:t>
      </w:r>
    </w:p>
    <w:p w14:paraId="3AB56ED6">
      <w:pPr>
        <w:spacing w:line="360" w:lineRule="auto"/>
        <w:ind w:firstLine="480"/>
        <w:rPr>
          <w:color w:val="auto"/>
          <w:highlight w:val="none"/>
        </w:rPr>
      </w:pPr>
      <w:r>
        <w:rPr>
          <w:rFonts w:hint="eastAsia"/>
          <w:color w:val="auto"/>
          <w:highlight w:val="none"/>
        </w:rPr>
        <w:t>1.1.3.3 临时工程：指为完成合同约定的永久工程所修建的各类临时性工程，不包括施工设备。</w:t>
      </w:r>
    </w:p>
    <w:p w14:paraId="7C8881CC">
      <w:pPr>
        <w:spacing w:line="360" w:lineRule="auto"/>
        <w:ind w:firstLine="480"/>
        <w:rPr>
          <w:color w:val="auto"/>
          <w:highlight w:val="none"/>
        </w:rPr>
      </w:pPr>
      <w:r>
        <w:rPr>
          <w:rFonts w:hint="eastAsia"/>
          <w:color w:val="auto"/>
          <w:highlight w:val="none"/>
        </w:rPr>
        <w:t>1.1.3.4 单位工程：指专用合同条款中指明特定范围的永久工程。</w:t>
      </w:r>
    </w:p>
    <w:p w14:paraId="5453BFBA">
      <w:pPr>
        <w:spacing w:line="360" w:lineRule="auto"/>
        <w:ind w:firstLine="480"/>
        <w:rPr>
          <w:color w:val="auto"/>
          <w:highlight w:val="none"/>
        </w:rPr>
      </w:pPr>
      <w:r>
        <w:rPr>
          <w:rFonts w:hint="eastAsia"/>
          <w:color w:val="auto"/>
          <w:highlight w:val="none"/>
        </w:rPr>
        <w:t>1.1.3.5 工程设备：指构成或计划构成永久工程一部分的机电设备、金属结构设备、仪器装置及其他类似的设备和装置。</w:t>
      </w:r>
    </w:p>
    <w:p w14:paraId="7C1B3A0F">
      <w:pPr>
        <w:spacing w:line="360" w:lineRule="auto"/>
        <w:ind w:firstLine="480"/>
        <w:rPr>
          <w:color w:val="auto"/>
          <w:highlight w:val="none"/>
        </w:rPr>
      </w:pPr>
      <w:r>
        <w:rPr>
          <w:rFonts w:hint="eastAsia"/>
          <w:color w:val="auto"/>
          <w:highlight w:val="none"/>
        </w:rPr>
        <w:t>1.1.3.6 施工设备：指为完成合同约定的各项工作所需的设备、器具和其他物品，不包括临时工程和材料。</w:t>
      </w:r>
    </w:p>
    <w:p w14:paraId="19F07E06">
      <w:pPr>
        <w:spacing w:line="360" w:lineRule="auto"/>
        <w:ind w:firstLine="480"/>
        <w:rPr>
          <w:color w:val="auto"/>
          <w:highlight w:val="none"/>
        </w:rPr>
      </w:pPr>
      <w:r>
        <w:rPr>
          <w:rFonts w:hint="eastAsia"/>
          <w:color w:val="auto"/>
          <w:highlight w:val="none"/>
        </w:rPr>
        <w:t>1.1.3.7 临时设施：指为完成合同约定的各项工作所服务的临时性生产和生活设施。</w:t>
      </w:r>
    </w:p>
    <w:p w14:paraId="61C87879">
      <w:pPr>
        <w:spacing w:line="360" w:lineRule="auto"/>
        <w:ind w:firstLine="480"/>
        <w:rPr>
          <w:color w:val="auto"/>
          <w:highlight w:val="none"/>
        </w:rPr>
      </w:pPr>
      <w:r>
        <w:rPr>
          <w:rFonts w:hint="eastAsia"/>
          <w:color w:val="auto"/>
          <w:highlight w:val="none"/>
        </w:rPr>
        <w:t>1.1.3.8 承包人设备：指承包人自带的施工设备。</w:t>
      </w:r>
    </w:p>
    <w:p w14:paraId="0A5EF809">
      <w:pPr>
        <w:spacing w:line="360" w:lineRule="auto"/>
        <w:ind w:firstLine="480"/>
        <w:rPr>
          <w:color w:val="auto"/>
          <w:highlight w:val="none"/>
        </w:rPr>
      </w:pPr>
      <w:r>
        <w:rPr>
          <w:rFonts w:hint="eastAsia"/>
          <w:color w:val="auto"/>
          <w:highlight w:val="none"/>
        </w:rPr>
        <w:t>1.1.3.9 施工场地（或称工地、现场）：指用于合同工程施工的场所，以及在合同中指定作为施工场地组成部分的其他场所，包括永久占地和临时占地。</w:t>
      </w:r>
    </w:p>
    <w:p w14:paraId="28715110">
      <w:pPr>
        <w:spacing w:line="360" w:lineRule="auto"/>
        <w:ind w:firstLine="480"/>
        <w:rPr>
          <w:color w:val="auto"/>
          <w:highlight w:val="none"/>
        </w:rPr>
      </w:pPr>
      <w:r>
        <w:rPr>
          <w:rFonts w:hint="eastAsia"/>
          <w:color w:val="auto"/>
          <w:highlight w:val="none"/>
        </w:rPr>
        <w:t>1.1.3.10 永久占地：指专用合同条款中指明为实施合同工程需永久占用的土地。</w:t>
      </w:r>
    </w:p>
    <w:p w14:paraId="6789A8D1">
      <w:pPr>
        <w:spacing w:line="360" w:lineRule="auto"/>
        <w:ind w:firstLine="480"/>
        <w:rPr>
          <w:color w:val="auto"/>
          <w:highlight w:val="none"/>
        </w:rPr>
      </w:pPr>
      <w:r>
        <w:rPr>
          <w:rFonts w:hint="eastAsia"/>
          <w:color w:val="auto"/>
          <w:highlight w:val="none"/>
        </w:rPr>
        <w:t>1.1.3.11 临时占地：指专用合同条款中指明为实施合同工程需临时占用的土地。</w:t>
      </w:r>
    </w:p>
    <w:p w14:paraId="218E9F3F">
      <w:pPr>
        <w:spacing w:line="360" w:lineRule="auto"/>
        <w:ind w:firstLine="480"/>
        <w:rPr>
          <w:color w:val="auto"/>
          <w:highlight w:val="none"/>
        </w:rPr>
      </w:pPr>
      <w:r>
        <w:rPr>
          <w:rFonts w:hint="eastAsia"/>
          <w:color w:val="auto"/>
          <w:highlight w:val="none"/>
        </w:rPr>
        <w:t>1.1.4 日期</w:t>
      </w:r>
    </w:p>
    <w:p w14:paraId="5D1D1115">
      <w:pPr>
        <w:spacing w:line="360" w:lineRule="auto"/>
        <w:ind w:firstLine="480"/>
        <w:rPr>
          <w:color w:val="auto"/>
          <w:highlight w:val="none"/>
        </w:rPr>
      </w:pPr>
      <w:r>
        <w:rPr>
          <w:rFonts w:hint="eastAsia"/>
          <w:color w:val="auto"/>
          <w:highlight w:val="none"/>
        </w:rPr>
        <w:t>1.1.4.1 开工通知：指监理人按第11.1款通知承包人开工的函件。</w:t>
      </w:r>
    </w:p>
    <w:p w14:paraId="0FFAB0DE">
      <w:pPr>
        <w:spacing w:line="360" w:lineRule="auto"/>
        <w:ind w:firstLine="480"/>
        <w:rPr>
          <w:color w:val="auto"/>
          <w:highlight w:val="none"/>
        </w:rPr>
      </w:pPr>
      <w:r>
        <w:rPr>
          <w:rFonts w:hint="eastAsia"/>
          <w:color w:val="auto"/>
          <w:highlight w:val="none"/>
        </w:rPr>
        <w:t>1.1.4.2 开工日期：指监理人按第11.1款发出的开工通知中写明的开工日期。</w:t>
      </w:r>
    </w:p>
    <w:p w14:paraId="420F234B">
      <w:pPr>
        <w:spacing w:line="360" w:lineRule="auto"/>
        <w:ind w:firstLine="480"/>
        <w:rPr>
          <w:color w:val="auto"/>
          <w:highlight w:val="none"/>
        </w:rPr>
      </w:pPr>
      <w:r>
        <w:rPr>
          <w:rFonts w:hint="eastAsia"/>
          <w:color w:val="auto"/>
          <w:highlight w:val="none"/>
        </w:rPr>
        <w:t>1.1.4.3 工期：指承包人在投标函中承诺的完成合同工程所需的期限，包括按第11.3款、第11.4款和第11.6款约定所作的变更。</w:t>
      </w:r>
    </w:p>
    <w:p w14:paraId="03DE5C61">
      <w:pPr>
        <w:spacing w:line="360" w:lineRule="auto"/>
        <w:ind w:firstLine="480"/>
        <w:rPr>
          <w:color w:val="auto"/>
          <w:highlight w:val="none"/>
        </w:rPr>
      </w:pPr>
      <w:r>
        <w:rPr>
          <w:rFonts w:hint="eastAsia"/>
          <w:color w:val="auto"/>
          <w:highlight w:val="none"/>
        </w:rPr>
        <w:t>1.1.4.4 竣工日期：指第1.1.4.3目约定工期届满时的日期。实际竣工日期以工程接收证书中写明的日期为准。</w:t>
      </w:r>
    </w:p>
    <w:p w14:paraId="3D5BBC5A">
      <w:pPr>
        <w:spacing w:line="360" w:lineRule="auto"/>
        <w:ind w:firstLine="480"/>
        <w:rPr>
          <w:color w:val="auto"/>
          <w:highlight w:val="none"/>
        </w:rPr>
      </w:pPr>
      <w:r>
        <w:rPr>
          <w:rFonts w:hint="eastAsia"/>
          <w:color w:val="auto"/>
          <w:highlight w:val="none"/>
        </w:rPr>
        <w:t>1.1.4.5 缺陷责任期：指履行第19.2款约定的缺陷责任的期限，具体期限由专用合同条款约定，包括根据第19.3款约定所作的延长。</w:t>
      </w:r>
    </w:p>
    <w:p w14:paraId="1BD3EC3B">
      <w:pPr>
        <w:spacing w:line="360" w:lineRule="auto"/>
        <w:ind w:firstLine="480"/>
        <w:rPr>
          <w:color w:val="auto"/>
          <w:highlight w:val="none"/>
        </w:rPr>
      </w:pPr>
      <w:r>
        <w:rPr>
          <w:rFonts w:hint="eastAsia"/>
          <w:color w:val="auto"/>
          <w:highlight w:val="none"/>
        </w:rPr>
        <w:t>1.1.4.6 基准日期：指投标截止时间前28天的日期。</w:t>
      </w:r>
    </w:p>
    <w:p w14:paraId="64B61CE6">
      <w:pPr>
        <w:spacing w:line="360" w:lineRule="auto"/>
        <w:ind w:firstLine="480"/>
        <w:rPr>
          <w:color w:val="auto"/>
          <w:highlight w:val="none"/>
        </w:rPr>
      </w:pPr>
      <w:r>
        <w:rPr>
          <w:rFonts w:hint="eastAsia"/>
          <w:color w:val="auto"/>
          <w:highlight w:val="none"/>
        </w:rPr>
        <w:t>1.1.4.7 天：除特别指明外，指日历天。合同中按天计算时间的，开始当天不计入，从次日开始计算。期限最后一天的截止时间为当天24:00。</w:t>
      </w:r>
    </w:p>
    <w:p w14:paraId="2D8A3311">
      <w:pPr>
        <w:spacing w:line="360" w:lineRule="auto"/>
        <w:ind w:firstLine="480"/>
        <w:rPr>
          <w:color w:val="auto"/>
          <w:highlight w:val="none"/>
        </w:rPr>
      </w:pPr>
      <w:r>
        <w:rPr>
          <w:rFonts w:hint="eastAsia"/>
          <w:color w:val="auto"/>
          <w:highlight w:val="none"/>
        </w:rPr>
        <w:t>1.1.5 合同价格和费用</w:t>
      </w:r>
    </w:p>
    <w:p w14:paraId="142B0F8F">
      <w:pPr>
        <w:spacing w:line="360" w:lineRule="auto"/>
        <w:ind w:firstLine="480"/>
        <w:rPr>
          <w:color w:val="auto"/>
          <w:highlight w:val="none"/>
        </w:rPr>
      </w:pPr>
      <w:r>
        <w:rPr>
          <w:rFonts w:hint="eastAsia"/>
          <w:color w:val="auto"/>
          <w:highlight w:val="none"/>
        </w:rPr>
        <w:t>1.1.5.1 签约合同价：指签订合同时合同协议书中写明的，包括了暂列金额、暂估价的合同总金额。</w:t>
      </w:r>
    </w:p>
    <w:p w14:paraId="48497ABE">
      <w:pPr>
        <w:spacing w:line="360" w:lineRule="auto"/>
        <w:ind w:firstLine="480"/>
        <w:rPr>
          <w:color w:val="auto"/>
          <w:highlight w:val="none"/>
        </w:rPr>
      </w:pPr>
      <w:r>
        <w:rPr>
          <w:rFonts w:hint="eastAsia"/>
          <w:color w:val="auto"/>
          <w:highlight w:val="none"/>
        </w:rPr>
        <w:t>1.1.5.2 合同价格：指承包人按合同约定完成了包括缺陷责任期内的全部承包工作后，发包人应付给承包人的金额，包括在履行合同过程中按合同约定进行的变更和调整。</w:t>
      </w:r>
    </w:p>
    <w:p w14:paraId="1E2A2372">
      <w:pPr>
        <w:spacing w:line="360" w:lineRule="auto"/>
        <w:ind w:firstLine="480"/>
        <w:rPr>
          <w:color w:val="auto"/>
          <w:highlight w:val="none"/>
        </w:rPr>
      </w:pPr>
      <w:r>
        <w:rPr>
          <w:rFonts w:hint="eastAsia"/>
          <w:color w:val="auto"/>
          <w:highlight w:val="none"/>
        </w:rPr>
        <w:t>1.1.5.3 费用：指为履行合同所发生的或将要发生的所有合理开支，包括管理费和应分摊的其他费用，但不包括利润。</w:t>
      </w:r>
    </w:p>
    <w:p w14:paraId="2C34AC76">
      <w:pPr>
        <w:spacing w:line="360" w:lineRule="auto"/>
        <w:ind w:firstLine="480"/>
        <w:rPr>
          <w:color w:val="auto"/>
          <w:highlight w:val="none"/>
        </w:rPr>
      </w:pPr>
      <w:r>
        <w:rPr>
          <w:rFonts w:hint="eastAsia"/>
          <w:color w:val="auto"/>
          <w:highlight w:val="none"/>
        </w:rPr>
        <w:t>1.1.5.4 暂列金额：指已标价工程量清单中所列的暂列金额，用于在签订协议书时尚未确定或不可预见变更的施工及其所需材料、工程设备、服务等的金额，包括以计日工方式支付的金额。</w:t>
      </w:r>
    </w:p>
    <w:p w14:paraId="70AD633D">
      <w:pPr>
        <w:spacing w:line="360" w:lineRule="auto"/>
        <w:ind w:firstLine="480"/>
        <w:rPr>
          <w:color w:val="auto"/>
          <w:highlight w:val="none"/>
        </w:rPr>
      </w:pPr>
      <w:r>
        <w:rPr>
          <w:color w:val="auto"/>
          <w:highlight w:val="none"/>
        </w:rPr>
        <w:t>1.1.5.5 暂估价</w:t>
      </w:r>
      <w:r>
        <w:rPr>
          <w:rFonts w:hint="eastAsia"/>
          <w:color w:val="auto"/>
          <w:highlight w:val="none"/>
        </w:rPr>
        <w:t>：指发包人在工程量清单中给定的用于支付必然发生但暂时不能确定价格的材料、设备以及专业工程的金额。</w:t>
      </w:r>
    </w:p>
    <w:p w14:paraId="302B7C7C">
      <w:pPr>
        <w:spacing w:line="360" w:lineRule="auto"/>
        <w:ind w:firstLine="480"/>
        <w:rPr>
          <w:color w:val="auto"/>
          <w:highlight w:val="none"/>
        </w:rPr>
      </w:pPr>
      <w:r>
        <w:rPr>
          <w:rFonts w:hint="eastAsia"/>
          <w:color w:val="auto"/>
          <w:highlight w:val="none"/>
        </w:rPr>
        <w:t>1.1.5.6 计日工：指对零星工作采取的一种计价方式，按合同中的计日工子目及其单价计价付款。</w:t>
      </w:r>
    </w:p>
    <w:p w14:paraId="395B4FC6">
      <w:pPr>
        <w:spacing w:line="360" w:lineRule="auto"/>
        <w:ind w:firstLine="480"/>
        <w:rPr>
          <w:color w:val="auto"/>
          <w:highlight w:val="none"/>
        </w:rPr>
      </w:pPr>
      <w:r>
        <w:rPr>
          <w:rFonts w:hint="eastAsia"/>
          <w:color w:val="auto"/>
          <w:highlight w:val="none"/>
        </w:rPr>
        <w:t>1.1.5.7 质量保证金（或称保留金）：指按第17.4.1项约定用于保证在缺陷责任期内履行缺陷修复义务的金额。</w:t>
      </w:r>
    </w:p>
    <w:p w14:paraId="69E0B4F8">
      <w:pPr>
        <w:spacing w:line="360" w:lineRule="auto"/>
        <w:ind w:firstLine="480"/>
        <w:rPr>
          <w:color w:val="auto"/>
          <w:highlight w:val="none"/>
        </w:rPr>
      </w:pPr>
      <w:r>
        <w:rPr>
          <w:rFonts w:hint="eastAsia"/>
          <w:color w:val="auto"/>
          <w:highlight w:val="none"/>
        </w:rPr>
        <w:t>1.1.6 其他</w:t>
      </w:r>
    </w:p>
    <w:p w14:paraId="32975167">
      <w:pPr>
        <w:spacing w:line="360" w:lineRule="auto"/>
        <w:ind w:firstLine="480"/>
        <w:rPr>
          <w:color w:val="auto"/>
          <w:highlight w:val="none"/>
        </w:rPr>
      </w:pPr>
      <w:r>
        <w:rPr>
          <w:rFonts w:hint="eastAsia"/>
          <w:color w:val="auto"/>
          <w:highlight w:val="none"/>
        </w:rPr>
        <w:t>1.1.6.1 书面形式：指合同文件、信函、电报、传真等可以有形地表现所载内容的形式。</w:t>
      </w:r>
    </w:p>
    <w:p w14:paraId="5413A828">
      <w:pPr>
        <w:pStyle w:val="190"/>
        <w:rPr>
          <w:color w:val="auto"/>
          <w:highlight w:val="none"/>
        </w:rPr>
      </w:pPr>
      <w:bookmarkStart w:id="164" w:name="_Toc15769"/>
      <w:r>
        <w:rPr>
          <w:rFonts w:hint="eastAsia"/>
          <w:color w:val="auto"/>
          <w:highlight w:val="none"/>
        </w:rPr>
        <w:t>1.2 语言文字</w:t>
      </w:r>
      <w:bookmarkEnd w:id="160"/>
    </w:p>
    <w:p w14:paraId="0E20964D">
      <w:pPr>
        <w:spacing w:line="360" w:lineRule="auto"/>
        <w:ind w:firstLine="480"/>
        <w:rPr>
          <w:color w:val="auto"/>
          <w:highlight w:val="none"/>
        </w:rPr>
      </w:pPr>
      <w:r>
        <w:rPr>
          <w:rFonts w:hint="eastAsia"/>
          <w:color w:val="auto"/>
          <w:highlight w:val="none"/>
        </w:rPr>
        <w:t>除专用术语外，合同使用的语言文字为中文。必要时专用术语应附有中文注释。</w:t>
      </w:r>
    </w:p>
    <w:p w14:paraId="31AD175A">
      <w:pPr>
        <w:pStyle w:val="190"/>
        <w:rPr>
          <w:color w:val="auto"/>
          <w:highlight w:val="none"/>
        </w:rPr>
      </w:pPr>
      <w:bookmarkStart w:id="165" w:name="_Toc11417"/>
      <w:r>
        <w:rPr>
          <w:rFonts w:hint="eastAsia"/>
          <w:color w:val="auto"/>
          <w:highlight w:val="none"/>
        </w:rPr>
        <w:t>1.3 法律</w:t>
      </w:r>
      <w:bookmarkEnd w:id="161"/>
    </w:p>
    <w:p w14:paraId="6E910096">
      <w:pPr>
        <w:spacing w:line="360" w:lineRule="auto"/>
        <w:ind w:firstLine="480"/>
        <w:rPr>
          <w:color w:val="auto"/>
          <w:highlight w:val="none"/>
        </w:rPr>
      </w:pPr>
      <w:r>
        <w:rPr>
          <w:rFonts w:hint="eastAsia"/>
          <w:color w:val="auto"/>
          <w:highlight w:val="none"/>
        </w:rPr>
        <w:t>适用于合同的法律包括中华人民共和国法律、行政法规、部门规章，以及工程所在地的地方法规、自治条例、单行条例和地方政府规章。</w:t>
      </w:r>
    </w:p>
    <w:p w14:paraId="4CB47CD4">
      <w:pPr>
        <w:pStyle w:val="190"/>
        <w:rPr>
          <w:color w:val="auto"/>
          <w:highlight w:val="none"/>
        </w:rPr>
      </w:pPr>
      <w:bookmarkStart w:id="166" w:name="_Toc32224"/>
      <w:r>
        <w:rPr>
          <w:rFonts w:hint="eastAsia"/>
          <w:color w:val="auto"/>
          <w:highlight w:val="none"/>
        </w:rPr>
        <w:t>1.4 合同文件的优先顺序</w:t>
      </w:r>
      <w:bookmarkEnd w:id="162"/>
    </w:p>
    <w:p w14:paraId="1C207AEB">
      <w:pPr>
        <w:spacing w:line="360" w:lineRule="auto"/>
        <w:ind w:firstLine="480"/>
        <w:rPr>
          <w:color w:val="auto"/>
          <w:highlight w:val="none"/>
        </w:rPr>
      </w:pPr>
      <w:r>
        <w:rPr>
          <w:rFonts w:hint="eastAsia"/>
          <w:color w:val="auto"/>
          <w:highlight w:val="none"/>
        </w:rPr>
        <w:t>组成合同的各项文件应互相解释，互为说明。除专用合同条款另有约定外，解释合同文件的优先顺序如下：</w:t>
      </w:r>
    </w:p>
    <w:p w14:paraId="2D1415C1">
      <w:pPr>
        <w:spacing w:line="360" w:lineRule="auto"/>
        <w:ind w:firstLine="480"/>
        <w:rPr>
          <w:color w:val="auto"/>
          <w:highlight w:val="none"/>
        </w:rPr>
      </w:pPr>
      <w:r>
        <w:rPr>
          <w:rFonts w:hint="eastAsia"/>
          <w:color w:val="auto"/>
          <w:highlight w:val="none"/>
        </w:rPr>
        <w:t>（1）合同协议书；</w:t>
      </w:r>
    </w:p>
    <w:p w14:paraId="55E7E726">
      <w:pPr>
        <w:spacing w:line="360" w:lineRule="auto"/>
        <w:ind w:firstLine="480"/>
        <w:rPr>
          <w:color w:val="auto"/>
          <w:highlight w:val="none"/>
        </w:rPr>
      </w:pPr>
      <w:r>
        <w:rPr>
          <w:rFonts w:hint="eastAsia"/>
          <w:color w:val="auto"/>
          <w:highlight w:val="none"/>
        </w:rPr>
        <w:t>（2）成交通知书；</w:t>
      </w:r>
    </w:p>
    <w:p w14:paraId="646AF3EB">
      <w:pPr>
        <w:spacing w:line="360" w:lineRule="auto"/>
        <w:ind w:firstLine="480"/>
        <w:rPr>
          <w:color w:val="auto"/>
          <w:highlight w:val="none"/>
        </w:rPr>
      </w:pPr>
      <w:r>
        <w:rPr>
          <w:rFonts w:hint="eastAsia"/>
          <w:color w:val="auto"/>
          <w:highlight w:val="none"/>
        </w:rPr>
        <w:t>（3）竞标函及竞标函附录；</w:t>
      </w:r>
    </w:p>
    <w:p w14:paraId="0294B9BD">
      <w:pPr>
        <w:spacing w:line="360" w:lineRule="auto"/>
        <w:ind w:firstLine="480"/>
        <w:rPr>
          <w:color w:val="auto"/>
          <w:highlight w:val="none"/>
        </w:rPr>
      </w:pPr>
      <w:r>
        <w:rPr>
          <w:rFonts w:hint="eastAsia"/>
          <w:color w:val="auto"/>
          <w:highlight w:val="none"/>
        </w:rPr>
        <w:t>（4）专用合同条款；</w:t>
      </w:r>
    </w:p>
    <w:p w14:paraId="5DFD75EB">
      <w:pPr>
        <w:spacing w:line="360" w:lineRule="auto"/>
        <w:ind w:firstLine="480"/>
        <w:rPr>
          <w:color w:val="auto"/>
          <w:highlight w:val="none"/>
        </w:rPr>
      </w:pPr>
      <w:r>
        <w:rPr>
          <w:rFonts w:hint="eastAsia"/>
          <w:color w:val="auto"/>
          <w:highlight w:val="none"/>
        </w:rPr>
        <w:t>（5）通用合同条款；</w:t>
      </w:r>
    </w:p>
    <w:p w14:paraId="44137108">
      <w:pPr>
        <w:spacing w:line="360" w:lineRule="auto"/>
        <w:ind w:firstLine="480"/>
        <w:rPr>
          <w:color w:val="auto"/>
          <w:highlight w:val="none"/>
        </w:rPr>
      </w:pPr>
      <w:r>
        <w:rPr>
          <w:rFonts w:hint="eastAsia"/>
          <w:color w:val="auto"/>
          <w:highlight w:val="none"/>
        </w:rPr>
        <w:t>（6）技术标准和要求；</w:t>
      </w:r>
    </w:p>
    <w:p w14:paraId="03C53216">
      <w:pPr>
        <w:spacing w:line="360" w:lineRule="auto"/>
        <w:ind w:firstLine="480"/>
        <w:rPr>
          <w:color w:val="auto"/>
          <w:highlight w:val="none"/>
        </w:rPr>
      </w:pPr>
      <w:r>
        <w:rPr>
          <w:rFonts w:hint="eastAsia"/>
          <w:color w:val="auto"/>
          <w:highlight w:val="none"/>
        </w:rPr>
        <w:t>（7）图纸；</w:t>
      </w:r>
    </w:p>
    <w:p w14:paraId="1C109779">
      <w:pPr>
        <w:spacing w:line="360" w:lineRule="auto"/>
        <w:ind w:firstLine="480"/>
        <w:rPr>
          <w:color w:val="auto"/>
          <w:highlight w:val="none"/>
        </w:rPr>
      </w:pPr>
      <w:r>
        <w:rPr>
          <w:rFonts w:hint="eastAsia"/>
          <w:color w:val="auto"/>
          <w:highlight w:val="none"/>
        </w:rPr>
        <w:t>（8）已标价工程量清单；</w:t>
      </w:r>
    </w:p>
    <w:p w14:paraId="21190003">
      <w:pPr>
        <w:spacing w:line="360" w:lineRule="auto"/>
        <w:ind w:firstLine="480"/>
        <w:rPr>
          <w:color w:val="auto"/>
          <w:highlight w:val="none"/>
        </w:rPr>
      </w:pPr>
      <w:r>
        <w:rPr>
          <w:rFonts w:hint="eastAsia"/>
          <w:color w:val="auto"/>
          <w:highlight w:val="none"/>
        </w:rPr>
        <w:t>（9）其他合同文件。</w:t>
      </w:r>
    </w:p>
    <w:p w14:paraId="6A0C6C23">
      <w:pPr>
        <w:pStyle w:val="190"/>
        <w:rPr>
          <w:color w:val="auto"/>
          <w:highlight w:val="none"/>
        </w:rPr>
      </w:pPr>
      <w:bookmarkStart w:id="167" w:name="_Toc1568"/>
      <w:r>
        <w:rPr>
          <w:rFonts w:hint="eastAsia"/>
          <w:color w:val="auto"/>
          <w:highlight w:val="none"/>
        </w:rPr>
        <w:t>1.5 合同协议书</w:t>
      </w:r>
      <w:bookmarkEnd w:id="163"/>
    </w:p>
    <w:p w14:paraId="0246C864">
      <w:pPr>
        <w:spacing w:line="360" w:lineRule="auto"/>
        <w:ind w:firstLine="480"/>
        <w:rPr>
          <w:color w:val="auto"/>
          <w:highlight w:val="none"/>
        </w:rPr>
      </w:pPr>
      <w:r>
        <w:rPr>
          <w:rFonts w:hint="eastAsia"/>
          <w:color w:val="auto"/>
          <w:highlight w:val="none"/>
        </w:rPr>
        <w:t>承包人按中标通知书规定的时间与发包人签订合同协议书。除法律另有规定或合同另有约定外，发包人和承包人的法定代表人或其委托代理人在合同协议书上签字并盖单位章后，合同生效。</w:t>
      </w:r>
    </w:p>
    <w:p w14:paraId="62936E3D">
      <w:pPr>
        <w:pStyle w:val="190"/>
        <w:rPr>
          <w:color w:val="auto"/>
          <w:highlight w:val="none"/>
        </w:rPr>
      </w:pPr>
      <w:bookmarkStart w:id="168" w:name="_Toc13393"/>
      <w:r>
        <w:rPr>
          <w:rFonts w:hint="eastAsia"/>
          <w:color w:val="auto"/>
          <w:highlight w:val="none"/>
        </w:rPr>
        <w:t>1.6 图纸和承包人文件</w:t>
      </w:r>
      <w:bookmarkEnd w:id="164"/>
    </w:p>
    <w:p w14:paraId="71BE15F5">
      <w:pPr>
        <w:spacing w:line="360" w:lineRule="auto"/>
        <w:ind w:firstLine="480"/>
        <w:rPr>
          <w:color w:val="auto"/>
          <w:highlight w:val="none"/>
        </w:rPr>
      </w:pPr>
      <w:r>
        <w:rPr>
          <w:color w:val="auto"/>
          <w:highlight w:val="none"/>
        </w:rPr>
        <w:t>1.6.1 图纸的提供</w:t>
      </w:r>
    </w:p>
    <w:p w14:paraId="191C980E">
      <w:pPr>
        <w:spacing w:line="360" w:lineRule="auto"/>
        <w:ind w:firstLine="480"/>
        <w:rPr>
          <w:color w:val="auto"/>
          <w:highlight w:val="none"/>
        </w:rPr>
      </w:pPr>
      <w:r>
        <w:rPr>
          <w:rFonts w:hint="eastAsia"/>
          <w:color w:val="auto"/>
          <w:highlight w:val="none"/>
        </w:rPr>
        <w:t>除专用合同条款另有约定外，图纸应在合理的期限内按照合同约定的数量提供给承包人。由于发包人未按时提供图纸造成工期延误的，按第11.3款的约定办理。</w:t>
      </w:r>
    </w:p>
    <w:p w14:paraId="711629E8">
      <w:pPr>
        <w:spacing w:line="360" w:lineRule="auto"/>
        <w:ind w:firstLine="480"/>
        <w:rPr>
          <w:color w:val="auto"/>
          <w:highlight w:val="none"/>
        </w:rPr>
      </w:pPr>
      <w:r>
        <w:rPr>
          <w:rFonts w:hint="eastAsia"/>
          <w:color w:val="auto"/>
          <w:highlight w:val="none"/>
        </w:rPr>
        <w:t>1.6.2 承包人提供的文件</w:t>
      </w:r>
    </w:p>
    <w:p w14:paraId="6FE25D57">
      <w:pPr>
        <w:spacing w:line="360" w:lineRule="auto"/>
        <w:ind w:firstLine="480"/>
        <w:rPr>
          <w:color w:val="auto"/>
          <w:highlight w:val="none"/>
        </w:rPr>
      </w:pPr>
      <w:r>
        <w:rPr>
          <w:rFonts w:hint="eastAsia"/>
          <w:color w:val="auto"/>
          <w:highlight w:val="none"/>
        </w:rPr>
        <w:t>按专用合同条款约定由承包人提供的文件，包括部分工程的大样图、加工图等，承包人应按约定的数量和期限报送监理人。监理人应在专用合同条款约定的期限内批复。</w:t>
      </w:r>
    </w:p>
    <w:p w14:paraId="36FE28D2">
      <w:pPr>
        <w:spacing w:line="360" w:lineRule="auto"/>
        <w:ind w:firstLine="480"/>
        <w:rPr>
          <w:color w:val="auto"/>
          <w:highlight w:val="none"/>
        </w:rPr>
      </w:pPr>
      <w:r>
        <w:rPr>
          <w:rFonts w:hint="eastAsia"/>
          <w:color w:val="auto"/>
          <w:highlight w:val="none"/>
        </w:rPr>
        <w:t>1.6.3 图纸的修改</w:t>
      </w:r>
    </w:p>
    <w:p w14:paraId="2E326252">
      <w:pPr>
        <w:spacing w:line="360" w:lineRule="auto"/>
        <w:ind w:firstLine="480"/>
        <w:rPr>
          <w:color w:val="auto"/>
          <w:highlight w:val="none"/>
        </w:rPr>
      </w:pPr>
      <w:r>
        <w:rPr>
          <w:rFonts w:hint="eastAsia"/>
          <w:color w:val="auto"/>
          <w:highlight w:val="none"/>
        </w:rPr>
        <w:t xml:space="preserve">图纸需要修改和补充的，应由监理人取得发包人同意后，在该工程或工程相应部位施工前的合理期限内签发图纸修改图给承包人，具体签发期限在专用合同条款中约定。承包人应按修改后的图纸施工。 </w:t>
      </w:r>
    </w:p>
    <w:p w14:paraId="0164B347">
      <w:pPr>
        <w:spacing w:line="360" w:lineRule="auto"/>
        <w:ind w:firstLine="480"/>
        <w:rPr>
          <w:color w:val="auto"/>
          <w:highlight w:val="none"/>
        </w:rPr>
      </w:pPr>
      <w:r>
        <w:rPr>
          <w:rFonts w:hint="eastAsia"/>
          <w:color w:val="auto"/>
          <w:highlight w:val="none"/>
        </w:rPr>
        <w:t>1.6.4 图纸的错误</w:t>
      </w:r>
    </w:p>
    <w:p w14:paraId="41BC00A0">
      <w:pPr>
        <w:spacing w:line="360" w:lineRule="auto"/>
        <w:ind w:firstLine="480"/>
        <w:rPr>
          <w:color w:val="auto"/>
          <w:highlight w:val="none"/>
        </w:rPr>
      </w:pPr>
      <w:r>
        <w:rPr>
          <w:rFonts w:hint="eastAsia"/>
          <w:color w:val="auto"/>
          <w:highlight w:val="none"/>
        </w:rPr>
        <w:t>承包人发现发包人提供的图纸存在明显错误或疏忽，应及时通知监理人。</w:t>
      </w:r>
    </w:p>
    <w:p w14:paraId="33655CF2">
      <w:pPr>
        <w:spacing w:line="360" w:lineRule="auto"/>
        <w:ind w:firstLine="480"/>
        <w:rPr>
          <w:color w:val="auto"/>
          <w:highlight w:val="none"/>
        </w:rPr>
      </w:pPr>
      <w:r>
        <w:rPr>
          <w:rFonts w:hint="eastAsia"/>
          <w:color w:val="auto"/>
          <w:highlight w:val="none"/>
        </w:rPr>
        <w:t>1.6.5 图纸和承包人文件的保管</w:t>
      </w:r>
    </w:p>
    <w:p w14:paraId="30B0AE70">
      <w:pPr>
        <w:spacing w:line="360" w:lineRule="auto"/>
        <w:ind w:firstLine="480"/>
        <w:rPr>
          <w:color w:val="auto"/>
          <w:highlight w:val="none"/>
        </w:rPr>
      </w:pPr>
      <w:r>
        <w:rPr>
          <w:rFonts w:hint="eastAsia"/>
          <w:color w:val="auto"/>
          <w:highlight w:val="none"/>
        </w:rPr>
        <w:t>监理人和承包人均应在施工场地各保存一套完整的包含第1.6.1项、第1.6.2项、第1.6.3项约定内容的图纸和承包人文件。</w:t>
      </w:r>
    </w:p>
    <w:p w14:paraId="7BC6B129">
      <w:pPr>
        <w:pStyle w:val="190"/>
        <w:rPr>
          <w:color w:val="auto"/>
          <w:highlight w:val="none"/>
        </w:rPr>
      </w:pPr>
      <w:bookmarkStart w:id="169" w:name="_Toc25436"/>
      <w:r>
        <w:rPr>
          <w:rFonts w:hint="eastAsia"/>
          <w:color w:val="auto"/>
          <w:highlight w:val="none"/>
        </w:rPr>
        <w:t>1.7 联络</w:t>
      </w:r>
      <w:bookmarkEnd w:id="165"/>
    </w:p>
    <w:p w14:paraId="3DD85C2E">
      <w:pPr>
        <w:spacing w:line="360" w:lineRule="auto"/>
        <w:ind w:firstLine="480"/>
        <w:rPr>
          <w:color w:val="auto"/>
          <w:highlight w:val="none"/>
        </w:rPr>
      </w:pPr>
      <w:r>
        <w:rPr>
          <w:rFonts w:hint="eastAsia"/>
          <w:color w:val="auto"/>
          <w:highlight w:val="none"/>
        </w:rPr>
        <w:t>1.7.1 与合同有关的通知、批准、证明、证书、指示、要求、请求、同意、意见、确定和决定等，均应采用书面形式。</w:t>
      </w:r>
    </w:p>
    <w:p w14:paraId="40365560">
      <w:pPr>
        <w:spacing w:line="360" w:lineRule="auto"/>
        <w:ind w:firstLine="480"/>
        <w:rPr>
          <w:color w:val="auto"/>
          <w:highlight w:val="none"/>
        </w:rPr>
      </w:pPr>
      <w:r>
        <w:rPr>
          <w:rFonts w:hint="eastAsia"/>
          <w:color w:val="auto"/>
          <w:highlight w:val="none"/>
        </w:rPr>
        <w:t>1.7.2 第1.7.1项中的通知、批准、证明、证书、指示、要求、请求、同意、意见、确定和决定等来往函件，均应在合同约定的期限内送达指定地点和接收人，并办理签收手续。</w:t>
      </w:r>
    </w:p>
    <w:p w14:paraId="2B755A97">
      <w:pPr>
        <w:pStyle w:val="190"/>
        <w:rPr>
          <w:color w:val="auto"/>
          <w:highlight w:val="none"/>
        </w:rPr>
      </w:pPr>
      <w:bookmarkStart w:id="170" w:name="_Toc15893"/>
      <w:r>
        <w:rPr>
          <w:rFonts w:hint="eastAsia"/>
          <w:color w:val="auto"/>
          <w:highlight w:val="none"/>
        </w:rPr>
        <w:t>1.8 转让</w:t>
      </w:r>
      <w:bookmarkEnd w:id="166"/>
    </w:p>
    <w:p w14:paraId="3A76974D">
      <w:pPr>
        <w:spacing w:line="360" w:lineRule="auto"/>
        <w:ind w:firstLine="480"/>
        <w:rPr>
          <w:color w:val="auto"/>
          <w:highlight w:val="none"/>
        </w:rPr>
      </w:pPr>
      <w:r>
        <w:rPr>
          <w:rFonts w:hint="eastAsia"/>
          <w:color w:val="auto"/>
          <w:highlight w:val="none"/>
        </w:rPr>
        <w:t>除合同另有约定外，未经对方当事人同意，一方当事人不得将合同权利全部或部分转让给第三人，也不得全部或部分转移合同义务。</w:t>
      </w:r>
    </w:p>
    <w:p w14:paraId="4771FDC1">
      <w:pPr>
        <w:pStyle w:val="190"/>
        <w:rPr>
          <w:color w:val="auto"/>
          <w:highlight w:val="none"/>
        </w:rPr>
      </w:pPr>
      <w:bookmarkStart w:id="171" w:name="_Toc30802"/>
      <w:r>
        <w:rPr>
          <w:rFonts w:hint="eastAsia"/>
          <w:color w:val="auto"/>
          <w:highlight w:val="none"/>
        </w:rPr>
        <w:t>1.9 严禁贿赂</w:t>
      </w:r>
      <w:bookmarkEnd w:id="167"/>
    </w:p>
    <w:p w14:paraId="2892ED92">
      <w:pPr>
        <w:spacing w:line="360" w:lineRule="auto"/>
        <w:ind w:firstLine="480"/>
        <w:rPr>
          <w:color w:val="auto"/>
          <w:highlight w:val="none"/>
        </w:rPr>
      </w:pPr>
      <w:r>
        <w:rPr>
          <w:rFonts w:hint="eastAsia"/>
          <w:color w:val="auto"/>
          <w:highlight w:val="none"/>
        </w:rPr>
        <w:t>合同双方当事人不得以贿赂或变相贿赂的方式，谋取不当利益或损害对方权益。因贿赂造成对方损失的，行为人应赔偿损失，并承担相应的法律责任。</w:t>
      </w:r>
    </w:p>
    <w:p w14:paraId="7535FAF3">
      <w:pPr>
        <w:pStyle w:val="190"/>
        <w:rPr>
          <w:color w:val="auto"/>
          <w:highlight w:val="none"/>
        </w:rPr>
      </w:pPr>
      <w:bookmarkStart w:id="172" w:name="_Toc9359"/>
      <w:r>
        <w:rPr>
          <w:rFonts w:hint="eastAsia"/>
          <w:color w:val="auto"/>
          <w:highlight w:val="none"/>
        </w:rPr>
        <w:t>1.10 化石、文物</w:t>
      </w:r>
      <w:bookmarkEnd w:id="168"/>
    </w:p>
    <w:p w14:paraId="2EE352A4">
      <w:pPr>
        <w:spacing w:line="360" w:lineRule="auto"/>
        <w:ind w:firstLine="480"/>
        <w:rPr>
          <w:color w:val="auto"/>
          <w:highlight w:val="none"/>
        </w:rPr>
      </w:pPr>
      <w:r>
        <w:rPr>
          <w:rFonts w:hint="eastAsia"/>
          <w:color w:val="auto"/>
          <w:highlight w:val="none"/>
        </w:rPr>
        <w:t>1.10.1 在施工场地发掘的所有文物、古迹以及具有地质研究或考古价值的其他遗迹、化石、钱币或物品属于国家所有。一旦发现上述文物，承包人应采取有效合理的保护措施，防止任何人员移动或损坏上述物品，并立即报告当地文物行政部门，同时通知监理人。发包人、监理人和承包人应按文物行政部门要求采取妥善保护措施，由此导致费用增加和（或）工期延误由发包人承担。</w:t>
      </w:r>
    </w:p>
    <w:p w14:paraId="041AFF5E">
      <w:pPr>
        <w:spacing w:line="360" w:lineRule="auto"/>
        <w:ind w:firstLine="480"/>
        <w:rPr>
          <w:color w:val="auto"/>
          <w:highlight w:val="none"/>
        </w:rPr>
      </w:pPr>
      <w:r>
        <w:rPr>
          <w:rFonts w:hint="eastAsia"/>
          <w:color w:val="auto"/>
          <w:highlight w:val="none"/>
        </w:rPr>
        <w:t>1.10.2 承包人发现文物后不及时报告或隐瞒不报，致使文物丢失或损坏的，应赔偿损失，并承担相应的法律责任。</w:t>
      </w:r>
    </w:p>
    <w:p w14:paraId="21CD9F27">
      <w:pPr>
        <w:spacing w:line="360" w:lineRule="auto"/>
        <w:ind w:firstLine="480"/>
        <w:rPr>
          <w:color w:val="auto"/>
          <w:highlight w:val="none"/>
        </w:rPr>
      </w:pPr>
      <w:r>
        <w:rPr>
          <w:rFonts w:hint="eastAsia"/>
          <w:color w:val="auto"/>
          <w:highlight w:val="none"/>
        </w:rPr>
        <w:t>1.11 专利技术</w:t>
      </w:r>
    </w:p>
    <w:p w14:paraId="6FB57F3C">
      <w:pPr>
        <w:spacing w:line="360" w:lineRule="auto"/>
        <w:ind w:firstLine="480"/>
        <w:rPr>
          <w:color w:val="auto"/>
          <w:highlight w:val="none"/>
        </w:rPr>
      </w:pPr>
      <w:r>
        <w:rPr>
          <w:rFonts w:hint="eastAsia"/>
          <w:color w:val="auto"/>
          <w:highlight w:val="none"/>
        </w:rPr>
        <w:t>1.11.1 承包人在使用任何材料、承包人设备、工程设备或采用施工工艺时，因侵犯专利权或其他知识产权所引起的责任，由承包人承担，但由于遵照发包人提供的设计或技术标准和要求引起的除外。</w:t>
      </w:r>
    </w:p>
    <w:p w14:paraId="184881D8">
      <w:pPr>
        <w:spacing w:line="360" w:lineRule="auto"/>
        <w:ind w:firstLine="480"/>
        <w:rPr>
          <w:color w:val="auto"/>
          <w:highlight w:val="none"/>
        </w:rPr>
      </w:pPr>
      <w:r>
        <w:rPr>
          <w:rFonts w:hint="eastAsia"/>
          <w:color w:val="auto"/>
          <w:highlight w:val="none"/>
        </w:rPr>
        <w:t>1.11.2 承包人在投标文件中采用专利技术的，专利技术的使用费包含在投标报价内。</w:t>
      </w:r>
    </w:p>
    <w:p w14:paraId="6B090C99">
      <w:pPr>
        <w:spacing w:line="360" w:lineRule="auto"/>
        <w:ind w:firstLine="480"/>
        <w:rPr>
          <w:color w:val="auto"/>
          <w:highlight w:val="none"/>
        </w:rPr>
      </w:pPr>
      <w:r>
        <w:rPr>
          <w:rFonts w:hint="eastAsia"/>
          <w:color w:val="auto"/>
          <w:highlight w:val="none"/>
        </w:rPr>
        <w:t>1.11.3 承包人的技术秘密和声明需要保密的资料和信息，发包人和监理人不得为合同以外的目的泄露给他人。</w:t>
      </w:r>
    </w:p>
    <w:p w14:paraId="3BE67C97">
      <w:pPr>
        <w:pStyle w:val="190"/>
        <w:rPr>
          <w:color w:val="auto"/>
          <w:highlight w:val="none"/>
        </w:rPr>
      </w:pPr>
      <w:bookmarkStart w:id="173" w:name="_Toc8296"/>
      <w:r>
        <w:rPr>
          <w:rFonts w:hint="eastAsia"/>
          <w:color w:val="auto"/>
          <w:highlight w:val="none"/>
        </w:rPr>
        <w:t>1.12 图纸和文件的保密</w:t>
      </w:r>
      <w:bookmarkEnd w:id="169"/>
    </w:p>
    <w:p w14:paraId="5D66EA19">
      <w:pPr>
        <w:spacing w:line="360" w:lineRule="auto"/>
        <w:ind w:firstLine="480"/>
        <w:rPr>
          <w:color w:val="auto"/>
          <w:highlight w:val="none"/>
        </w:rPr>
      </w:pPr>
      <w:r>
        <w:rPr>
          <w:rFonts w:hint="eastAsia"/>
          <w:color w:val="auto"/>
          <w:highlight w:val="none"/>
        </w:rPr>
        <w:t>1.12.1 发包人提供的图纸和文件，未经发包人同意，承包人不得为合同以外的目的泄露给他人或公开发表与引用。</w:t>
      </w:r>
    </w:p>
    <w:p w14:paraId="037B991E">
      <w:pPr>
        <w:spacing w:line="360" w:lineRule="auto"/>
        <w:ind w:firstLine="480"/>
        <w:rPr>
          <w:color w:val="auto"/>
          <w:highlight w:val="none"/>
        </w:rPr>
      </w:pPr>
      <w:r>
        <w:rPr>
          <w:rFonts w:hint="eastAsia"/>
          <w:color w:val="auto"/>
          <w:highlight w:val="none"/>
        </w:rPr>
        <w:t>1.12.2 承包人提供的文件，未经承包人同意，发包人和监理人不得为合同以外的目的泄露给他人或公开发表与引用。</w:t>
      </w:r>
    </w:p>
    <w:p w14:paraId="4A98D715">
      <w:pPr>
        <w:pStyle w:val="189"/>
        <w:spacing w:before="0" w:after="0" w:line="360" w:lineRule="auto"/>
        <w:rPr>
          <w:color w:val="auto"/>
          <w:highlight w:val="none"/>
        </w:rPr>
      </w:pPr>
      <w:bookmarkStart w:id="174" w:name="_Toc122424434"/>
      <w:bookmarkStart w:id="175" w:name="_Toc14047"/>
      <w:bookmarkStart w:id="176" w:name="_Toc122424185"/>
      <w:r>
        <w:rPr>
          <w:rFonts w:hint="eastAsia"/>
          <w:color w:val="auto"/>
          <w:highlight w:val="none"/>
        </w:rPr>
        <w:t>2. 发包人义务</w:t>
      </w:r>
      <w:bookmarkEnd w:id="170"/>
      <w:bookmarkEnd w:id="171"/>
      <w:bookmarkEnd w:id="172"/>
    </w:p>
    <w:p w14:paraId="759A14D4">
      <w:pPr>
        <w:pStyle w:val="190"/>
        <w:rPr>
          <w:color w:val="auto"/>
          <w:highlight w:val="none"/>
        </w:rPr>
      </w:pPr>
      <w:bookmarkStart w:id="177" w:name="_Toc29283"/>
      <w:r>
        <w:rPr>
          <w:rFonts w:hint="eastAsia"/>
          <w:color w:val="auto"/>
          <w:highlight w:val="none"/>
        </w:rPr>
        <w:t>2.1 遵守法律</w:t>
      </w:r>
      <w:bookmarkEnd w:id="173"/>
    </w:p>
    <w:p w14:paraId="6EBB9D3C">
      <w:pPr>
        <w:spacing w:line="360" w:lineRule="auto"/>
        <w:ind w:firstLine="480"/>
        <w:rPr>
          <w:color w:val="auto"/>
          <w:highlight w:val="none"/>
        </w:rPr>
      </w:pPr>
      <w:r>
        <w:rPr>
          <w:rFonts w:hint="eastAsia"/>
          <w:color w:val="auto"/>
          <w:highlight w:val="none"/>
        </w:rPr>
        <w:t>发包人在履行合同过程中应遵守法律，并保证承包人免于承担因发包人违反法律而引起的任何责任。</w:t>
      </w:r>
    </w:p>
    <w:p w14:paraId="668350D7">
      <w:pPr>
        <w:pStyle w:val="190"/>
        <w:rPr>
          <w:color w:val="auto"/>
          <w:highlight w:val="none"/>
        </w:rPr>
      </w:pPr>
      <w:bookmarkStart w:id="178" w:name="_Toc11340"/>
      <w:r>
        <w:rPr>
          <w:rFonts w:hint="eastAsia"/>
          <w:color w:val="auto"/>
          <w:highlight w:val="none"/>
        </w:rPr>
        <w:t>2.2 发出开工通知</w:t>
      </w:r>
      <w:bookmarkEnd w:id="174"/>
    </w:p>
    <w:p w14:paraId="3B5B4C78">
      <w:pPr>
        <w:spacing w:line="360" w:lineRule="auto"/>
        <w:ind w:firstLine="480"/>
        <w:rPr>
          <w:color w:val="auto"/>
          <w:highlight w:val="none"/>
        </w:rPr>
      </w:pPr>
      <w:r>
        <w:rPr>
          <w:rFonts w:hint="eastAsia"/>
          <w:color w:val="auto"/>
          <w:highlight w:val="none"/>
        </w:rPr>
        <w:t>发包人应委托监理人按第11.1款的约定向承包人发出开工通知。</w:t>
      </w:r>
    </w:p>
    <w:p w14:paraId="5BD39D3C">
      <w:pPr>
        <w:pStyle w:val="190"/>
        <w:rPr>
          <w:color w:val="auto"/>
          <w:highlight w:val="none"/>
        </w:rPr>
      </w:pPr>
      <w:bookmarkStart w:id="179" w:name="_Toc15775"/>
      <w:r>
        <w:rPr>
          <w:rFonts w:hint="eastAsia"/>
          <w:color w:val="auto"/>
          <w:highlight w:val="none"/>
        </w:rPr>
        <w:t>2.3 提供施工场地</w:t>
      </w:r>
      <w:bookmarkEnd w:id="175"/>
    </w:p>
    <w:p w14:paraId="401C40EA">
      <w:pPr>
        <w:spacing w:line="360" w:lineRule="auto"/>
        <w:ind w:firstLine="480"/>
        <w:rPr>
          <w:color w:val="auto"/>
          <w:highlight w:val="none"/>
        </w:rPr>
      </w:pPr>
      <w:r>
        <w:rPr>
          <w:rFonts w:hint="eastAsia"/>
          <w:color w:val="auto"/>
          <w:highlight w:val="none"/>
        </w:rPr>
        <w:t>发包人应按专用合同条款约定向承包人提供施工场地，以及施工场地内地下管线和地下设施等有关资料，并保证资料的真实、准确、完整。</w:t>
      </w:r>
    </w:p>
    <w:p w14:paraId="6233AFEA">
      <w:pPr>
        <w:pStyle w:val="190"/>
        <w:rPr>
          <w:color w:val="auto"/>
          <w:highlight w:val="none"/>
        </w:rPr>
      </w:pPr>
      <w:bookmarkStart w:id="180" w:name="_Toc32559"/>
      <w:r>
        <w:rPr>
          <w:rFonts w:hint="eastAsia"/>
          <w:color w:val="auto"/>
          <w:highlight w:val="none"/>
        </w:rPr>
        <w:t>2.4 协助承包人办理证件和批件</w:t>
      </w:r>
      <w:bookmarkEnd w:id="176"/>
    </w:p>
    <w:p w14:paraId="67ABA4A5">
      <w:pPr>
        <w:spacing w:line="360" w:lineRule="auto"/>
        <w:ind w:firstLine="480"/>
        <w:rPr>
          <w:color w:val="auto"/>
          <w:highlight w:val="none"/>
        </w:rPr>
      </w:pPr>
      <w:r>
        <w:rPr>
          <w:rFonts w:hint="eastAsia"/>
          <w:color w:val="auto"/>
          <w:highlight w:val="none"/>
        </w:rPr>
        <w:t>发包人应协助承包人办理法律规定的有关施工证件和批件。</w:t>
      </w:r>
    </w:p>
    <w:p w14:paraId="4B988DDA">
      <w:pPr>
        <w:pStyle w:val="190"/>
        <w:rPr>
          <w:color w:val="auto"/>
          <w:highlight w:val="none"/>
        </w:rPr>
      </w:pPr>
      <w:bookmarkStart w:id="181" w:name="_Toc467"/>
      <w:r>
        <w:rPr>
          <w:rFonts w:hint="eastAsia"/>
          <w:color w:val="auto"/>
          <w:highlight w:val="none"/>
        </w:rPr>
        <w:t>2.5 组织设计交底</w:t>
      </w:r>
      <w:bookmarkEnd w:id="177"/>
    </w:p>
    <w:p w14:paraId="2E957D7C">
      <w:pPr>
        <w:spacing w:line="360" w:lineRule="auto"/>
        <w:ind w:firstLine="480"/>
        <w:rPr>
          <w:color w:val="auto"/>
          <w:highlight w:val="none"/>
        </w:rPr>
      </w:pPr>
      <w:r>
        <w:rPr>
          <w:rFonts w:hint="eastAsia"/>
          <w:color w:val="auto"/>
          <w:highlight w:val="none"/>
        </w:rPr>
        <w:t>发包人应根据合同进度计划，组织设计单位向承包人进行设计交底。</w:t>
      </w:r>
    </w:p>
    <w:p w14:paraId="7168A16C">
      <w:pPr>
        <w:pStyle w:val="190"/>
        <w:rPr>
          <w:color w:val="auto"/>
          <w:highlight w:val="none"/>
        </w:rPr>
      </w:pPr>
      <w:bookmarkStart w:id="182" w:name="_Toc27676"/>
      <w:r>
        <w:rPr>
          <w:rFonts w:hint="eastAsia"/>
          <w:color w:val="auto"/>
          <w:highlight w:val="none"/>
        </w:rPr>
        <w:t>2.6 支付合同价款</w:t>
      </w:r>
      <w:bookmarkEnd w:id="178"/>
    </w:p>
    <w:p w14:paraId="3E99E8BC">
      <w:pPr>
        <w:spacing w:line="360" w:lineRule="auto"/>
        <w:ind w:firstLine="480"/>
        <w:rPr>
          <w:color w:val="auto"/>
          <w:highlight w:val="none"/>
        </w:rPr>
      </w:pPr>
      <w:r>
        <w:rPr>
          <w:rFonts w:hint="eastAsia"/>
          <w:color w:val="auto"/>
          <w:highlight w:val="none"/>
        </w:rPr>
        <w:t>发包人应按合同约定向承包人及时支付合同价款。</w:t>
      </w:r>
    </w:p>
    <w:p w14:paraId="15AA65E5">
      <w:pPr>
        <w:pStyle w:val="190"/>
        <w:rPr>
          <w:color w:val="auto"/>
          <w:highlight w:val="none"/>
        </w:rPr>
      </w:pPr>
      <w:bookmarkStart w:id="183" w:name="_Toc15895"/>
      <w:r>
        <w:rPr>
          <w:rFonts w:hint="eastAsia"/>
          <w:color w:val="auto"/>
          <w:highlight w:val="none"/>
        </w:rPr>
        <w:t>2.7 组织竣工验收</w:t>
      </w:r>
      <w:bookmarkEnd w:id="179"/>
    </w:p>
    <w:p w14:paraId="6BBCABA0">
      <w:pPr>
        <w:spacing w:line="360" w:lineRule="auto"/>
        <w:ind w:firstLine="480"/>
        <w:rPr>
          <w:color w:val="auto"/>
          <w:highlight w:val="none"/>
        </w:rPr>
      </w:pPr>
      <w:r>
        <w:rPr>
          <w:rFonts w:hint="eastAsia"/>
          <w:color w:val="auto"/>
          <w:highlight w:val="none"/>
        </w:rPr>
        <w:t>发包人应按合同约定及时组织竣工验收。</w:t>
      </w:r>
    </w:p>
    <w:p w14:paraId="2E9EECC7">
      <w:pPr>
        <w:pStyle w:val="190"/>
        <w:rPr>
          <w:color w:val="auto"/>
          <w:highlight w:val="none"/>
        </w:rPr>
      </w:pPr>
      <w:bookmarkStart w:id="184" w:name="_Toc8017"/>
      <w:r>
        <w:rPr>
          <w:rFonts w:hint="eastAsia"/>
          <w:color w:val="auto"/>
          <w:highlight w:val="none"/>
        </w:rPr>
        <w:t>2.8 其他义务</w:t>
      </w:r>
      <w:bookmarkEnd w:id="180"/>
    </w:p>
    <w:p w14:paraId="3772420D">
      <w:pPr>
        <w:spacing w:line="360" w:lineRule="auto"/>
        <w:ind w:firstLine="480"/>
        <w:rPr>
          <w:color w:val="auto"/>
          <w:highlight w:val="none"/>
        </w:rPr>
      </w:pPr>
      <w:r>
        <w:rPr>
          <w:rFonts w:hint="eastAsia"/>
          <w:color w:val="auto"/>
          <w:highlight w:val="none"/>
        </w:rPr>
        <w:t>发包人应履行合同约定的其他义务。</w:t>
      </w:r>
    </w:p>
    <w:p w14:paraId="56A950ED">
      <w:pPr>
        <w:pStyle w:val="189"/>
        <w:spacing w:before="0" w:after="0" w:line="360" w:lineRule="auto"/>
        <w:rPr>
          <w:color w:val="auto"/>
          <w:highlight w:val="none"/>
        </w:rPr>
      </w:pPr>
      <w:bookmarkStart w:id="185" w:name="_Toc122424435"/>
      <w:bookmarkStart w:id="186" w:name="_Toc6416"/>
      <w:bookmarkStart w:id="187" w:name="_Toc122424186"/>
      <w:r>
        <w:rPr>
          <w:rFonts w:hint="eastAsia"/>
          <w:color w:val="auto"/>
          <w:highlight w:val="none"/>
        </w:rPr>
        <w:t>3. 监理人</w:t>
      </w:r>
      <w:bookmarkEnd w:id="181"/>
      <w:bookmarkEnd w:id="182"/>
      <w:bookmarkEnd w:id="183"/>
    </w:p>
    <w:p w14:paraId="38D538EC">
      <w:pPr>
        <w:pStyle w:val="190"/>
        <w:rPr>
          <w:color w:val="auto"/>
          <w:highlight w:val="none"/>
        </w:rPr>
      </w:pPr>
      <w:bookmarkStart w:id="188" w:name="_Toc10941"/>
      <w:r>
        <w:rPr>
          <w:rFonts w:hint="eastAsia"/>
          <w:color w:val="auto"/>
          <w:highlight w:val="none"/>
        </w:rPr>
        <w:t>3.1 监理人的职责和权力</w:t>
      </w:r>
      <w:bookmarkEnd w:id="184"/>
    </w:p>
    <w:p w14:paraId="378202E6">
      <w:pPr>
        <w:spacing w:line="360" w:lineRule="auto"/>
        <w:ind w:firstLine="480"/>
        <w:rPr>
          <w:color w:val="auto"/>
          <w:highlight w:val="none"/>
        </w:rPr>
      </w:pPr>
      <w:r>
        <w:rPr>
          <w:rFonts w:hint="eastAsia"/>
          <w:color w:val="auto"/>
          <w:highlight w:val="none"/>
        </w:rPr>
        <w:t>3.1.1 监理人受发包人委托，享有合同约定的权力。监理人在行使某项权力前需要经发包人事先批准而通用合同条款没有指明的，应在专用合同条款中指明。</w:t>
      </w:r>
    </w:p>
    <w:p w14:paraId="4EBDA2BA">
      <w:pPr>
        <w:spacing w:line="360" w:lineRule="auto"/>
        <w:ind w:firstLine="480"/>
        <w:rPr>
          <w:color w:val="auto"/>
          <w:highlight w:val="none"/>
        </w:rPr>
      </w:pPr>
      <w:r>
        <w:rPr>
          <w:rFonts w:hint="eastAsia"/>
          <w:color w:val="auto"/>
          <w:highlight w:val="none"/>
        </w:rPr>
        <w:t>3.1.2 监理人发出的任何指示应视为已得到发包人的批准，但监理人无权免除或变更合同约定的发包人和承包人的权利、义务和责任。</w:t>
      </w:r>
    </w:p>
    <w:p w14:paraId="1867A060">
      <w:pPr>
        <w:spacing w:line="360" w:lineRule="auto"/>
        <w:ind w:firstLine="480"/>
        <w:rPr>
          <w:color w:val="auto"/>
          <w:highlight w:val="none"/>
        </w:rPr>
      </w:pPr>
      <w:r>
        <w:rPr>
          <w:rFonts w:hint="eastAsia"/>
          <w:color w:val="auto"/>
          <w:highlight w:val="none"/>
        </w:rPr>
        <w:t>3.1.3 合同约定应由承包人承担的义务和责任，不因监理人对承包人提交文件的审查或批准，对工程、材料和设备的检查和检验，以及为实施监理作出的指示等职务行为而减轻或解除。</w:t>
      </w:r>
    </w:p>
    <w:p w14:paraId="0E846E66">
      <w:pPr>
        <w:pStyle w:val="190"/>
        <w:rPr>
          <w:color w:val="auto"/>
          <w:highlight w:val="none"/>
        </w:rPr>
      </w:pPr>
      <w:bookmarkStart w:id="189" w:name="_Toc13155"/>
      <w:r>
        <w:rPr>
          <w:rFonts w:hint="eastAsia"/>
          <w:color w:val="auto"/>
          <w:highlight w:val="none"/>
        </w:rPr>
        <w:t>3.2 总监理工程师</w:t>
      </w:r>
      <w:bookmarkEnd w:id="185"/>
    </w:p>
    <w:p w14:paraId="13572D30">
      <w:pPr>
        <w:spacing w:line="360" w:lineRule="auto"/>
        <w:ind w:firstLine="480"/>
        <w:rPr>
          <w:color w:val="auto"/>
          <w:highlight w:val="none"/>
        </w:rPr>
      </w:pPr>
      <w:r>
        <w:rPr>
          <w:rFonts w:hint="eastAsia"/>
          <w:color w:val="auto"/>
          <w:highlight w:val="none"/>
        </w:rPr>
        <w:t>发包人应在发出开工通知前将总监理工程师的任命通知承包人。总监理工程师更换时，应在调离14天前通知承包人。总监理工程师短期离开施工场地的，应委派代表代行其职责，并通知承包人。</w:t>
      </w:r>
    </w:p>
    <w:p w14:paraId="7E909D71">
      <w:pPr>
        <w:pStyle w:val="190"/>
        <w:rPr>
          <w:color w:val="auto"/>
          <w:highlight w:val="none"/>
        </w:rPr>
      </w:pPr>
      <w:r>
        <w:rPr>
          <w:rFonts w:hint="eastAsia"/>
          <w:color w:val="auto"/>
          <w:highlight w:val="none"/>
        </w:rPr>
        <w:t>3.3 监理人员</w:t>
      </w:r>
    </w:p>
    <w:p w14:paraId="43367B34">
      <w:pPr>
        <w:spacing w:line="360" w:lineRule="auto"/>
        <w:ind w:firstLine="480"/>
        <w:rPr>
          <w:color w:val="auto"/>
          <w:highlight w:val="none"/>
        </w:rPr>
      </w:pPr>
      <w:r>
        <w:rPr>
          <w:rFonts w:hint="eastAsia"/>
          <w:color w:val="auto"/>
          <w:highlight w:val="none"/>
        </w:rPr>
        <w:t>3.3.1 总监理工程师可以授权其他监理人员负责执行其指派的一项或多项监理工作。总监理工程师应将被授权监理人员的姓名及其授权范围通知承包人。被授权的监理人员在授权范围内发出的指示视为已得到总监理工程师的同意，与总监理工程师发出的指示具有同等效力。总监理工程师撤销某项授权时，应将撤销授权的决定及时通知承包人。</w:t>
      </w:r>
    </w:p>
    <w:p w14:paraId="23BAFF77">
      <w:pPr>
        <w:spacing w:line="360" w:lineRule="auto"/>
        <w:ind w:firstLine="480"/>
        <w:rPr>
          <w:color w:val="auto"/>
          <w:highlight w:val="none"/>
        </w:rPr>
      </w:pPr>
      <w:r>
        <w:rPr>
          <w:rFonts w:hint="eastAsia"/>
          <w:color w:val="auto"/>
          <w:highlight w:val="none"/>
        </w:rPr>
        <w:t>3.3.2 监理人员对承包人的任何工作、工程或其采用的材料和工程设备未在约定的或合理的期限内提出否定意见的，视为已获批准，但不影响监理人在以后拒绝该项工作、工程、材料或工程设备的权利。</w:t>
      </w:r>
    </w:p>
    <w:p w14:paraId="76833CFE">
      <w:pPr>
        <w:spacing w:line="360" w:lineRule="auto"/>
        <w:ind w:firstLine="480"/>
        <w:rPr>
          <w:color w:val="auto"/>
          <w:highlight w:val="none"/>
        </w:rPr>
      </w:pPr>
      <w:r>
        <w:rPr>
          <w:rFonts w:hint="eastAsia"/>
          <w:color w:val="auto"/>
          <w:highlight w:val="none"/>
        </w:rPr>
        <w:t>3.3.3 承包人对总监理工程师授权的监理人员发出的指示有疑问的，可向总监理工程师提出书面异议，总监理工程师应在48小时内对该指示予以确认、更改或撤销。</w:t>
      </w:r>
    </w:p>
    <w:p w14:paraId="69B5FF37">
      <w:pPr>
        <w:spacing w:line="360" w:lineRule="auto"/>
        <w:ind w:firstLine="480"/>
        <w:rPr>
          <w:color w:val="auto"/>
          <w:highlight w:val="none"/>
        </w:rPr>
      </w:pPr>
      <w:r>
        <w:rPr>
          <w:rFonts w:hint="eastAsia"/>
          <w:color w:val="auto"/>
          <w:highlight w:val="none"/>
        </w:rPr>
        <w:t>3.3.4 除专用合同条款另有约定外，总监理工程师不应将第3.5款约定应由总监理工程师作出确定的权力授权或委托给其他监理人员。</w:t>
      </w:r>
    </w:p>
    <w:p w14:paraId="32E5A5CE">
      <w:pPr>
        <w:pStyle w:val="190"/>
        <w:rPr>
          <w:color w:val="auto"/>
          <w:highlight w:val="none"/>
        </w:rPr>
      </w:pPr>
      <w:bookmarkStart w:id="190" w:name="_Toc16098"/>
      <w:r>
        <w:rPr>
          <w:rFonts w:hint="eastAsia"/>
          <w:color w:val="auto"/>
          <w:highlight w:val="none"/>
        </w:rPr>
        <w:t>3.4 监理人的指示</w:t>
      </w:r>
      <w:bookmarkEnd w:id="186"/>
    </w:p>
    <w:p w14:paraId="7C9BCD40">
      <w:pPr>
        <w:spacing w:line="360" w:lineRule="auto"/>
        <w:ind w:firstLine="480"/>
        <w:rPr>
          <w:color w:val="auto"/>
          <w:highlight w:val="none"/>
        </w:rPr>
      </w:pPr>
      <w:r>
        <w:rPr>
          <w:rFonts w:hint="eastAsia"/>
          <w:color w:val="auto"/>
          <w:highlight w:val="none"/>
        </w:rPr>
        <w:t>3.4.1 监理人应按第3.1款的约定向承包人发出指示，监理人的指示应盖有监理人授权的施工场地机构章，并由总监理工程师或总监理工程师按第3.3.1项约定授权的监理人员签字。</w:t>
      </w:r>
    </w:p>
    <w:p w14:paraId="3749801B">
      <w:pPr>
        <w:spacing w:line="360" w:lineRule="auto"/>
        <w:ind w:firstLine="480"/>
        <w:rPr>
          <w:color w:val="auto"/>
          <w:highlight w:val="none"/>
        </w:rPr>
      </w:pPr>
      <w:r>
        <w:rPr>
          <w:rFonts w:hint="eastAsia"/>
          <w:color w:val="auto"/>
          <w:highlight w:val="none"/>
        </w:rPr>
        <w:t>3.4.2 承包人收到监理人按第3.4.1项作出的指示后应遵照执行。指示构成变更的，应按第15条处理。</w:t>
      </w:r>
    </w:p>
    <w:p w14:paraId="0F26092A">
      <w:pPr>
        <w:spacing w:line="360" w:lineRule="auto"/>
        <w:ind w:firstLine="480"/>
        <w:rPr>
          <w:color w:val="auto"/>
          <w:highlight w:val="none"/>
        </w:rPr>
      </w:pPr>
      <w:r>
        <w:rPr>
          <w:rFonts w:hint="eastAsia"/>
          <w:color w:val="auto"/>
          <w:highlight w:val="none"/>
        </w:rPr>
        <w:t>3.4.3 在紧急情况下，总监理工程师或被授权的监理人员可以当场签发临时书面指示，承包人应遵照执行。承包人应在收到上述临时书面指示后24小时内，向监理人发出书面确认函。监理人在收到书面确认函后24小时内未予答复的，该书面确认函应被视为监理人的正式指示。</w:t>
      </w:r>
    </w:p>
    <w:p w14:paraId="3CA18A6B">
      <w:pPr>
        <w:spacing w:line="360" w:lineRule="auto"/>
        <w:ind w:firstLine="480"/>
        <w:rPr>
          <w:color w:val="auto"/>
          <w:highlight w:val="none"/>
        </w:rPr>
      </w:pPr>
      <w:r>
        <w:rPr>
          <w:rFonts w:hint="eastAsia"/>
          <w:color w:val="auto"/>
          <w:highlight w:val="none"/>
        </w:rPr>
        <w:t>3.4.4 除合同另有约定外，承包人只从总监理工程师或按第3.3.1项被授权的监理人员处取得指示。</w:t>
      </w:r>
    </w:p>
    <w:p w14:paraId="0F29342F">
      <w:pPr>
        <w:spacing w:line="360" w:lineRule="auto"/>
        <w:ind w:firstLine="480"/>
        <w:rPr>
          <w:color w:val="auto"/>
          <w:highlight w:val="none"/>
        </w:rPr>
      </w:pPr>
      <w:r>
        <w:rPr>
          <w:rFonts w:hint="eastAsia"/>
          <w:color w:val="auto"/>
          <w:highlight w:val="none"/>
        </w:rPr>
        <w:t xml:space="preserve">3.4.5 由于监理人未能按合同约定发出指示、指示延误或指示错误而导致承包人费用增加和（或）工期延误的，由发包人承担赔偿责任。 </w:t>
      </w:r>
    </w:p>
    <w:p w14:paraId="63CDA872">
      <w:pPr>
        <w:pStyle w:val="190"/>
        <w:rPr>
          <w:color w:val="auto"/>
          <w:highlight w:val="none"/>
        </w:rPr>
      </w:pPr>
      <w:bookmarkStart w:id="191" w:name="_Toc22256"/>
      <w:r>
        <w:rPr>
          <w:rFonts w:hint="eastAsia"/>
          <w:color w:val="auto"/>
          <w:highlight w:val="none"/>
        </w:rPr>
        <w:t>3.5 商定或确定</w:t>
      </w:r>
      <w:bookmarkEnd w:id="187"/>
    </w:p>
    <w:p w14:paraId="3D1937B1">
      <w:pPr>
        <w:spacing w:line="360" w:lineRule="auto"/>
        <w:ind w:firstLine="480"/>
        <w:rPr>
          <w:color w:val="auto"/>
          <w:highlight w:val="none"/>
        </w:rPr>
      </w:pPr>
      <w:r>
        <w:rPr>
          <w:color w:val="auto"/>
          <w:highlight w:val="none"/>
        </w:rPr>
        <w:t>3.5.1 合同约定</w:t>
      </w:r>
      <w:r>
        <w:rPr>
          <w:rFonts w:hint="eastAsia"/>
          <w:color w:val="auto"/>
          <w:highlight w:val="none"/>
        </w:rPr>
        <w:t>总监理工程师应按照本款对任何事项进行商定或确定时，总监理工程师应与合同当事人协商，尽量达成一致。不能达成一致的，总监理工程师应认真研究后审慎确定。</w:t>
      </w:r>
    </w:p>
    <w:p w14:paraId="0A29E718">
      <w:pPr>
        <w:spacing w:line="360" w:lineRule="auto"/>
        <w:ind w:firstLine="480"/>
        <w:rPr>
          <w:color w:val="auto"/>
          <w:highlight w:val="none"/>
        </w:rPr>
      </w:pPr>
      <w:r>
        <w:rPr>
          <w:rFonts w:hint="eastAsia"/>
          <w:color w:val="auto"/>
          <w:highlight w:val="none"/>
        </w:rPr>
        <w:t>3.5.2 总监理工程师应将商定或确定的事项通知合同当事人，并附详细依据。对总监理工程师的确定有异议的，构成争议，按照第24条的约定处理。在争议解决前，双方应暂按总监理工程师的确定执行，按照第24条的约定对总监理工程师的确定作出修改的，按修改后的结果执行。</w:t>
      </w:r>
    </w:p>
    <w:p w14:paraId="40BF81C3">
      <w:pPr>
        <w:pStyle w:val="189"/>
        <w:spacing w:before="0" w:after="0" w:line="360" w:lineRule="auto"/>
        <w:rPr>
          <w:color w:val="auto"/>
          <w:highlight w:val="none"/>
        </w:rPr>
      </w:pPr>
      <w:bookmarkStart w:id="192" w:name="_Toc122424187"/>
      <w:bookmarkStart w:id="193" w:name="_Toc122424436"/>
      <w:bookmarkStart w:id="194" w:name="_Toc2069"/>
      <w:r>
        <w:rPr>
          <w:rFonts w:hint="eastAsia"/>
          <w:color w:val="auto"/>
          <w:highlight w:val="none"/>
        </w:rPr>
        <w:t>4. 承包人</w:t>
      </w:r>
      <w:bookmarkEnd w:id="188"/>
      <w:bookmarkEnd w:id="189"/>
      <w:bookmarkEnd w:id="190"/>
    </w:p>
    <w:p w14:paraId="03407665">
      <w:pPr>
        <w:pStyle w:val="190"/>
        <w:rPr>
          <w:color w:val="auto"/>
          <w:highlight w:val="none"/>
        </w:rPr>
      </w:pPr>
      <w:bookmarkStart w:id="195" w:name="_Toc20588"/>
      <w:r>
        <w:rPr>
          <w:rFonts w:hint="eastAsia"/>
          <w:color w:val="auto"/>
          <w:highlight w:val="none"/>
        </w:rPr>
        <w:t>4.1 承包人的一般义务</w:t>
      </w:r>
      <w:bookmarkEnd w:id="191"/>
    </w:p>
    <w:p w14:paraId="70BE92F9">
      <w:pPr>
        <w:spacing w:line="360" w:lineRule="auto"/>
        <w:ind w:firstLine="480"/>
        <w:rPr>
          <w:color w:val="auto"/>
          <w:highlight w:val="none"/>
        </w:rPr>
      </w:pPr>
      <w:r>
        <w:rPr>
          <w:rFonts w:hint="eastAsia"/>
          <w:color w:val="auto"/>
          <w:highlight w:val="none"/>
        </w:rPr>
        <w:t>4.1.1 遵守法律</w:t>
      </w:r>
    </w:p>
    <w:p w14:paraId="540444AA">
      <w:pPr>
        <w:spacing w:line="360" w:lineRule="auto"/>
        <w:ind w:firstLine="480"/>
        <w:rPr>
          <w:color w:val="auto"/>
          <w:highlight w:val="none"/>
        </w:rPr>
      </w:pPr>
      <w:r>
        <w:rPr>
          <w:rFonts w:hint="eastAsia"/>
          <w:color w:val="auto"/>
          <w:highlight w:val="none"/>
        </w:rPr>
        <w:t>承包人在履行合同过程中应遵守法律，并保证发包人免于承担因承包人违反法律而引起的任何责任。</w:t>
      </w:r>
    </w:p>
    <w:p w14:paraId="1A4926CA">
      <w:pPr>
        <w:spacing w:line="360" w:lineRule="auto"/>
        <w:ind w:firstLine="480"/>
        <w:rPr>
          <w:color w:val="auto"/>
          <w:highlight w:val="none"/>
        </w:rPr>
      </w:pPr>
      <w:r>
        <w:rPr>
          <w:rFonts w:hint="eastAsia"/>
          <w:color w:val="auto"/>
          <w:highlight w:val="none"/>
        </w:rPr>
        <w:t>4.1.2 依法纳税</w:t>
      </w:r>
    </w:p>
    <w:p w14:paraId="077A2E1E">
      <w:pPr>
        <w:spacing w:line="360" w:lineRule="auto"/>
        <w:ind w:firstLine="480"/>
        <w:rPr>
          <w:color w:val="auto"/>
          <w:highlight w:val="none"/>
        </w:rPr>
      </w:pPr>
      <w:r>
        <w:rPr>
          <w:rFonts w:hint="eastAsia"/>
          <w:color w:val="auto"/>
          <w:highlight w:val="none"/>
        </w:rPr>
        <w:t>承包人应按有关法律规定纳税，应缴纳的税金包括在合同价格内。</w:t>
      </w:r>
    </w:p>
    <w:p w14:paraId="7E3605CE">
      <w:pPr>
        <w:spacing w:line="360" w:lineRule="auto"/>
        <w:ind w:firstLine="480"/>
        <w:rPr>
          <w:color w:val="auto"/>
          <w:highlight w:val="none"/>
        </w:rPr>
      </w:pPr>
      <w:r>
        <w:rPr>
          <w:rFonts w:hint="eastAsia"/>
          <w:color w:val="auto"/>
          <w:highlight w:val="none"/>
        </w:rPr>
        <w:t>4.1.3 完成各项承包工作</w:t>
      </w:r>
    </w:p>
    <w:p w14:paraId="18B13FD7">
      <w:pPr>
        <w:spacing w:line="360" w:lineRule="auto"/>
        <w:ind w:firstLine="480"/>
        <w:rPr>
          <w:color w:val="auto"/>
          <w:highlight w:val="none"/>
        </w:rPr>
      </w:pPr>
      <w:r>
        <w:rPr>
          <w:rFonts w:hint="eastAsia"/>
          <w:color w:val="auto"/>
          <w:highlight w:val="none"/>
        </w:rPr>
        <w:t>承包人应按合同约定以及监理人根据第3.4款作出的指示，实施、完成全部工程，并修补工程中的任何缺陷。除专用合同条款另有约定外，承包人应提供为完成合同工作所需的劳务、材料、施工设备、工程设备和其他物品，并按合同约定负责临时设施的设计、建造、运行、维护、管理和拆除。</w:t>
      </w:r>
    </w:p>
    <w:p w14:paraId="4A52C261">
      <w:pPr>
        <w:spacing w:line="360" w:lineRule="auto"/>
        <w:ind w:firstLine="480"/>
        <w:rPr>
          <w:color w:val="auto"/>
          <w:highlight w:val="none"/>
        </w:rPr>
      </w:pPr>
      <w:r>
        <w:rPr>
          <w:rFonts w:hint="eastAsia"/>
          <w:color w:val="auto"/>
          <w:highlight w:val="none"/>
        </w:rPr>
        <w:t>4.1.4 对施工作业和施工方法的完备性负责</w:t>
      </w:r>
    </w:p>
    <w:p w14:paraId="31571A47">
      <w:pPr>
        <w:spacing w:line="360" w:lineRule="auto"/>
        <w:ind w:firstLine="480"/>
        <w:rPr>
          <w:color w:val="auto"/>
          <w:highlight w:val="none"/>
        </w:rPr>
      </w:pPr>
      <w:r>
        <w:rPr>
          <w:rFonts w:hint="eastAsia"/>
          <w:color w:val="auto"/>
          <w:highlight w:val="none"/>
        </w:rPr>
        <w:t>承包人应按合同约定的工作内容和施工进度要求，编制施工组织设计和施工措施计划，并对所有施工作业和施工方法的完备性和安全可靠性负责。</w:t>
      </w:r>
    </w:p>
    <w:p w14:paraId="62B9DDE2">
      <w:pPr>
        <w:spacing w:line="360" w:lineRule="auto"/>
        <w:ind w:firstLine="480"/>
        <w:rPr>
          <w:color w:val="auto"/>
          <w:highlight w:val="none"/>
        </w:rPr>
      </w:pPr>
      <w:r>
        <w:rPr>
          <w:rFonts w:hint="eastAsia"/>
          <w:color w:val="auto"/>
          <w:highlight w:val="none"/>
        </w:rPr>
        <w:t>4.1.5 保证工程施工和人员的安全</w:t>
      </w:r>
    </w:p>
    <w:p w14:paraId="071155B0">
      <w:pPr>
        <w:spacing w:line="360" w:lineRule="auto"/>
        <w:ind w:firstLine="480"/>
        <w:rPr>
          <w:color w:val="auto"/>
          <w:highlight w:val="none"/>
        </w:rPr>
      </w:pPr>
      <w:r>
        <w:rPr>
          <w:rFonts w:hint="eastAsia"/>
          <w:color w:val="auto"/>
          <w:highlight w:val="none"/>
        </w:rPr>
        <w:t>承包人应按第9.2款约定采取施工安全措施，确保工程及其人员、材料、设备和设施的安全，防止因工程施工造成的人身伤害和财产损失。</w:t>
      </w:r>
    </w:p>
    <w:p w14:paraId="0BE0C017">
      <w:pPr>
        <w:spacing w:line="360" w:lineRule="auto"/>
        <w:ind w:firstLine="480"/>
        <w:rPr>
          <w:color w:val="auto"/>
          <w:highlight w:val="none"/>
        </w:rPr>
      </w:pPr>
      <w:r>
        <w:rPr>
          <w:rFonts w:hint="eastAsia"/>
          <w:color w:val="auto"/>
          <w:highlight w:val="none"/>
        </w:rPr>
        <w:t>4.1.6 负责施工场地及其周边环境与生态的保护工作</w:t>
      </w:r>
    </w:p>
    <w:p w14:paraId="76B52BDD">
      <w:pPr>
        <w:spacing w:line="360" w:lineRule="auto"/>
        <w:ind w:firstLine="480"/>
        <w:rPr>
          <w:color w:val="auto"/>
          <w:highlight w:val="none"/>
        </w:rPr>
      </w:pPr>
      <w:r>
        <w:rPr>
          <w:rFonts w:hint="eastAsia"/>
          <w:color w:val="auto"/>
          <w:highlight w:val="none"/>
        </w:rPr>
        <w:t>承包人应按照第9.4款约定负责施工场地及其周边环境与生态的保护工作。</w:t>
      </w:r>
    </w:p>
    <w:p w14:paraId="23B1C5BA">
      <w:pPr>
        <w:spacing w:line="360" w:lineRule="auto"/>
        <w:ind w:firstLine="480"/>
        <w:rPr>
          <w:color w:val="auto"/>
          <w:highlight w:val="none"/>
        </w:rPr>
      </w:pPr>
      <w:r>
        <w:rPr>
          <w:rFonts w:hint="eastAsia"/>
          <w:color w:val="auto"/>
          <w:highlight w:val="none"/>
        </w:rPr>
        <w:t>4.1.7 避免施工对公众与他人的利益造成损害</w:t>
      </w:r>
    </w:p>
    <w:p w14:paraId="05988D1E">
      <w:pPr>
        <w:spacing w:line="360" w:lineRule="auto"/>
        <w:ind w:firstLine="480"/>
        <w:rPr>
          <w:color w:val="auto"/>
          <w:highlight w:val="none"/>
        </w:rPr>
      </w:pPr>
      <w:r>
        <w:rPr>
          <w:rFonts w:hint="eastAsia"/>
          <w:color w:val="auto"/>
          <w:highlight w:val="none"/>
        </w:rPr>
        <w:t>承包人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2258E57C">
      <w:pPr>
        <w:spacing w:line="360" w:lineRule="auto"/>
        <w:ind w:firstLine="480"/>
        <w:rPr>
          <w:color w:val="auto"/>
          <w:highlight w:val="none"/>
        </w:rPr>
      </w:pPr>
      <w:r>
        <w:rPr>
          <w:rFonts w:hint="eastAsia"/>
          <w:color w:val="auto"/>
          <w:highlight w:val="none"/>
        </w:rPr>
        <w:t>4.1.8 为他人提供方便</w:t>
      </w:r>
    </w:p>
    <w:p w14:paraId="027CD147">
      <w:pPr>
        <w:spacing w:line="360" w:lineRule="auto"/>
        <w:ind w:firstLine="480"/>
        <w:rPr>
          <w:color w:val="auto"/>
          <w:highlight w:val="none"/>
        </w:rPr>
      </w:pPr>
      <w:r>
        <w:rPr>
          <w:rFonts w:hint="eastAsia"/>
          <w:color w:val="auto"/>
          <w:highlight w:val="none"/>
        </w:rPr>
        <w:t>承包人应按监理人的指示为他人在施工场地或附近实施与工程有关的其他各项工作提供可能的条件。除合同另有约定外，提供有关条件的内容和可能发生的费用，由监理人按第3.5款商定或确定。</w:t>
      </w:r>
    </w:p>
    <w:p w14:paraId="6400EFEF">
      <w:pPr>
        <w:spacing w:line="360" w:lineRule="auto"/>
        <w:ind w:firstLine="480"/>
        <w:rPr>
          <w:color w:val="auto"/>
          <w:highlight w:val="none"/>
        </w:rPr>
      </w:pPr>
      <w:r>
        <w:rPr>
          <w:rFonts w:hint="eastAsia"/>
          <w:color w:val="auto"/>
          <w:highlight w:val="none"/>
        </w:rPr>
        <w:t>4.1.9 工程的维护和照管</w:t>
      </w:r>
    </w:p>
    <w:p w14:paraId="33988B99">
      <w:pPr>
        <w:spacing w:line="360" w:lineRule="auto"/>
        <w:ind w:firstLine="480"/>
        <w:rPr>
          <w:color w:val="auto"/>
          <w:highlight w:val="none"/>
        </w:rPr>
      </w:pPr>
      <w:r>
        <w:rPr>
          <w:rFonts w:hint="eastAsia"/>
          <w:color w:val="auto"/>
          <w:highlight w:val="none"/>
        </w:rPr>
        <w:t>工程接收证书颁发前，承包人应负责照管和维护工程。工程接收证书颁发时尚有部分未竣工工程的，承包人还应负责该未竣工工程的照管和维护工作，直至竣工后移交给发包人为止。</w:t>
      </w:r>
    </w:p>
    <w:p w14:paraId="61882479">
      <w:pPr>
        <w:spacing w:line="360" w:lineRule="auto"/>
        <w:ind w:firstLine="480"/>
        <w:rPr>
          <w:color w:val="auto"/>
          <w:highlight w:val="none"/>
        </w:rPr>
      </w:pPr>
      <w:r>
        <w:rPr>
          <w:rFonts w:hint="eastAsia"/>
          <w:color w:val="auto"/>
          <w:highlight w:val="none"/>
        </w:rPr>
        <w:t>4.1.10 其他义务</w:t>
      </w:r>
    </w:p>
    <w:p w14:paraId="1CD5BD43">
      <w:pPr>
        <w:spacing w:line="360" w:lineRule="auto"/>
        <w:ind w:firstLine="480"/>
        <w:rPr>
          <w:color w:val="auto"/>
          <w:highlight w:val="none"/>
        </w:rPr>
      </w:pPr>
      <w:r>
        <w:rPr>
          <w:rFonts w:hint="eastAsia"/>
          <w:color w:val="auto"/>
          <w:highlight w:val="none"/>
        </w:rPr>
        <w:t>承包人应履行合同约定的其他义务。</w:t>
      </w:r>
    </w:p>
    <w:p w14:paraId="4258AA74">
      <w:pPr>
        <w:pStyle w:val="190"/>
        <w:rPr>
          <w:color w:val="auto"/>
          <w:highlight w:val="none"/>
        </w:rPr>
      </w:pPr>
      <w:bookmarkStart w:id="196" w:name="_Toc19718"/>
      <w:r>
        <w:rPr>
          <w:rFonts w:hint="eastAsia"/>
          <w:color w:val="auto"/>
          <w:highlight w:val="none"/>
        </w:rPr>
        <w:t>4.2 履约担保</w:t>
      </w:r>
      <w:bookmarkEnd w:id="192"/>
    </w:p>
    <w:p w14:paraId="2B38D074">
      <w:pPr>
        <w:spacing w:line="360" w:lineRule="auto"/>
        <w:ind w:firstLine="480"/>
        <w:rPr>
          <w:color w:val="auto"/>
          <w:highlight w:val="none"/>
        </w:rPr>
      </w:pPr>
      <w:r>
        <w:rPr>
          <w:rFonts w:hint="eastAsia"/>
          <w:color w:val="auto"/>
          <w:highlight w:val="none"/>
        </w:rPr>
        <w:t>承包人应保证其履约担保在发包人颁发工程接收证书前一直有效。发包人应在工程接收证书颁发后28天内把履约担保退还给承包人。</w:t>
      </w:r>
    </w:p>
    <w:p w14:paraId="0957EB0F">
      <w:pPr>
        <w:pStyle w:val="190"/>
        <w:rPr>
          <w:color w:val="auto"/>
          <w:highlight w:val="none"/>
        </w:rPr>
      </w:pPr>
      <w:bookmarkStart w:id="197" w:name="_Toc23431"/>
      <w:r>
        <w:rPr>
          <w:rFonts w:hint="eastAsia"/>
          <w:color w:val="auto"/>
          <w:highlight w:val="none"/>
        </w:rPr>
        <w:t>4.3 分包</w:t>
      </w:r>
      <w:bookmarkEnd w:id="193"/>
    </w:p>
    <w:p w14:paraId="682C7E0A">
      <w:pPr>
        <w:spacing w:line="360" w:lineRule="auto"/>
        <w:ind w:firstLine="480"/>
        <w:rPr>
          <w:color w:val="auto"/>
          <w:highlight w:val="none"/>
        </w:rPr>
      </w:pPr>
      <w:r>
        <w:rPr>
          <w:rFonts w:hint="eastAsia"/>
          <w:color w:val="auto"/>
          <w:highlight w:val="none"/>
        </w:rPr>
        <w:t>4.3.1 承包人不得将其承包的全部工程转包给第三人，或将其承包的全部工程肢解后以分包的名义转包给第三人。</w:t>
      </w:r>
    </w:p>
    <w:p w14:paraId="188C2858">
      <w:pPr>
        <w:spacing w:line="360" w:lineRule="auto"/>
        <w:ind w:firstLine="480"/>
        <w:rPr>
          <w:color w:val="auto"/>
          <w:highlight w:val="none"/>
        </w:rPr>
      </w:pPr>
      <w:r>
        <w:rPr>
          <w:rFonts w:hint="eastAsia"/>
          <w:color w:val="auto"/>
          <w:highlight w:val="none"/>
        </w:rPr>
        <w:t>4.3.2 承包人不得将工程主体、关键性工作分包给第三人。除专用合同条款另有约定外，未经发包人同意，承包人不得将工程的其他部分或工作分包给第三人。</w:t>
      </w:r>
    </w:p>
    <w:p w14:paraId="2329AC56">
      <w:pPr>
        <w:spacing w:line="360" w:lineRule="auto"/>
        <w:ind w:firstLine="480"/>
        <w:rPr>
          <w:color w:val="auto"/>
          <w:highlight w:val="none"/>
        </w:rPr>
      </w:pPr>
      <w:r>
        <w:rPr>
          <w:rFonts w:hint="eastAsia"/>
          <w:color w:val="auto"/>
          <w:highlight w:val="none"/>
        </w:rPr>
        <w:t>4.3.3 分包人的资格能力应与其分包工程的标准和规模相适应。</w:t>
      </w:r>
    </w:p>
    <w:p w14:paraId="5C24EC3E">
      <w:pPr>
        <w:spacing w:line="360" w:lineRule="auto"/>
        <w:ind w:firstLine="480"/>
        <w:rPr>
          <w:color w:val="auto"/>
          <w:highlight w:val="none"/>
        </w:rPr>
      </w:pPr>
      <w:r>
        <w:rPr>
          <w:rFonts w:hint="eastAsia"/>
          <w:color w:val="auto"/>
          <w:highlight w:val="none"/>
        </w:rPr>
        <w:t>4.3.4 按投标函附录约定分包工程的，承包人应向发包人和监理人提交分包合同副本。</w:t>
      </w:r>
    </w:p>
    <w:p w14:paraId="4579D1EA">
      <w:pPr>
        <w:spacing w:line="360" w:lineRule="auto"/>
        <w:ind w:firstLine="480"/>
        <w:rPr>
          <w:color w:val="auto"/>
          <w:highlight w:val="none"/>
        </w:rPr>
      </w:pPr>
      <w:r>
        <w:rPr>
          <w:rFonts w:hint="eastAsia"/>
          <w:color w:val="auto"/>
          <w:highlight w:val="none"/>
        </w:rPr>
        <w:t>4.3.5 承包人应与分包人就分包工程向发包人承担连带责任。</w:t>
      </w:r>
    </w:p>
    <w:p w14:paraId="3FD90630">
      <w:pPr>
        <w:pStyle w:val="190"/>
        <w:rPr>
          <w:color w:val="auto"/>
          <w:highlight w:val="none"/>
        </w:rPr>
      </w:pPr>
      <w:bookmarkStart w:id="198" w:name="_Toc21376"/>
      <w:r>
        <w:rPr>
          <w:rFonts w:hint="eastAsia"/>
          <w:color w:val="auto"/>
          <w:highlight w:val="none"/>
        </w:rPr>
        <w:t>4.4 联合体</w:t>
      </w:r>
      <w:bookmarkEnd w:id="194"/>
    </w:p>
    <w:p w14:paraId="590065B2">
      <w:pPr>
        <w:spacing w:line="360" w:lineRule="auto"/>
        <w:ind w:firstLine="480"/>
        <w:rPr>
          <w:color w:val="auto"/>
          <w:highlight w:val="none"/>
        </w:rPr>
      </w:pPr>
      <w:r>
        <w:rPr>
          <w:rFonts w:hint="eastAsia"/>
          <w:color w:val="auto"/>
          <w:highlight w:val="none"/>
        </w:rPr>
        <w:t>4.4.1 联合体各方应共同与发包人签订合同协议书。联合体各方应为履行合同承担连带责任。</w:t>
      </w:r>
    </w:p>
    <w:p w14:paraId="1AFFA44D">
      <w:pPr>
        <w:spacing w:line="360" w:lineRule="auto"/>
        <w:ind w:firstLine="480"/>
        <w:rPr>
          <w:color w:val="auto"/>
          <w:highlight w:val="none"/>
        </w:rPr>
      </w:pPr>
      <w:r>
        <w:rPr>
          <w:rFonts w:hint="eastAsia"/>
          <w:color w:val="auto"/>
          <w:highlight w:val="none"/>
        </w:rPr>
        <w:t>4.4.2 联合体协议经发包人确认后作为合同附件。在履行合同过程中，未经发包人同意，不得修改联合体协议。</w:t>
      </w:r>
    </w:p>
    <w:p w14:paraId="118C4272">
      <w:pPr>
        <w:spacing w:line="360" w:lineRule="auto"/>
        <w:ind w:firstLine="480"/>
        <w:rPr>
          <w:color w:val="auto"/>
          <w:highlight w:val="none"/>
        </w:rPr>
      </w:pPr>
      <w:r>
        <w:rPr>
          <w:rFonts w:hint="eastAsia"/>
          <w:color w:val="auto"/>
          <w:highlight w:val="none"/>
        </w:rPr>
        <w:t>4.4.3 联合体牵头人负责与发包人和监理人联系，并接受指示，负责组织联合体各成员全面履行合同。</w:t>
      </w:r>
    </w:p>
    <w:p w14:paraId="2CEF692F">
      <w:pPr>
        <w:pStyle w:val="190"/>
        <w:rPr>
          <w:color w:val="auto"/>
          <w:highlight w:val="none"/>
        </w:rPr>
      </w:pPr>
      <w:bookmarkStart w:id="199" w:name="_Toc12242"/>
      <w:r>
        <w:rPr>
          <w:rFonts w:hint="eastAsia"/>
          <w:color w:val="auto"/>
          <w:highlight w:val="none"/>
        </w:rPr>
        <w:t>4.5 承包人项目经理</w:t>
      </w:r>
      <w:bookmarkEnd w:id="195"/>
    </w:p>
    <w:p w14:paraId="3F96E4BF">
      <w:pPr>
        <w:spacing w:line="360" w:lineRule="auto"/>
        <w:ind w:firstLine="480"/>
        <w:rPr>
          <w:color w:val="auto"/>
          <w:highlight w:val="none"/>
        </w:rPr>
      </w:pPr>
      <w:r>
        <w:rPr>
          <w:rFonts w:hint="eastAsia"/>
          <w:color w:val="auto"/>
          <w:highlight w:val="none"/>
        </w:rPr>
        <w:t>4.5.1 承包人应按合同约定指派项目经理，并在约定的期限内到职。承包人更换项目经理应事先征得发包人同意，并应在更换14天前通知发包人和监理人。承包人项目经理短期离开施工场地，应事先征得监理人同意，并委派代表代行其职责。</w:t>
      </w:r>
    </w:p>
    <w:p w14:paraId="72CF27CA">
      <w:pPr>
        <w:spacing w:line="360" w:lineRule="auto"/>
        <w:ind w:firstLine="480"/>
        <w:rPr>
          <w:color w:val="auto"/>
          <w:highlight w:val="none"/>
        </w:rPr>
      </w:pPr>
      <w:r>
        <w:rPr>
          <w:rFonts w:hint="eastAsia"/>
          <w:color w:val="auto"/>
          <w:highlight w:val="none"/>
        </w:rPr>
        <w:t>4.5.2 承包人项目经理应按合同约定以及监理人按第3.4款作出的指示，负责组织合同工程的实施。在情况紧急且无法与监理人取得联系时，可采取保证工程和人员生命财产安全的紧急措施，并在采取措施后24小时内向监理人提交书面报告。</w:t>
      </w:r>
    </w:p>
    <w:p w14:paraId="09B34C84">
      <w:pPr>
        <w:spacing w:line="360" w:lineRule="auto"/>
        <w:ind w:firstLine="480"/>
        <w:rPr>
          <w:color w:val="auto"/>
          <w:highlight w:val="none"/>
        </w:rPr>
      </w:pPr>
      <w:r>
        <w:rPr>
          <w:rFonts w:hint="eastAsia"/>
          <w:color w:val="auto"/>
          <w:highlight w:val="none"/>
        </w:rPr>
        <w:t>4.5.3 承包人为履行合同发出的一切函件均应盖有承包人授权的施工场地管理机构章，并由承包人项目经理或其授权代表签字。</w:t>
      </w:r>
    </w:p>
    <w:p w14:paraId="3F7CA87D">
      <w:pPr>
        <w:spacing w:line="360" w:lineRule="auto"/>
        <w:ind w:firstLine="480"/>
        <w:rPr>
          <w:color w:val="auto"/>
          <w:highlight w:val="none"/>
        </w:rPr>
      </w:pPr>
      <w:r>
        <w:rPr>
          <w:rFonts w:hint="eastAsia"/>
          <w:color w:val="auto"/>
          <w:highlight w:val="none"/>
        </w:rPr>
        <w:t>4.5.4 承包人项目经理可以授权其下属人员履行其某项职责，但事先应将这些人员的姓名和授权范围通知监理人。</w:t>
      </w:r>
    </w:p>
    <w:p w14:paraId="0BD89015">
      <w:pPr>
        <w:pStyle w:val="190"/>
        <w:rPr>
          <w:color w:val="auto"/>
          <w:highlight w:val="none"/>
        </w:rPr>
      </w:pPr>
      <w:bookmarkStart w:id="200" w:name="_Toc538"/>
      <w:r>
        <w:rPr>
          <w:rFonts w:hint="eastAsia"/>
          <w:color w:val="auto"/>
          <w:highlight w:val="none"/>
        </w:rPr>
        <w:t>4.6 承包人人员的管理</w:t>
      </w:r>
      <w:bookmarkEnd w:id="196"/>
    </w:p>
    <w:p w14:paraId="3B0605BF">
      <w:pPr>
        <w:spacing w:line="360" w:lineRule="auto"/>
        <w:ind w:firstLine="480"/>
        <w:rPr>
          <w:color w:val="auto"/>
          <w:highlight w:val="none"/>
        </w:rPr>
      </w:pPr>
      <w:r>
        <w:rPr>
          <w:rFonts w:hint="eastAsia"/>
          <w:color w:val="auto"/>
          <w:highlight w:val="none"/>
        </w:rPr>
        <w:t>4.6.1 承包人应在接到开工通知后28天内，向监理人提交承包人在施工场地的管理机构以及人员安排的报告，其内容应包括管理机构的设置、各主要岗位的技术和管理人员名单及其资格，以及各工种技术工人的安排状况。承包人应向监理人提交施工场地人员变动情况的报告。</w:t>
      </w:r>
    </w:p>
    <w:p w14:paraId="6752FF97">
      <w:pPr>
        <w:spacing w:line="360" w:lineRule="auto"/>
        <w:ind w:firstLine="480"/>
        <w:rPr>
          <w:color w:val="auto"/>
          <w:highlight w:val="none"/>
        </w:rPr>
      </w:pPr>
      <w:r>
        <w:rPr>
          <w:rFonts w:hint="eastAsia"/>
          <w:color w:val="auto"/>
          <w:highlight w:val="none"/>
        </w:rPr>
        <w:t>4.6.2 为完成合同约定的各项工作，承包人应向施工场地派遣或雇佣足够数量的下列人员：</w:t>
      </w:r>
    </w:p>
    <w:p w14:paraId="78627144">
      <w:pPr>
        <w:spacing w:line="360" w:lineRule="auto"/>
        <w:ind w:firstLine="480"/>
        <w:rPr>
          <w:color w:val="auto"/>
          <w:highlight w:val="none"/>
        </w:rPr>
      </w:pPr>
      <w:r>
        <w:rPr>
          <w:rFonts w:hint="eastAsia"/>
          <w:color w:val="auto"/>
          <w:highlight w:val="none"/>
        </w:rPr>
        <w:t>（1）具有相应资格的专业技工和合格的普工；</w:t>
      </w:r>
    </w:p>
    <w:p w14:paraId="6CFFCCDC">
      <w:pPr>
        <w:spacing w:line="360" w:lineRule="auto"/>
        <w:ind w:firstLine="480"/>
        <w:rPr>
          <w:color w:val="auto"/>
          <w:highlight w:val="none"/>
        </w:rPr>
      </w:pPr>
      <w:r>
        <w:rPr>
          <w:rFonts w:hint="eastAsia"/>
          <w:color w:val="auto"/>
          <w:highlight w:val="none"/>
        </w:rPr>
        <w:t>（2）具有相应施工经验的技术人员；</w:t>
      </w:r>
    </w:p>
    <w:p w14:paraId="0A215A76">
      <w:pPr>
        <w:spacing w:line="360" w:lineRule="auto"/>
        <w:ind w:firstLine="480"/>
        <w:rPr>
          <w:color w:val="auto"/>
          <w:highlight w:val="none"/>
        </w:rPr>
      </w:pPr>
      <w:r>
        <w:rPr>
          <w:rFonts w:hint="eastAsia"/>
          <w:color w:val="auto"/>
          <w:highlight w:val="none"/>
        </w:rPr>
        <w:t>（3）具有相应岗位资格的各级管理人员。</w:t>
      </w:r>
    </w:p>
    <w:p w14:paraId="047EC072">
      <w:pPr>
        <w:spacing w:line="360" w:lineRule="auto"/>
        <w:ind w:firstLine="480"/>
        <w:rPr>
          <w:color w:val="auto"/>
          <w:highlight w:val="none"/>
        </w:rPr>
      </w:pPr>
      <w:r>
        <w:rPr>
          <w:rFonts w:hint="eastAsia"/>
          <w:color w:val="auto"/>
          <w:highlight w:val="none"/>
        </w:rPr>
        <w:t>4.6.3 承包人安排在施工场地的主要管理人员和技术骨干应相对稳定。承包人更换主要管理人员和技术骨干时，应取得监理人的同意。</w:t>
      </w:r>
    </w:p>
    <w:p w14:paraId="1E8799BE">
      <w:pPr>
        <w:spacing w:line="360" w:lineRule="auto"/>
        <w:ind w:firstLine="480"/>
        <w:rPr>
          <w:color w:val="auto"/>
          <w:highlight w:val="none"/>
        </w:rPr>
      </w:pPr>
      <w:r>
        <w:rPr>
          <w:rFonts w:hint="eastAsia"/>
          <w:color w:val="auto"/>
          <w:highlight w:val="none"/>
        </w:rPr>
        <w:t>4.6.4 特殊岗位的工作人员均应持有相应的资格证明，监理人有权随时检查。监理人认为有必要时，可进行现场考核。</w:t>
      </w:r>
    </w:p>
    <w:p w14:paraId="7A3227F9">
      <w:pPr>
        <w:pStyle w:val="190"/>
        <w:rPr>
          <w:color w:val="auto"/>
          <w:highlight w:val="none"/>
        </w:rPr>
      </w:pPr>
      <w:bookmarkStart w:id="201" w:name="_Toc31168"/>
      <w:r>
        <w:rPr>
          <w:rFonts w:hint="eastAsia"/>
          <w:color w:val="auto"/>
          <w:highlight w:val="none"/>
        </w:rPr>
        <w:t>4.7 撤换承包人项目经理和其他人员</w:t>
      </w:r>
      <w:bookmarkEnd w:id="197"/>
    </w:p>
    <w:p w14:paraId="6FDD74CA">
      <w:pPr>
        <w:spacing w:line="360" w:lineRule="auto"/>
        <w:ind w:firstLine="480"/>
        <w:rPr>
          <w:color w:val="auto"/>
          <w:highlight w:val="none"/>
        </w:rPr>
      </w:pPr>
      <w:r>
        <w:rPr>
          <w:rFonts w:hint="eastAsia"/>
          <w:color w:val="auto"/>
          <w:highlight w:val="none"/>
        </w:rPr>
        <w:t>承包人应对其项目经理和其他人员进行有效管理。监理人要求撤换不能胜任本职工作、行为不端或玩忽职守的承包人项目经理和其他人员的，承包人应予以撤换。</w:t>
      </w:r>
    </w:p>
    <w:p w14:paraId="4A65D5BC">
      <w:pPr>
        <w:pStyle w:val="190"/>
        <w:rPr>
          <w:color w:val="auto"/>
          <w:highlight w:val="none"/>
        </w:rPr>
      </w:pPr>
      <w:bookmarkStart w:id="202" w:name="_Toc6851"/>
      <w:r>
        <w:rPr>
          <w:rFonts w:hint="eastAsia"/>
          <w:color w:val="auto"/>
          <w:highlight w:val="none"/>
        </w:rPr>
        <w:t>4.8 保障承包人人员的合法权益</w:t>
      </w:r>
      <w:bookmarkEnd w:id="198"/>
    </w:p>
    <w:p w14:paraId="42E41FD1">
      <w:pPr>
        <w:spacing w:line="360" w:lineRule="auto"/>
        <w:ind w:firstLine="480"/>
        <w:rPr>
          <w:color w:val="auto"/>
          <w:highlight w:val="none"/>
        </w:rPr>
      </w:pPr>
      <w:r>
        <w:rPr>
          <w:rFonts w:hint="eastAsia"/>
          <w:color w:val="auto"/>
          <w:highlight w:val="none"/>
        </w:rPr>
        <w:t>4.8.1 承包人应与其雇佣的人员签订劳动合同，并按时发放工资。</w:t>
      </w:r>
    </w:p>
    <w:p w14:paraId="660A9309">
      <w:pPr>
        <w:spacing w:line="360" w:lineRule="auto"/>
        <w:ind w:firstLine="480"/>
        <w:rPr>
          <w:color w:val="auto"/>
          <w:highlight w:val="none"/>
        </w:rPr>
      </w:pPr>
      <w:r>
        <w:rPr>
          <w:rFonts w:hint="eastAsia"/>
          <w:color w:val="auto"/>
          <w:highlight w:val="none"/>
        </w:rPr>
        <w:t>4.8.2 承包人应按劳动法的规定安排工作时间，保证其雇佣人员享有休息和休假的权利。因工程施工的特殊需要占用休假日或延长工作时间的，应不超过法律规定的限度，并按法律规定给予补休或付酬。</w:t>
      </w:r>
    </w:p>
    <w:p w14:paraId="3ABA70ED">
      <w:pPr>
        <w:spacing w:line="360" w:lineRule="auto"/>
        <w:ind w:firstLine="480"/>
        <w:rPr>
          <w:color w:val="auto"/>
          <w:highlight w:val="none"/>
        </w:rPr>
      </w:pPr>
      <w:r>
        <w:rPr>
          <w:rFonts w:hint="eastAsia"/>
          <w:color w:val="auto"/>
          <w:highlight w:val="none"/>
        </w:rPr>
        <w:t>4.8.3 承包人应为其雇佣人员提供必要的食宿条件，以及符合环境保护和卫生要求的生活环境，在远离城镇的施工场地，还应配备必要的伤病防治和急救的医务人员与医疗设施。</w:t>
      </w:r>
    </w:p>
    <w:p w14:paraId="42C39368">
      <w:pPr>
        <w:spacing w:line="360" w:lineRule="auto"/>
        <w:ind w:firstLine="480"/>
        <w:rPr>
          <w:color w:val="auto"/>
          <w:highlight w:val="none"/>
        </w:rPr>
      </w:pPr>
      <w:r>
        <w:rPr>
          <w:rFonts w:hint="eastAsia"/>
          <w:color w:val="auto"/>
          <w:highlight w:val="none"/>
        </w:rPr>
        <w:t>4.8.4 承包人应按国家有关劳动保护的规定，采取有效的防止粉尘、降低噪声、控制有害气体和保障高温、高寒、高空作业安全等劳动保护措施。其雇佣人员在施工中受到伤害的，承包人应立即采取有效措施进行抢救和治疗。</w:t>
      </w:r>
    </w:p>
    <w:p w14:paraId="733F6DCF">
      <w:pPr>
        <w:spacing w:line="360" w:lineRule="auto"/>
        <w:ind w:firstLine="480"/>
        <w:rPr>
          <w:color w:val="auto"/>
          <w:highlight w:val="none"/>
        </w:rPr>
      </w:pPr>
      <w:r>
        <w:rPr>
          <w:rFonts w:hint="eastAsia"/>
          <w:color w:val="auto"/>
          <w:highlight w:val="none"/>
        </w:rPr>
        <w:t>4.8.5 承包人应按有关法律规定和合同约定，为其雇佣人员办理保险。</w:t>
      </w:r>
    </w:p>
    <w:p w14:paraId="11DCEE8B">
      <w:pPr>
        <w:spacing w:line="360" w:lineRule="auto"/>
        <w:ind w:firstLine="480"/>
        <w:rPr>
          <w:color w:val="auto"/>
          <w:highlight w:val="none"/>
        </w:rPr>
      </w:pPr>
      <w:r>
        <w:rPr>
          <w:rFonts w:hint="eastAsia"/>
          <w:color w:val="auto"/>
          <w:highlight w:val="none"/>
        </w:rPr>
        <w:t>4.8.6 承包人应负责处理其雇佣人员因工伤亡事故的善后事宜。</w:t>
      </w:r>
    </w:p>
    <w:p w14:paraId="1CB41719">
      <w:pPr>
        <w:pStyle w:val="190"/>
        <w:rPr>
          <w:color w:val="auto"/>
          <w:highlight w:val="none"/>
        </w:rPr>
      </w:pPr>
      <w:bookmarkStart w:id="203" w:name="_Toc25993"/>
      <w:r>
        <w:rPr>
          <w:rFonts w:hint="eastAsia"/>
          <w:color w:val="auto"/>
          <w:highlight w:val="none"/>
        </w:rPr>
        <w:t>4.9 工程价款应专款专用</w:t>
      </w:r>
      <w:bookmarkEnd w:id="199"/>
    </w:p>
    <w:p w14:paraId="6D46CA6E">
      <w:pPr>
        <w:spacing w:line="360" w:lineRule="auto"/>
        <w:ind w:firstLine="480"/>
        <w:rPr>
          <w:color w:val="auto"/>
          <w:highlight w:val="none"/>
        </w:rPr>
      </w:pPr>
      <w:r>
        <w:rPr>
          <w:rFonts w:hint="eastAsia"/>
          <w:color w:val="auto"/>
          <w:highlight w:val="none"/>
        </w:rPr>
        <w:t>发包人按合同约定支付给承包人的各项价款应专用于合同工程。</w:t>
      </w:r>
    </w:p>
    <w:p w14:paraId="4804CB45">
      <w:pPr>
        <w:pStyle w:val="190"/>
        <w:rPr>
          <w:color w:val="auto"/>
          <w:highlight w:val="none"/>
        </w:rPr>
      </w:pPr>
      <w:bookmarkStart w:id="204" w:name="_Toc27321"/>
      <w:r>
        <w:rPr>
          <w:rFonts w:hint="eastAsia"/>
          <w:color w:val="auto"/>
          <w:highlight w:val="none"/>
        </w:rPr>
        <w:t>4.10 承包人现场查勘</w:t>
      </w:r>
      <w:bookmarkEnd w:id="200"/>
    </w:p>
    <w:p w14:paraId="61616279">
      <w:pPr>
        <w:spacing w:line="360" w:lineRule="auto"/>
        <w:ind w:firstLine="480"/>
        <w:rPr>
          <w:color w:val="auto"/>
          <w:highlight w:val="none"/>
        </w:rPr>
      </w:pPr>
      <w:r>
        <w:rPr>
          <w:rFonts w:hint="eastAsia"/>
          <w:color w:val="auto"/>
          <w:highlight w:val="none"/>
        </w:rPr>
        <w:t>4.10.1 发包人应将其持有的现场地质勘探资料、水文气象资料提供给承包人，并对其准确性负责。但承包人应对其阅读上述有关资料后所作出的解释和推断负责。</w:t>
      </w:r>
    </w:p>
    <w:p w14:paraId="1D9F79B0">
      <w:pPr>
        <w:spacing w:line="360" w:lineRule="auto"/>
        <w:ind w:firstLine="480"/>
        <w:rPr>
          <w:color w:val="auto"/>
          <w:highlight w:val="none"/>
        </w:rPr>
      </w:pPr>
      <w:r>
        <w:rPr>
          <w:rFonts w:hint="eastAsia"/>
          <w:color w:val="auto"/>
          <w:highlight w:val="none"/>
        </w:rPr>
        <w:t>4.10.2 承包人应对施工场地和周围环境进行查勘，并收集有关地质、水文、气象条件、交通条件、风俗习惯以及其他为完成合同工作有关的当地资料。在全部合同工作中，应视为承包人已充分估计了应承担的责任和风险。</w:t>
      </w:r>
    </w:p>
    <w:p w14:paraId="160EA742">
      <w:pPr>
        <w:pStyle w:val="190"/>
        <w:rPr>
          <w:color w:val="auto"/>
          <w:highlight w:val="none"/>
        </w:rPr>
      </w:pPr>
      <w:bookmarkStart w:id="205" w:name="_Toc7633"/>
      <w:r>
        <w:rPr>
          <w:rFonts w:hint="eastAsia"/>
          <w:color w:val="auto"/>
          <w:highlight w:val="none"/>
        </w:rPr>
        <w:t>4.11 不利物质条件</w:t>
      </w:r>
      <w:bookmarkEnd w:id="201"/>
    </w:p>
    <w:p w14:paraId="6796BCCC">
      <w:pPr>
        <w:spacing w:line="360" w:lineRule="auto"/>
        <w:ind w:firstLine="480"/>
        <w:rPr>
          <w:color w:val="auto"/>
          <w:highlight w:val="none"/>
        </w:rPr>
      </w:pPr>
      <w:r>
        <w:rPr>
          <w:rFonts w:hint="eastAsia"/>
          <w:color w:val="auto"/>
          <w:highlight w:val="none"/>
        </w:rPr>
        <w:t>4.11.1 不利物质条件，除专用合同条款另有约定外，是指承包人在施工场地遇到的不可预见的自然物质条件、非自然的物质障碍和污染物，包括地下和水文条件，但不包括气候条件。</w:t>
      </w:r>
    </w:p>
    <w:p w14:paraId="0542A879">
      <w:pPr>
        <w:spacing w:line="360" w:lineRule="auto"/>
        <w:ind w:firstLine="480"/>
        <w:rPr>
          <w:color w:val="auto"/>
          <w:highlight w:val="none"/>
        </w:rPr>
      </w:pPr>
      <w:r>
        <w:rPr>
          <w:rFonts w:hint="eastAsia"/>
          <w:color w:val="auto"/>
          <w:highlight w:val="none"/>
        </w:rPr>
        <w:t>4.11.2 承包人遇到不利物质条件时，应采取适应不利物质条件的合理措施继续施工，并及时通知监理人。监理人应当及时发出指示，指示构成变更的，按第15条约定办理。监理人没有发出指示的，承包人因采取合理措施而增加的费用和（或）工期延误，由发包人承担。</w:t>
      </w:r>
    </w:p>
    <w:p w14:paraId="50E3FD09">
      <w:pPr>
        <w:pStyle w:val="189"/>
        <w:spacing w:before="0" w:after="0" w:line="360" w:lineRule="auto"/>
        <w:rPr>
          <w:color w:val="auto"/>
          <w:highlight w:val="none"/>
        </w:rPr>
      </w:pPr>
      <w:bookmarkStart w:id="206" w:name="_Toc122424437"/>
      <w:bookmarkStart w:id="207" w:name="_Toc122424188"/>
      <w:bookmarkStart w:id="208" w:name="_Toc8963"/>
      <w:r>
        <w:rPr>
          <w:rFonts w:hint="eastAsia"/>
          <w:color w:val="auto"/>
          <w:highlight w:val="none"/>
        </w:rPr>
        <w:t>5. 材料和工程设备</w:t>
      </w:r>
      <w:bookmarkEnd w:id="202"/>
      <w:bookmarkEnd w:id="203"/>
      <w:bookmarkEnd w:id="204"/>
    </w:p>
    <w:p w14:paraId="00285B5C">
      <w:pPr>
        <w:pStyle w:val="190"/>
        <w:rPr>
          <w:color w:val="auto"/>
          <w:highlight w:val="none"/>
        </w:rPr>
      </w:pPr>
      <w:bookmarkStart w:id="209" w:name="_Toc17580"/>
      <w:r>
        <w:rPr>
          <w:rFonts w:hint="eastAsia"/>
          <w:color w:val="auto"/>
          <w:highlight w:val="none"/>
        </w:rPr>
        <w:t>5.1 承包人提供的材料和工程设备</w:t>
      </w:r>
      <w:bookmarkEnd w:id="205"/>
    </w:p>
    <w:p w14:paraId="7C40B37A">
      <w:pPr>
        <w:spacing w:line="360" w:lineRule="auto"/>
        <w:ind w:firstLine="480"/>
        <w:rPr>
          <w:color w:val="auto"/>
          <w:highlight w:val="none"/>
        </w:rPr>
      </w:pPr>
      <w:r>
        <w:rPr>
          <w:rFonts w:hint="eastAsia"/>
          <w:color w:val="auto"/>
          <w:highlight w:val="none"/>
        </w:rPr>
        <w:t>5.1.1 除专用合同条款另有约定外，承包人提供的材料和工程设备均由承包人负责采购、运输和保管。承包人应对其采购的材料和工程设备负责。</w:t>
      </w:r>
    </w:p>
    <w:p w14:paraId="72E285AD">
      <w:pPr>
        <w:spacing w:line="360" w:lineRule="auto"/>
        <w:ind w:firstLine="480"/>
        <w:rPr>
          <w:color w:val="auto"/>
          <w:highlight w:val="none"/>
        </w:rPr>
      </w:pPr>
      <w:r>
        <w:rPr>
          <w:rFonts w:hint="eastAsia"/>
          <w:color w:val="auto"/>
          <w:highlight w:val="none"/>
        </w:rPr>
        <w:t>5.1.2 承包人应按专用合同条款的约定，将各项材料和工程设备的供货人及品种、规格、数量和供货时间等报送监理人审批。承包人应向监理人提交其负责提供的材料和工程设备的质量证明文件，并满足合同约定的质量标准。</w:t>
      </w:r>
    </w:p>
    <w:p w14:paraId="143F5B8B">
      <w:pPr>
        <w:spacing w:line="360" w:lineRule="auto"/>
        <w:ind w:firstLine="480"/>
        <w:rPr>
          <w:color w:val="auto"/>
          <w:highlight w:val="none"/>
        </w:rPr>
      </w:pPr>
      <w:r>
        <w:rPr>
          <w:rFonts w:hint="eastAsia"/>
          <w:color w:val="auto"/>
          <w:highlight w:val="none"/>
        </w:rPr>
        <w:t>5.1.3 对承包人提供的材料和工程设备，承包人应会同监理人进行检验和交货验收，查验材料合格证明和产品合格证书，并按合同约定和监理人指示，进行材料的抽样检验和工程设备的检验测试，检验和测试结果应提交监理人，所需费用由承包人承担。</w:t>
      </w:r>
    </w:p>
    <w:p w14:paraId="23AD6F77">
      <w:pPr>
        <w:pStyle w:val="190"/>
        <w:rPr>
          <w:color w:val="auto"/>
          <w:highlight w:val="none"/>
        </w:rPr>
      </w:pPr>
      <w:bookmarkStart w:id="210" w:name="_Toc26086"/>
      <w:r>
        <w:rPr>
          <w:rFonts w:hint="eastAsia"/>
          <w:color w:val="auto"/>
          <w:highlight w:val="none"/>
        </w:rPr>
        <w:t>5.2 发包人提供的材料和工程设备</w:t>
      </w:r>
      <w:bookmarkEnd w:id="206"/>
    </w:p>
    <w:p w14:paraId="7A847935">
      <w:pPr>
        <w:spacing w:line="360" w:lineRule="auto"/>
        <w:ind w:firstLine="480"/>
        <w:rPr>
          <w:color w:val="auto"/>
          <w:highlight w:val="none"/>
        </w:rPr>
      </w:pPr>
      <w:r>
        <w:rPr>
          <w:rFonts w:hint="eastAsia"/>
          <w:color w:val="auto"/>
          <w:highlight w:val="none"/>
        </w:rPr>
        <w:t>5.2.1 发包人提供的材料和工程设备，应在专用合同条款中写明材料和工程设备的名称、规格、数量、价格、交货方式、交货地点和计划交货日期等。</w:t>
      </w:r>
    </w:p>
    <w:p w14:paraId="7525D3F2">
      <w:pPr>
        <w:spacing w:line="360" w:lineRule="auto"/>
        <w:ind w:firstLine="480"/>
        <w:rPr>
          <w:color w:val="auto"/>
          <w:highlight w:val="none"/>
        </w:rPr>
      </w:pPr>
      <w:r>
        <w:rPr>
          <w:rFonts w:hint="eastAsia"/>
          <w:color w:val="auto"/>
          <w:highlight w:val="none"/>
        </w:rPr>
        <w:t>5.2.2 承包人应根据合同进度计划的安排，向监理人报送要求发包人交货的日期计划。发包人应按照监理人与合同双方当事人商定的交货日期，向承包人提交材料和工程设备。</w:t>
      </w:r>
    </w:p>
    <w:p w14:paraId="35C3D610">
      <w:pPr>
        <w:spacing w:line="360" w:lineRule="auto"/>
        <w:ind w:firstLine="480"/>
        <w:rPr>
          <w:color w:val="auto"/>
          <w:highlight w:val="none"/>
        </w:rPr>
      </w:pPr>
      <w:r>
        <w:rPr>
          <w:rFonts w:hint="eastAsia"/>
          <w:color w:val="auto"/>
          <w:highlight w:val="none"/>
        </w:rPr>
        <w:t>5.2.3 发包人应在材料和工程设备到货7天前通知承包人，承包人应会同监理人在约定的时间内，赴交货地点共同进行验收。除专用合同条款另有约定外，发包人提供的材料和工程设备验收后，由承包人负责接收、运输和保管。</w:t>
      </w:r>
    </w:p>
    <w:p w14:paraId="22CE660A">
      <w:pPr>
        <w:spacing w:line="360" w:lineRule="auto"/>
        <w:ind w:firstLine="480"/>
        <w:rPr>
          <w:color w:val="auto"/>
          <w:highlight w:val="none"/>
        </w:rPr>
      </w:pPr>
      <w:r>
        <w:rPr>
          <w:rFonts w:hint="eastAsia"/>
          <w:color w:val="auto"/>
          <w:highlight w:val="none"/>
        </w:rPr>
        <w:t xml:space="preserve">5.2.4 发包人要求向承包人提前交货的，承包人不得拒绝，但发包人应承担承包人由此增加的费用。 </w:t>
      </w:r>
    </w:p>
    <w:p w14:paraId="2AAF434D">
      <w:pPr>
        <w:spacing w:line="360" w:lineRule="auto"/>
        <w:ind w:firstLine="480"/>
        <w:rPr>
          <w:color w:val="auto"/>
          <w:highlight w:val="none"/>
        </w:rPr>
      </w:pPr>
      <w:r>
        <w:rPr>
          <w:rFonts w:hint="eastAsia"/>
          <w:color w:val="auto"/>
          <w:highlight w:val="none"/>
        </w:rPr>
        <w:t xml:space="preserve">5.2.5 承包人要求更改交货日期或地点的，应事先报请监理人批准。由于承包人要求更改交货时间或地点所增加的费用和（或）工期延误由承包人承担。 </w:t>
      </w:r>
    </w:p>
    <w:p w14:paraId="1C80BA33">
      <w:pPr>
        <w:spacing w:line="360" w:lineRule="auto"/>
        <w:ind w:firstLine="480"/>
        <w:rPr>
          <w:color w:val="auto"/>
          <w:highlight w:val="none"/>
        </w:rPr>
      </w:pPr>
      <w:r>
        <w:rPr>
          <w:rFonts w:hint="eastAsia"/>
          <w:color w:val="auto"/>
          <w:highlight w:val="none"/>
        </w:rPr>
        <w:t>5.2.6 发包人提供的材料和工程设备的规格、数量或质量不符合合同要求，或由于发包人原因发生交货日期延误及交货地点变更等情况的，发包人应承担由此增加的费用和（或）工期延误，并向承包人支付合理利润。</w:t>
      </w:r>
    </w:p>
    <w:p w14:paraId="14B57EDD">
      <w:pPr>
        <w:pStyle w:val="190"/>
        <w:rPr>
          <w:color w:val="auto"/>
          <w:highlight w:val="none"/>
        </w:rPr>
      </w:pPr>
      <w:bookmarkStart w:id="211" w:name="_Toc25028"/>
      <w:r>
        <w:rPr>
          <w:rFonts w:hint="eastAsia"/>
          <w:color w:val="auto"/>
          <w:highlight w:val="none"/>
        </w:rPr>
        <w:t>5.3 材料和工程设备专用于合同工程</w:t>
      </w:r>
      <w:bookmarkEnd w:id="207"/>
    </w:p>
    <w:p w14:paraId="14AD98EC">
      <w:pPr>
        <w:spacing w:line="360" w:lineRule="auto"/>
        <w:ind w:firstLine="480"/>
        <w:rPr>
          <w:color w:val="auto"/>
          <w:highlight w:val="none"/>
        </w:rPr>
      </w:pPr>
      <w:r>
        <w:rPr>
          <w:rFonts w:hint="eastAsia"/>
          <w:color w:val="auto"/>
          <w:highlight w:val="none"/>
        </w:rPr>
        <w:t>5.3.1 运入施工场地的材料、工程设备，包括备品备件、安装专用工器具与随机资料，必须专用于合同工程，未经监理人同意，承包人不得运出施工场地或挪作他用。</w:t>
      </w:r>
    </w:p>
    <w:p w14:paraId="6D4913ED">
      <w:pPr>
        <w:spacing w:line="360" w:lineRule="auto"/>
        <w:ind w:firstLine="480"/>
        <w:rPr>
          <w:color w:val="auto"/>
          <w:highlight w:val="none"/>
        </w:rPr>
      </w:pPr>
      <w:r>
        <w:rPr>
          <w:rFonts w:hint="eastAsia"/>
          <w:color w:val="auto"/>
          <w:highlight w:val="none"/>
        </w:rPr>
        <w:t>5.3.2 随同工程设备运入施工场地的备品备件、专用工器具与随机资料，应由承包人会同监理人按供货人的装箱单清点后共同封存，未经监理人同意不得启用。承包人因合同工作需要使用上述物品时，应向监理人提出申请。</w:t>
      </w:r>
    </w:p>
    <w:p w14:paraId="3D4ED9C9">
      <w:pPr>
        <w:pStyle w:val="190"/>
        <w:rPr>
          <w:color w:val="auto"/>
          <w:highlight w:val="none"/>
        </w:rPr>
      </w:pPr>
      <w:bookmarkStart w:id="212" w:name="_Toc14583"/>
      <w:r>
        <w:rPr>
          <w:rFonts w:hint="eastAsia"/>
          <w:color w:val="auto"/>
          <w:highlight w:val="none"/>
        </w:rPr>
        <w:t>5.4 禁止使用不合格的材料和工程设备</w:t>
      </w:r>
      <w:bookmarkEnd w:id="208"/>
    </w:p>
    <w:p w14:paraId="5E58768F">
      <w:pPr>
        <w:spacing w:line="360" w:lineRule="auto"/>
        <w:ind w:firstLine="480"/>
        <w:rPr>
          <w:color w:val="auto"/>
          <w:highlight w:val="none"/>
        </w:rPr>
      </w:pPr>
      <w:r>
        <w:rPr>
          <w:rFonts w:hint="eastAsia"/>
          <w:color w:val="auto"/>
          <w:highlight w:val="none"/>
        </w:rPr>
        <w:t>5.4.1 监理人有权拒绝承包人提供的不合格材料或工程设备，并要求承包人立即进行更换。监理人应在更换后再次进行检查和检验，由此增加的费用和（或）工期延误由承包人承担。</w:t>
      </w:r>
    </w:p>
    <w:p w14:paraId="1D77FB59">
      <w:pPr>
        <w:spacing w:line="360" w:lineRule="auto"/>
        <w:ind w:firstLine="480"/>
        <w:rPr>
          <w:color w:val="auto"/>
          <w:highlight w:val="none"/>
        </w:rPr>
      </w:pPr>
      <w:r>
        <w:rPr>
          <w:rFonts w:hint="eastAsia"/>
          <w:color w:val="auto"/>
          <w:highlight w:val="none"/>
        </w:rPr>
        <w:t>5.4.2 监理人发现承包人使用了不合格的材料和工程设备，应即时发出指示要求承包人立即改正，并禁止在工程中继续使用不合格的材料和工程设备。</w:t>
      </w:r>
    </w:p>
    <w:p w14:paraId="73AF1B57">
      <w:pPr>
        <w:spacing w:line="360" w:lineRule="auto"/>
        <w:ind w:firstLine="480"/>
        <w:rPr>
          <w:color w:val="auto"/>
          <w:highlight w:val="none"/>
        </w:rPr>
      </w:pPr>
      <w:r>
        <w:rPr>
          <w:rFonts w:hint="eastAsia"/>
          <w:color w:val="auto"/>
          <w:highlight w:val="none"/>
        </w:rPr>
        <w:t>5.4.3 发包人提供的材料或工程设备不符合合同要求的，承包人有权拒绝，并可要求发包人更换，由此增加的费用和（或）工期延误由发包人承担。</w:t>
      </w:r>
    </w:p>
    <w:p w14:paraId="017DD571">
      <w:pPr>
        <w:pStyle w:val="189"/>
        <w:spacing w:before="0" w:after="0" w:line="360" w:lineRule="auto"/>
        <w:rPr>
          <w:color w:val="auto"/>
          <w:highlight w:val="none"/>
        </w:rPr>
      </w:pPr>
      <w:bookmarkStart w:id="213" w:name="_Toc22183"/>
      <w:bookmarkStart w:id="214" w:name="_Toc122424438"/>
      <w:bookmarkStart w:id="215" w:name="_Toc122424189"/>
      <w:r>
        <w:rPr>
          <w:rFonts w:hint="eastAsia"/>
          <w:color w:val="auto"/>
          <w:highlight w:val="none"/>
        </w:rPr>
        <w:t>6. 施工设备和临时设施</w:t>
      </w:r>
      <w:bookmarkEnd w:id="209"/>
      <w:bookmarkEnd w:id="210"/>
      <w:bookmarkEnd w:id="211"/>
    </w:p>
    <w:p w14:paraId="70F3455A">
      <w:pPr>
        <w:pStyle w:val="190"/>
        <w:rPr>
          <w:color w:val="auto"/>
          <w:highlight w:val="none"/>
        </w:rPr>
      </w:pPr>
      <w:bookmarkStart w:id="216" w:name="_Toc18606"/>
      <w:r>
        <w:rPr>
          <w:rFonts w:hint="eastAsia"/>
          <w:color w:val="auto"/>
          <w:highlight w:val="none"/>
        </w:rPr>
        <w:t>6.1 承包人提供的施工设备和临时设施</w:t>
      </w:r>
      <w:bookmarkEnd w:id="212"/>
    </w:p>
    <w:p w14:paraId="54D5A2AE">
      <w:pPr>
        <w:spacing w:line="360" w:lineRule="auto"/>
        <w:ind w:firstLine="480"/>
        <w:rPr>
          <w:color w:val="auto"/>
          <w:highlight w:val="none"/>
        </w:rPr>
      </w:pPr>
      <w:r>
        <w:rPr>
          <w:rFonts w:hint="eastAsia"/>
          <w:color w:val="auto"/>
          <w:highlight w:val="none"/>
        </w:rPr>
        <w:t>6.1.1 承包人应按合同进度计划的要求，及时配置施工设备和修建临时设施。进入施工场地的承包人设备需经监理人核查后才能投入使用。承包人更换合同约定的承包人设备的，应报监理人批准。</w:t>
      </w:r>
    </w:p>
    <w:p w14:paraId="07BEE423">
      <w:pPr>
        <w:spacing w:line="360" w:lineRule="auto"/>
        <w:ind w:firstLine="480"/>
        <w:rPr>
          <w:color w:val="auto"/>
          <w:highlight w:val="none"/>
        </w:rPr>
      </w:pPr>
      <w:r>
        <w:rPr>
          <w:rFonts w:hint="eastAsia"/>
          <w:color w:val="auto"/>
          <w:highlight w:val="none"/>
        </w:rPr>
        <w:t>6.1.2 除专用合同条款另有约定外，承包人应自行承担修建临时设施的费用，需要临时占地的，应由发包人办理申请手续并承担相应费用。</w:t>
      </w:r>
    </w:p>
    <w:p w14:paraId="125464E5">
      <w:pPr>
        <w:pStyle w:val="190"/>
        <w:rPr>
          <w:color w:val="auto"/>
          <w:highlight w:val="none"/>
        </w:rPr>
      </w:pPr>
      <w:bookmarkStart w:id="217" w:name="_Toc12933"/>
      <w:r>
        <w:rPr>
          <w:rFonts w:hint="eastAsia"/>
          <w:color w:val="auto"/>
          <w:highlight w:val="none"/>
        </w:rPr>
        <w:t>6.2 发包人提供的施工设备和临时设施</w:t>
      </w:r>
      <w:bookmarkEnd w:id="213"/>
    </w:p>
    <w:p w14:paraId="07DC6FFF">
      <w:pPr>
        <w:spacing w:line="360" w:lineRule="auto"/>
        <w:ind w:firstLine="480"/>
        <w:rPr>
          <w:color w:val="auto"/>
          <w:highlight w:val="none"/>
        </w:rPr>
      </w:pPr>
      <w:r>
        <w:rPr>
          <w:rFonts w:hint="eastAsia"/>
          <w:color w:val="auto"/>
          <w:highlight w:val="none"/>
        </w:rPr>
        <w:t>发包人提供的施工设备或临时设施在专用合同条款中约定。</w:t>
      </w:r>
    </w:p>
    <w:p w14:paraId="32D57166">
      <w:pPr>
        <w:pStyle w:val="190"/>
        <w:rPr>
          <w:color w:val="auto"/>
          <w:highlight w:val="none"/>
        </w:rPr>
      </w:pPr>
      <w:bookmarkStart w:id="218" w:name="_Toc4522"/>
      <w:r>
        <w:rPr>
          <w:rFonts w:hint="eastAsia"/>
          <w:color w:val="auto"/>
          <w:highlight w:val="none"/>
        </w:rPr>
        <w:t>6.3 要求承包人增加或更换施工设备</w:t>
      </w:r>
      <w:bookmarkEnd w:id="214"/>
    </w:p>
    <w:p w14:paraId="47C58215">
      <w:pPr>
        <w:spacing w:line="360" w:lineRule="auto"/>
        <w:ind w:firstLine="480"/>
        <w:rPr>
          <w:color w:val="auto"/>
          <w:highlight w:val="none"/>
        </w:rPr>
      </w:pPr>
      <w:r>
        <w:rPr>
          <w:rFonts w:hint="eastAsia"/>
          <w:color w:val="auto"/>
          <w:highlight w:val="none"/>
        </w:rPr>
        <w:t>承包人使用的施工设备不能满足合同进度计划和（或）质量要求时，监理人有权要求承包人增加或更换施工设备，承包人应及时增加或更换，由此增加的费用和（或）工期延误由承包人承担。</w:t>
      </w:r>
    </w:p>
    <w:p w14:paraId="3633F716">
      <w:pPr>
        <w:pStyle w:val="190"/>
        <w:rPr>
          <w:color w:val="auto"/>
          <w:highlight w:val="none"/>
        </w:rPr>
      </w:pPr>
      <w:bookmarkStart w:id="219" w:name="_Toc18668"/>
      <w:r>
        <w:rPr>
          <w:rFonts w:hint="eastAsia"/>
          <w:color w:val="auto"/>
          <w:highlight w:val="none"/>
        </w:rPr>
        <w:t>6.4 施工设备和临时设施专用于合同工程</w:t>
      </w:r>
      <w:bookmarkEnd w:id="215"/>
    </w:p>
    <w:p w14:paraId="36CD8AC3">
      <w:pPr>
        <w:spacing w:line="360" w:lineRule="auto"/>
        <w:ind w:firstLine="480"/>
        <w:rPr>
          <w:color w:val="auto"/>
          <w:highlight w:val="none"/>
        </w:rPr>
      </w:pPr>
      <w:r>
        <w:rPr>
          <w:rFonts w:hint="eastAsia"/>
          <w:color w:val="auto"/>
          <w:highlight w:val="none"/>
        </w:rPr>
        <w:t>6.4.1 除合同另有约定外，运入施工场地的所有施工设备以及在施工场地建设的临时设施应专用于合同工程。未经监理人同意，不得将上述施工设备和临时设施中的任何部分运出施工场地或挪作他用。</w:t>
      </w:r>
    </w:p>
    <w:p w14:paraId="29E97D3E">
      <w:pPr>
        <w:spacing w:line="360" w:lineRule="auto"/>
        <w:ind w:firstLine="480"/>
        <w:rPr>
          <w:color w:val="auto"/>
          <w:highlight w:val="none"/>
        </w:rPr>
      </w:pPr>
      <w:r>
        <w:rPr>
          <w:rFonts w:hint="eastAsia"/>
          <w:color w:val="auto"/>
          <w:highlight w:val="none"/>
        </w:rPr>
        <w:t>6.4.2 经监理人同意，承包人可根据合同进度计划撤走闲置的施工设备。</w:t>
      </w:r>
    </w:p>
    <w:p w14:paraId="4BA317CB">
      <w:pPr>
        <w:pStyle w:val="189"/>
        <w:spacing w:before="0" w:after="0" w:line="360" w:lineRule="auto"/>
        <w:rPr>
          <w:color w:val="auto"/>
          <w:highlight w:val="none"/>
        </w:rPr>
      </w:pPr>
      <w:bookmarkStart w:id="220" w:name="_Toc122424190"/>
      <w:bookmarkStart w:id="221" w:name="_Toc25865"/>
      <w:bookmarkStart w:id="222" w:name="_Toc122424439"/>
      <w:r>
        <w:rPr>
          <w:rFonts w:hint="eastAsia"/>
          <w:color w:val="auto"/>
          <w:highlight w:val="none"/>
        </w:rPr>
        <w:t>7. 交通运输</w:t>
      </w:r>
      <w:bookmarkEnd w:id="216"/>
      <w:bookmarkEnd w:id="217"/>
      <w:bookmarkEnd w:id="218"/>
    </w:p>
    <w:p w14:paraId="02BE49CB">
      <w:pPr>
        <w:pStyle w:val="190"/>
        <w:rPr>
          <w:color w:val="auto"/>
          <w:highlight w:val="none"/>
        </w:rPr>
      </w:pPr>
      <w:bookmarkStart w:id="223" w:name="_Toc19258"/>
      <w:r>
        <w:rPr>
          <w:rFonts w:hint="eastAsia"/>
          <w:color w:val="auto"/>
          <w:highlight w:val="none"/>
        </w:rPr>
        <w:t>7.1 道路通行权和场外设施</w:t>
      </w:r>
      <w:bookmarkEnd w:id="219"/>
    </w:p>
    <w:p w14:paraId="0F2CD06C">
      <w:pPr>
        <w:spacing w:line="360" w:lineRule="auto"/>
        <w:ind w:firstLine="480"/>
        <w:rPr>
          <w:color w:val="auto"/>
          <w:highlight w:val="none"/>
        </w:rPr>
      </w:pPr>
      <w:r>
        <w:rPr>
          <w:rFonts w:hint="eastAsia"/>
          <w:color w:val="auto"/>
          <w:highlight w:val="none"/>
        </w:rPr>
        <w:t>除专用合同条款另有约定外，发包人应根据合同工程的施工需要，负责办理取得出入施工场地的专用和临时道路的通行权，以及取得为工程建设所需修建场外设施的权利，并承担有关费用。承包人应协助发包人办理上述手续。</w:t>
      </w:r>
    </w:p>
    <w:p w14:paraId="7CF469C1">
      <w:pPr>
        <w:pStyle w:val="190"/>
        <w:rPr>
          <w:color w:val="auto"/>
          <w:highlight w:val="none"/>
        </w:rPr>
      </w:pPr>
      <w:bookmarkStart w:id="224" w:name="_Toc10364"/>
      <w:r>
        <w:rPr>
          <w:rFonts w:hint="eastAsia"/>
          <w:color w:val="auto"/>
          <w:highlight w:val="none"/>
        </w:rPr>
        <w:t>7.2 场内施工道路</w:t>
      </w:r>
      <w:bookmarkEnd w:id="220"/>
    </w:p>
    <w:p w14:paraId="513BF5C3">
      <w:pPr>
        <w:spacing w:line="360" w:lineRule="auto"/>
        <w:ind w:firstLine="480"/>
        <w:rPr>
          <w:color w:val="auto"/>
          <w:highlight w:val="none"/>
        </w:rPr>
      </w:pPr>
      <w:r>
        <w:rPr>
          <w:rFonts w:hint="eastAsia"/>
          <w:color w:val="auto"/>
          <w:highlight w:val="none"/>
        </w:rPr>
        <w:t>7.2.1 除专用合同条款另有约定外，承包人应负责修建、维修、养护和管理施工所需的临时道路和交通设施，包括维修、养护和管理发包人提供的道路和交通设施，并承担相应费用。</w:t>
      </w:r>
    </w:p>
    <w:p w14:paraId="03D48402">
      <w:pPr>
        <w:spacing w:line="360" w:lineRule="auto"/>
        <w:ind w:firstLine="480"/>
        <w:rPr>
          <w:color w:val="auto"/>
          <w:highlight w:val="none"/>
        </w:rPr>
      </w:pPr>
      <w:r>
        <w:rPr>
          <w:rFonts w:hint="eastAsia"/>
          <w:color w:val="auto"/>
          <w:highlight w:val="none"/>
        </w:rPr>
        <w:t>7.2.2 除专用合同条款另有约定外，承包人修建的临时道路和交通设施应免费提供发包人和监理人使用。</w:t>
      </w:r>
    </w:p>
    <w:p w14:paraId="0E8B5572">
      <w:pPr>
        <w:pStyle w:val="190"/>
        <w:rPr>
          <w:color w:val="auto"/>
          <w:highlight w:val="none"/>
        </w:rPr>
      </w:pPr>
      <w:bookmarkStart w:id="225" w:name="_Toc25319"/>
      <w:r>
        <w:rPr>
          <w:rFonts w:hint="eastAsia"/>
          <w:color w:val="auto"/>
          <w:highlight w:val="none"/>
        </w:rPr>
        <w:t>7.3 场外交通</w:t>
      </w:r>
      <w:bookmarkEnd w:id="221"/>
    </w:p>
    <w:p w14:paraId="27F19008">
      <w:pPr>
        <w:spacing w:line="360" w:lineRule="auto"/>
        <w:ind w:firstLine="480"/>
        <w:rPr>
          <w:color w:val="auto"/>
          <w:highlight w:val="none"/>
        </w:rPr>
      </w:pPr>
      <w:r>
        <w:rPr>
          <w:rFonts w:hint="eastAsia"/>
          <w:color w:val="auto"/>
          <w:highlight w:val="none"/>
        </w:rPr>
        <w:t>7.3.1 承包人车辆外出行驶所需的场外公共道路的通行费、养路费和税款等由承包人承担。</w:t>
      </w:r>
    </w:p>
    <w:p w14:paraId="11706EDD">
      <w:pPr>
        <w:spacing w:line="360" w:lineRule="auto"/>
        <w:ind w:firstLine="480"/>
        <w:rPr>
          <w:color w:val="auto"/>
          <w:highlight w:val="none"/>
        </w:rPr>
      </w:pPr>
      <w:r>
        <w:rPr>
          <w:rFonts w:hint="eastAsia"/>
          <w:color w:val="auto"/>
          <w:highlight w:val="none"/>
        </w:rPr>
        <w:t>7.3.2 承包人应遵守有关交通法规，严格按照道路和桥梁的限制荷重安全行驶，并服从交通管理部门的检查和监督。</w:t>
      </w:r>
    </w:p>
    <w:p w14:paraId="47039C93">
      <w:pPr>
        <w:pStyle w:val="190"/>
        <w:rPr>
          <w:color w:val="auto"/>
          <w:highlight w:val="none"/>
        </w:rPr>
      </w:pPr>
      <w:r>
        <w:rPr>
          <w:rFonts w:hint="eastAsia"/>
          <w:color w:val="auto"/>
          <w:highlight w:val="none"/>
        </w:rPr>
        <w:t>7.4 超大件和超重件的运输</w:t>
      </w:r>
    </w:p>
    <w:p w14:paraId="08F96A1D">
      <w:pPr>
        <w:spacing w:line="360" w:lineRule="auto"/>
        <w:ind w:firstLine="480"/>
        <w:rPr>
          <w:color w:val="auto"/>
          <w:highlight w:val="none"/>
        </w:rPr>
      </w:pPr>
      <w:r>
        <w:rPr>
          <w:rFonts w:hint="eastAsia"/>
          <w:color w:val="auto"/>
          <w:highlight w:val="none"/>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14:paraId="6C3A07C4">
      <w:pPr>
        <w:pStyle w:val="190"/>
        <w:rPr>
          <w:color w:val="auto"/>
          <w:highlight w:val="none"/>
        </w:rPr>
      </w:pPr>
      <w:bookmarkStart w:id="226" w:name="_Toc31442"/>
      <w:r>
        <w:rPr>
          <w:rFonts w:hint="eastAsia"/>
          <w:color w:val="auto"/>
          <w:highlight w:val="none"/>
        </w:rPr>
        <w:t>7.5 道路和桥梁的损坏责任</w:t>
      </w:r>
      <w:bookmarkEnd w:id="222"/>
    </w:p>
    <w:p w14:paraId="22CF144B">
      <w:pPr>
        <w:spacing w:line="360" w:lineRule="auto"/>
        <w:ind w:firstLine="480"/>
        <w:rPr>
          <w:color w:val="auto"/>
          <w:highlight w:val="none"/>
        </w:rPr>
      </w:pPr>
      <w:r>
        <w:rPr>
          <w:rFonts w:hint="eastAsia"/>
          <w:color w:val="auto"/>
          <w:highlight w:val="none"/>
        </w:rPr>
        <w:t>因承包人运输造成施工场地内外公共道路和桥梁损坏的，由承包人承担修复损坏的全部费用和可能引起的赔偿。</w:t>
      </w:r>
    </w:p>
    <w:p w14:paraId="56A3FFBD">
      <w:pPr>
        <w:pStyle w:val="190"/>
        <w:rPr>
          <w:color w:val="auto"/>
          <w:highlight w:val="none"/>
        </w:rPr>
      </w:pPr>
      <w:bookmarkStart w:id="227" w:name="_Toc15978"/>
      <w:r>
        <w:rPr>
          <w:rFonts w:hint="eastAsia"/>
          <w:color w:val="auto"/>
          <w:highlight w:val="none"/>
        </w:rPr>
        <w:t>7.6 水路和航空运输</w:t>
      </w:r>
      <w:bookmarkEnd w:id="223"/>
    </w:p>
    <w:p w14:paraId="1630E2C2">
      <w:pPr>
        <w:spacing w:line="360" w:lineRule="auto"/>
        <w:ind w:firstLine="480"/>
        <w:rPr>
          <w:color w:val="auto"/>
          <w:highlight w:val="none"/>
        </w:rPr>
      </w:pPr>
      <w:r>
        <w:rPr>
          <w:rFonts w:hint="eastAsia"/>
          <w:color w:val="auto"/>
          <w:highlight w:val="none"/>
        </w:rPr>
        <w:t xml:space="preserve">本条上述各款的内容适用于水路运输和航空运输，其中“道路”一词的含义包括河道、航线、船闸、机场、码头、堤防以及水路或航空运输中其他相似结构物；“车辆”一词的含义包括船舶和飞机等。 </w:t>
      </w:r>
    </w:p>
    <w:p w14:paraId="060F36ED">
      <w:pPr>
        <w:pStyle w:val="189"/>
        <w:spacing w:before="0" w:after="0" w:line="360" w:lineRule="auto"/>
        <w:rPr>
          <w:color w:val="auto"/>
          <w:highlight w:val="none"/>
        </w:rPr>
      </w:pPr>
      <w:bookmarkStart w:id="228" w:name="_Toc122424191"/>
      <w:bookmarkStart w:id="229" w:name="_Toc6195"/>
      <w:bookmarkStart w:id="230" w:name="_Toc122424440"/>
      <w:r>
        <w:rPr>
          <w:rFonts w:hint="eastAsia"/>
          <w:color w:val="auto"/>
          <w:highlight w:val="none"/>
        </w:rPr>
        <w:t>8. 测量放线</w:t>
      </w:r>
      <w:bookmarkEnd w:id="224"/>
      <w:bookmarkEnd w:id="225"/>
      <w:bookmarkEnd w:id="226"/>
    </w:p>
    <w:p w14:paraId="6EF4A20D">
      <w:pPr>
        <w:pStyle w:val="190"/>
        <w:rPr>
          <w:color w:val="auto"/>
          <w:highlight w:val="none"/>
        </w:rPr>
      </w:pPr>
      <w:bookmarkStart w:id="231" w:name="_Toc17175"/>
      <w:r>
        <w:rPr>
          <w:rFonts w:hint="eastAsia"/>
          <w:color w:val="auto"/>
          <w:highlight w:val="none"/>
        </w:rPr>
        <w:t>8.1 施工控制网</w:t>
      </w:r>
      <w:bookmarkEnd w:id="227"/>
    </w:p>
    <w:p w14:paraId="62F3E63E">
      <w:pPr>
        <w:spacing w:line="360" w:lineRule="auto"/>
        <w:ind w:firstLine="480"/>
        <w:rPr>
          <w:color w:val="auto"/>
          <w:highlight w:val="none"/>
        </w:rPr>
      </w:pPr>
      <w:r>
        <w:rPr>
          <w:rFonts w:hint="eastAsia"/>
          <w:color w:val="auto"/>
          <w:highlight w:val="none"/>
        </w:rPr>
        <w:t>8.1.1 发包人应在专用合同条款约定的期限内，通过监理人向承包人提供测量基准点、基准线和水准点及其书面资料。除专用合同条款另有约定外，承包人应根据国家测绘基准、测绘系统和工程测量技术规范，按上述基准点（线）以及合同工程精度要求，测设施工控制网，并在专用合同条款约定的期限内，将施工控制网资料报送监理人审批。</w:t>
      </w:r>
    </w:p>
    <w:p w14:paraId="45FA91FF">
      <w:pPr>
        <w:spacing w:line="360" w:lineRule="auto"/>
        <w:ind w:firstLine="480"/>
        <w:rPr>
          <w:color w:val="auto"/>
          <w:highlight w:val="none"/>
        </w:rPr>
      </w:pPr>
      <w:r>
        <w:rPr>
          <w:rFonts w:hint="eastAsia"/>
          <w:color w:val="auto"/>
          <w:highlight w:val="none"/>
        </w:rPr>
        <w:t>8.1.2 承包人应负责管理施工控制网点。施工控制网点丢失或损坏的，承包人应及时修复。承包人应承担施工控制网点的管理与修复费用，并在工程竣工后将施工控制网点移交发包人。</w:t>
      </w:r>
    </w:p>
    <w:p w14:paraId="47E6C91C">
      <w:pPr>
        <w:pStyle w:val="190"/>
        <w:rPr>
          <w:color w:val="auto"/>
          <w:highlight w:val="none"/>
        </w:rPr>
      </w:pPr>
      <w:bookmarkStart w:id="232" w:name="_Toc26593"/>
      <w:r>
        <w:rPr>
          <w:rFonts w:hint="eastAsia"/>
          <w:color w:val="auto"/>
          <w:highlight w:val="none"/>
        </w:rPr>
        <w:t>8.2 施工测量</w:t>
      </w:r>
      <w:bookmarkEnd w:id="228"/>
    </w:p>
    <w:p w14:paraId="21CDA965">
      <w:pPr>
        <w:spacing w:line="360" w:lineRule="auto"/>
        <w:ind w:firstLine="480"/>
        <w:rPr>
          <w:color w:val="auto"/>
          <w:highlight w:val="none"/>
        </w:rPr>
      </w:pPr>
      <w:r>
        <w:rPr>
          <w:rFonts w:hint="eastAsia"/>
          <w:color w:val="auto"/>
          <w:highlight w:val="none"/>
        </w:rPr>
        <w:t>8.2.1 承包人应负责施工过程中的全部施工测量放线工作，并配置合格的人员、仪器、设备和其他物品。</w:t>
      </w:r>
    </w:p>
    <w:p w14:paraId="5BE5DEA2">
      <w:pPr>
        <w:spacing w:line="360" w:lineRule="auto"/>
        <w:ind w:firstLine="480"/>
        <w:rPr>
          <w:color w:val="auto"/>
          <w:highlight w:val="none"/>
        </w:rPr>
      </w:pPr>
      <w:r>
        <w:rPr>
          <w:rFonts w:hint="eastAsia"/>
          <w:color w:val="auto"/>
          <w:highlight w:val="none"/>
        </w:rPr>
        <w:t>8.2.2 监理人可以指示承包人进行抽样复测，当复测中发现错误或出现超过合同约定的误差时，承包人应按监理人指示进行修正或补测，并承担相应的复测费用。</w:t>
      </w:r>
    </w:p>
    <w:p w14:paraId="7E012D8A">
      <w:pPr>
        <w:pStyle w:val="190"/>
        <w:rPr>
          <w:color w:val="auto"/>
          <w:highlight w:val="none"/>
        </w:rPr>
      </w:pPr>
      <w:bookmarkStart w:id="233" w:name="_Toc24208"/>
      <w:r>
        <w:rPr>
          <w:rFonts w:hint="eastAsia"/>
          <w:color w:val="auto"/>
          <w:highlight w:val="none"/>
        </w:rPr>
        <w:t>8.3 基准资料错误的责任</w:t>
      </w:r>
      <w:bookmarkEnd w:id="229"/>
    </w:p>
    <w:p w14:paraId="50644939">
      <w:pPr>
        <w:spacing w:line="360" w:lineRule="auto"/>
        <w:ind w:firstLine="480"/>
        <w:rPr>
          <w:color w:val="auto"/>
          <w:highlight w:val="none"/>
        </w:rPr>
      </w:pPr>
      <w:r>
        <w:rPr>
          <w:rFonts w:hint="eastAsia"/>
          <w:color w:val="auto"/>
          <w:highlight w:val="none"/>
        </w:rPr>
        <w:t>发包人应对其提供的测量基准点、基准线和水准点及其书面资料的真实性、准确性和完整性负责。发包人提供上述基准资料错误导致承包人测量放线工作的返工或造成工程损失的，发包人应当承担由此增加的费用和（或）工期延误，并向承包人支付合理利润。承包人发现发包人提供的上述基准资料存在明显错误或疏忽的，应及时通知监理人。</w:t>
      </w:r>
    </w:p>
    <w:p w14:paraId="5BC01CAC">
      <w:pPr>
        <w:pStyle w:val="190"/>
        <w:rPr>
          <w:color w:val="auto"/>
          <w:highlight w:val="none"/>
        </w:rPr>
      </w:pPr>
      <w:bookmarkStart w:id="234" w:name="_Toc2830"/>
      <w:r>
        <w:rPr>
          <w:rFonts w:hint="eastAsia"/>
          <w:color w:val="auto"/>
          <w:highlight w:val="none"/>
        </w:rPr>
        <w:t>8.4 监理人使用施工控制网</w:t>
      </w:r>
      <w:bookmarkEnd w:id="230"/>
    </w:p>
    <w:p w14:paraId="24741C33">
      <w:pPr>
        <w:spacing w:line="360" w:lineRule="auto"/>
        <w:ind w:firstLine="480"/>
        <w:rPr>
          <w:color w:val="auto"/>
          <w:highlight w:val="none"/>
        </w:rPr>
      </w:pPr>
      <w:r>
        <w:rPr>
          <w:rFonts w:hint="eastAsia"/>
          <w:color w:val="auto"/>
          <w:highlight w:val="none"/>
        </w:rPr>
        <w:t>监理人需要使用施工控制网的，承包人应提供必要的协助，发包人不再为此支付费用。</w:t>
      </w:r>
    </w:p>
    <w:p w14:paraId="2A8805BD">
      <w:pPr>
        <w:pStyle w:val="189"/>
        <w:spacing w:before="0" w:after="0" w:line="360" w:lineRule="auto"/>
        <w:rPr>
          <w:color w:val="auto"/>
          <w:highlight w:val="none"/>
        </w:rPr>
      </w:pPr>
      <w:bookmarkStart w:id="235" w:name="_Toc21731"/>
      <w:bookmarkStart w:id="236" w:name="_Toc122424441"/>
      <w:bookmarkStart w:id="237" w:name="_Toc122424192"/>
      <w:r>
        <w:rPr>
          <w:rFonts w:hint="eastAsia"/>
          <w:color w:val="auto"/>
          <w:highlight w:val="none"/>
        </w:rPr>
        <w:t>9. 施工安全、治安保卫和环境保护</w:t>
      </w:r>
      <w:bookmarkEnd w:id="231"/>
      <w:bookmarkEnd w:id="232"/>
      <w:bookmarkEnd w:id="233"/>
    </w:p>
    <w:p w14:paraId="1C20DD68">
      <w:pPr>
        <w:pStyle w:val="190"/>
        <w:rPr>
          <w:color w:val="auto"/>
          <w:highlight w:val="none"/>
        </w:rPr>
      </w:pPr>
      <w:bookmarkStart w:id="238" w:name="_Toc18091"/>
      <w:r>
        <w:rPr>
          <w:rFonts w:hint="eastAsia"/>
          <w:color w:val="auto"/>
          <w:highlight w:val="none"/>
        </w:rPr>
        <w:t>9.1 发包人的施工安全责任</w:t>
      </w:r>
      <w:bookmarkEnd w:id="234"/>
    </w:p>
    <w:p w14:paraId="14DD244F">
      <w:pPr>
        <w:spacing w:line="360" w:lineRule="auto"/>
        <w:ind w:firstLine="480"/>
        <w:rPr>
          <w:color w:val="auto"/>
          <w:highlight w:val="none"/>
        </w:rPr>
      </w:pPr>
      <w:r>
        <w:rPr>
          <w:rFonts w:hint="eastAsia"/>
          <w:color w:val="auto"/>
          <w:highlight w:val="none"/>
        </w:rPr>
        <w:t>9.1.1 发包人应按合同约定履行安全职责，授权监理人按合同约定的安全工作内容监督、检查承包人安全工作的实施，组织承包人和有关单位进行安全检查。</w:t>
      </w:r>
    </w:p>
    <w:p w14:paraId="104E7214">
      <w:pPr>
        <w:spacing w:line="360" w:lineRule="auto"/>
        <w:ind w:firstLine="480"/>
        <w:rPr>
          <w:color w:val="auto"/>
          <w:highlight w:val="none"/>
        </w:rPr>
      </w:pPr>
      <w:r>
        <w:rPr>
          <w:rFonts w:hint="eastAsia"/>
          <w:color w:val="auto"/>
          <w:highlight w:val="none"/>
        </w:rPr>
        <w:t>9.1.2 发包人应对其现场机构雇佣的全部人员的工伤事故承担责任，但由于承包人原因造成发包人人员工伤的，应由承包人承担责任。</w:t>
      </w:r>
    </w:p>
    <w:p w14:paraId="50097283">
      <w:pPr>
        <w:spacing w:line="360" w:lineRule="auto"/>
        <w:ind w:firstLine="480"/>
        <w:rPr>
          <w:color w:val="auto"/>
          <w:highlight w:val="none"/>
        </w:rPr>
      </w:pPr>
      <w:r>
        <w:rPr>
          <w:rFonts w:hint="eastAsia"/>
          <w:color w:val="auto"/>
          <w:highlight w:val="none"/>
        </w:rPr>
        <w:t>9.1.3 发包人应负责赔偿以下各种情况造成的第三者人身伤亡和财产损失：</w:t>
      </w:r>
    </w:p>
    <w:p w14:paraId="73A2A083">
      <w:pPr>
        <w:spacing w:line="360" w:lineRule="auto"/>
        <w:ind w:firstLine="480"/>
        <w:rPr>
          <w:color w:val="auto"/>
          <w:highlight w:val="none"/>
        </w:rPr>
      </w:pPr>
      <w:r>
        <w:rPr>
          <w:rFonts w:hint="eastAsia"/>
          <w:color w:val="auto"/>
          <w:highlight w:val="none"/>
        </w:rPr>
        <w:t>（1） 工程或工程的任何部分对土地的占用所造成的第三者财产损失；</w:t>
      </w:r>
    </w:p>
    <w:p w14:paraId="100EBE9B">
      <w:pPr>
        <w:spacing w:line="360" w:lineRule="auto"/>
        <w:ind w:firstLine="480"/>
        <w:rPr>
          <w:color w:val="auto"/>
          <w:highlight w:val="none"/>
        </w:rPr>
      </w:pPr>
      <w:r>
        <w:rPr>
          <w:rFonts w:hint="eastAsia"/>
          <w:color w:val="auto"/>
          <w:highlight w:val="none"/>
        </w:rPr>
        <w:t>（2） 由于发包人原因在施工场地及其毗邻地带造成的第三者人身伤亡和财产损失。</w:t>
      </w:r>
    </w:p>
    <w:p w14:paraId="6420B041">
      <w:pPr>
        <w:pStyle w:val="190"/>
        <w:rPr>
          <w:color w:val="auto"/>
          <w:highlight w:val="none"/>
        </w:rPr>
      </w:pPr>
      <w:bookmarkStart w:id="239" w:name="_Toc3052"/>
      <w:r>
        <w:rPr>
          <w:rFonts w:hint="eastAsia"/>
          <w:color w:val="auto"/>
          <w:highlight w:val="none"/>
        </w:rPr>
        <w:t>9.2 承包人的施工安全责任</w:t>
      </w:r>
      <w:bookmarkEnd w:id="235"/>
    </w:p>
    <w:p w14:paraId="1610DCE4">
      <w:pPr>
        <w:spacing w:line="360" w:lineRule="auto"/>
        <w:ind w:firstLine="480"/>
        <w:rPr>
          <w:color w:val="auto"/>
          <w:highlight w:val="none"/>
        </w:rPr>
      </w:pPr>
      <w:r>
        <w:rPr>
          <w:rFonts w:hint="eastAsia"/>
          <w:color w:val="auto"/>
          <w:highlight w:val="none"/>
        </w:rPr>
        <w:t>9.2.1 承包人应按合同约定履行安全职责，执行监理人有关安全工作的指示，并在专用合同条款约定的期限内，按合同约定的安全工作内容，编制施工安全措施计划报送监理人审批。</w:t>
      </w:r>
    </w:p>
    <w:p w14:paraId="6A5A51DC">
      <w:pPr>
        <w:spacing w:line="360" w:lineRule="auto"/>
        <w:ind w:firstLine="480"/>
        <w:rPr>
          <w:color w:val="auto"/>
          <w:highlight w:val="none"/>
        </w:rPr>
      </w:pPr>
      <w:r>
        <w:rPr>
          <w:rFonts w:hint="eastAsia"/>
          <w:color w:val="auto"/>
          <w:highlight w:val="none"/>
        </w:rPr>
        <w:t>9.2.2 承包人应加强施工作业安全管理，特别应加强易燃、易爆材料、火工器材、有毒与腐蚀性材料和其他危险品的管理，以及对爆破作业和地下工程施工等危险作业的管理。</w:t>
      </w:r>
    </w:p>
    <w:p w14:paraId="58C63DD5">
      <w:pPr>
        <w:spacing w:line="360" w:lineRule="auto"/>
        <w:ind w:firstLine="480"/>
        <w:rPr>
          <w:color w:val="auto"/>
          <w:highlight w:val="none"/>
        </w:rPr>
      </w:pPr>
      <w:r>
        <w:rPr>
          <w:rFonts w:hint="eastAsia"/>
          <w:color w:val="auto"/>
          <w:highlight w:val="none"/>
        </w:rPr>
        <w:t>9.2.3 承包人应严格按照国家安全标准制定施工安全操作规程，配备必要的安全生产和劳动保护设施，加强对承包人人员的安全教育，并发放安全工作手册和劳动保护用具。</w:t>
      </w:r>
    </w:p>
    <w:p w14:paraId="061A6C44">
      <w:pPr>
        <w:spacing w:line="360" w:lineRule="auto"/>
        <w:ind w:firstLine="480"/>
        <w:rPr>
          <w:color w:val="auto"/>
          <w:highlight w:val="none"/>
        </w:rPr>
      </w:pPr>
      <w:r>
        <w:rPr>
          <w:rFonts w:hint="eastAsia"/>
          <w:color w:val="auto"/>
          <w:highlight w:val="none"/>
        </w:rPr>
        <w:t>9.2.4 承包人应按监理人的指示制定应对灾害的紧急预案，报送监理人审批。承包人还应按预案做好安全检查，配置必要的救助物资和器材，切实保护好有关人员的人身和财产安全。</w:t>
      </w:r>
    </w:p>
    <w:p w14:paraId="5B213F24">
      <w:pPr>
        <w:spacing w:line="360" w:lineRule="auto"/>
        <w:ind w:firstLine="480"/>
        <w:rPr>
          <w:color w:val="auto"/>
          <w:highlight w:val="none"/>
        </w:rPr>
      </w:pPr>
      <w:r>
        <w:rPr>
          <w:rFonts w:hint="eastAsia"/>
          <w:color w:val="auto"/>
          <w:highlight w:val="none"/>
        </w:rPr>
        <w:t>9.2.5 合同约定的安全作业环境及安全施工措施所需费用应遵守有关规定，并包括在相关工作的合同价格中。因采取合同未约定的安全作业环境及安全施工措施增加的费用，由监理人按第3.5款商定或确定。</w:t>
      </w:r>
    </w:p>
    <w:p w14:paraId="2E473724">
      <w:pPr>
        <w:spacing w:line="360" w:lineRule="auto"/>
        <w:ind w:firstLine="480"/>
        <w:rPr>
          <w:color w:val="auto"/>
          <w:highlight w:val="none"/>
        </w:rPr>
      </w:pPr>
      <w:r>
        <w:rPr>
          <w:rFonts w:hint="eastAsia"/>
          <w:color w:val="auto"/>
          <w:highlight w:val="none"/>
        </w:rPr>
        <w:t>9.2.6 承包人应对其履行合同所雇佣的全部人员，包括分包人人员的工伤事故承担责任，但由于发包人原因造成承包人人员工伤事故的，应由发包人承担责任。</w:t>
      </w:r>
    </w:p>
    <w:p w14:paraId="6AD145B1">
      <w:pPr>
        <w:spacing w:line="360" w:lineRule="auto"/>
        <w:ind w:firstLine="480"/>
        <w:rPr>
          <w:color w:val="auto"/>
          <w:highlight w:val="none"/>
        </w:rPr>
      </w:pPr>
      <w:r>
        <w:rPr>
          <w:rFonts w:hint="eastAsia"/>
          <w:color w:val="auto"/>
          <w:highlight w:val="none"/>
        </w:rPr>
        <w:t>9.2.7 由于承包人原因在施工场地内及其毗邻地带造成的第三者人员伤亡和财产损失，由承包人负责赔偿。</w:t>
      </w:r>
    </w:p>
    <w:p w14:paraId="51C5B6FB">
      <w:pPr>
        <w:pStyle w:val="190"/>
        <w:rPr>
          <w:color w:val="auto"/>
          <w:highlight w:val="none"/>
        </w:rPr>
      </w:pPr>
      <w:bookmarkStart w:id="240" w:name="_Toc4874"/>
      <w:r>
        <w:rPr>
          <w:rFonts w:hint="eastAsia"/>
          <w:color w:val="auto"/>
          <w:highlight w:val="none"/>
        </w:rPr>
        <w:t>9.3 治安保卫</w:t>
      </w:r>
      <w:bookmarkEnd w:id="236"/>
    </w:p>
    <w:p w14:paraId="61395D78">
      <w:pPr>
        <w:spacing w:line="360" w:lineRule="auto"/>
        <w:ind w:firstLine="480"/>
        <w:rPr>
          <w:color w:val="auto"/>
          <w:highlight w:val="none"/>
        </w:rPr>
      </w:pPr>
      <w:r>
        <w:rPr>
          <w:rFonts w:hint="eastAsia"/>
          <w:color w:val="auto"/>
          <w:highlight w:val="none"/>
        </w:rPr>
        <w:t>9.3.1 除合同另有约定外，发包人应与当地公安部门协商，在现场建立治安管理机构或联防组织，统一管理施工场地的治安保卫事项，履行合同工程的治安保卫职责。</w:t>
      </w:r>
    </w:p>
    <w:p w14:paraId="1C351655">
      <w:pPr>
        <w:spacing w:line="360" w:lineRule="auto"/>
        <w:ind w:firstLine="480"/>
        <w:rPr>
          <w:color w:val="auto"/>
          <w:highlight w:val="none"/>
        </w:rPr>
      </w:pPr>
      <w:r>
        <w:rPr>
          <w:rFonts w:hint="eastAsia"/>
          <w:color w:val="auto"/>
          <w:highlight w:val="none"/>
        </w:rPr>
        <w:t>9.3.2 发包人和承包人除应协助现场治安管理机构或联防组织维护施工场地的社会治安外，还应做好包括生活区在内的各自管辖区的治安保卫工作。</w:t>
      </w:r>
    </w:p>
    <w:p w14:paraId="0C3E8258">
      <w:pPr>
        <w:spacing w:line="360" w:lineRule="auto"/>
        <w:ind w:firstLine="480"/>
        <w:rPr>
          <w:color w:val="auto"/>
          <w:highlight w:val="none"/>
        </w:rPr>
      </w:pPr>
      <w:r>
        <w:rPr>
          <w:rFonts w:hint="eastAsia"/>
          <w:color w:val="auto"/>
          <w:highlight w:val="none"/>
        </w:rPr>
        <w:t>9.3.3 除合同另有约定外，发包人和承包人应在工程开工后，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减少财产损失和避免人员伤亡。</w:t>
      </w:r>
    </w:p>
    <w:p w14:paraId="758ABF9E">
      <w:pPr>
        <w:pStyle w:val="190"/>
        <w:rPr>
          <w:color w:val="auto"/>
          <w:highlight w:val="none"/>
        </w:rPr>
      </w:pPr>
      <w:bookmarkStart w:id="241" w:name="_Toc17658"/>
      <w:r>
        <w:rPr>
          <w:rFonts w:hint="eastAsia"/>
          <w:color w:val="auto"/>
          <w:highlight w:val="none"/>
        </w:rPr>
        <w:t>9.4 环境保护</w:t>
      </w:r>
      <w:bookmarkEnd w:id="237"/>
    </w:p>
    <w:p w14:paraId="72DEBC0E">
      <w:pPr>
        <w:spacing w:line="360" w:lineRule="auto"/>
        <w:ind w:firstLine="480"/>
        <w:rPr>
          <w:color w:val="auto"/>
          <w:highlight w:val="none"/>
        </w:rPr>
      </w:pPr>
      <w:r>
        <w:rPr>
          <w:rFonts w:hint="eastAsia"/>
          <w:color w:val="auto"/>
          <w:highlight w:val="none"/>
        </w:rPr>
        <w:t>9.4.1 承包人在施工过程中，应遵守有关环境保护的法律，履行合同约定的环境保护义务，并对违反法律和合同约定义务所造成的环境破坏、人身伤害和财产损失负责。</w:t>
      </w:r>
    </w:p>
    <w:p w14:paraId="7A215341">
      <w:pPr>
        <w:spacing w:line="360" w:lineRule="auto"/>
        <w:ind w:firstLine="480"/>
        <w:rPr>
          <w:color w:val="auto"/>
          <w:highlight w:val="none"/>
        </w:rPr>
      </w:pPr>
      <w:r>
        <w:rPr>
          <w:rFonts w:hint="eastAsia"/>
          <w:color w:val="auto"/>
          <w:highlight w:val="none"/>
        </w:rPr>
        <w:t>9.4.2 承包人应按合同约定的环保工作内容，编制施工环保措施计划，报送监理人审批。</w:t>
      </w:r>
    </w:p>
    <w:p w14:paraId="7418778F">
      <w:pPr>
        <w:spacing w:line="360" w:lineRule="auto"/>
        <w:ind w:firstLine="480"/>
        <w:rPr>
          <w:color w:val="auto"/>
          <w:highlight w:val="none"/>
        </w:rPr>
      </w:pPr>
      <w:r>
        <w:rPr>
          <w:rFonts w:hint="eastAsia"/>
          <w:color w:val="auto"/>
          <w:highlight w:val="none"/>
        </w:rPr>
        <w:t>9.4.3 承包人应按照批准的施工环保措施计划有序地堆放和处理施工废弃物，避免对环境造成破坏。因承包人任意堆放或弃置施工废弃物造成妨碍公共交通、影响城镇居民生活、降低河流行洪能力、危及居民安全、破坏周边环境，或者影响其他承包人施工等后果的，承包人应承担责任。</w:t>
      </w:r>
    </w:p>
    <w:p w14:paraId="53BE3103">
      <w:pPr>
        <w:spacing w:line="360" w:lineRule="auto"/>
        <w:ind w:firstLine="480"/>
        <w:rPr>
          <w:color w:val="auto"/>
          <w:highlight w:val="none"/>
        </w:rPr>
      </w:pPr>
      <w:r>
        <w:rPr>
          <w:rFonts w:hint="eastAsia"/>
          <w:color w:val="auto"/>
          <w:highlight w:val="none"/>
        </w:rPr>
        <w:t>9.4.4 承包人应按合同约定采取有效措施，对施工开挖的边坡及时进行支护，维护排水设施，并进行水土保护，避免因施工造成的地质灾害。</w:t>
      </w:r>
    </w:p>
    <w:p w14:paraId="39CE8602">
      <w:pPr>
        <w:spacing w:line="360" w:lineRule="auto"/>
        <w:ind w:firstLine="480"/>
        <w:rPr>
          <w:color w:val="auto"/>
          <w:highlight w:val="none"/>
        </w:rPr>
      </w:pPr>
      <w:r>
        <w:rPr>
          <w:rFonts w:hint="eastAsia"/>
          <w:color w:val="auto"/>
          <w:highlight w:val="none"/>
        </w:rPr>
        <w:t>9.4.5 承包人应按国家饮用水管理标准定期对饮用水源进行监测，防止施工活动污染饮用水源。</w:t>
      </w:r>
    </w:p>
    <w:p w14:paraId="33640210">
      <w:pPr>
        <w:spacing w:line="360" w:lineRule="auto"/>
        <w:ind w:firstLine="480"/>
        <w:rPr>
          <w:color w:val="auto"/>
          <w:highlight w:val="none"/>
        </w:rPr>
      </w:pPr>
      <w:r>
        <w:rPr>
          <w:rFonts w:hint="eastAsia"/>
          <w:color w:val="auto"/>
          <w:highlight w:val="none"/>
        </w:rPr>
        <w:t>9.4.6 承包人应按合同约定，加强对噪声、粉尘、废气、废水和废油的控制，努力降低噪声，控制粉尘和废气浓度，做好废水和废油的治理和排放。</w:t>
      </w:r>
    </w:p>
    <w:p w14:paraId="7750936D">
      <w:pPr>
        <w:pStyle w:val="190"/>
        <w:rPr>
          <w:color w:val="auto"/>
          <w:highlight w:val="none"/>
        </w:rPr>
      </w:pPr>
      <w:bookmarkStart w:id="242" w:name="_Toc13694"/>
      <w:r>
        <w:rPr>
          <w:rFonts w:hint="eastAsia"/>
          <w:color w:val="auto"/>
          <w:highlight w:val="none"/>
        </w:rPr>
        <w:t>9.5 事故处理</w:t>
      </w:r>
      <w:bookmarkEnd w:id="238"/>
    </w:p>
    <w:p w14:paraId="5AD23813">
      <w:pPr>
        <w:spacing w:line="360" w:lineRule="auto"/>
        <w:ind w:firstLine="480"/>
        <w:rPr>
          <w:color w:val="auto"/>
          <w:highlight w:val="none"/>
        </w:rPr>
      </w:pPr>
      <w:r>
        <w:rPr>
          <w:rFonts w:hint="eastAsia"/>
          <w:color w:val="auto"/>
          <w:highlight w:val="none"/>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14:paraId="7F452E54">
      <w:pPr>
        <w:pStyle w:val="189"/>
        <w:spacing w:before="0" w:after="0" w:line="360" w:lineRule="auto"/>
        <w:rPr>
          <w:color w:val="auto"/>
          <w:highlight w:val="none"/>
        </w:rPr>
      </w:pPr>
      <w:bookmarkStart w:id="243" w:name="_Toc122424193"/>
      <w:bookmarkStart w:id="244" w:name="_Toc122424442"/>
      <w:bookmarkStart w:id="245" w:name="_Toc31845"/>
      <w:r>
        <w:rPr>
          <w:rFonts w:hint="eastAsia"/>
          <w:color w:val="auto"/>
          <w:highlight w:val="none"/>
        </w:rPr>
        <w:t>10. 进度计划</w:t>
      </w:r>
      <w:bookmarkEnd w:id="239"/>
      <w:bookmarkEnd w:id="240"/>
      <w:bookmarkEnd w:id="241"/>
    </w:p>
    <w:p w14:paraId="237E2B79">
      <w:pPr>
        <w:pStyle w:val="190"/>
        <w:rPr>
          <w:color w:val="auto"/>
          <w:highlight w:val="none"/>
        </w:rPr>
      </w:pPr>
      <w:bookmarkStart w:id="246" w:name="_Toc7174"/>
      <w:r>
        <w:rPr>
          <w:rFonts w:hint="eastAsia"/>
          <w:color w:val="auto"/>
          <w:highlight w:val="none"/>
        </w:rPr>
        <w:t>10.1 合同进度计划</w:t>
      </w:r>
      <w:bookmarkEnd w:id="242"/>
    </w:p>
    <w:p w14:paraId="284E5936">
      <w:pPr>
        <w:spacing w:line="360" w:lineRule="auto"/>
        <w:ind w:firstLine="480"/>
        <w:rPr>
          <w:color w:val="auto"/>
          <w:highlight w:val="none"/>
        </w:rPr>
      </w:pPr>
      <w:r>
        <w:rPr>
          <w:rFonts w:hint="eastAsia"/>
          <w:color w:val="auto"/>
          <w:highlight w:val="none"/>
        </w:rPr>
        <w:t>承包人应按专用合同条款约定的内容和期限，编制详细的施工进度计划和施工方案说明报送监理人。监理人应在专用合同条款约定的期限内批复或提出修改意见，否则该进度计划视为已得到批准。经监理人批准的施工进度计划称合同进度计划，是控制合同工程进度的依据。承包人还应根据合同进度计划，编制更为详细的分阶段或分项进度计划，报监理人审批。</w:t>
      </w:r>
    </w:p>
    <w:p w14:paraId="74AD055C">
      <w:pPr>
        <w:pStyle w:val="190"/>
        <w:rPr>
          <w:color w:val="auto"/>
          <w:highlight w:val="none"/>
        </w:rPr>
      </w:pPr>
      <w:bookmarkStart w:id="247" w:name="_Toc26389"/>
      <w:r>
        <w:rPr>
          <w:rFonts w:hint="eastAsia"/>
          <w:color w:val="auto"/>
          <w:highlight w:val="none"/>
        </w:rPr>
        <w:t>10.2 合同进度计划的修订</w:t>
      </w:r>
      <w:bookmarkEnd w:id="243"/>
    </w:p>
    <w:p w14:paraId="6E80D7DF">
      <w:pPr>
        <w:spacing w:line="360" w:lineRule="auto"/>
        <w:ind w:firstLine="480"/>
        <w:rPr>
          <w:color w:val="auto"/>
          <w:highlight w:val="none"/>
        </w:rPr>
      </w:pPr>
      <w:r>
        <w:rPr>
          <w:rFonts w:hint="eastAsia"/>
          <w:color w:val="auto"/>
          <w:highlight w:val="none"/>
        </w:rPr>
        <w:t>不论何种原因造成工程的实际进度与第10.1款的合同进度计划不符时，承包人可以在专用合同条款约定的期限内向监理人提交修订合同进度计划的申请报告，并附有关措施和相关资料，报监理人审批；监理人也可以直接向承包人作出修订合同进度计划的指示，承包人应按该指示修订合同进度计划，报监理人审批。监理人应在专用合同条款约定的期限内批复。监理人在批复前应获得发包人同意。</w:t>
      </w:r>
    </w:p>
    <w:p w14:paraId="04E99D54">
      <w:pPr>
        <w:pStyle w:val="189"/>
        <w:spacing w:before="0" w:after="0" w:line="360" w:lineRule="auto"/>
        <w:rPr>
          <w:color w:val="auto"/>
          <w:highlight w:val="none"/>
        </w:rPr>
      </w:pPr>
      <w:bookmarkStart w:id="248" w:name="_Toc13126"/>
      <w:bookmarkStart w:id="249" w:name="_Toc122424443"/>
      <w:bookmarkStart w:id="250" w:name="_Toc122424194"/>
      <w:r>
        <w:rPr>
          <w:rFonts w:hint="eastAsia"/>
          <w:color w:val="auto"/>
          <w:highlight w:val="none"/>
        </w:rPr>
        <w:t>11. 开工和竣工</w:t>
      </w:r>
      <w:bookmarkEnd w:id="244"/>
      <w:bookmarkEnd w:id="245"/>
      <w:bookmarkEnd w:id="246"/>
    </w:p>
    <w:p w14:paraId="0BCD0C63">
      <w:pPr>
        <w:pStyle w:val="190"/>
        <w:rPr>
          <w:color w:val="auto"/>
          <w:highlight w:val="none"/>
        </w:rPr>
      </w:pPr>
      <w:bookmarkStart w:id="251" w:name="_Toc1292"/>
      <w:r>
        <w:rPr>
          <w:rFonts w:hint="eastAsia"/>
          <w:color w:val="auto"/>
          <w:highlight w:val="none"/>
        </w:rPr>
        <w:t>11.1 开工</w:t>
      </w:r>
      <w:bookmarkEnd w:id="247"/>
    </w:p>
    <w:p w14:paraId="1EB667FC">
      <w:pPr>
        <w:spacing w:line="360" w:lineRule="auto"/>
        <w:ind w:firstLine="480"/>
        <w:rPr>
          <w:color w:val="auto"/>
          <w:highlight w:val="none"/>
        </w:rPr>
      </w:pPr>
      <w:r>
        <w:rPr>
          <w:rFonts w:hint="eastAsia"/>
          <w:color w:val="auto"/>
          <w:highlight w:val="none"/>
        </w:rPr>
        <w:t>11.1.1 监理人应在开工日期7天前向承包人发出开工通知。监理人在发出开工通知前应获得发包人同意。工期自监理人发出的开工通知中载明的开工日期起计算。承包人应在开工日期后尽快施工。</w:t>
      </w:r>
    </w:p>
    <w:p w14:paraId="740C9E79">
      <w:pPr>
        <w:spacing w:line="360" w:lineRule="auto"/>
        <w:ind w:firstLine="480"/>
        <w:rPr>
          <w:color w:val="auto"/>
          <w:highlight w:val="none"/>
        </w:rPr>
      </w:pPr>
      <w:r>
        <w:rPr>
          <w:rFonts w:hint="eastAsia"/>
          <w:color w:val="auto"/>
          <w:highlight w:val="none"/>
        </w:rPr>
        <w:t>11.1.2 承包人应按第10.1款约定的合同进度计划，向监理人提交工程开工报审表，经监理人审批后执行。开工报审表应详细说明按合同进度计划正常施工所需的施工道路、临时设施、材料设备、施工人员等施工组织措施的落实情况以及工程的进度安排。</w:t>
      </w:r>
    </w:p>
    <w:p w14:paraId="215CF306">
      <w:pPr>
        <w:pStyle w:val="190"/>
        <w:rPr>
          <w:color w:val="auto"/>
          <w:highlight w:val="none"/>
        </w:rPr>
      </w:pPr>
      <w:bookmarkStart w:id="252" w:name="_Toc29021"/>
      <w:r>
        <w:rPr>
          <w:rFonts w:hint="eastAsia"/>
          <w:color w:val="auto"/>
          <w:highlight w:val="none"/>
        </w:rPr>
        <w:t>11.2 竣工</w:t>
      </w:r>
      <w:bookmarkEnd w:id="248"/>
    </w:p>
    <w:p w14:paraId="0AB40571">
      <w:pPr>
        <w:spacing w:line="360" w:lineRule="auto"/>
        <w:ind w:firstLine="480"/>
        <w:rPr>
          <w:color w:val="auto"/>
          <w:highlight w:val="none"/>
        </w:rPr>
      </w:pPr>
      <w:r>
        <w:rPr>
          <w:rFonts w:hint="eastAsia"/>
          <w:color w:val="auto"/>
          <w:highlight w:val="none"/>
        </w:rPr>
        <w:t>承包人应在第1.1.4.3目约定的期限内完成合同工程。实际竣工日期在接收证书中写明。</w:t>
      </w:r>
    </w:p>
    <w:p w14:paraId="5CCC23E1">
      <w:pPr>
        <w:pStyle w:val="190"/>
        <w:rPr>
          <w:color w:val="auto"/>
          <w:highlight w:val="none"/>
        </w:rPr>
      </w:pPr>
      <w:bookmarkStart w:id="253" w:name="_Toc14703"/>
      <w:r>
        <w:rPr>
          <w:rFonts w:hint="eastAsia"/>
          <w:color w:val="auto"/>
          <w:highlight w:val="none"/>
        </w:rPr>
        <w:t>11.3 发包人的工期延误</w:t>
      </w:r>
      <w:bookmarkEnd w:id="249"/>
    </w:p>
    <w:p w14:paraId="3C7B6AC0">
      <w:pPr>
        <w:spacing w:line="360" w:lineRule="auto"/>
        <w:ind w:firstLine="480"/>
        <w:rPr>
          <w:color w:val="auto"/>
          <w:highlight w:val="none"/>
        </w:rPr>
      </w:pPr>
      <w:r>
        <w:rPr>
          <w:rFonts w:hint="eastAsia"/>
          <w:color w:val="auto"/>
          <w:highlight w:val="none"/>
        </w:rPr>
        <w:t>在履行合同过程中，由于发包人的下列原因造成工期延误的，承包人有权要求发包人延长工期和（或）增加费用，并支付合理利润。需要修订合同进度计划的，按照第10.2款的约定办理。</w:t>
      </w:r>
    </w:p>
    <w:p w14:paraId="1EDCB40A">
      <w:pPr>
        <w:spacing w:line="360" w:lineRule="auto"/>
        <w:ind w:firstLine="480"/>
        <w:rPr>
          <w:color w:val="auto"/>
          <w:highlight w:val="none"/>
        </w:rPr>
      </w:pPr>
      <w:r>
        <w:rPr>
          <w:rFonts w:hint="eastAsia"/>
          <w:color w:val="auto"/>
          <w:highlight w:val="none"/>
        </w:rPr>
        <w:t>（1）增加合同工作内容；</w:t>
      </w:r>
    </w:p>
    <w:p w14:paraId="55DF5862">
      <w:pPr>
        <w:spacing w:line="360" w:lineRule="auto"/>
        <w:ind w:firstLine="480"/>
        <w:rPr>
          <w:color w:val="auto"/>
          <w:highlight w:val="none"/>
        </w:rPr>
      </w:pPr>
      <w:r>
        <w:rPr>
          <w:rFonts w:hint="eastAsia"/>
          <w:color w:val="auto"/>
          <w:highlight w:val="none"/>
        </w:rPr>
        <w:t>（2）改变合同中任何一项工作的质量要求或其他特性；</w:t>
      </w:r>
    </w:p>
    <w:p w14:paraId="73D1165C">
      <w:pPr>
        <w:spacing w:line="360" w:lineRule="auto"/>
        <w:ind w:firstLine="480"/>
        <w:rPr>
          <w:color w:val="auto"/>
          <w:highlight w:val="none"/>
        </w:rPr>
      </w:pPr>
      <w:r>
        <w:rPr>
          <w:rFonts w:hint="eastAsia"/>
          <w:color w:val="auto"/>
          <w:highlight w:val="none"/>
        </w:rPr>
        <w:t>（3）发包人迟延提供材料、工程设备或变更交货地点的；</w:t>
      </w:r>
    </w:p>
    <w:p w14:paraId="14C9AAEF">
      <w:pPr>
        <w:spacing w:line="360" w:lineRule="auto"/>
        <w:ind w:firstLine="480"/>
        <w:rPr>
          <w:color w:val="auto"/>
          <w:highlight w:val="none"/>
        </w:rPr>
      </w:pPr>
      <w:r>
        <w:rPr>
          <w:rFonts w:hint="eastAsia"/>
          <w:color w:val="auto"/>
          <w:highlight w:val="none"/>
        </w:rPr>
        <w:t>（4）因发包人原因导致的暂停施工；</w:t>
      </w:r>
    </w:p>
    <w:p w14:paraId="522B435C">
      <w:pPr>
        <w:spacing w:line="360" w:lineRule="auto"/>
        <w:ind w:firstLine="480"/>
        <w:rPr>
          <w:color w:val="auto"/>
          <w:highlight w:val="none"/>
        </w:rPr>
      </w:pPr>
      <w:r>
        <w:rPr>
          <w:rFonts w:hint="eastAsia"/>
          <w:color w:val="auto"/>
          <w:highlight w:val="none"/>
        </w:rPr>
        <w:t>（5）提供图纸延误；</w:t>
      </w:r>
    </w:p>
    <w:p w14:paraId="10255DC9">
      <w:pPr>
        <w:spacing w:line="360" w:lineRule="auto"/>
        <w:ind w:firstLine="480"/>
        <w:rPr>
          <w:color w:val="auto"/>
          <w:highlight w:val="none"/>
        </w:rPr>
      </w:pPr>
      <w:r>
        <w:rPr>
          <w:rFonts w:hint="eastAsia"/>
          <w:color w:val="auto"/>
          <w:highlight w:val="none"/>
        </w:rPr>
        <w:t>（6）未按合同约定及时支付预付款、进度款；</w:t>
      </w:r>
    </w:p>
    <w:p w14:paraId="3790282F">
      <w:pPr>
        <w:spacing w:line="360" w:lineRule="auto"/>
        <w:ind w:firstLine="480"/>
        <w:rPr>
          <w:color w:val="auto"/>
          <w:highlight w:val="none"/>
        </w:rPr>
      </w:pPr>
      <w:r>
        <w:rPr>
          <w:rFonts w:hint="eastAsia"/>
          <w:color w:val="auto"/>
          <w:highlight w:val="none"/>
        </w:rPr>
        <w:t>（7）发包人造成工期延误的其他原因。</w:t>
      </w:r>
    </w:p>
    <w:p w14:paraId="634ED227">
      <w:pPr>
        <w:pStyle w:val="190"/>
        <w:rPr>
          <w:color w:val="auto"/>
          <w:highlight w:val="none"/>
        </w:rPr>
      </w:pPr>
      <w:bookmarkStart w:id="254" w:name="_Toc25691"/>
      <w:r>
        <w:rPr>
          <w:rFonts w:hint="eastAsia"/>
          <w:color w:val="auto"/>
          <w:highlight w:val="none"/>
        </w:rPr>
        <w:t>11.4 异常恶劣的气候条件</w:t>
      </w:r>
      <w:bookmarkEnd w:id="250"/>
    </w:p>
    <w:p w14:paraId="01759A8D">
      <w:pPr>
        <w:spacing w:line="360" w:lineRule="auto"/>
        <w:ind w:firstLine="480"/>
        <w:rPr>
          <w:color w:val="auto"/>
          <w:highlight w:val="none"/>
        </w:rPr>
      </w:pPr>
      <w:r>
        <w:rPr>
          <w:rFonts w:hint="eastAsia"/>
          <w:color w:val="auto"/>
          <w:highlight w:val="none"/>
        </w:rPr>
        <w:t>由于出现专用合同条款规定的异常恶劣气候的条件导致工期延误的，承包人有权要求发包人延长工期。</w:t>
      </w:r>
    </w:p>
    <w:p w14:paraId="171FDE55">
      <w:pPr>
        <w:pStyle w:val="190"/>
        <w:rPr>
          <w:color w:val="auto"/>
          <w:highlight w:val="none"/>
        </w:rPr>
      </w:pPr>
      <w:bookmarkStart w:id="255" w:name="_Toc7073"/>
      <w:r>
        <w:rPr>
          <w:rFonts w:hint="eastAsia"/>
          <w:color w:val="auto"/>
          <w:highlight w:val="none"/>
        </w:rPr>
        <w:t>11.5 承包人的工期延误</w:t>
      </w:r>
      <w:bookmarkEnd w:id="251"/>
    </w:p>
    <w:p w14:paraId="5F56FD20">
      <w:pPr>
        <w:spacing w:line="360" w:lineRule="auto"/>
        <w:ind w:firstLine="480"/>
        <w:rPr>
          <w:color w:val="auto"/>
          <w:highlight w:val="none"/>
        </w:rPr>
      </w:pPr>
      <w:r>
        <w:rPr>
          <w:rFonts w:hint="eastAsia"/>
          <w:color w:val="auto"/>
          <w:highlight w:val="none"/>
        </w:rPr>
        <w:t>由于承包人原因，未能按合同进度计划完成工作，或监理人认为承包人施工进度不能满足合同工期要求的，承包人应采取措施加快进度，并承担加快进度所增加的费用。由于承包人原因造成工期延误，承包人应支付逾期竣工违约金。逾期竣工违约金的计算方法在专用合同条款中约定。承包人支付逾期竣工违约金，不免除承包人完成工程及修补缺陷的义务。</w:t>
      </w:r>
    </w:p>
    <w:p w14:paraId="0A2537A3">
      <w:pPr>
        <w:pStyle w:val="190"/>
        <w:rPr>
          <w:color w:val="auto"/>
          <w:highlight w:val="none"/>
        </w:rPr>
      </w:pPr>
      <w:bookmarkStart w:id="256" w:name="_Toc18781"/>
      <w:r>
        <w:rPr>
          <w:rFonts w:hint="eastAsia"/>
          <w:color w:val="auto"/>
          <w:highlight w:val="none"/>
        </w:rPr>
        <w:t>11.6 工期提前</w:t>
      </w:r>
      <w:bookmarkEnd w:id="252"/>
    </w:p>
    <w:p w14:paraId="51E26789">
      <w:pPr>
        <w:spacing w:line="360" w:lineRule="auto"/>
        <w:ind w:firstLine="480"/>
        <w:rPr>
          <w:color w:val="auto"/>
          <w:highlight w:val="none"/>
        </w:rPr>
      </w:pPr>
      <w:r>
        <w:rPr>
          <w:rFonts w:hint="eastAsia"/>
          <w:color w:val="auto"/>
          <w:highlight w:val="none"/>
        </w:rPr>
        <w:t xml:space="preserve">发包人要求承包人提前竣工，或承包人提出提前竣工的建议能够给发包人带来效益的，应由监理人与承包人共同协商采取加快工程进度的措施和修订合同进度计划。发包人应承担承包人由此增加的费用，并向承包人支付专用合同条款约定的相应奖金。 </w:t>
      </w:r>
    </w:p>
    <w:p w14:paraId="0753C63F">
      <w:pPr>
        <w:pStyle w:val="189"/>
        <w:spacing w:before="0" w:after="0" w:line="360" w:lineRule="auto"/>
        <w:rPr>
          <w:color w:val="auto"/>
          <w:highlight w:val="none"/>
        </w:rPr>
      </w:pPr>
      <w:bookmarkStart w:id="257" w:name="_Toc4718"/>
      <w:bookmarkStart w:id="258" w:name="_Toc122424195"/>
      <w:bookmarkStart w:id="259" w:name="_Toc122424444"/>
      <w:r>
        <w:rPr>
          <w:rFonts w:hint="eastAsia"/>
          <w:color w:val="auto"/>
          <w:highlight w:val="none"/>
        </w:rPr>
        <w:t>12. 暂停施工</w:t>
      </w:r>
      <w:bookmarkEnd w:id="253"/>
      <w:bookmarkEnd w:id="254"/>
      <w:bookmarkEnd w:id="255"/>
    </w:p>
    <w:p w14:paraId="4DC66A50">
      <w:pPr>
        <w:pStyle w:val="190"/>
        <w:rPr>
          <w:color w:val="auto"/>
          <w:highlight w:val="none"/>
        </w:rPr>
      </w:pPr>
      <w:bookmarkStart w:id="260" w:name="_Toc6557"/>
      <w:r>
        <w:rPr>
          <w:rFonts w:hint="eastAsia"/>
          <w:color w:val="auto"/>
          <w:highlight w:val="none"/>
        </w:rPr>
        <w:t>12.1 承包人暂停施工的责任</w:t>
      </w:r>
      <w:bookmarkEnd w:id="256"/>
    </w:p>
    <w:p w14:paraId="33F66235">
      <w:pPr>
        <w:spacing w:line="360" w:lineRule="auto"/>
        <w:ind w:firstLine="480"/>
        <w:rPr>
          <w:color w:val="auto"/>
          <w:highlight w:val="none"/>
        </w:rPr>
      </w:pPr>
      <w:r>
        <w:rPr>
          <w:rFonts w:hint="eastAsia"/>
          <w:color w:val="auto"/>
          <w:highlight w:val="none"/>
        </w:rPr>
        <w:t>因下列暂停施工增加的费用和（或）工期延误由承包人承担：</w:t>
      </w:r>
    </w:p>
    <w:p w14:paraId="3EAD2459">
      <w:pPr>
        <w:spacing w:line="360" w:lineRule="auto"/>
        <w:ind w:firstLine="480"/>
        <w:rPr>
          <w:color w:val="auto"/>
          <w:highlight w:val="none"/>
        </w:rPr>
      </w:pPr>
      <w:r>
        <w:rPr>
          <w:rFonts w:hint="eastAsia"/>
          <w:color w:val="auto"/>
          <w:highlight w:val="none"/>
        </w:rPr>
        <w:t>（1）承包人违约引起的暂停施工；</w:t>
      </w:r>
    </w:p>
    <w:p w14:paraId="1C0E3C79">
      <w:pPr>
        <w:spacing w:line="360" w:lineRule="auto"/>
        <w:ind w:firstLine="480"/>
        <w:rPr>
          <w:color w:val="auto"/>
          <w:highlight w:val="none"/>
        </w:rPr>
      </w:pPr>
      <w:r>
        <w:rPr>
          <w:rFonts w:hint="eastAsia"/>
          <w:color w:val="auto"/>
          <w:highlight w:val="none"/>
        </w:rPr>
        <w:t>（2）由于承包人原因为工程合理施工和安全保障所必需的暂停施工；</w:t>
      </w:r>
    </w:p>
    <w:p w14:paraId="7E39935C">
      <w:pPr>
        <w:spacing w:line="360" w:lineRule="auto"/>
        <w:ind w:firstLine="480"/>
        <w:rPr>
          <w:color w:val="auto"/>
          <w:highlight w:val="none"/>
        </w:rPr>
      </w:pPr>
      <w:r>
        <w:rPr>
          <w:rFonts w:hint="eastAsia"/>
          <w:color w:val="auto"/>
          <w:highlight w:val="none"/>
        </w:rPr>
        <w:t>（3）承包人擅自暂停施工；</w:t>
      </w:r>
    </w:p>
    <w:p w14:paraId="5C7BF93E">
      <w:pPr>
        <w:spacing w:line="360" w:lineRule="auto"/>
        <w:ind w:firstLine="480"/>
        <w:rPr>
          <w:color w:val="auto"/>
          <w:highlight w:val="none"/>
        </w:rPr>
      </w:pPr>
      <w:r>
        <w:rPr>
          <w:rFonts w:hint="eastAsia"/>
          <w:color w:val="auto"/>
          <w:highlight w:val="none"/>
        </w:rPr>
        <w:t>（4）承包人其他原因引起的暂停施工；</w:t>
      </w:r>
    </w:p>
    <w:p w14:paraId="38861A78">
      <w:pPr>
        <w:spacing w:line="360" w:lineRule="auto"/>
        <w:ind w:firstLine="480"/>
        <w:rPr>
          <w:color w:val="auto"/>
          <w:highlight w:val="none"/>
        </w:rPr>
      </w:pPr>
      <w:r>
        <w:rPr>
          <w:rFonts w:hint="eastAsia"/>
          <w:color w:val="auto"/>
          <w:highlight w:val="none"/>
        </w:rPr>
        <w:t>（5）专用合同条款约定由承包人承担的其他暂停施工。</w:t>
      </w:r>
    </w:p>
    <w:p w14:paraId="6BF19641">
      <w:pPr>
        <w:pStyle w:val="190"/>
        <w:rPr>
          <w:color w:val="auto"/>
          <w:highlight w:val="none"/>
        </w:rPr>
      </w:pPr>
      <w:bookmarkStart w:id="261" w:name="_Toc4441"/>
      <w:r>
        <w:rPr>
          <w:rFonts w:hint="eastAsia"/>
          <w:color w:val="auto"/>
          <w:highlight w:val="none"/>
        </w:rPr>
        <w:t>12.2 发包人暂停施工的责任</w:t>
      </w:r>
      <w:bookmarkEnd w:id="257"/>
    </w:p>
    <w:p w14:paraId="4423E8EB">
      <w:pPr>
        <w:spacing w:line="360" w:lineRule="auto"/>
        <w:ind w:firstLine="480"/>
        <w:rPr>
          <w:color w:val="auto"/>
          <w:highlight w:val="none"/>
        </w:rPr>
      </w:pPr>
      <w:r>
        <w:rPr>
          <w:rFonts w:hint="eastAsia"/>
          <w:color w:val="auto"/>
          <w:highlight w:val="none"/>
        </w:rPr>
        <w:t>由于发包人原因引起的暂停施工造成工期延误的，承包人有权要求发包人延长工期和（或）增加费用，并支付合理利润。</w:t>
      </w:r>
    </w:p>
    <w:p w14:paraId="06E80B27">
      <w:pPr>
        <w:pStyle w:val="190"/>
        <w:rPr>
          <w:color w:val="auto"/>
          <w:highlight w:val="none"/>
        </w:rPr>
      </w:pPr>
      <w:bookmarkStart w:id="262" w:name="_Toc9467"/>
      <w:r>
        <w:rPr>
          <w:rFonts w:hint="eastAsia"/>
          <w:color w:val="auto"/>
          <w:highlight w:val="none"/>
        </w:rPr>
        <w:t>12.3 监理人暂停施工指示</w:t>
      </w:r>
      <w:bookmarkEnd w:id="258"/>
    </w:p>
    <w:p w14:paraId="519722C7">
      <w:pPr>
        <w:spacing w:line="360" w:lineRule="auto"/>
        <w:ind w:firstLine="480"/>
        <w:rPr>
          <w:color w:val="auto"/>
          <w:highlight w:val="none"/>
        </w:rPr>
      </w:pPr>
      <w:r>
        <w:rPr>
          <w:rFonts w:hint="eastAsia"/>
          <w:color w:val="auto"/>
          <w:highlight w:val="none"/>
        </w:rPr>
        <w:t>12.3.1 监理人认为有必要时，可向承包人作出暂停施工的指示，承包人应按监理人指示暂停施工。不论由于何种原因引起的暂停施工，暂停施工期间承包人应负责妥善保护工程并提供安全保障。</w:t>
      </w:r>
    </w:p>
    <w:p w14:paraId="564DBC8A">
      <w:pPr>
        <w:spacing w:line="360" w:lineRule="auto"/>
        <w:ind w:firstLine="480"/>
        <w:rPr>
          <w:color w:val="auto"/>
          <w:highlight w:val="none"/>
        </w:rPr>
      </w:pPr>
      <w:r>
        <w:rPr>
          <w:rFonts w:hint="eastAsia"/>
          <w:color w:val="auto"/>
          <w:highlight w:val="none"/>
        </w:rPr>
        <w:t>12.3.2 由于发包人的原因发生暂停施工的紧急情况，且监理人未及时下达暂停施工指示的，承包人可先暂停施工，并及时向监理人提出暂停施工的书面请求。监理人应在接到书面请求后的24小时内予以答复，逾期未答复的，视为同意承包人的暂停施工请求。</w:t>
      </w:r>
    </w:p>
    <w:p w14:paraId="416CCD19">
      <w:pPr>
        <w:pStyle w:val="190"/>
        <w:rPr>
          <w:color w:val="auto"/>
          <w:highlight w:val="none"/>
        </w:rPr>
      </w:pPr>
      <w:bookmarkStart w:id="263" w:name="_Toc20870"/>
      <w:r>
        <w:rPr>
          <w:rFonts w:hint="eastAsia"/>
          <w:color w:val="auto"/>
          <w:highlight w:val="none"/>
        </w:rPr>
        <w:t>12.4 暂停施工后的复工</w:t>
      </w:r>
      <w:bookmarkEnd w:id="259"/>
    </w:p>
    <w:p w14:paraId="6597BF27">
      <w:pPr>
        <w:spacing w:line="360" w:lineRule="auto"/>
        <w:ind w:firstLine="480"/>
        <w:rPr>
          <w:color w:val="auto"/>
          <w:highlight w:val="none"/>
        </w:rPr>
      </w:pPr>
      <w:r>
        <w:rPr>
          <w:rFonts w:hint="eastAsia"/>
          <w:color w:val="auto"/>
          <w:highlight w:val="none"/>
        </w:rPr>
        <w:t>12.4.1 暂停施工后，监理人应与发包人和承包人协商，采取有效措施积极消除暂停施工的影响。当工程具备复工条件时，监理人应立即向承包人发出复工通知。承包人收到复工通知后，应在监理人指定的期限内复工。</w:t>
      </w:r>
    </w:p>
    <w:p w14:paraId="0A572E62">
      <w:pPr>
        <w:spacing w:line="360" w:lineRule="auto"/>
        <w:ind w:firstLine="480"/>
        <w:rPr>
          <w:color w:val="auto"/>
          <w:highlight w:val="none"/>
        </w:rPr>
      </w:pPr>
      <w:r>
        <w:rPr>
          <w:rFonts w:hint="eastAsia"/>
          <w:color w:val="auto"/>
          <w:highlight w:val="none"/>
        </w:rPr>
        <w:t>12.4.2 承包人无故拖延和拒绝复工的，由此增加的费用和工期延误由承包人承担；因发包人原因无法按时复工的，承包人有权要求发包人延长工期和（或）增加费用，并支付合理利润。</w:t>
      </w:r>
    </w:p>
    <w:p w14:paraId="73075E0E">
      <w:pPr>
        <w:pStyle w:val="190"/>
        <w:rPr>
          <w:color w:val="auto"/>
          <w:highlight w:val="none"/>
        </w:rPr>
      </w:pPr>
      <w:bookmarkStart w:id="264" w:name="_Toc19907"/>
      <w:r>
        <w:rPr>
          <w:rFonts w:hint="eastAsia"/>
          <w:color w:val="auto"/>
          <w:highlight w:val="none"/>
        </w:rPr>
        <w:t>12.5 暂停施工持续56天以上</w:t>
      </w:r>
      <w:bookmarkEnd w:id="260"/>
    </w:p>
    <w:p w14:paraId="60BE3FF1">
      <w:pPr>
        <w:spacing w:line="360" w:lineRule="auto"/>
        <w:ind w:firstLine="480"/>
        <w:rPr>
          <w:color w:val="auto"/>
          <w:highlight w:val="none"/>
        </w:rPr>
      </w:pPr>
      <w:r>
        <w:rPr>
          <w:rFonts w:hint="eastAsia"/>
          <w:color w:val="auto"/>
          <w:highlight w:val="none"/>
        </w:rPr>
        <w:t>12.5.1 监理人发出暂停施工指示后56天内未向承包人发出复工通知，除了该项停工属于第12.1款的情况外，承包人可向监理人提交书面通知，要求监理人在收到书面通知后28天内准许已暂停施工的工程或其中一部分工程继续施工。如监理人逾期不予批准，则承包人可以通知监理人，将工程受影响的部分视为按第15.1（1）项的可取消工作。如暂停施工影响到整个工程，可视为发包人违约，应按第22.2款的规定办理。</w:t>
      </w:r>
    </w:p>
    <w:p w14:paraId="69FCB4BC">
      <w:pPr>
        <w:spacing w:line="360" w:lineRule="auto"/>
        <w:ind w:firstLine="480"/>
        <w:rPr>
          <w:color w:val="auto"/>
          <w:highlight w:val="none"/>
        </w:rPr>
      </w:pPr>
      <w:r>
        <w:rPr>
          <w:rFonts w:hint="eastAsia"/>
          <w:color w:val="auto"/>
          <w:highlight w:val="none"/>
        </w:rPr>
        <w:t>12.5.2 由于承包人责任引起的暂停施工，如承包人在收到监理人暂停施工指示后56天内不认真采取有效的复工措施，造成工期延误，可视为承包人违约，应按第22.1款的规定办理。</w:t>
      </w:r>
    </w:p>
    <w:p w14:paraId="2653C781">
      <w:pPr>
        <w:pStyle w:val="189"/>
        <w:spacing w:before="0" w:after="0" w:line="360" w:lineRule="auto"/>
        <w:rPr>
          <w:color w:val="auto"/>
          <w:highlight w:val="none"/>
        </w:rPr>
      </w:pPr>
      <w:bookmarkStart w:id="265" w:name="_Toc122424196"/>
      <w:bookmarkStart w:id="266" w:name="_Toc122424445"/>
      <w:bookmarkStart w:id="267" w:name="_Toc27358"/>
      <w:r>
        <w:rPr>
          <w:rFonts w:hint="eastAsia"/>
          <w:color w:val="auto"/>
          <w:highlight w:val="none"/>
        </w:rPr>
        <w:t>13. 工程质量</w:t>
      </w:r>
      <w:bookmarkEnd w:id="261"/>
      <w:bookmarkEnd w:id="262"/>
      <w:bookmarkEnd w:id="263"/>
    </w:p>
    <w:p w14:paraId="7111CB91">
      <w:pPr>
        <w:pStyle w:val="190"/>
        <w:rPr>
          <w:color w:val="auto"/>
          <w:highlight w:val="none"/>
        </w:rPr>
      </w:pPr>
      <w:bookmarkStart w:id="268" w:name="_Toc22468"/>
      <w:r>
        <w:rPr>
          <w:rFonts w:hint="eastAsia"/>
          <w:color w:val="auto"/>
          <w:highlight w:val="none"/>
        </w:rPr>
        <w:t>13.1 工程质量要求</w:t>
      </w:r>
      <w:bookmarkEnd w:id="264"/>
    </w:p>
    <w:p w14:paraId="23E4534B">
      <w:pPr>
        <w:spacing w:line="360" w:lineRule="auto"/>
        <w:ind w:firstLine="480"/>
        <w:rPr>
          <w:color w:val="auto"/>
          <w:highlight w:val="none"/>
        </w:rPr>
      </w:pPr>
      <w:r>
        <w:rPr>
          <w:rFonts w:hint="eastAsia"/>
          <w:color w:val="auto"/>
          <w:highlight w:val="none"/>
        </w:rPr>
        <w:t>13.1.1 工程质量验收按合同约定验收标准执行。</w:t>
      </w:r>
    </w:p>
    <w:p w14:paraId="739EDCAE">
      <w:pPr>
        <w:spacing w:line="360" w:lineRule="auto"/>
        <w:ind w:firstLine="480"/>
        <w:rPr>
          <w:color w:val="auto"/>
          <w:highlight w:val="none"/>
        </w:rPr>
      </w:pPr>
      <w:r>
        <w:rPr>
          <w:rFonts w:hint="eastAsia"/>
          <w:color w:val="auto"/>
          <w:highlight w:val="none"/>
        </w:rPr>
        <w:t>13.1.2 因承包人原因造成工程质量达不到合同约定验收标准的，监理人有权要求承包人返工直至符合合同要求为止，由此造成的费用增加和（或）工期延误由承包人承担。</w:t>
      </w:r>
    </w:p>
    <w:p w14:paraId="4275912E">
      <w:pPr>
        <w:spacing w:line="360" w:lineRule="auto"/>
        <w:ind w:firstLine="480"/>
        <w:rPr>
          <w:color w:val="auto"/>
          <w:highlight w:val="none"/>
        </w:rPr>
      </w:pPr>
      <w:r>
        <w:rPr>
          <w:rFonts w:hint="eastAsia"/>
          <w:color w:val="auto"/>
          <w:highlight w:val="none"/>
        </w:rPr>
        <w:t>13.1.3 因发包人原因造成工程质量达不到合同约定验收标准的，发包人应承担由于承包人返工造成的费用增加和（或）工期延误，并支付承包人合理利润。</w:t>
      </w:r>
    </w:p>
    <w:p w14:paraId="73F3A7FC">
      <w:pPr>
        <w:pStyle w:val="190"/>
        <w:rPr>
          <w:color w:val="auto"/>
          <w:highlight w:val="none"/>
        </w:rPr>
      </w:pPr>
      <w:bookmarkStart w:id="269" w:name="_Toc5979"/>
      <w:r>
        <w:rPr>
          <w:rFonts w:hint="eastAsia"/>
          <w:color w:val="auto"/>
          <w:highlight w:val="none"/>
        </w:rPr>
        <w:t>13.2 承包人的质量管理</w:t>
      </w:r>
      <w:bookmarkEnd w:id="265"/>
    </w:p>
    <w:p w14:paraId="4B6323C6">
      <w:pPr>
        <w:spacing w:line="360" w:lineRule="auto"/>
        <w:ind w:firstLine="480"/>
        <w:rPr>
          <w:color w:val="auto"/>
          <w:highlight w:val="none"/>
        </w:rPr>
      </w:pPr>
      <w:r>
        <w:rPr>
          <w:rFonts w:hint="eastAsia"/>
          <w:color w:val="auto"/>
          <w:highlight w:val="none"/>
        </w:rPr>
        <w:t>13.2.1 承包人应在施工场地设置专门的质量检查机构，配备专职质量检查人员，建立完善的质量检查制度。承包人应在合同约定的期限内，提交工程质量保证措施文件，包括质量检查机构的组织和岗位责任、质检人员的组成、质量检查程序和实施细则等，报送监理人审批。</w:t>
      </w:r>
    </w:p>
    <w:p w14:paraId="325161D0">
      <w:pPr>
        <w:spacing w:line="360" w:lineRule="auto"/>
        <w:ind w:firstLine="480"/>
        <w:rPr>
          <w:color w:val="auto"/>
          <w:highlight w:val="none"/>
        </w:rPr>
      </w:pPr>
      <w:r>
        <w:rPr>
          <w:rFonts w:hint="eastAsia"/>
          <w:color w:val="auto"/>
          <w:highlight w:val="none"/>
        </w:rPr>
        <w:t>13.2.2 承包人应加强对施工人员的质量教育和技术培训，定期考核施工人员的劳动技能，严格执行规范和操作规程。</w:t>
      </w:r>
    </w:p>
    <w:p w14:paraId="3D704244">
      <w:pPr>
        <w:pStyle w:val="190"/>
        <w:rPr>
          <w:color w:val="auto"/>
          <w:highlight w:val="none"/>
        </w:rPr>
      </w:pPr>
      <w:bookmarkStart w:id="270" w:name="_Toc3312"/>
      <w:r>
        <w:rPr>
          <w:rFonts w:hint="eastAsia"/>
          <w:color w:val="auto"/>
          <w:highlight w:val="none"/>
        </w:rPr>
        <w:t>13.3 承包人的质量检查</w:t>
      </w:r>
      <w:bookmarkEnd w:id="266"/>
    </w:p>
    <w:p w14:paraId="69ACD3E8">
      <w:pPr>
        <w:spacing w:line="360" w:lineRule="auto"/>
        <w:ind w:firstLine="480"/>
        <w:rPr>
          <w:color w:val="auto"/>
          <w:highlight w:val="none"/>
        </w:rPr>
      </w:pPr>
      <w:r>
        <w:rPr>
          <w:rFonts w:hint="eastAsia"/>
          <w:color w:val="auto"/>
          <w:highlight w:val="none"/>
        </w:rPr>
        <w:t>承包人应按合同约定对材料、工程设备以及工程的所有部位及其施工工艺进行全过程的质量检查和检验，并作详细记录，编制工程质量报表，报送监理人审查。</w:t>
      </w:r>
    </w:p>
    <w:p w14:paraId="48780142">
      <w:pPr>
        <w:pStyle w:val="190"/>
        <w:rPr>
          <w:color w:val="auto"/>
          <w:highlight w:val="none"/>
        </w:rPr>
      </w:pPr>
      <w:bookmarkStart w:id="271" w:name="_Toc31128"/>
      <w:r>
        <w:rPr>
          <w:rFonts w:hint="eastAsia"/>
          <w:color w:val="auto"/>
          <w:highlight w:val="none"/>
        </w:rPr>
        <w:t>13.4 监理人的质量检查</w:t>
      </w:r>
      <w:bookmarkEnd w:id="267"/>
    </w:p>
    <w:p w14:paraId="6C442D9A">
      <w:pPr>
        <w:spacing w:line="360" w:lineRule="auto"/>
        <w:ind w:firstLine="480"/>
        <w:rPr>
          <w:color w:val="auto"/>
          <w:highlight w:val="none"/>
        </w:rPr>
      </w:pPr>
      <w:r>
        <w:rPr>
          <w:rFonts w:hint="eastAsia"/>
          <w:color w:val="auto"/>
          <w:highlight w:val="none"/>
        </w:rPr>
        <w:t>监理人有权对工程的所有部位及其施工工艺、材料和工程设备进行检查和检验。承包人应为监理人的检查和检验提供方便，包括监理人到施工场地，或制造、加工地点，或合同约定的其他地方进行察看和查阅施工原始记录。承包人还应按监理人指示，进行施工场地取样试验、工程复核测量和设备性能检测，提供试验样品、提交试验报告和测量成果以及监理人要求进行的其他工作。监理人的检查和检验，不免除承包人按合同约定应负的责任。</w:t>
      </w:r>
    </w:p>
    <w:p w14:paraId="2BF729DD">
      <w:pPr>
        <w:pStyle w:val="190"/>
        <w:rPr>
          <w:color w:val="auto"/>
          <w:highlight w:val="none"/>
        </w:rPr>
      </w:pPr>
      <w:bookmarkStart w:id="272" w:name="_Toc19479"/>
      <w:r>
        <w:rPr>
          <w:rFonts w:hint="eastAsia"/>
          <w:color w:val="auto"/>
          <w:highlight w:val="none"/>
        </w:rPr>
        <w:t>13.5 工程隐蔽部位覆盖前的检查</w:t>
      </w:r>
      <w:bookmarkEnd w:id="268"/>
    </w:p>
    <w:p w14:paraId="64B9641B">
      <w:pPr>
        <w:spacing w:line="360" w:lineRule="auto"/>
        <w:ind w:firstLine="480"/>
        <w:rPr>
          <w:color w:val="auto"/>
          <w:highlight w:val="none"/>
        </w:rPr>
      </w:pPr>
      <w:r>
        <w:rPr>
          <w:rFonts w:hint="eastAsia"/>
          <w:color w:val="auto"/>
          <w:highlight w:val="none"/>
        </w:rPr>
        <w:t>13.5.1 通知监理人检查</w:t>
      </w:r>
    </w:p>
    <w:p w14:paraId="4D177A07">
      <w:pPr>
        <w:spacing w:line="360" w:lineRule="auto"/>
        <w:ind w:firstLine="480"/>
        <w:rPr>
          <w:color w:val="auto"/>
          <w:highlight w:val="none"/>
        </w:rPr>
      </w:pPr>
      <w:r>
        <w:rPr>
          <w:rFonts w:hint="eastAsia"/>
          <w:color w:val="auto"/>
          <w:highlight w:val="none"/>
        </w:rPr>
        <w:t>经承包人自检确认的工程隐蔽部位具备覆盖条件后，承包人应通知监理人在约定的期限内检查。承包人的通知应附有自检记录和必要的检查资料。监理人应按时到场检查。经监理人检查确认质量符合隐蔽要求，并在检查记录上签字后，承包人才能进行覆盖。监理人检查确认质量不合格的，承包人应在监理人指示的时间内修整返工后，由监理人重新检查。</w:t>
      </w:r>
    </w:p>
    <w:p w14:paraId="7C9F034E">
      <w:pPr>
        <w:spacing w:line="360" w:lineRule="auto"/>
        <w:ind w:firstLine="480"/>
        <w:rPr>
          <w:color w:val="auto"/>
          <w:highlight w:val="none"/>
        </w:rPr>
      </w:pPr>
      <w:r>
        <w:rPr>
          <w:rFonts w:hint="eastAsia"/>
          <w:color w:val="auto"/>
          <w:highlight w:val="none"/>
        </w:rPr>
        <w:t>13.5.2 监理人未到场检查</w:t>
      </w:r>
    </w:p>
    <w:p w14:paraId="33B00035">
      <w:pPr>
        <w:spacing w:line="360" w:lineRule="auto"/>
        <w:ind w:firstLine="480"/>
        <w:rPr>
          <w:color w:val="auto"/>
          <w:highlight w:val="none"/>
        </w:rPr>
      </w:pPr>
      <w:r>
        <w:rPr>
          <w:rFonts w:hint="eastAsia"/>
          <w:color w:val="auto"/>
          <w:highlight w:val="none"/>
        </w:rPr>
        <w:t>监理人未按第13.5.1项约定的时间进行检查的，除监理人另有指示外，承包人可自行完成覆盖工作，并作相应记录报送监理人，监理人应签字确认。监理人事后对检查记录有疑问的，可按第13.5.3项的约定重新检查。</w:t>
      </w:r>
    </w:p>
    <w:p w14:paraId="3BB6ABF9">
      <w:pPr>
        <w:spacing w:line="360" w:lineRule="auto"/>
        <w:ind w:firstLine="480"/>
        <w:rPr>
          <w:color w:val="auto"/>
          <w:highlight w:val="none"/>
        </w:rPr>
      </w:pPr>
      <w:r>
        <w:rPr>
          <w:rFonts w:hint="eastAsia"/>
          <w:color w:val="auto"/>
          <w:highlight w:val="none"/>
        </w:rPr>
        <w:t>13.5.3 监理人重新检查</w:t>
      </w:r>
    </w:p>
    <w:p w14:paraId="0D5BFE13">
      <w:pPr>
        <w:spacing w:line="360" w:lineRule="auto"/>
        <w:ind w:firstLine="480"/>
        <w:rPr>
          <w:color w:val="auto"/>
          <w:highlight w:val="none"/>
        </w:rPr>
      </w:pPr>
      <w:r>
        <w:rPr>
          <w:rFonts w:hint="eastAsia"/>
          <w:color w:val="auto"/>
          <w:highlight w:val="none"/>
        </w:rPr>
        <w:t>承包人按第13.5.1项或第13.5.2项覆盖工程隐蔽部位后，监理人对质量有疑问的，可要求承包人对已覆盖的部位进行钻孔探测或揭开重新检验，承包人应遵照执行，并在检验后重新覆盖恢复原状。经检验证明工程质量符合合同要求的，由发包人承担由此增加的费用和（或）工期延误，并支付承包人合理利润；经检验证明工程质量不符合合同要求的，由此增加的费用和（或）工期延误由承包人承担。</w:t>
      </w:r>
    </w:p>
    <w:p w14:paraId="1B6F63CC">
      <w:pPr>
        <w:spacing w:line="360" w:lineRule="auto"/>
        <w:ind w:firstLine="480"/>
        <w:rPr>
          <w:color w:val="auto"/>
          <w:highlight w:val="none"/>
        </w:rPr>
      </w:pPr>
      <w:r>
        <w:rPr>
          <w:rFonts w:hint="eastAsia"/>
          <w:color w:val="auto"/>
          <w:highlight w:val="none"/>
        </w:rPr>
        <w:t>13.5.4 承包人私自覆盖</w:t>
      </w:r>
    </w:p>
    <w:p w14:paraId="64AEEEA5">
      <w:pPr>
        <w:spacing w:line="360" w:lineRule="auto"/>
        <w:ind w:firstLine="480"/>
        <w:rPr>
          <w:color w:val="auto"/>
          <w:highlight w:val="none"/>
        </w:rPr>
      </w:pPr>
      <w:r>
        <w:rPr>
          <w:rFonts w:hint="eastAsia"/>
          <w:color w:val="auto"/>
          <w:highlight w:val="none"/>
        </w:rPr>
        <w:t>承包人未通知监理人到场检查，私自将工程隐蔽部位覆盖的，监理人有权指示承包人钻孔探测或揭开检查，由此增加的费用和（或）工期延误由承包人承担。</w:t>
      </w:r>
    </w:p>
    <w:p w14:paraId="3092E44E">
      <w:pPr>
        <w:pStyle w:val="190"/>
        <w:rPr>
          <w:color w:val="auto"/>
          <w:highlight w:val="none"/>
        </w:rPr>
      </w:pPr>
      <w:bookmarkStart w:id="273" w:name="_Toc18725"/>
      <w:r>
        <w:rPr>
          <w:rFonts w:hint="eastAsia"/>
          <w:color w:val="auto"/>
          <w:highlight w:val="none"/>
        </w:rPr>
        <w:t>13.6 清除不合格工程</w:t>
      </w:r>
      <w:bookmarkEnd w:id="269"/>
    </w:p>
    <w:p w14:paraId="22EBBFBB">
      <w:pPr>
        <w:spacing w:line="360" w:lineRule="auto"/>
        <w:ind w:firstLine="480"/>
        <w:rPr>
          <w:color w:val="auto"/>
          <w:highlight w:val="none"/>
        </w:rPr>
      </w:pPr>
      <w:r>
        <w:rPr>
          <w:rFonts w:hint="eastAsia"/>
          <w:color w:val="auto"/>
          <w:highlight w:val="none"/>
        </w:rPr>
        <w:t>13.6.1 承包人使用不合格材料、工程设备，或采用不适当的施工工艺，或施工不当，造成工程不合格的，监理人可以随时发出指示，要求承包人立即采取措施进行补救，直至达到合同要求的质量标准，由此增加的费用和（或）工期延误由承包人承担。</w:t>
      </w:r>
    </w:p>
    <w:p w14:paraId="47B42000">
      <w:pPr>
        <w:spacing w:line="360" w:lineRule="auto"/>
        <w:ind w:firstLine="480"/>
        <w:rPr>
          <w:color w:val="auto"/>
          <w:highlight w:val="none"/>
        </w:rPr>
      </w:pPr>
      <w:r>
        <w:rPr>
          <w:rFonts w:hint="eastAsia"/>
          <w:color w:val="auto"/>
          <w:highlight w:val="none"/>
        </w:rPr>
        <w:t>13.6.2 由于发包人提供的材料或工程设备不合格造成的工程不合格，需要承包人采取措施补救的，发包人应承担由此增加的费用和（或）工期延误，并支付承包人合理利润。</w:t>
      </w:r>
    </w:p>
    <w:p w14:paraId="1335B8C1">
      <w:pPr>
        <w:pStyle w:val="189"/>
        <w:spacing w:before="0" w:after="0" w:line="360" w:lineRule="auto"/>
        <w:rPr>
          <w:color w:val="auto"/>
          <w:highlight w:val="none"/>
        </w:rPr>
      </w:pPr>
      <w:bookmarkStart w:id="274" w:name="_Toc122424197"/>
      <w:bookmarkStart w:id="275" w:name="_Toc122424446"/>
      <w:bookmarkStart w:id="276" w:name="_Toc31367"/>
      <w:r>
        <w:rPr>
          <w:rFonts w:hint="eastAsia"/>
          <w:color w:val="auto"/>
          <w:highlight w:val="none"/>
        </w:rPr>
        <w:t>14. 试验和检验</w:t>
      </w:r>
      <w:bookmarkEnd w:id="270"/>
      <w:bookmarkEnd w:id="271"/>
      <w:bookmarkEnd w:id="272"/>
    </w:p>
    <w:p w14:paraId="3238767D">
      <w:pPr>
        <w:pStyle w:val="190"/>
        <w:rPr>
          <w:color w:val="auto"/>
          <w:highlight w:val="none"/>
        </w:rPr>
      </w:pPr>
      <w:bookmarkStart w:id="277" w:name="_Toc6699"/>
      <w:r>
        <w:rPr>
          <w:rFonts w:hint="eastAsia"/>
          <w:color w:val="auto"/>
          <w:highlight w:val="none"/>
        </w:rPr>
        <w:t>14.1 材料、工程设备和工程的试验和检验</w:t>
      </w:r>
      <w:bookmarkEnd w:id="273"/>
    </w:p>
    <w:p w14:paraId="3B782747">
      <w:pPr>
        <w:spacing w:line="360" w:lineRule="auto"/>
        <w:ind w:firstLine="480"/>
        <w:rPr>
          <w:color w:val="auto"/>
          <w:highlight w:val="none"/>
        </w:rPr>
      </w:pPr>
      <w:r>
        <w:rPr>
          <w:rFonts w:hint="eastAsia"/>
          <w:color w:val="auto"/>
          <w:highlight w:val="none"/>
        </w:rPr>
        <w:t>14.1.1 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23E72EE5">
      <w:pPr>
        <w:spacing w:line="360" w:lineRule="auto"/>
        <w:ind w:firstLine="480"/>
        <w:rPr>
          <w:color w:val="auto"/>
          <w:highlight w:val="none"/>
        </w:rPr>
      </w:pPr>
      <w:r>
        <w:rPr>
          <w:rFonts w:hint="eastAsia"/>
          <w:color w:val="auto"/>
          <w:highlight w:val="none"/>
        </w:rPr>
        <w:t>14.1.2 监理人未按合同约定派员参加试验和检验的，除监理人另有指示外，承包人可自行试验和检验，并应立即将试验和检验结果报送监理人，监理人应签字确认。</w:t>
      </w:r>
    </w:p>
    <w:p w14:paraId="5B00C65F">
      <w:pPr>
        <w:spacing w:line="360" w:lineRule="auto"/>
        <w:ind w:firstLine="480"/>
        <w:rPr>
          <w:color w:val="auto"/>
          <w:highlight w:val="none"/>
        </w:rPr>
      </w:pPr>
      <w:r>
        <w:rPr>
          <w:rFonts w:hint="eastAsia"/>
          <w:color w:val="auto"/>
          <w:highlight w:val="none"/>
        </w:rPr>
        <w:t>14.1.3 监理人对承包人的试验和检验结果有疑问的，或为查清承包人试验和检验成果的可靠性要求承包人重新试验和检验的，可按合同约定由监理人与承包人共同进行。重新试验和检验的结果证明该项材料、工程设备或工程的质量不符合合同要求的，由此增加的费用和（或）工期延误由承包人承担；重新试验和检验结果证明该项材料、工程设备和工程符合合同要求，由发包人承担由此增加的费用和（或）工期延误，并支付承包人合理利润。</w:t>
      </w:r>
    </w:p>
    <w:p w14:paraId="7821065B">
      <w:pPr>
        <w:pStyle w:val="190"/>
        <w:rPr>
          <w:color w:val="auto"/>
          <w:highlight w:val="none"/>
        </w:rPr>
      </w:pPr>
      <w:bookmarkStart w:id="278" w:name="_Toc22418"/>
      <w:r>
        <w:rPr>
          <w:rFonts w:hint="eastAsia"/>
          <w:color w:val="auto"/>
          <w:highlight w:val="none"/>
        </w:rPr>
        <w:t>14.2 现场材料试验</w:t>
      </w:r>
      <w:bookmarkEnd w:id="274"/>
    </w:p>
    <w:p w14:paraId="450861A8">
      <w:pPr>
        <w:spacing w:line="360" w:lineRule="auto"/>
        <w:ind w:firstLine="480"/>
        <w:rPr>
          <w:color w:val="auto"/>
          <w:highlight w:val="none"/>
        </w:rPr>
      </w:pPr>
      <w:r>
        <w:rPr>
          <w:rFonts w:hint="eastAsia"/>
          <w:color w:val="auto"/>
          <w:highlight w:val="none"/>
        </w:rPr>
        <w:t>14.2.1 承包人根据合同约定或监理人指示进行的现场材料试验，应由承包人提供试验场所、试验人员、试验设备器材以及其他必要的试验条件。</w:t>
      </w:r>
    </w:p>
    <w:p w14:paraId="3A8DEFD3">
      <w:pPr>
        <w:spacing w:line="360" w:lineRule="auto"/>
        <w:ind w:firstLine="480"/>
        <w:rPr>
          <w:color w:val="auto"/>
          <w:highlight w:val="none"/>
        </w:rPr>
      </w:pPr>
      <w:r>
        <w:rPr>
          <w:rFonts w:hint="eastAsia"/>
          <w:color w:val="auto"/>
          <w:highlight w:val="none"/>
        </w:rPr>
        <w:t>14.2.2 监理人在必要时可以使用承包人的试验场所、试验设备器材以及其他试验条件，进行以工程质量检查为目的的复核性材料试验，承包人应予以协助。</w:t>
      </w:r>
    </w:p>
    <w:p w14:paraId="40ABD81B">
      <w:pPr>
        <w:pStyle w:val="190"/>
        <w:rPr>
          <w:color w:val="auto"/>
          <w:highlight w:val="none"/>
        </w:rPr>
      </w:pPr>
      <w:bookmarkStart w:id="279" w:name="_Toc25433"/>
      <w:r>
        <w:rPr>
          <w:rFonts w:hint="eastAsia"/>
          <w:color w:val="auto"/>
          <w:highlight w:val="none"/>
        </w:rPr>
        <w:t>14.3 现场工艺试验</w:t>
      </w:r>
      <w:bookmarkEnd w:id="275"/>
    </w:p>
    <w:p w14:paraId="5D087F8B">
      <w:pPr>
        <w:spacing w:line="360" w:lineRule="auto"/>
        <w:ind w:firstLine="480"/>
        <w:rPr>
          <w:color w:val="auto"/>
          <w:highlight w:val="none"/>
        </w:rPr>
      </w:pPr>
      <w:r>
        <w:rPr>
          <w:rFonts w:hint="eastAsia"/>
          <w:color w:val="auto"/>
          <w:highlight w:val="none"/>
        </w:rPr>
        <w:t>承包人应按合同约定或监理人指示进行现场工艺试验。对大型的现场工艺试验，监理人认为必要时，应由承包人根据监理人提出的工艺试验要求，编制工艺试验措施计划，报送监理人审批。</w:t>
      </w:r>
    </w:p>
    <w:p w14:paraId="240E4F23">
      <w:pPr>
        <w:pStyle w:val="189"/>
        <w:spacing w:before="0" w:after="0" w:line="360" w:lineRule="auto"/>
        <w:rPr>
          <w:color w:val="auto"/>
          <w:highlight w:val="none"/>
        </w:rPr>
      </w:pPr>
      <w:bookmarkStart w:id="280" w:name="_Toc26945"/>
      <w:bookmarkStart w:id="281" w:name="_Toc122424447"/>
      <w:bookmarkStart w:id="282" w:name="_Toc122424198"/>
      <w:r>
        <w:rPr>
          <w:rFonts w:hint="eastAsia"/>
          <w:color w:val="auto"/>
          <w:highlight w:val="none"/>
        </w:rPr>
        <w:t>15. 变更</w:t>
      </w:r>
      <w:bookmarkEnd w:id="276"/>
      <w:bookmarkEnd w:id="277"/>
      <w:bookmarkEnd w:id="278"/>
    </w:p>
    <w:p w14:paraId="4C57EFB8">
      <w:pPr>
        <w:pStyle w:val="190"/>
        <w:rPr>
          <w:color w:val="auto"/>
          <w:highlight w:val="none"/>
        </w:rPr>
      </w:pPr>
      <w:bookmarkStart w:id="283" w:name="_Toc15425"/>
      <w:r>
        <w:rPr>
          <w:rFonts w:hint="eastAsia"/>
          <w:color w:val="auto"/>
          <w:highlight w:val="none"/>
        </w:rPr>
        <w:t>15.1 变更的范围和内容</w:t>
      </w:r>
      <w:bookmarkEnd w:id="279"/>
    </w:p>
    <w:p w14:paraId="2889D3AD">
      <w:pPr>
        <w:spacing w:line="360" w:lineRule="auto"/>
        <w:ind w:firstLine="480"/>
        <w:rPr>
          <w:color w:val="auto"/>
          <w:highlight w:val="none"/>
        </w:rPr>
      </w:pPr>
      <w:r>
        <w:rPr>
          <w:rFonts w:hint="eastAsia"/>
          <w:color w:val="auto"/>
          <w:highlight w:val="none"/>
        </w:rPr>
        <w:t>除专用合同条款另有约定外，在履行合同中发生以下情形之一，应按照本条规定进行变更。</w:t>
      </w:r>
    </w:p>
    <w:p w14:paraId="03E24955">
      <w:pPr>
        <w:spacing w:line="360" w:lineRule="auto"/>
        <w:ind w:firstLine="480"/>
        <w:rPr>
          <w:color w:val="auto"/>
          <w:highlight w:val="none"/>
        </w:rPr>
      </w:pPr>
      <w:r>
        <w:rPr>
          <w:rFonts w:hint="eastAsia"/>
          <w:color w:val="auto"/>
          <w:highlight w:val="none"/>
        </w:rPr>
        <w:t>（1）取消合同中任何一项工作，但被取消的工作不能转由发包人或其他人实施；</w:t>
      </w:r>
    </w:p>
    <w:p w14:paraId="0AF64B2F">
      <w:pPr>
        <w:spacing w:line="360" w:lineRule="auto"/>
        <w:ind w:firstLine="480"/>
        <w:rPr>
          <w:color w:val="auto"/>
          <w:highlight w:val="none"/>
        </w:rPr>
      </w:pPr>
      <w:r>
        <w:rPr>
          <w:rFonts w:hint="eastAsia"/>
          <w:color w:val="auto"/>
          <w:highlight w:val="none"/>
        </w:rPr>
        <w:t>（2）改变合同中任何一项工作的质量或其他特性；</w:t>
      </w:r>
    </w:p>
    <w:p w14:paraId="7E72BEC5">
      <w:pPr>
        <w:spacing w:line="360" w:lineRule="auto"/>
        <w:ind w:firstLine="480"/>
        <w:rPr>
          <w:color w:val="auto"/>
          <w:highlight w:val="none"/>
        </w:rPr>
      </w:pPr>
      <w:r>
        <w:rPr>
          <w:rFonts w:hint="eastAsia"/>
          <w:color w:val="auto"/>
          <w:highlight w:val="none"/>
        </w:rPr>
        <w:t>（3）改变合同工程的基线、标高、位置或尺寸；</w:t>
      </w:r>
    </w:p>
    <w:p w14:paraId="4099EC93">
      <w:pPr>
        <w:spacing w:line="360" w:lineRule="auto"/>
        <w:ind w:firstLine="480"/>
        <w:rPr>
          <w:color w:val="auto"/>
          <w:highlight w:val="none"/>
        </w:rPr>
      </w:pPr>
      <w:r>
        <w:rPr>
          <w:rFonts w:hint="eastAsia"/>
          <w:color w:val="auto"/>
          <w:highlight w:val="none"/>
        </w:rPr>
        <w:t>（4）改变合同中任何一项工作的施工时间或改变已批准的施工工艺或顺序；</w:t>
      </w:r>
    </w:p>
    <w:p w14:paraId="728D0A8D">
      <w:pPr>
        <w:spacing w:line="360" w:lineRule="auto"/>
        <w:ind w:firstLine="480"/>
        <w:rPr>
          <w:color w:val="auto"/>
          <w:highlight w:val="none"/>
        </w:rPr>
      </w:pPr>
      <w:r>
        <w:rPr>
          <w:rFonts w:hint="eastAsia"/>
          <w:color w:val="auto"/>
          <w:highlight w:val="none"/>
        </w:rPr>
        <w:t>（5）为完成工程需要追加的额外工作。</w:t>
      </w:r>
    </w:p>
    <w:p w14:paraId="44351B65">
      <w:pPr>
        <w:pStyle w:val="190"/>
        <w:rPr>
          <w:color w:val="auto"/>
          <w:highlight w:val="none"/>
        </w:rPr>
      </w:pPr>
      <w:bookmarkStart w:id="284" w:name="_Toc13258"/>
      <w:r>
        <w:rPr>
          <w:rFonts w:hint="eastAsia"/>
          <w:color w:val="auto"/>
          <w:highlight w:val="none"/>
        </w:rPr>
        <w:t>15.2 变更权</w:t>
      </w:r>
      <w:bookmarkEnd w:id="280"/>
    </w:p>
    <w:p w14:paraId="5EE09386">
      <w:pPr>
        <w:spacing w:line="360" w:lineRule="auto"/>
        <w:ind w:firstLine="480"/>
        <w:rPr>
          <w:color w:val="auto"/>
          <w:highlight w:val="none"/>
        </w:rPr>
      </w:pPr>
      <w:r>
        <w:rPr>
          <w:rFonts w:hint="eastAsia"/>
          <w:color w:val="auto"/>
          <w:highlight w:val="none"/>
        </w:rPr>
        <w:t>在履行合同过程中，经发包人同意，监理人可按第15.3款约定的变更程序向承包人作出变更指示，承包人应遵照执行。没有监理人的变更指示，承包人不得擅自变更。</w:t>
      </w:r>
    </w:p>
    <w:p w14:paraId="1B2FFFCD">
      <w:pPr>
        <w:pStyle w:val="190"/>
        <w:rPr>
          <w:color w:val="auto"/>
          <w:highlight w:val="none"/>
        </w:rPr>
      </w:pPr>
      <w:bookmarkStart w:id="285" w:name="_Toc24454"/>
      <w:r>
        <w:rPr>
          <w:rFonts w:hint="eastAsia"/>
          <w:color w:val="auto"/>
          <w:highlight w:val="none"/>
        </w:rPr>
        <w:t>15.3 变更程序</w:t>
      </w:r>
      <w:bookmarkEnd w:id="281"/>
    </w:p>
    <w:p w14:paraId="648262C4">
      <w:pPr>
        <w:spacing w:line="360" w:lineRule="auto"/>
        <w:ind w:firstLine="480"/>
        <w:rPr>
          <w:color w:val="auto"/>
          <w:highlight w:val="none"/>
        </w:rPr>
      </w:pPr>
      <w:r>
        <w:rPr>
          <w:rFonts w:hint="eastAsia"/>
          <w:color w:val="auto"/>
          <w:highlight w:val="none"/>
        </w:rPr>
        <w:t>15.3.1 变更的提出</w:t>
      </w:r>
    </w:p>
    <w:p w14:paraId="7EF806C4">
      <w:pPr>
        <w:spacing w:line="360" w:lineRule="auto"/>
        <w:ind w:firstLine="480"/>
        <w:rPr>
          <w:color w:val="auto"/>
          <w:highlight w:val="none"/>
        </w:rPr>
      </w:pPr>
      <w:r>
        <w:rPr>
          <w:rFonts w:hint="eastAsia"/>
          <w:color w:val="auto"/>
          <w:highlight w:val="none"/>
        </w:rPr>
        <w:t xml:space="preserve">（1）在合同履行过程中，可能发生第15.1款约定情形的，监理人可向承包人发出变更意向书。变更意向书应说明变更的具体内容和发包人对变更的时间要求，并附必要的图纸和相关资料。变更意向书应要求承包人提交包括拟实施变更工作的计划、措施和竣工时间等内容的实施方案。发包人同意承包人根据变更意向书要求提交的变更实施方案的，由监理人按第15.3.3项约定发出变更指示。 </w:t>
      </w:r>
    </w:p>
    <w:p w14:paraId="0453B739">
      <w:pPr>
        <w:spacing w:line="360" w:lineRule="auto"/>
        <w:ind w:firstLine="480"/>
        <w:rPr>
          <w:color w:val="auto"/>
          <w:highlight w:val="none"/>
        </w:rPr>
      </w:pPr>
      <w:r>
        <w:rPr>
          <w:rFonts w:hint="eastAsia"/>
          <w:color w:val="auto"/>
          <w:highlight w:val="none"/>
        </w:rPr>
        <w:t>（2）在合同履行过程中，发生第15.1款约定情形的，监理人应按照第15.3.3项约定向承包人发出变更指示。</w:t>
      </w:r>
    </w:p>
    <w:p w14:paraId="61C11630">
      <w:pPr>
        <w:spacing w:line="360" w:lineRule="auto"/>
        <w:ind w:firstLine="480"/>
        <w:rPr>
          <w:color w:val="auto"/>
          <w:highlight w:val="none"/>
        </w:rPr>
      </w:pPr>
      <w:r>
        <w:rPr>
          <w:rFonts w:hint="eastAsia"/>
          <w:color w:val="auto"/>
          <w:highlight w:val="none"/>
        </w:rPr>
        <w:t>（3）承包人收到监理人按合同约定发出的图纸和文件，经检查认为其中存在第15.1款约定情形的，可向监理人提出书面变更建议。变更建议应阐明要求变更的依据，并附必要的图纸和说明。监理人收到承包人书面建议后，应与发包人共同研究，确认存在变更的，应在收到承包人书面建议后的14天内作出变更指示。经研究后不同意作为变更的，应由监理人书面答复承包人。</w:t>
      </w:r>
    </w:p>
    <w:p w14:paraId="2C88494F">
      <w:pPr>
        <w:spacing w:line="360" w:lineRule="auto"/>
        <w:ind w:firstLine="480"/>
        <w:rPr>
          <w:color w:val="auto"/>
          <w:highlight w:val="none"/>
        </w:rPr>
      </w:pPr>
      <w:r>
        <w:rPr>
          <w:rFonts w:hint="eastAsia"/>
          <w:color w:val="auto"/>
          <w:highlight w:val="none"/>
        </w:rPr>
        <w:t>（4）若承包人收到监理人的变更意向书后认为难以实施此项变更，应立即通知监理人，说明原因并附详细依据。监理人与承包人和发包人协商后确定撤销、改变或不改变原变更意向书。</w:t>
      </w:r>
    </w:p>
    <w:p w14:paraId="722EA3CD">
      <w:pPr>
        <w:spacing w:line="360" w:lineRule="auto"/>
        <w:ind w:firstLine="480"/>
        <w:rPr>
          <w:color w:val="auto"/>
          <w:highlight w:val="none"/>
        </w:rPr>
      </w:pPr>
      <w:r>
        <w:rPr>
          <w:rFonts w:hint="eastAsia"/>
          <w:color w:val="auto"/>
          <w:highlight w:val="none"/>
        </w:rPr>
        <w:t>15.3.2 变更估价</w:t>
      </w:r>
    </w:p>
    <w:p w14:paraId="753DD254">
      <w:pPr>
        <w:spacing w:line="360" w:lineRule="auto"/>
        <w:ind w:firstLine="480"/>
        <w:rPr>
          <w:color w:val="auto"/>
          <w:highlight w:val="none"/>
        </w:rPr>
      </w:pPr>
      <w:r>
        <w:rPr>
          <w:rFonts w:hint="eastAsia"/>
          <w:color w:val="auto"/>
          <w:highlight w:val="none"/>
        </w:rPr>
        <w:t>（1）除专用合同条款对期限另有约定外，承包人应在收到变更指示或变更意向书后的14天内，向监理人提交变更报价书，报价内容应根据第15.4款约定的估价原则，详细开列变更工作的价格组成及其依据，并附必要的施工方法说明和有关图纸。</w:t>
      </w:r>
    </w:p>
    <w:p w14:paraId="226A858D">
      <w:pPr>
        <w:spacing w:line="360" w:lineRule="auto"/>
        <w:ind w:firstLine="480"/>
        <w:rPr>
          <w:color w:val="auto"/>
          <w:highlight w:val="none"/>
        </w:rPr>
      </w:pPr>
      <w:r>
        <w:rPr>
          <w:rFonts w:hint="eastAsia"/>
          <w:color w:val="auto"/>
          <w:highlight w:val="none"/>
        </w:rPr>
        <w:t>（2）变更工作影响工期的，承包人应提出调整工期的具体细节。监理人认为有必要时，可要求承包人提交要求提前或延长工期的施工进度计划及相应施工措施等详细资料。</w:t>
      </w:r>
    </w:p>
    <w:p w14:paraId="333EF3D5">
      <w:pPr>
        <w:spacing w:line="360" w:lineRule="auto"/>
        <w:ind w:firstLine="480"/>
        <w:rPr>
          <w:color w:val="auto"/>
          <w:highlight w:val="none"/>
        </w:rPr>
      </w:pPr>
      <w:r>
        <w:rPr>
          <w:rFonts w:hint="eastAsia"/>
          <w:color w:val="auto"/>
          <w:highlight w:val="none"/>
        </w:rPr>
        <w:t>（3）除专用合同条款对期限另有约定外，监理人收到承包人变更报价书后的14天内，根据第15.4款约定的估价原则，按照第3.5款商定或确定变更价格。</w:t>
      </w:r>
    </w:p>
    <w:p w14:paraId="0429D9E5">
      <w:pPr>
        <w:spacing w:line="360" w:lineRule="auto"/>
        <w:ind w:firstLine="480"/>
        <w:rPr>
          <w:color w:val="auto"/>
          <w:highlight w:val="none"/>
        </w:rPr>
      </w:pPr>
      <w:r>
        <w:rPr>
          <w:rFonts w:hint="eastAsia"/>
          <w:color w:val="auto"/>
          <w:highlight w:val="none"/>
        </w:rPr>
        <w:t>15.3.3 变更指示</w:t>
      </w:r>
    </w:p>
    <w:p w14:paraId="40B72CFF">
      <w:pPr>
        <w:spacing w:line="360" w:lineRule="auto"/>
        <w:ind w:firstLine="480"/>
        <w:rPr>
          <w:color w:val="auto"/>
          <w:highlight w:val="none"/>
        </w:rPr>
      </w:pPr>
      <w:r>
        <w:rPr>
          <w:rFonts w:hint="eastAsia"/>
          <w:color w:val="auto"/>
          <w:highlight w:val="none"/>
        </w:rPr>
        <w:t>（1）变更指示只能由监理人发出。</w:t>
      </w:r>
    </w:p>
    <w:p w14:paraId="44B2AF89">
      <w:pPr>
        <w:spacing w:line="360" w:lineRule="auto"/>
        <w:ind w:firstLine="480"/>
        <w:rPr>
          <w:color w:val="auto"/>
          <w:highlight w:val="none"/>
        </w:rPr>
      </w:pPr>
      <w:r>
        <w:rPr>
          <w:rFonts w:hint="eastAsia"/>
          <w:color w:val="auto"/>
          <w:highlight w:val="none"/>
        </w:rPr>
        <w:t>（2）变更指示应说明变更的目的、范围、变更内容以及变更的工程量及其进度和技术要求，并附有关图纸和文件。承包人收到变更指示后，应按变更指示进行变更工作。</w:t>
      </w:r>
    </w:p>
    <w:p w14:paraId="69156D0B">
      <w:pPr>
        <w:pStyle w:val="190"/>
        <w:rPr>
          <w:color w:val="auto"/>
          <w:highlight w:val="none"/>
        </w:rPr>
      </w:pPr>
      <w:bookmarkStart w:id="286" w:name="_Toc14717"/>
      <w:r>
        <w:rPr>
          <w:rFonts w:hint="eastAsia"/>
          <w:color w:val="auto"/>
          <w:highlight w:val="none"/>
        </w:rPr>
        <w:t>15.4 变更的估价原则</w:t>
      </w:r>
      <w:bookmarkEnd w:id="282"/>
    </w:p>
    <w:p w14:paraId="49704E8E">
      <w:pPr>
        <w:spacing w:line="360" w:lineRule="auto"/>
        <w:ind w:firstLine="480"/>
        <w:rPr>
          <w:color w:val="auto"/>
          <w:highlight w:val="none"/>
        </w:rPr>
      </w:pPr>
      <w:r>
        <w:rPr>
          <w:rFonts w:hint="eastAsia"/>
          <w:color w:val="auto"/>
          <w:highlight w:val="none"/>
        </w:rPr>
        <w:t>除专用合同条款另有约定外，因变更引起的价格调整按照本款约定处理。</w:t>
      </w:r>
    </w:p>
    <w:p w14:paraId="50C024AE">
      <w:pPr>
        <w:spacing w:line="360" w:lineRule="auto"/>
        <w:ind w:firstLine="480"/>
        <w:rPr>
          <w:color w:val="auto"/>
          <w:highlight w:val="none"/>
        </w:rPr>
      </w:pPr>
      <w:r>
        <w:rPr>
          <w:rFonts w:hint="eastAsia"/>
          <w:color w:val="auto"/>
          <w:highlight w:val="none"/>
        </w:rPr>
        <w:t>15.4.1 已标价工程量清单中有适用于变更工作的子目的，采用该子目的单价。</w:t>
      </w:r>
    </w:p>
    <w:p w14:paraId="251E5153">
      <w:pPr>
        <w:spacing w:line="360" w:lineRule="auto"/>
        <w:ind w:firstLine="480"/>
        <w:rPr>
          <w:color w:val="auto"/>
          <w:highlight w:val="none"/>
        </w:rPr>
      </w:pPr>
      <w:r>
        <w:rPr>
          <w:rFonts w:hint="eastAsia"/>
          <w:color w:val="auto"/>
          <w:highlight w:val="none"/>
        </w:rPr>
        <w:t>15.4.2 已标价工程量清单中无适用于变更工作的子目，但有类似子目的，可在合理范围内参照类似子目的单价，由监理人按第3.5款商定或确定变更工作的单价。</w:t>
      </w:r>
    </w:p>
    <w:p w14:paraId="27B11668">
      <w:pPr>
        <w:spacing w:line="360" w:lineRule="auto"/>
        <w:ind w:firstLine="480"/>
        <w:rPr>
          <w:color w:val="auto"/>
          <w:highlight w:val="none"/>
        </w:rPr>
      </w:pPr>
      <w:r>
        <w:rPr>
          <w:rFonts w:hint="eastAsia"/>
          <w:color w:val="auto"/>
          <w:highlight w:val="none"/>
        </w:rPr>
        <w:t>15.4.3 已标价工程量清单中无适用或类似子目的单价，可按照成本加利润的原则，由监理人按第3.5款商定或确定变更工作的单价。</w:t>
      </w:r>
    </w:p>
    <w:p w14:paraId="18F85A82">
      <w:pPr>
        <w:pStyle w:val="190"/>
        <w:rPr>
          <w:color w:val="auto"/>
          <w:highlight w:val="none"/>
        </w:rPr>
      </w:pPr>
      <w:bookmarkStart w:id="287" w:name="_Toc6025"/>
      <w:r>
        <w:rPr>
          <w:rFonts w:hint="eastAsia"/>
          <w:color w:val="auto"/>
          <w:highlight w:val="none"/>
        </w:rPr>
        <w:t>15.5 承包人的合理化建议</w:t>
      </w:r>
      <w:bookmarkEnd w:id="283"/>
    </w:p>
    <w:p w14:paraId="2206FF76">
      <w:pPr>
        <w:spacing w:line="360" w:lineRule="auto"/>
        <w:ind w:firstLine="480"/>
        <w:rPr>
          <w:color w:val="auto"/>
          <w:highlight w:val="none"/>
        </w:rPr>
      </w:pPr>
      <w:r>
        <w:rPr>
          <w:rFonts w:hint="eastAsia"/>
          <w:color w:val="auto"/>
          <w:highlight w:val="none"/>
        </w:rPr>
        <w:t>15.5.1 在履行合同过程中，承包人对发包人提供的图纸、技术要求以及其他方面提出的合理化建议，均应以书面形式提交监理人。合理化建议书的内容应包括建议工作的详细说明、进度计划和效益以及与其他工作的协调等，并附必要的设计文件。监理人应与发包人协商是否采纳建议。建议被采纳并构成变更的，应按第15.3.3项约定向承包人发出变更指示。</w:t>
      </w:r>
    </w:p>
    <w:p w14:paraId="278EAA45">
      <w:pPr>
        <w:spacing w:line="360" w:lineRule="auto"/>
        <w:ind w:firstLine="480"/>
        <w:rPr>
          <w:color w:val="auto"/>
          <w:highlight w:val="none"/>
        </w:rPr>
      </w:pPr>
      <w:r>
        <w:rPr>
          <w:rFonts w:hint="eastAsia"/>
          <w:color w:val="auto"/>
          <w:highlight w:val="none"/>
        </w:rPr>
        <w:t>15.5.2 承包人提出的合理化建议降低了合同价格、缩短了工期或者提高了工程经济效益的，发包人可按国家有关规定在专用合同条款中约定给予奖励。</w:t>
      </w:r>
    </w:p>
    <w:p w14:paraId="2660445F">
      <w:pPr>
        <w:pStyle w:val="190"/>
        <w:rPr>
          <w:color w:val="auto"/>
          <w:highlight w:val="none"/>
        </w:rPr>
      </w:pPr>
      <w:bookmarkStart w:id="288" w:name="_Toc28479"/>
      <w:r>
        <w:rPr>
          <w:rFonts w:hint="eastAsia"/>
          <w:color w:val="auto"/>
          <w:highlight w:val="none"/>
        </w:rPr>
        <w:t>15.6 暂列金额</w:t>
      </w:r>
      <w:bookmarkEnd w:id="284"/>
    </w:p>
    <w:p w14:paraId="3C9A8D49">
      <w:pPr>
        <w:spacing w:line="360" w:lineRule="auto"/>
        <w:ind w:firstLine="480"/>
        <w:rPr>
          <w:color w:val="auto"/>
          <w:highlight w:val="none"/>
        </w:rPr>
      </w:pPr>
      <w:r>
        <w:rPr>
          <w:rFonts w:hint="eastAsia"/>
          <w:color w:val="auto"/>
          <w:highlight w:val="none"/>
        </w:rPr>
        <w:t>暂列金额只能按照监理人的指示使用，并对合同价格进行相应调整。</w:t>
      </w:r>
    </w:p>
    <w:p w14:paraId="0DB39120">
      <w:pPr>
        <w:pStyle w:val="190"/>
        <w:rPr>
          <w:color w:val="auto"/>
          <w:highlight w:val="none"/>
        </w:rPr>
      </w:pPr>
      <w:bookmarkStart w:id="289" w:name="_Toc12668"/>
      <w:r>
        <w:rPr>
          <w:rFonts w:hint="eastAsia"/>
          <w:color w:val="auto"/>
          <w:highlight w:val="none"/>
        </w:rPr>
        <w:t>15.7 计日工</w:t>
      </w:r>
      <w:bookmarkEnd w:id="285"/>
    </w:p>
    <w:p w14:paraId="1CB74282">
      <w:pPr>
        <w:spacing w:line="360" w:lineRule="auto"/>
        <w:ind w:firstLine="480"/>
        <w:rPr>
          <w:color w:val="auto"/>
          <w:highlight w:val="none"/>
        </w:rPr>
      </w:pPr>
      <w:r>
        <w:rPr>
          <w:rFonts w:hint="eastAsia"/>
          <w:color w:val="auto"/>
          <w:highlight w:val="none"/>
        </w:rPr>
        <w:t>15.7.1 发包人认为有必要时，由监理人通知承包人以计日工方式实施变更的零星工作。其价款按列入已标价工程量清单中的计日工计价子目及其单价进行计算。</w:t>
      </w:r>
    </w:p>
    <w:p w14:paraId="256ACE17">
      <w:pPr>
        <w:spacing w:line="360" w:lineRule="auto"/>
        <w:ind w:firstLine="480"/>
        <w:rPr>
          <w:color w:val="auto"/>
          <w:highlight w:val="none"/>
        </w:rPr>
      </w:pPr>
      <w:r>
        <w:rPr>
          <w:rFonts w:hint="eastAsia"/>
          <w:color w:val="auto"/>
          <w:highlight w:val="none"/>
        </w:rPr>
        <w:t>15.7.2 采用计日工计价的任何一项变更工作，应从暂列金额中支付，承包人应在该项变更的实施过程中，每天提交以下报表和有关凭证报送监理人审批：</w:t>
      </w:r>
    </w:p>
    <w:p w14:paraId="2CD54EE1">
      <w:pPr>
        <w:spacing w:line="360" w:lineRule="auto"/>
        <w:ind w:firstLine="480"/>
        <w:rPr>
          <w:color w:val="auto"/>
          <w:highlight w:val="none"/>
        </w:rPr>
      </w:pPr>
      <w:r>
        <w:rPr>
          <w:rFonts w:hint="eastAsia"/>
          <w:color w:val="auto"/>
          <w:highlight w:val="none"/>
        </w:rPr>
        <w:t>（1）工作名称、内容和数量；</w:t>
      </w:r>
    </w:p>
    <w:p w14:paraId="183600FD">
      <w:pPr>
        <w:spacing w:line="360" w:lineRule="auto"/>
        <w:ind w:firstLine="480"/>
        <w:rPr>
          <w:color w:val="auto"/>
          <w:highlight w:val="none"/>
        </w:rPr>
      </w:pPr>
      <w:r>
        <w:rPr>
          <w:rFonts w:hint="eastAsia"/>
          <w:color w:val="auto"/>
          <w:highlight w:val="none"/>
        </w:rPr>
        <w:t>（2）投入该工作所有人员的姓名、工种、级别和耗用工时；</w:t>
      </w:r>
    </w:p>
    <w:p w14:paraId="47CC9E45">
      <w:pPr>
        <w:spacing w:line="360" w:lineRule="auto"/>
        <w:ind w:firstLine="480"/>
        <w:rPr>
          <w:color w:val="auto"/>
          <w:highlight w:val="none"/>
        </w:rPr>
      </w:pPr>
      <w:r>
        <w:rPr>
          <w:rFonts w:hint="eastAsia"/>
          <w:color w:val="auto"/>
          <w:highlight w:val="none"/>
        </w:rPr>
        <w:t>（3）投入该工作的材料类别和数量；</w:t>
      </w:r>
    </w:p>
    <w:p w14:paraId="469361B8">
      <w:pPr>
        <w:spacing w:line="360" w:lineRule="auto"/>
        <w:ind w:firstLine="480"/>
        <w:rPr>
          <w:color w:val="auto"/>
          <w:highlight w:val="none"/>
        </w:rPr>
      </w:pPr>
      <w:r>
        <w:rPr>
          <w:rFonts w:hint="eastAsia"/>
          <w:color w:val="auto"/>
          <w:highlight w:val="none"/>
        </w:rPr>
        <w:t>（4）投入该工作的施工设备型号、台数和耗用台时；</w:t>
      </w:r>
    </w:p>
    <w:p w14:paraId="0835D8AE">
      <w:pPr>
        <w:spacing w:line="360" w:lineRule="auto"/>
        <w:ind w:firstLine="480"/>
        <w:rPr>
          <w:color w:val="auto"/>
          <w:highlight w:val="none"/>
        </w:rPr>
      </w:pPr>
      <w:r>
        <w:rPr>
          <w:rFonts w:hint="eastAsia"/>
          <w:color w:val="auto"/>
          <w:highlight w:val="none"/>
        </w:rPr>
        <w:t>（5）监理人要求提交的其他资料和凭证。</w:t>
      </w:r>
    </w:p>
    <w:p w14:paraId="64EBE2A2">
      <w:pPr>
        <w:spacing w:line="360" w:lineRule="auto"/>
        <w:ind w:firstLine="480"/>
        <w:rPr>
          <w:color w:val="auto"/>
          <w:highlight w:val="none"/>
        </w:rPr>
      </w:pPr>
      <w:r>
        <w:rPr>
          <w:rFonts w:hint="eastAsia"/>
          <w:color w:val="auto"/>
          <w:highlight w:val="none"/>
        </w:rPr>
        <w:t>15.7.3 计日工由承包人汇总后，按第17.3.2项的约定列入进度付款申请单，由监理人复核并经发包人同意后列入进度付款。</w:t>
      </w:r>
    </w:p>
    <w:p w14:paraId="71D1BC95">
      <w:pPr>
        <w:pStyle w:val="190"/>
        <w:rPr>
          <w:color w:val="auto"/>
          <w:highlight w:val="none"/>
        </w:rPr>
      </w:pPr>
      <w:bookmarkStart w:id="290" w:name="_Toc29143"/>
      <w:r>
        <w:rPr>
          <w:rFonts w:hint="eastAsia"/>
          <w:color w:val="auto"/>
          <w:highlight w:val="none"/>
        </w:rPr>
        <w:t>15.8 暂估价</w:t>
      </w:r>
      <w:bookmarkEnd w:id="286"/>
    </w:p>
    <w:p w14:paraId="28CF57E8">
      <w:pPr>
        <w:spacing w:line="360" w:lineRule="auto"/>
        <w:ind w:firstLine="480"/>
        <w:rPr>
          <w:color w:val="auto"/>
          <w:highlight w:val="none"/>
        </w:rPr>
      </w:pPr>
      <w:r>
        <w:rPr>
          <w:rFonts w:hint="eastAsia"/>
          <w:color w:val="auto"/>
          <w:highlight w:val="none"/>
        </w:rPr>
        <w:t>15.8.1 发包人在工程量清单中给定暂估价的材料、工程设备和专业工程属于依法必须招标的范围并达到规定的规模标准的，由发包人和承包人以招标的方式选择供应商或分包人。发包人和承包人的权利义务关系在专用合同条款中约定。中标金额与工程量清单中所列的暂估价的金额差以及相应的税金等其他费用列入合同价格。</w:t>
      </w:r>
    </w:p>
    <w:p w14:paraId="0A631234">
      <w:pPr>
        <w:spacing w:line="360" w:lineRule="auto"/>
        <w:ind w:firstLine="480"/>
        <w:rPr>
          <w:color w:val="auto"/>
          <w:highlight w:val="none"/>
        </w:rPr>
      </w:pPr>
      <w:r>
        <w:rPr>
          <w:rFonts w:hint="eastAsia"/>
          <w:color w:val="auto"/>
          <w:highlight w:val="none"/>
        </w:rPr>
        <w:t>15.8.2 发包人在工程量清单中给定暂估价的材料和工程设备不属于依法必须招标的范围或未达到规定的规模标准的，应由承包人按第5.1款的约定提供。经监理人确认的材料、工程设备的价格与工程量清单中所列的暂估价的金额差以及相应的税金等其他费用列入合同价格。</w:t>
      </w:r>
    </w:p>
    <w:p w14:paraId="59A678E0">
      <w:pPr>
        <w:spacing w:line="360" w:lineRule="auto"/>
        <w:ind w:firstLine="480"/>
        <w:rPr>
          <w:color w:val="auto"/>
          <w:highlight w:val="none"/>
        </w:rPr>
      </w:pPr>
      <w:r>
        <w:rPr>
          <w:rFonts w:hint="eastAsia"/>
          <w:color w:val="auto"/>
          <w:highlight w:val="none"/>
        </w:rPr>
        <w:t>15.8.3 发包人在工程量清单中给定暂估价的专业工程不属于依法必须招标的范围或未达到规定的规模标准的，由监理人按照第15.4款进行估价，但专用合同条款另有约定的除外。经估价的专业工程与工程量清单中所列的暂估价的金额差以及相应的税金等其他费用列入合同价格。</w:t>
      </w:r>
    </w:p>
    <w:p w14:paraId="4DE0FE55">
      <w:pPr>
        <w:pStyle w:val="189"/>
        <w:spacing w:before="0" w:after="0" w:line="360" w:lineRule="auto"/>
        <w:rPr>
          <w:color w:val="auto"/>
          <w:highlight w:val="none"/>
        </w:rPr>
      </w:pPr>
      <w:bookmarkStart w:id="291" w:name="_Toc122424448"/>
      <w:bookmarkStart w:id="292" w:name="_Toc122424199"/>
      <w:bookmarkStart w:id="293" w:name="_Toc12800"/>
      <w:r>
        <w:rPr>
          <w:rFonts w:hint="eastAsia"/>
          <w:color w:val="auto"/>
          <w:highlight w:val="none"/>
        </w:rPr>
        <w:t>16. 价格调整</w:t>
      </w:r>
      <w:bookmarkEnd w:id="287"/>
      <w:bookmarkEnd w:id="288"/>
      <w:bookmarkEnd w:id="289"/>
    </w:p>
    <w:p w14:paraId="49B5D20D">
      <w:pPr>
        <w:pStyle w:val="190"/>
        <w:rPr>
          <w:color w:val="auto"/>
          <w:highlight w:val="none"/>
        </w:rPr>
      </w:pPr>
      <w:bookmarkStart w:id="294" w:name="_Toc27279"/>
      <w:r>
        <w:rPr>
          <w:rFonts w:hint="eastAsia"/>
          <w:color w:val="auto"/>
          <w:highlight w:val="none"/>
        </w:rPr>
        <w:t>16.1 物价波动引起的价格调整</w:t>
      </w:r>
      <w:bookmarkEnd w:id="290"/>
    </w:p>
    <w:p w14:paraId="1FEF2039">
      <w:pPr>
        <w:spacing w:line="360" w:lineRule="auto"/>
        <w:ind w:firstLine="480"/>
        <w:rPr>
          <w:color w:val="auto"/>
          <w:highlight w:val="none"/>
        </w:rPr>
      </w:pPr>
      <w:r>
        <w:rPr>
          <w:rFonts w:hint="eastAsia"/>
          <w:color w:val="auto"/>
          <w:highlight w:val="none"/>
        </w:rPr>
        <w:t>除专用合同条款另有约定外，因物价波动引起的价格调整按照本款约定处理。</w:t>
      </w:r>
    </w:p>
    <w:p w14:paraId="0349E519">
      <w:pPr>
        <w:spacing w:line="360" w:lineRule="auto"/>
        <w:ind w:firstLine="480"/>
        <w:rPr>
          <w:color w:val="auto"/>
          <w:highlight w:val="none"/>
        </w:rPr>
      </w:pPr>
      <w:r>
        <w:rPr>
          <w:rFonts w:hint="eastAsia"/>
          <w:color w:val="auto"/>
          <w:highlight w:val="none"/>
        </w:rPr>
        <w:t>16.1.1 采用价格指数调整价格差额</w:t>
      </w:r>
    </w:p>
    <w:p w14:paraId="7C767ACE">
      <w:pPr>
        <w:spacing w:line="360" w:lineRule="auto"/>
        <w:ind w:firstLine="480"/>
        <w:rPr>
          <w:color w:val="auto"/>
          <w:highlight w:val="none"/>
        </w:rPr>
      </w:pPr>
      <w:r>
        <w:rPr>
          <w:rFonts w:hint="eastAsia"/>
          <w:color w:val="auto"/>
          <w:highlight w:val="none"/>
        </w:rPr>
        <w:t>16.1.1.1 价格调整公式</w:t>
      </w:r>
    </w:p>
    <w:p w14:paraId="48506233">
      <w:pPr>
        <w:spacing w:line="360" w:lineRule="auto"/>
        <w:ind w:firstLine="480"/>
        <w:rPr>
          <w:color w:val="auto"/>
          <w:highlight w:val="none"/>
        </w:rPr>
      </w:pPr>
      <w:r>
        <w:rPr>
          <w:rFonts w:hint="eastAsia"/>
          <w:color w:val="auto"/>
          <w:highlight w:val="none"/>
        </w:rPr>
        <w:t>因人工、材料和设备等价格波动影响合同价格时，根据投标函附录中的价格指数和权重表约定的数据，按以下公式计算差额并调整合同价格。</w:t>
      </w:r>
    </w:p>
    <w:p w14:paraId="2A76DA61">
      <w:pPr>
        <w:spacing w:line="360" w:lineRule="auto"/>
        <w:jc w:val="center"/>
        <w:rPr>
          <w:color w:val="auto"/>
          <w:highlight w:val="none"/>
        </w:rPr>
      </w:pPr>
      <w:r>
        <w:rPr>
          <w:rFonts w:hint="eastAsia" w:ascii="宋体" w:hAnsi="宋体"/>
          <w:color w:val="auto"/>
          <w:position w:val="-34"/>
          <w:sz w:val="24"/>
          <w:highlight w:val="none"/>
        </w:rPr>
        <w:object>
          <v:shape id="_x0000_i1025" o:spt="75" type="#_x0000_t75" style="height:40.5pt;width:306pt;" o:ole="t" filled="f" o:preferrelative="t" stroked="f" coordsize="21600,21600">
            <v:path/>
            <v:fill on="f" focussize="0,0"/>
            <v:stroke on="f" joinstyle="miter"/>
            <v:imagedata r:id="rId17" o:title=""/>
            <o:lock v:ext="edit" rotation="t" aspectratio="t"/>
            <w10:wrap type="none"/>
            <w10:anchorlock/>
          </v:shape>
          <o:OLEObject Type="Embed" ProgID="Equation.3" ShapeID="_x0000_i1025" DrawAspect="Content" ObjectID="_1468075725" r:id="rId16">
            <o:LockedField>false</o:LockedField>
          </o:OLEObject>
        </w:object>
      </w:r>
    </w:p>
    <w:p w14:paraId="1DCDCCAD">
      <w:pPr>
        <w:spacing w:line="360" w:lineRule="auto"/>
        <w:ind w:firstLine="480"/>
        <w:rPr>
          <w:color w:val="auto"/>
          <w:highlight w:val="none"/>
        </w:rPr>
      </w:pPr>
      <w:r>
        <w:rPr>
          <w:rFonts w:hint="eastAsia"/>
          <w:color w:val="auto"/>
          <w:highlight w:val="none"/>
        </w:rPr>
        <w:t>式中： △P -- 需调整的价格差额；</w:t>
      </w:r>
    </w:p>
    <w:p w14:paraId="7C13B427">
      <w:pPr>
        <w:spacing w:line="360" w:lineRule="auto"/>
        <w:ind w:firstLine="480"/>
        <w:rPr>
          <w:color w:val="auto"/>
          <w:highlight w:val="none"/>
        </w:rPr>
      </w:pPr>
      <w:r>
        <w:rPr>
          <w:rFonts w:hint="eastAsia"/>
          <w:color w:val="auto"/>
          <w:highlight w:val="none"/>
        </w:rPr>
        <w:tab/>
      </w:r>
      <w:r>
        <w:rPr>
          <w:rFonts w:hint="eastAsia"/>
          <w:color w:val="auto"/>
          <w:highlight w:val="none"/>
        </w:rPr>
        <w:t>P0 -- 第17.3.3项、第17.5.2项和第17.6.2项约定的付款证书中承包人应得到的已完成工程量的金额。此项金额应不包括价格调整、不计质量保证金的扣留和支付、预付款的支付和扣回。第15条约定的变更及其他金额已按现行价格计价的，也不计在内；</w:t>
      </w:r>
    </w:p>
    <w:p w14:paraId="44B6834C">
      <w:pPr>
        <w:spacing w:line="360" w:lineRule="auto"/>
        <w:ind w:firstLine="480"/>
        <w:rPr>
          <w:color w:val="auto"/>
          <w:highlight w:val="none"/>
        </w:rPr>
      </w:pPr>
      <w:r>
        <w:rPr>
          <w:rFonts w:hint="eastAsia"/>
          <w:color w:val="auto"/>
          <w:highlight w:val="none"/>
        </w:rPr>
        <w:tab/>
      </w:r>
      <w:r>
        <w:rPr>
          <w:rFonts w:hint="eastAsia"/>
          <w:color w:val="auto"/>
          <w:highlight w:val="none"/>
        </w:rPr>
        <w:t>A -- 定值权重（即不调部分的权重）；</w:t>
      </w:r>
    </w:p>
    <w:p w14:paraId="70A15B38">
      <w:pPr>
        <w:spacing w:line="360" w:lineRule="auto"/>
        <w:ind w:firstLine="480"/>
        <w:rPr>
          <w:color w:val="auto"/>
          <w:highlight w:val="none"/>
        </w:rPr>
      </w:pPr>
      <w:r>
        <w:rPr>
          <w:rFonts w:hint="eastAsia"/>
          <w:color w:val="auto"/>
          <w:highlight w:val="none"/>
        </w:rPr>
        <w:tab/>
      </w:r>
      <w:r>
        <w:rPr>
          <w:rFonts w:hint="eastAsia"/>
          <w:color w:val="auto"/>
          <w:highlight w:val="none"/>
        </w:rPr>
        <w:t>B1; B2 ;B3·····Bn -- 各可调因子的变值权重（即可调部分的权重）为各可调因子在投标函投标总报价中所占的比例；</w:t>
      </w:r>
    </w:p>
    <w:p w14:paraId="70AC3EDE">
      <w:pPr>
        <w:spacing w:line="360" w:lineRule="auto"/>
        <w:ind w:firstLine="480"/>
        <w:rPr>
          <w:color w:val="auto"/>
          <w:highlight w:val="none"/>
        </w:rPr>
      </w:pPr>
      <w:r>
        <w:rPr>
          <w:rFonts w:hint="eastAsia"/>
          <w:color w:val="auto"/>
          <w:highlight w:val="none"/>
        </w:rPr>
        <w:tab/>
      </w:r>
      <w:r>
        <w:rPr>
          <w:rFonts w:hint="eastAsia"/>
          <w:color w:val="auto"/>
          <w:highlight w:val="none"/>
        </w:rPr>
        <w:t>Ft1 ;Ft2 ;Ft3·····Ftn -- 各可调因子的现行价格指数，指第17.3.3项、第17.5.2项和第17.6.2项约定的付款证书相关周期最后一天的前42天的各可调因子的价格指数；</w:t>
      </w:r>
    </w:p>
    <w:p w14:paraId="750450F3">
      <w:pPr>
        <w:spacing w:line="360" w:lineRule="auto"/>
        <w:ind w:firstLine="480"/>
        <w:rPr>
          <w:color w:val="auto"/>
          <w:highlight w:val="none"/>
        </w:rPr>
      </w:pPr>
      <w:r>
        <w:rPr>
          <w:rFonts w:hint="eastAsia"/>
          <w:color w:val="auto"/>
          <w:highlight w:val="none"/>
        </w:rPr>
        <w:tab/>
      </w:r>
      <w:r>
        <w:rPr>
          <w:rFonts w:hint="eastAsia"/>
          <w:color w:val="auto"/>
          <w:highlight w:val="none"/>
        </w:rPr>
        <w:t>Fo1; Fo2; Fo3·····Fon -- 各可调因子的基本价格指数，指基准日期的各可调因子的价格指数。</w:t>
      </w:r>
    </w:p>
    <w:p w14:paraId="074EE96F">
      <w:pPr>
        <w:spacing w:line="360" w:lineRule="auto"/>
        <w:ind w:firstLine="480"/>
        <w:rPr>
          <w:color w:val="auto"/>
          <w:highlight w:val="none"/>
        </w:rPr>
      </w:pPr>
      <w:r>
        <w:rPr>
          <w:rFonts w:hint="eastAsia"/>
          <w:color w:val="auto"/>
          <w:highlight w:val="none"/>
        </w:rPr>
        <w:t>以上价格调整公式中的各可调因子、定值和变值权重，以及基本价格指数及其来源在投标函附录价格指数和权重表中约定。价格指数应首先采用有关部门提供的价格指数，缺乏上述价格指数时，可采用有关部门提供的价格代替。</w:t>
      </w:r>
    </w:p>
    <w:p w14:paraId="03E54642">
      <w:pPr>
        <w:spacing w:line="360" w:lineRule="auto"/>
        <w:ind w:firstLine="480"/>
        <w:rPr>
          <w:color w:val="auto"/>
          <w:highlight w:val="none"/>
        </w:rPr>
      </w:pPr>
      <w:r>
        <w:rPr>
          <w:rFonts w:hint="eastAsia"/>
          <w:color w:val="auto"/>
          <w:highlight w:val="none"/>
        </w:rPr>
        <w:t>16.1.1.2 暂时确定调整差额</w:t>
      </w:r>
    </w:p>
    <w:p w14:paraId="6BD0AB27">
      <w:pPr>
        <w:spacing w:line="360" w:lineRule="auto"/>
        <w:ind w:firstLine="480"/>
        <w:rPr>
          <w:color w:val="auto"/>
          <w:highlight w:val="none"/>
        </w:rPr>
      </w:pPr>
      <w:r>
        <w:rPr>
          <w:rFonts w:hint="eastAsia"/>
          <w:color w:val="auto"/>
          <w:highlight w:val="none"/>
        </w:rPr>
        <w:t>在计算调整差额时得不到现行价格指数的，可暂用上一次价格指数计算，并在以后的付款中再按实际价格指数进行调整。</w:t>
      </w:r>
    </w:p>
    <w:p w14:paraId="66AC1330">
      <w:pPr>
        <w:spacing w:line="360" w:lineRule="auto"/>
        <w:ind w:firstLine="480"/>
        <w:rPr>
          <w:color w:val="auto"/>
          <w:highlight w:val="none"/>
        </w:rPr>
      </w:pPr>
      <w:r>
        <w:rPr>
          <w:rFonts w:hint="eastAsia"/>
          <w:color w:val="auto"/>
          <w:highlight w:val="none"/>
        </w:rPr>
        <w:t>16.1.1.3 权重的调整</w:t>
      </w:r>
    </w:p>
    <w:p w14:paraId="07D76D5D">
      <w:pPr>
        <w:spacing w:line="360" w:lineRule="auto"/>
        <w:ind w:firstLine="480"/>
        <w:rPr>
          <w:color w:val="auto"/>
          <w:highlight w:val="none"/>
        </w:rPr>
      </w:pPr>
      <w:r>
        <w:rPr>
          <w:rFonts w:hint="eastAsia"/>
          <w:color w:val="auto"/>
          <w:highlight w:val="none"/>
        </w:rPr>
        <w:t>按第15.1款约定的变更导致原定合同中的权重不合理时，由监理人与承包人和发包人协商后进行调整。</w:t>
      </w:r>
    </w:p>
    <w:p w14:paraId="1E88264E">
      <w:pPr>
        <w:spacing w:line="360" w:lineRule="auto"/>
        <w:ind w:firstLine="480"/>
        <w:rPr>
          <w:color w:val="auto"/>
          <w:highlight w:val="none"/>
        </w:rPr>
      </w:pPr>
      <w:r>
        <w:rPr>
          <w:rFonts w:hint="eastAsia"/>
          <w:color w:val="auto"/>
          <w:highlight w:val="none"/>
        </w:rPr>
        <w:t>16.1.1.4 承包人工期延误后的价格调整</w:t>
      </w:r>
    </w:p>
    <w:p w14:paraId="18D355C1">
      <w:pPr>
        <w:spacing w:line="360" w:lineRule="auto"/>
        <w:ind w:firstLine="480"/>
        <w:rPr>
          <w:color w:val="auto"/>
          <w:highlight w:val="none"/>
        </w:rPr>
      </w:pPr>
      <w:r>
        <w:rPr>
          <w:rFonts w:hint="eastAsia"/>
          <w:color w:val="auto"/>
          <w:highlight w:val="none"/>
        </w:rPr>
        <w:t>由于承包人原因未在约定的工期内竣工的，则对原约定竣工日期后继续施工的工程，在使用第16.1.1.1目价格调整公式时，应采用原约定竣工日期与实际竣工日期的两个价格指数中较低的一个作为现行价格指数。</w:t>
      </w:r>
    </w:p>
    <w:p w14:paraId="62B36179">
      <w:pPr>
        <w:spacing w:line="360" w:lineRule="auto"/>
        <w:ind w:firstLine="480"/>
        <w:rPr>
          <w:color w:val="auto"/>
          <w:highlight w:val="none"/>
        </w:rPr>
      </w:pPr>
      <w:r>
        <w:rPr>
          <w:rFonts w:hint="eastAsia"/>
          <w:color w:val="auto"/>
          <w:highlight w:val="none"/>
        </w:rPr>
        <w:t>16.1.2 采用造价信息调整价格差额</w:t>
      </w:r>
    </w:p>
    <w:p w14:paraId="2CCB133F">
      <w:pPr>
        <w:spacing w:line="360" w:lineRule="auto"/>
        <w:ind w:firstLine="480"/>
        <w:rPr>
          <w:color w:val="auto"/>
          <w:highlight w:val="none"/>
        </w:rPr>
      </w:pPr>
      <w:r>
        <w:rPr>
          <w:rFonts w:hint="eastAsia"/>
          <w:color w:val="auto"/>
          <w:highlight w:val="none"/>
        </w:rPr>
        <w:t>施工期内，因人工、材料、设备和机械台班价格波动影响合同价格时，人工、机械使用费按照国家或省、自治区、直辖市建设行政管理部门、行业建设管理部门或其授权的工程造价管理机构发布的人工成本信息、机械台班单价或机械使用费系数进行调整；需要进行价格调整的材料，其单价和采购数应由监理人复核，监理人确认需调整的材料单价及数量，作为调整工程合同价格差额的依据。</w:t>
      </w:r>
    </w:p>
    <w:p w14:paraId="4D88C53D">
      <w:pPr>
        <w:pStyle w:val="190"/>
        <w:rPr>
          <w:color w:val="auto"/>
          <w:highlight w:val="none"/>
        </w:rPr>
      </w:pPr>
      <w:bookmarkStart w:id="295" w:name="_Toc8116"/>
      <w:r>
        <w:rPr>
          <w:rFonts w:hint="eastAsia"/>
          <w:color w:val="auto"/>
          <w:highlight w:val="none"/>
        </w:rPr>
        <w:t>16.2 法律变化引起的价格调整</w:t>
      </w:r>
      <w:bookmarkEnd w:id="291"/>
    </w:p>
    <w:p w14:paraId="4A4309E5">
      <w:pPr>
        <w:spacing w:line="360" w:lineRule="auto"/>
        <w:ind w:firstLine="480"/>
        <w:rPr>
          <w:color w:val="auto"/>
          <w:highlight w:val="none"/>
        </w:rPr>
      </w:pPr>
      <w:r>
        <w:rPr>
          <w:rFonts w:hint="eastAsia"/>
          <w:color w:val="auto"/>
          <w:highlight w:val="none"/>
        </w:rPr>
        <w:t>在基准日后，因法律变化导致承包人在合同履行中所需要的工程费用发生除第16.1款约定以外的增减时，监理人应根据法律、国家或省、自治区、直辖市有关部门的规定，按第3.5款商定或确定需调整的合同价款。</w:t>
      </w:r>
    </w:p>
    <w:p w14:paraId="66478C82">
      <w:pPr>
        <w:pStyle w:val="189"/>
        <w:spacing w:before="0" w:after="0" w:line="360" w:lineRule="auto"/>
        <w:rPr>
          <w:color w:val="auto"/>
          <w:highlight w:val="none"/>
        </w:rPr>
      </w:pPr>
      <w:bookmarkStart w:id="296" w:name="_Toc122424449"/>
      <w:bookmarkStart w:id="297" w:name="_Toc122424200"/>
      <w:bookmarkStart w:id="298" w:name="_Toc17915"/>
      <w:r>
        <w:rPr>
          <w:rFonts w:hint="eastAsia"/>
          <w:color w:val="auto"/>
          <w:highlight w:val="none"/>
        </w:rPr>
        <w:t>17. 计量与支付</w:t>
      </w:r>
      <w:bookmarkEnd w:id="292"/>
      <w:bookmarkEnd w:id="293"/>
      <w:bookmarkEnd w:id="294"/>
    </w:p>
    <w:p w14:paraId="1C3806AC">
      <w:pPr>
        <w:pStyle w:val="190"/>
        <w:rPr>
          <w:color w:val="auto"/>
          <w:highlight w:val="none"/>
        </w:rPr>
      </w:pPr>
      <w:bookmarkStart w:id="299" w:name="_Toc7023"/>
      <w:r>
        <w:rPr>
          <w:rFonts w:hint="eastAsia"/>
          <w:color w:val="auto"/>
          <w:highlight w:val="none"/>
        </w:rPr>
        <w:t>17.1 计量</w:t>
      </w:r>
      <w:bookmarkEnd w:id="295"/>
    </w:p>
    <w:p w14:paraId="4E617173">
      <w:pPr>
        <w:spacing w:line="360" w:lineRule="auto"/>
        <w:ind w:firstLine="480"/>
        <w:rPr>
          <w:color w:val="auto"/>
          <w:highlight w:val="none"/>
        </w:rPr>
      </w:pPr>
      <w:r>
        <w:rPr>
          <w:rFonts w:hint="eastAsia"/>
          <w:color w:val="auto"/>
          <w:highlight w:val="none"/>
        </w:rPr>
        <w:t>17.1.1 计量单位</w:t>
      </w:r>
    </w:p>
    <w:p w14:paraId="63387FC4">
      <w:pPr>
        <w:spacing w:line="360" w:lineRule="auto"/>
        <w:ind w:firstLine="480"/>
        <w:rPr>
          <w:color w:val="auto"/>
          <w:highlight w:val="none"/>
        </w:rPr>
      </w:pPr>
      <w:r>
        <w:rPr>
          <w:rFonts w:hint="eastAsia"/>
          <w:color w:val="auto"/>
          <w:highlight w:val="none"/>
        </w:rPr>
        <w:t>计量采用国家法定的计量单位。</w:t>
      </w:r>
    </w:p>
    <w:p w14:paraId="6E2D708F">
      <w:pPr>
        <w:spacing w:line="360" w:lineRule="auto"/>
        <w:ind w:firstLine="480"/>
        <w:rPr>
          <w:color w:val="auto"/>
          <w:highlight w:val="none"/>
        </w:rPr>
      </w:pPr>
      <w:r>
        <w:rPr>
          <w:rFonts w:hint="eastAsia"/>
          <w:color w:val="auto"/>
          <w:highlight w:val="none"/>
        </w:rPr>
        <w:t>17.1.2 计量方法</w:t>
      </w:r>
    </w:p>
    <w:p w14:paraId="2235D966">
      <w:pPr>
        <w:spacing w:line="360" w:lineRule="auto"/>
        <w:ind w:firstLine="480"/>
        <w:rPr>
          <w:color w:val="auto"/>
          <w:highlight w:val="none"/>
        </w:rPr>
      </w:pPr>
      <w:r>
        <w:rPr>
          <w:rFonts w:hint="eastAsia"/>
          <w:color w:val="auto"/>
          <w:highlight w:val="none"/>
        </w:rPr>
        <w:t>工程量清单中的工程量计算规则应按有关国家标准、行业标准的规定，并在合同中约定执行。</w:t>
      </w:r>
    </w:p>
    <w:p w14:paraId="61D7F9E9">
      <w:pPr>
        <w:spacing w:line="360" w:lineRule="auto"/>
        <w:ind w:firstLine="480"/>
        <w:rPr>
          <w:color w:val="auto"/>
          <w:highlight w:val="none"/>
        </w:rPr>
      </w:pPr>
      <w:r>
        <w:rPr>
          <w:rFonts w:hint="eastAsia"/>
          <w:color w:val="auto"/>
          <w:highlight w:val="none"/>
        </w:rPr>
        <w:t>17.1.3 计量周期</w:t>
      </w:r>
    </w:p>
    <w:p w14:paraId="379B54B6">
      <w:pPr>
        <w:spacing w:line="360" w:lineRule="auto"/>
        <w:ind w:firstLine="480"/>
        <w:rPr>
          <w:color w:val="auto"/>
          <w:highlight w:val="none"/>
        </w:rPr>
      </w:pPr>
      <w:r>
        <w:rPr>
          <w:rFonts w:hint="eastAsia"/>
          <w:color w:val="auto"/>
          <w:highlight w:val="none"/>
        </w:rPr>
        <w:t>除专用合同条款另有约定外，单价子目已完成工程量按月计量，总价子目的计量周期按批准的支付分解报告确定。</w:t>
      </w:r>
    </w:p>
    <w:p w14:paraId="74B0E383">
      <w:pPr>
        <w:spacing w:line="360" w:lineRule="auto"/>
        <w:ind w:firstLine="480"/>
        <w:rPr>
          <w:color w:val="auto"/>
          <w:highlight w:val="none"/>
        </w:rPr>
      </w:pPr>
      <w:r>
        <w:rPr>
          <w:rFonts w:hint="eastAsia"/>
          <w:color w:val="auto"/>
          <w:highlight w:val="none"/>
        </w:rPr>
        <w:t>17.1.4 单价子目的计量</w:t>
      </w:r>
    </w:p>
    <w:p w14:paraId="634DE4EF">
      <w:pPr>
        <w:spacing w:line="360" w:lineRule="auto"/>
        <w:ind w:firstLine="480"/>
        <w:rPr>
          <w:color w:val="auto"/>
          <w:highlight w:val="none"/>
        </w:rPr>
      </w:pPr>
      <w:r>
        <w:rPr>
          <w:rFonts w:hint="eastAsia"/>
          <w:color w:val="auto"/>
          <w:highlight w:val="none"/>
        </w:rPr>
        <w:t>（1）已标价工程量清单中的单价子目工程量为估算工程量。结算工程量是承包人实际完成的，并按合同约定的计量方法进行计量的工程量。</w:t>
      </w:r>
    </w:p>
    <w:p w14:paraId="43D45206">
      <w:pPr>
        <w:spacing w:line="360" w:lineRule="auto"/>
        <w:ind w:firstLine="480"/>
        <w:rPr>
          <w:color w:val="auto"/>
          <w:highlight w:val="none"/>
        </w:rPr>
      </w:pPr>
      <w:r>
        <w:rPr>
          <w:rFonts w:hint="eastAsia"/>
          <w:color w:val="auto"/>
          <w:highlight w:val="none"/>
        </w:rPr>
        <w:t>（2）承包人对已完成的工程进行计量，向监理人提交进度付款申请单、已完成工程量报表和有关计量资料。</w:t>
      </w:r>
    </w:p>
    <w:p w14:paraId="4AA9B203">
      <w:pPr>
        <w:spacing w:line="360" w:lineRule="auto"/>
        <w:ind w:firstLine="480"/>
        <w:rPr>
          <w:color w:val="auto"/>
          <w:highlight w:val="none"/>
        </w:rPr>
      </w:pPr>
      <w:r>
        <w:rPr>
          <w:rFonts w:hint="eastAsia"/>
          <w:color w:val="auto"/>
          <w:highlight w:val="none"/>
        </w:rPr>
        <w:t>（3）监理人对承包人提交的工程量报表进行复核，以确定实际完成的工程量。对数量有异议的，可要求承包人按第8.2款约定进行共同复核和抽样复测。承包人应协助监理人进行复核并按监理人要求提供补充计量资料。承包人未按监理人要求参加复核，监理人复核或修正的工程量视为承包人实际完成的工程量。</w:t>
      </w:r>
    </w:p>
    <w:p w14:paraId="6A4EBD45">
      <w:pPr>
        <w:spacing w:line="360" w:lineRule="auto"/>
        <w:ind w:firstLine="480"/>
        <w:rPr>
          <w:color w:val="auto"/>
          <w:highlight w:val="none"/>
        </w:rPr>
      </w:pPr>
      <w:r>
        <w:rPr>
          <w:rFonts w:hint="eastAsia"/>
          <w:color w:val="auto"/>
          <w:highlight w:val="none"/>
        </w:rPr>
        <w:t>（4）监理人认为有必要时，可通知承包人共同进行联合测量、计量，承包人应遵照执行。</w:t>
      </w:r>
    </w:p>
    <w:p w14:paraId="3449967A">
      <w:pPr>
        <w:spacing w:line="360" w:lineRule="auto"/>
        <w:ind w:firstLine="480"/>
        <w:rPr>
          <w:color w:val="auto"/>
          <w:highlight w:val="none"/>
        </w:rPr>
      </w:pPr>
      <w:r>
        <w:rPr>
          <w:rFonts w:hint="eastAsia"/>
          <w:color w:val="auto"/>
          <w:highlight w:val="none"/>
        </w:rPr>
        <w:t>（5）承包人完成工程量清单中每个子目的工程量后，监理人应要求承包人派员共同对每个子目的历次计量报表进行汇总，以核实最终结算工程量。监理人可要求承包人提供补充计量资料，以确定最后一次进度付款的准确工程量。承包人未按监理人要求派员参加的，监理人最终核实的工程量视为承包人完成该子目的准确工程量。</w:t>
      </w:r>
    </w:p>
    <w:p w14:paraId="7DFAE779">
      <w:pPr>
        <w:spacing w:line="360" w:lineRule="auto"/>
        <w:ind w:firstLine="480"/>
        <w:rPr>
          <w:color w:val="auto"/>
          <w:highlight w:val="none"/>
        </w:rPr>
      </w:pPr>
      <w:r>
        <w:rPr>
          <w:rFonts w:hint="eastAsia"/>
          <w:color w:val="auto"/>
          <w:highlight w:val="none"/>
        </w:rPr>
        <w:t>（6）监理人应在收到承包人提交的工程量报表后的7天内进行复核，监理人未在约定时间内复核的，承包人提交的工程量报表中的工程量视为承包人实际完成的工程量，据此计算工程价款。</w:t>
      </w:r>
    </w:p>
    <w:p w14:paraId="5FD8E780">
      <w:pPr>
        <w:spacing w:line="360" w:lineRule="auto"/>
        <w:ind w:firstLine="480"/>
        <w:rPr>
          <w:color w:val="auto"/>
          <w:highlight w:val="none"/>
        </w:rPr>
      </w:pPr>
      <w:r>
        <w:rPr>
          <w:rFonts w:hint="eastAsia"/>
          <w:color w:val="auto"/>
          <w:highlight w:val="none"/>
        </w:rPr>
        <w:t>17.1.5 总价子目的计量</w:t>
      </w:r>
    </w:p>
    <w:p w14:paraId="7A8DC22E">
      <w:pPr>
        <w:spacing w:line="360" w:lineRule="auto"/>
        <w:ind w:firstLine="480"/>
        <w:rPr>
          <w:color w:val="auto"/>
          <w:highlight w:val="none"/>
        </w:rPr>
      </w:pPr>
      <w:r>
        <w:rPr>
          <w:rFonts w:hint="eastAsia"/>
          <w:color w:val="auto"/>
          <w:highlight w:val="none"/>
        </w:rPr>
        <w:t>除专用合同条款另有约定外，总价子目的分解和计量按照下述约定进行。</w:t>
      </w:r>
    </w:p>
    <w:p w14:paraId="59FD7347">
      <w:pPr>
        <w:spacing w:line="360" w:lineRule="auto"/>
        <w:ind w:firstLine="480"/>
        <w:rPr>
          <w:color w:val="auto"/>
          <w:highlight w:val="none"/>
        </w:rPr>
      </w:pPr>
      <w:r>
        <w:rPr>
          <w:rFonts w:hint="eastAsia"/>
          <w:color w:val="auto"/>
          <w:highlight w:val="none"/>
        </w:rPr>
        <w:t>（1）总价子目的计量和支付应以总价为基础，不因第16.1款中的因素而进行调整。承包人实际完成的工程量，是进行工程目标管理和控制进度支付的依据。</w:t>
      </w:r>
    </w:p>
    <w:p w14:paraId="40470B40">
      <w:pPr>
        <w:spacing w:line="360" w:lineRule="auto"/>
        <w:ind w:firstLine="480"/>
        <w:rPr>
          <w:color w:val="auto"/>
          <w:highlight w:val="none"/>
        </w:rPr>
      </w:pPr>
      <w:r>
        <w:rPr>
          <w:rFonts w:hint="eastAsia"/>
          <w:color w:val="auto"/>
          <w:highlight w:val="none"/>
        </w:rPr>
        <w:t>（2）承包人在合同约定的每个计量周期内，对已完成的工程进行计量，并向监理人提交进度付款申请单、专用合同条款约定的合同总价支付分解表所表示的阶段性或分项计量的支持性资料，以及所达到工程形象目标或分阶段需完成的工程量和有关计量资料。</w:t>
      </w:r>
    </w:p>
    <w:p w14:paraId="423B5688">
      <w:pPr>
        <w:spacing w:line="360" w:lineRule="auto"/>
        <w:ind w:firstLine="480"/>
        <w:rPr>
          <w:color w:val="auto"/>
          <w:highlight w:val="none"/>
        </w:rPr>
      </w:pPr>
      <w:r>
        <w:rPr>
          <w:rFonts w:hint="eastAsia"/>
          <w:color w:val="auto"/>
          <w:highlight w:val="none"/>
        </w:rPr>
        <w:t>（3）监理人对承包人提交的上述资料进行复核，以确定分阶段实际完成的工程量和工程形象目标。对其有异议的，可要求承包人按第8.2款约定进行共同复核和抽样复测。</w:t>
      </w:r>
    </w:p>
    <w:p w14:paraId="3BBA0AA5">
      <w:pPr>
        <w:spacing w:line="360" w:lineRule="auto"/>
        <w:ind w:firstLine="480"/>
        <w:rPr>
          <w:color w:val="auto"/>
          <w:highlight w:val="none"/>
        </w:rPr>
      </w:pPr>
      <w:r>
        <w:rPr>
          <w:rFonts w:hint="eastAsia"/>
          <w:color w:val="auto"/>
          <w:highlight w:val="none"/>
        </w:rPr>
        <w:t xml:space="preserve">（4）除按照第15条约定的变更外，总价子目的工程量是承包人用于结算的最终工程量。 </w:t>
      </w:r>
    </w:p>
    <w:p w14:paraId="2D20272E">
      <w:pPr>
        <w:pStyle w:val="190"/>
        <w:rPr>
          <w:color w:val="auto"/>
          <w:highlight w:val="none"/>
        </w:rPr>
      </w:pPr>
      <w:bookmarkStart w:id="300" w:name="_Toc13801"/>
      <w:r>
        <w:rPr>
          <w:rFonts w:hint="eastAsia"/>
          <w:color w:val="auto"/>
          <w:highlight w:val="none"/>
        </w:rPr>
        <w:t>17.2 预付款</w:t>
      </w:r>
      <w:bookmarkEnd w:id="296"/>
    </w:p>
    <w:p w14:paraId="1F405C90">
      <w:pPr>
        <w:spacing w:line="360" w:lineRule="auto"/>
        <w:ind w:firstLine="480"/>
        <w:rPr>
          <w:color w:val="auto"/>
          <w:highlight w:val="none"/>
        </w:rPr>
      </w:pPr>
      <w:r>
        <w:rPr>
          <w:rFonts w:hint="eastAsia"/>
          <w:color w:val="auto"/>
          <w:highlight w:val="none"/>
        </w:rPr>
        <w:t>17.2.1 预付款</w:t>
      </w:r>
    </w:p>
    <w:p w14:paraId="567FC972">
      <w:pPr>
        <w:spacing w:line="360" w:lineRule="auto"/>
        <w:ind w:firstLine="480"/>
        <w:rPr>
          <w:color w:val="auto"/>
          <w:highlight w:val="none"/>
        </w:rPr>
      </w:pPr>
      <w:r>
        <w:rPr>
          <w:rFonts w:hint="eastAsia"/>
          <w:color w:val="auto"/>
          <w:highlight w:val="none"/>
        </w:rPr>
        <w:t>预付款用于承包人为合同工程施工购置材料、工程设备、施工设备、修建临时设施以及组织施工队伍进场等。预付款的额度和预付办法在专用合同条款中约定。预付款必须专用于合同工程。</w:t>
      </w:r>
    </w:p>
    <w:p w14:paraId="508E5A2B">
      <w:pPr>
        <w:spacing w:line="360" w:lineRule="auto"/>
        <w:ind w:firstLine="480"/>
        <w:rPr>
          <w:color w:val="auto"/>
          <w:highlight w:val="none"/>
        </w:rPr>
      </w:pPr>
      <w:r>
        <w:rPr>
          <w:rFonts w:hint="eastAsia"/>
          <w:color w:val="auto"/>
          <w:highlight w:val="none"/>
        </w:rPr>
        <w:t>17.2.2 预付款保函</w:t>
      </w:r>
    </w:p>
    <w:p w14:paraId="05178F49">
      <w:pPr>
        <w:spacing w:line="360" w:lineRule="auto"/>
        <w:ind w:firstLine="480"/>
        <w:rPr>
          <w:color w:val="auto"/>
          <w:highlight w:val="none"/>
        </w:rPr>
      </w:pPr>
      <w:r>
        <w:rPr>
          <w:rFonts w:hint="eastAsia"/>
          <w:color w:val="auto"/>
          <w:highlight w:val="none"/>
        </w:rPr>
        <w:t>除专用合同条款另有约定外，承包人应在收到预付款的同时向发包人提交预付款保函，预付款保函的担保金额应与预付款金额相同。保函的担保金额可根据预付款扣回的金额相应递减。</w:t>
      </w:r>
    </w:p>
    <w:p w14:paraId="76DBB22E">
      <w:pPr>
        <w:spacing w:line="360" w:lineRule="auto"/>
        <w:ind w:firstLine="480"/>
        <w:rPr>
          <w:color w:val="auto"/>
          <w:highlight w:val="none"/>
        </w:rPr>
      </w:pPr>
      <w:r>
        <w:rPr>
          <w:rFonts w:hint="eastAsia"/>
          <w:color w:val="auto"/>
          <w:highlight w:val="none"/>
        </w:rPr>
        <w:t>17.2.3 预付款的扣回与还清</w:t>
      </w:r>
    </w:p>
    <w:p w14:paraId="6BAEFA45">
      <w:pPr>
        <w:spacing w:line="360" w:lineRule="auto"/>
        <w:ind w:firstLine="480"/>
        <w:rPr>
          <w:color w:val="auto"/>
          <w:highlight w:val="none"/>
        </w:rPr>
      </w:pPr>
      <w:r>
        <w:rPr>
          <w:rFonts w:hint="eastAsia"/>
          <w:color w:val="auto"/>
          <w:highlight w:val="none"/>
        </w:rPr>
        <w:t>预付款在进度付款中扣回，扣回办法在专用合同条款中约定。在颁发工程接收证书前，由于不可抗力或其他原因解除合同时，预付款尚未扣清的，尚未扣清的预付款余额应作为承包人的到期应付款。</w:t>
      </w:r>
    </w:p>
    <w:p w14:paraId="6DDBACE0">
      <w:pPr>
        <w:pStyle w:val="190"/>
        <w:rPr>
          <w:color w:val="auto"/>
          <w:highlight w:val="none"/>
        </w:rPr>
      </w:pPr>
      <w:bookmarkStart w:id="301" w:name="_Toc31468"/>
      <w:r>
        <w:rPr>
          <w:rFonts w:hint="eastAsia"/>
          <w:color w:val="auto"/>
          <w:highlight w:val="none"/>
        </w:rPr>
        <w:t>17.3 工程进度付款</w:t>
      </w:r>
      <w:bookmarkEnd w:id="297"/>
    </w:p>
    <w:p w14:paraId="41481B62">
      <w:pPr>
        <w:spacing w:line="360" w:lineRule="auto"/>
        <w:ind w:firstLine="480"/>
        <w:rPr>
          <w:color w:val="auto"/>
          <w:highlight w:val="none"/>
        </w:rPr>
      </w:pPr>
      <w:r>
        <w:rPr>
          <w:rFonts w:hint="eastAsia"/>
          <w:color w:val="auto"/>
          <w:highlight w:val="none"/>
        </w:rPr>
        <w:t>17.3.1 付款周期</w:t>
      </w:r>
    </w:p>
    <w:p w14:paraId="25504F11">
      <w:pPr>
        <w:spacing w:line="360" w:lineRule="auto"/>
        <w:ind w:firstLine="480"/>
        <w:rPr>
          <w:color w:val="auto"/>
          <w:highlight w:val="none"/>
        </w:rPr>
      </w:pPr>
      <w:r>
        <w:rPr>
          <w:rFonts w:hint="eastAsia"/>
          <w:color w:val="auto"/>
          <w:highlight w:val="none"/>
        </w:rPr>
        <w:t>付款周期同计量周期。</w:t>
      </w:r>
    </w:p>
    <w:p w14:paraId="12E65312">
      <w:pPr>
        <w:spacing w:line="360" w:lineRule="auto"/>
        <w:ind w:firstLine="480"/>
        <w:rPr>
          <w:color w:val="auto"/>
          <w:highlight w:val="none"/>
        </w:rPr>
      </w:pPr>
      <w:r>
        <w:rPr>
          <w:rFonts w:hint="eastAsia"/>
          <w:color w:val="auto"/>
          <w:highlight w:val="none"/>
        </w:rPr>
        <w:t>17.3.2 进度付款申请单</w:t>
      </w:r>
    </w:p>
    <w:p w14:paraId="4C798281">
      <w:pPr>
        <w:spacing w:line="360" w:lineRule="auto"/>
        <w:ind w:firstLine="480"/>
        <w:rPr>
          <w:color w:val="auto"/>
          <w:highlight w:val="none"/>
        </w:rPr>
      </w:pPr>
      <w:r>
        <w:rPr>
          <w:rFonts w:hint="eastAsia"/>
          <w:color w:val="auto"/>
          <w:highlight w:val="none"/>
        </w:rPr>
        <w:t>承包人应在每个付款周期末，按监理人批准的格式和专用合同条款约定的份数，向监理人提交进度付款申请单，并附相应的支持性证明文件。除专用合同条款另有约定外，进度付款申请单应包括下列内容：</w:t>
      </w:r>
    </w:p>
    <w:p w14:paraId="1C24DF55">
      <w:pPr>
        <w:spacing w:line="360" w:lineRule="auto"/>
        <w:ind w:firstLine="480"/>
        <w:rPr>
          <w:color w:val="auto"/>
          <w:highlight w:val="none"/>
        </w:rPr>
      </w:pPr>
      <w:r>
        <w:rPr>
          <w:rFonts w:hint="eastAsia"/>
          <w:color w:val="auto"/>
          <w:highlight w:val="none"/>
        </w:rPr>
        <w:t>（1）截至本次付款周期末已实施工程的价款；</w:t>
      </w:r>
    </w:p>
    <w:p w14:paraId="0FAD2B72">
      <w:pPr>
        <w:spacing w:line="360" w:lineRule="auto"/>
        <w:ind w:firstLine="480"/>
        <w:rPr>
          <w:color w:val="auto"/>
          <w:highlight w:val="none"/>
        </w:rPr>
      </w:pPr>
      <w:r>
        <w:rPr>
          <w:rFonts w:hint="eastAsia"/>
          <w:color w:val="auto"/>
          <w:highlight w:val="none"/>
        </w:rPr>
        <w:t>（2）根据第15条应增加和扣减的变更金额；</w:t>
      </w:r>
    </w:p>
    <w:p w14:paraId="20AB955C">
      <w:pPr>
        <w:spacing w:line="360" w:lineRule="auto"/>
        <w:ind w:firstLine="480"/>
        <w:rPr>
          <w:color w:val="auto"/>
          <w:highlight w:val="none"/>
        </w:rPr>
      </w:pPr>
      <w:r>
        <w:rPr>
          <w:rFonts w:hint="eastAsia"/>
          <w:color w:val="auto"/>
          <w:highlight w:val="none"/>
        </w:rPr>
        <w:t>（3）根据第23条应增加和扣减的索赔金额；</w:t>
      </w:r>
    </w:p>
    <w:p w14:paraId="0E525514">
      <w:pPr>
        <w:spacing w:line="360" w:lineRule="auto"/>
        <w:ind w:firstLine="480"/>
        <w:rPr>
          <w:color w:val="auto"/>
          <w:highlight w:val="none"/>
        </w:rPr>
      </w:pPr>
      <w:r>
        <w:rPr>
          <w:rFonts w:hint="eastAsia"/>
          <w:color w:val="auto"/>
          <w:highlight w:val="none"/>
        </w:rPr>
        <w:t>（4）根据第17.2款约定应支付的预付款和扣减的返还预付款；</w:t>
      </w:r>
    </w:p>
    <w:p w14:paraId="02AE50BC">
      <w:pPr>
        <w:spacing w:line="360" w:lineRule="auto"/>
        <w:ind w:firstLine="480"/>
        <w:rPr>
          <w:color w:val="auto"/>
          <w:highlight w:val="none"/>
        </w:rPr>
      </w:pPr>
      <w:r>
        <w:rPr>
          <w:rFonts w:hint="eastAsia"/>
          <w:color w:val="auto"/>
          <w:highlight w:val="none"/>
        </w:rPr>
        <w:t>（5）根据第17.4.1项约定应扣减的质量保证金；</w:t>
      </w:r>
    </w:p>
    <w:p w14:paraId="4909930F">
      <w:pPr>
        <w:spacing w:line="360" w:lineRule="auto"/>
        <w:ind w:firstLine="480"/>
        <w:rPr>
          <w:color w:val="auto"/>
          <w:highlight w:val="none"/>
        </w:rPr>
      </w:pPr>
      <w:r>
        <w:rPr>
          <w:rFonts w:hint="eastAsia"/>
          <w:color w:val="auto"/>
          <w:highlight w:val="none"/>
        </w:rPr>
        <w:t>（6）根据合同应增加和扣减的其他金额。</w:t>
      </w:r>
    </w:p>
    <w:p w14:paraId="56BE7033">
      <w:pPr>
        <w:spacing w:line="360" w:lineRule="auto"/>
        <w:ind w:firstLine="480"/>
        <w:rPr>
          <w:color w:val="auto"/>
          <w:highlight w:val="none"/>
        </w:rPr>
      </w:pPr>
      <w:r>
        <w:rPr>
          <w:rFonts w:hint="eastAsia"/>
          <w:color w:val="auto"/>
          <w:highlight w:val="none"/>
        </w:rPr>
        <w:t>17.3.3 进度付款证书和支付时间</w:t>
      </w:r>
    </w:p>
    <w:p w14:paraId="21238759">
      <w:pPr>
        <w:spacing w:line="360" w:lineRule="auto"/>
        <w:ind w:firstLine="480"/>
        <w:rPr>
          <w:color w:val="auto"/>
          <w:highlight w:val="none"/>
        </w:rPr>
      </w:pPr>
      <w:r>
        <w:rPr>
          <w:rFonts w:hint="eastAsia"/>
          <w:color w:val="auto"/>
          <w:highlight w:val="none"/>
        </w:rPr>
        <w:t>（1）监理人在收到承包人进度付款申请单以及相应的支持性证明文件后的14天内完成核查，提出发包人到期应支付给承包人的金额以及相应的支持性材料，经发包人审查同意后，由监理人向承包人出具经发包人签认的进度付款证书。监理人有权扣发承包人未能按照合同要求履行任何工作或义务的相应金额。</w:t>
      </w:r>
    </w:p>
    <w:p w14:paraId="175B57EA">
      <w:pPr>
        <w:spacing w:line="360" w:lineRule="auto"/>
        <w:ind w:firstLine="480"/>
        <w:rPr>
          <w:color w:val="auto"/>
          <w:highlight w:val="none"/>
        </w:rPr>
      </w:pPr>
      <w:r>
        <w:rPr>
          <w:rFonts w:hint="eastAsia"/>
          <w:color w:val="auto"/>
          <w:highlight w:val="none"/>
        </w:rPr>
        <w:t>（2）发包人应在监理人收到进度付款申请单后的28天内，将进度应付款支付给承包人。发包人不按期支付的，按专用合同条款的约定支付逾期付款违约金。</w:t>
      </w:r>
    </w:p>
    <w:p w14:paraId="13B20CAB">
      <w:pPr>
        <w:spacing w:line="360" w:lineRule="auto"/>
        <w:ind w:firstLine="480"/>
        <w:rPr>
          <w:color w:val="auto"/>
          <w:highlight w:val="none"/>
        </w:rPr>
      </w:pPr>
      <w:r>
        <w:rPr>
          <w:rFonts w:hint="eastAsia"/>
          <w:color w:val="auto"/>
          <w:highlight w:val="none"/>
        </w:rPr>
        <w:t>（3）监理人出具进度付款证书，不应视为监理人已同意、批准或接受了承包人完成的该部分工作。</w:t>
      </w:r>
    </w:p>
    <w:p w14:paraId="5F987E9E">
      <w:pPr>
        <w:spacing w:line="360" w:lineRule="auto"/>
        <w:ind w:firstLine="480"/>
        <w:rPr>
          <w:color w:val="auto"/>
          <w:highlight w:val="none"/>
        </w:rPr>
      </w:pPr>
      <w:r>
        <w:rPr>
          <w:rFonts w:hint="eastAsia"/>
          <w:color w:val="auto"/>
          <w:highlight w:val="none"/>
        </w:rPr>
        <w:t>（4）进度付款涉及政府投资资金的，按照国库集中支付等国家相关规定和专用合同条款的约定办理。</w:t>
      </w:r>
    </w:p>
    <w:p w14:paraId="64D6FA77">
      <w:pPr>
        <w:spacing w:line="360" w:lineRule="auto"/>
        <w:ind w:firstLine="480"/>
        <w:rPr>
          <w:color w:val="auto"/>
          <w:highlight w:val="none"/>
        </w:rPr>
      </w:pPr>
      <w:r>
        <w:rPr>
          <w:rFonts w:hint="eastAsia"/>
          <w:color w:val="auto"/>
          <w:highlight w:val="none"/>
        </w:rPr>
        <w:t>17.3.4 工程进度付款的修正</w:t>
      </w:r>
    </w:p>
    <w:p w14:paraId="60BC93CC">
      <w:pPr>
        <w:spacing w:line="360" w:lineRule="auto"/>
        <w:ind w:firstLine="480"/>
        <w:rPr>
          <w:color w:val="auto"/>
          <w:highlight w:val="none"/>
        </w:rPr>
      </w:pPr>
      <w:r>
        <w:rPr>
          <w:rFonts w:hint="eastAsia"/>
          <w:color w:val="auto"/>
          <w:highlight w:val="none"/>
        </w:rPr>
        <w:t>在对以往历次已签发的进度付款证书进行汇总和复核中发现错、漏或重复的，监理人有权予以修正，承包人也有权提出修正申请。经双方复核同意的修正，应在本次进度付款中支付或扣除。</w:t>
      </w:r>
    </w:p>
    <w:p w14:paraId="4078C296">
      <w:pPr>
        <w:pStyle w:val="190"/>
        <w:rPr>
          <w:color w:val="auto"/>
          <w:highlight w:val="none"/>
        </w:rPr>
      </w:pPr>
      <w:bookmarkStart w:id="302" w:name="_Toc32700"/>
      <w:r>
        <w:rPr>
          <w:rFonts w:hint="eastAsia"/>
          <w:color w:val="auto"/>
          <w:highlight w:val="none"/>
        </w:rPr>
        <w:t>17.4 质量保证金</w:t>
      </w:r>
      <w:bookmarkEnd w:id="298"/>
    </w:p>
    <w:p w14:paraId="10D36329">
      <w:pPr>
        <w:spacing w:line="360" w:lineRule="auto"/>
        <w:ind w:firstLine="480"/>
        <w:rPr>
          <w:color w:val="auto"/>
          <w:highlight w:val="none"/>
        </w:rPr>
      </w:pPr>
      <w:r>
        <w:rPr>
          <w:rFonts w:hint="eastAsia"/>
          <w:color w:val="auto"/>
          <w:highlight w:val="none"/>
        </w:rPr>
        <w:t>17.4.1 监理人应从第一个付款周期开始，在发包人的进度付款中，按专用合同条款的约定扣留质量保证金，直至扣留的质量保证金总额达到专用合同条款约定的金额或比例为止。质量保证金的计算额度不包括预付款的支付、扣回以及价格调整的金额。</w:t>
      </w:r>
    </w:p>
    <w:p w14:paraId="15B3E2CD">
      <w:pPr>
        <w:spacing w:line="360" w:lineRule="auto"/>
        <w:ind w:firstLine="480"/>
        <w:rPr>
          <w:color w:val="auto"/>
          <w:highlight w:val="none"/>
        </w:rPr>
      </w:pPr>
      <w:r>
        <w:rPr>
          <w:rFonts w:hint="eastAsia"/>
          <w:color w:val="auto"/>
          <w:highlight w:val="none"/>
        </w:rPr>
        <w:t>17.4.2 在第1.1.4.5目约定的缺陷责任期满时，承包人向发包人申请到期应返还承包人剩余的质量保证金金额，发包人应在14天内会同承包人按照合同约定的内容核实承包人是否完成缺陷责任。如无异议，发包人应当在核实后将剩余保证金返还承包人。</w:t>
      </w:r>
    </w:p>
    <w:p w14:paraId="36582029">
      <w:pPr>
        <w:spacing w:line="360" w:lineRule="auto"/>
        <w:ind w:firstLine="480"/>
        <w:rPr>
          <w:color w:val="auto"/>
          <w:highlight w:val="none"/>
        </w:rPr>
      </w:pPr>
      <w:r>
        <w:rPr>
          <w:rFonts w:hint="eastAsia"/>
          <w:color w:val="auto"/>
          <w:highlight w:val="none"/>
        </w:rPr>
        <w:t xml:space="preserve">17.4.3 在第1.1.4.5目约定的缺陷责任期满时，承包人没有完成缺陷责任的，发包人有权扣留与未履行责任剩余工作所需金额相应的质量保证金余额，并有权根据第19.3款约定要求延长缺陷责任期，直至完成剩余工作为止。 </w:t>
      </w:r>
    </w:p>
    <w:p w14:paraId="2BF94B85">
      <w:pPr>
        <w:pStyle w:val="190"/>
        <w:rPr>
          <w:color w:val="auto"/>
          <w:highlight w:val="none"/>
        </w:rPr>
      </w:pPr>
      <w:bookmarkStart w:id="303" w:name="_Toc564"/>
      <w:r>
        <w:rPr>
          <w:rFonts w:hint="eastAsia"/>
          <w:color w:val="auto"/>
          <w:highlight w:val="none"/>
        </w:rPr>
        <w:t>17.5 竣工结算</w:t>
      </w:r>
      <w:bookmarkEnd w:id="299"/>
    </w:p>
    <w:p w14:paraId="6C0C08DE">
      <w:pPr>
        <w:spacing w:line="360" w:lineRule="auto"/>
        <w:ind w:firstLine="480"/>
        <w:rPr>
          <w:color w:val="auto"/>
          <w:highlight w:val="none"/>
        </w:rPr>
      </w:pPr>
      <w:r>
        <w:rPr>
          <w:rFonts w:hint="eastAsia"/>
          <w:color w:val="auto"/>
          <w:highlight w:val="none"/>
        </w:rPr>
        <w:t>17.5.1 竣工付款申请单</w:t>
      </w:r>
    </w:p>
    <w:p w14:paraId="390DE0BD">
      <w:pPr>
        <w:spacing w:line="360" w:lineRule="auto"/>
        <w:ind w:firstLine="480"/>
        <w:rPr>
          <w:color w:val="auto"/>
          <w:highlight w:val="none"/>
        </w:rPr>
      </w:pPr>
      <w:r>
        <w:rPr>
          <w:rFonts w:hint="eastAsia"/>
          <w:color w:val="auto"/>
          <w:highlight w:val="none"/>
        </w:rPr>
        <w:t>（1）工程接收证书颁发后，承包人应按专用合同条款约定的份数和期限向监理人提交竣工付款申请单，并提供相关证明材料。除专用合同条款另有约定外，竣工付款申请单应包括下列内容：竣工结算合同总价、发包人已支付承包人的工程价款、应扣留的质量保证金、应支付的竣工付款金额。</w:t>
      </w:r>
    </w:p>
    <w:p w14:paraId="771281AE">
      <w:pPr>
        <w:spacing w:line="360" w:lineRule="auto"/>
        <w:ind w:firstLine="480"/>
        <w:rPr>
          <w:color w:val="auto"/>
          <w:highlight w:val="none"/>
        </w:rPr>
      </w:pPr>
      <w:r>
        <w:rPr>
          <w:rFonts w:hint="eastAsia"/>
          <w:color w:val="auto"/>
          <w:highlight w:val="none"/>
        </w:rPr>
        <w:t>（2）监理人对竣工付款申请单有异议的，有权要求承包人进行修正和提供补充资料。经监理人和承包人协商后，由承包人向监理人提交修正后的竣工付款申请单。</w:t>
      </w:r>
    </w:p>
    <w:p w14:paraId="34B87F54">
      <w:pPr>
        <w:spacing w:line="360" w:lineRule="auto"/>
        <w:ind w:firstLine="480"/>
        <w:rPr>
          <w:color w:val="auto"/>
          <w:highlight w:val="none"/>
        </w:rPr>
      </w:pPr>
      <w:r>
        <w:rPr>
          <w:rFonts w:hint="eastAsia"/>
          <w:color w:val="auto"/>
          <w:highlight w:val="none"/>
        </w:rPr>
        <w:t>17.5.2 竣工付款证书及支付时间</w:t>
      </w:r>
    </w:p>
    <w:p w14:paraId="0CD1B044">
      <w:pPr>
        <w:spacing w:line="360" w:lineRule="auto"/>
        <w:ind w:firstLine="480"/>
        <w:rPr>
          <w:color w:val="auto"/>
          <w:highlight w:val="none"/>
        </w:rPr>
      </w:pPr>
      <w:r>
        <w:rPr>
          <w:rFonts w:hint="eastAsia"/>
          <w:color w:val="auto"/>
          <w:highlight w:val="none"/>
        </w:rPr>
        <w:t>（1）监理人在收到承包人提交的竣工付款申请单后的14天内完成核查，提出发包人到期应支付给承包人的价款送发包人审核并抄送承包人。发包人应在收到后14天内审核完毕，由监理人向承包人出具经发包人签认的竣工付款证书。监理人未在约定时间内核查，又未提出具体意见的，视为承包人提交的竣工付款申请单已经监理人核查同意；发包人未在约定时间内审核又未提出具体意见的，监理人提出发包人到期应支付给承包人的价款视为已经发包人同意。</w:t>
      </w:r>
    </w:p>
    <w:p w14:paraId="03911CDE">
      <w:pPr>
        <w:spacing w:line="360" w:lineRule="auto"/>
        <w:ind w:firstLine="480"/>
        <w:rPr>
          <w:color w:val="auto"/>
          <w:highlight w:val="none"/>
        </w:rPr>
      </w:pPr>
      <w:r>
        <w:rPr>
          <w:rFonts w:hint="eastAsia"/>
          <w:color w:val="auto"/>
          <w:highlight w:val="none"/>
        </w:rPr>
        <w:t>（2）发包人应在监理人出具竣工付款证书后的14天内，将应支付款支付给承包人。发包人不按期支付的，按第17.3.3（2）目的约定，将逾期付款违约金支付给承包人。</w:t>
      </w:r>
    </w:p>
    <w:p w14:paraId="70CB292A">
      <w:pPr>
        <w:spacing w:line="360" w:lineRule="auto"/>
        <w:ind w:firstLine="480"/>
        <w:rPr>
          <w:color w:val="auto"/>
          <w:highlight w:val="none"/>
        </w:rPr>
      </w:pPr>
      <w:r>
        <w:rPr>
          <w:rFonts w:hint="eastAsia"/>
          <w:color w:val="auto"/>
          <w:highlight w:val="none"/>
        </w:rPr>
        <w:t>（3）承包人对发包人签认的竣工付款证书有异议的，发包人可出具竣工付款申请单中承包人已同意部分的临时付款证书。存在争议的部分，按第24条的约定办理。</w:t>
      </w:r>
    </w:p>
    <w:p w14:paraId="79B6BCC6">
      <w:pPr>
        <w:spacing w:line="360" w:lineRule="auto"/>
        <w:ind w:firstLine="480"/>
        <w:rPr>
          <w:color w:val="auto"/>
          <w:highlight w:val="none"/>
        </w:rPr>
      </w:pPr>
      <w:r>
        <w:rPr>
          <w:rFonts w:hint="eastAsia"/>
          <w:color w:val="auto"/>
          <w:highlight w:val="none"/>
        </w:rPr>
        <w:t>（4）竣工付款涉及政府投资资金的，按第17.3.3</w:t>
      </w:r>
      <w:r>
        <w:rPr>
          <w:color w:val="auto"/>
          <w:highlight w:val="none"/>
        </w:rPr>
        <w:t>（4）</w:t>
      </w:r>
      <w:r>
        <w:rPr>
          <w:rFonts w:hint="eastAsia"/>
          <w:color w:val="auto"/>
          <w:highlight w:val="none"/>
        </w:rPr>
        <w:t>目的约定办理。</w:t>
      </w:r>
    </w:p>
    <w:p w14:paraId="25FCD5BD">
      <w:pPr>
        <w:pStyle w:val="190"/>
        <w:rPr>
          <w:color w:val="auto"/>
          <w:highlight w:val="none"/>
        </w:rPr>
      </w:pPr>
      <w:bookmarkStart w:id="304" w:name="_Toc25285"/>
      <w:r>
        <w:rPr>
          <w:rFonts w:hint="eastAsia"/>
          <w:color w:val="auto"/>
          <w:highlight w:val="none"/>
        </w:rPr>
        <w:t>17.6 最终结清</w:t>
      </w:r>
      <w:bookmarkEnd w:id="300"/>
    </w:p>
    <w:p w14:paraId="679D00D9">
      <w:pPr>
        <w:spacing w:line="360" w:lineRule="auto"/>
        <w:ind w:firstLine="480"/>
        <w:rPr>
          <w:color w:val="auto"/>
          <w:highlight w:val="none"/>
        </w:rPr>
      </w:pPr>
      <w:r>
        <w:rPr>
          <w:rFonts w:hint="eastAsia"/>
          <w:color w:val="auto"/>
          <w:highlight w:val="none"/>
        </w:rPr>
        <w:t>17.6.1 最终结清申请单</w:t>
      </w:r>
    </w:p>
    <w:p w14:paraId="4F0B4DC7">
      <w:pPr>
        <w:spacing w:line="360" w:lineRule="auto"/>
        <w:ind w:firstLine="480"/>
        <w:rPr>
          <w:color w:val="auto"/>
          <w:highlight w:val="none"/>
        </w:rPr>
      </w:pPr>
      <w:r>
        <w:rPr>
          <w:rFonts w:hint="eastAsia"/>
          <w:color w:val="auto"/>
          <w:highlight w:val="none"/>
        </w:rPr>
        <w:t>（1）缺陷责任期终止证书签发后，承包人可按专用合同条款约定的份数和期限向监理人提交最终结清申请单，并提供相关证明材料。</w:t>
      </w:r>
    </w:p>
    <w:p w14:paraId="3D3A83C0">
      <w:pPr>
        <w:spacing w:line="360" w:lineRule="auto"/>
        <w:ind w:firstLine="480"/>
        <w:rPr>
          <w:color w:val="auto"/>
          <w:highlight w:val="none"/>
        </w:rPr>
      </w:pPr>
      <w:r>
        <w:rPr>
          <w:rFonts w:hint="eastAsia"/>
          <w:color w:val="auto"/>
          <w:highlight w:val="none"/>
        </w:rPr>
        <w:t>（2）发包人对最终结清申请单内容有异议的，有权要求承包人进行修正和提供补充资料，由承包人向监理人提交修正后的最终结清申请单。</w:t>
      </w:r>
    </w:p>
    <w:p w14:paraId="2DD64B2D">
      <w:pPr>
        <w:spacing w:line="360" w:lineRule="auto"/>
        <w:ind w:firstLine="480"/>
        <w:rPr>
          <w:color w:val="auto"/>
          <w:highlight w:val="none"/>
        </w:rPr>
      </w:pPr>
      <w:r>
        <w:rPr>
          <w:rFonts w:hint="eastAsia"/>
          <w:color w:val="auto"/>
          <w:highlight w:val="none"/>
        </w:rPr>
        <w:t>17.6.2 最终结清证书和支付时间</w:t>
      </w:r>
    </w:p>
    <w:p w14:paraId="1295DAE8">
      <w:pPr>
        <w:spacing w:line="360" w:lineRule="auto"/>
        <w:ind w:firstLine="480"/>
        <w:rPr>
          <w:color w:val="auto"/>
          <w:highlight w:val="none"/>
        </w:rPr>
      </w:pPr>
      <w:r>
        <w:rPr>
          <w:rFonts w:hint="eastAsia"/>
          <w:color w:val="auto"/>
          <w:highlight w:val="none"/>
        </w:rPr>
        <w:t>（1）监理人收到承包人提交的最终结清申请单后的14天内，提出发包人应支付给承包人的价款送发包人审核并抄送承包人。发包人应在收到后14天内审核完毕，由监理人向承包人出具经发包人签认的最终结清证书。监理人未在约定时间内核查，又未提出具体意见的，视为承包人提交的最终结清申请已经监理人核查同意；发包人未在约定时间内审核又未提出具体意见的，监理人提出应支付给承包人的价款视为已经发包人同意。</w:t>
      </w:r>
    </w:p>
    <w:p w14:paraId="6C2E54DD">
      <w:pPr>
        <w:spacing w:line="360" w:lineRule="auto"/>
        <w:ind w:firstLine="480"/>
        <w:rPr>
          <w:color w:val="auto"/>
          <w:highlight w:val="none"/>
        </w:rPr>
      </w:pPr>
      <w:r>
        <w:rPr>
          <w:rFonts w:hint="eastAsia"/>
          <w:color w:val="auto"/>
          <w:highlight w:val="none"/>
        </w:rPr>
        <w:t>（2）发包人应在监理人出具最终结清证书后的14天内，将应支付款支付给承包人。发包人不按期支付的，按第17.3.3（2）目的约定，将逾期付款违约金支付给承包人。</w:t>
      </w:r>
    </w:p>
    <w:p w14:paraId="1AAEE3D8">
      <w:pPr>
        <w:spacing w:line="360" w:lineRule="auto"/>
        <w:ind w:firstLine="480"/>
        <w:rPr>
          <w:color w:val="auto"/>
          <w:highlight w:val="none"/>
        </w:rPr>
      </w:pPr>
      <w:r>
        <w:rPr>
          <w:rFonts w:hint="eastAsia"/>
          <w:color w:val="auto"/>
          <w:highlight w:val="none"/>
        </w:rPr>
        <w:t>（3）承包人对发包人签认的最终结清证书有异议的，按第24条的约定办理。</w:t>
      </w:r>
    </w:p>
    <w:p w14:paraId="6C0EC59B">
      <w:pPr>
        <w:spacing w:line="360" w:lineRule="auto"/>
        <w:ind w:firstLine="480"/>
        <w:rPr>
          <w:color w:val="auto"/>
          <w:highlight w:val="none"/>
        </w:rPr>
      </w:pPr>
      <w:r>
        <w:rPr>
          <w:rFonts w:hint="eastAsia"/>
          <w:color w:val="auto"/>
          <w:highlight w:val="none"/>
        </w:rPr>
        <w:t>（4）最终结清付款涉及政府投资资金的，按第17.3.3</w:t>
      </w:r>
      <w:r>
        <w:rPr>
          <w:color w:val="auto"/>
          <w:highlight w:val="none"/>
        </w:rPr>
        <w:t>（4）</w:t>
      </w:r>
      <w:r>
        <w:rPr>
          <w:rFonts w:hint="eastAsia"/>
          <w:color w:val="auto"/>
          <w:highlight w:val="none"/>
        </w:rPr>
        <w:t>目的约定办理。</w:t>
      </w:r>
    </w:p>
    <w:p w14:paraId="075756EB">
      <w:pPr>
        <w:pStyle w:val="189"/>
        <w:spacing w:before="0" w:after="0" w:line="360" w:lineRule="auto"/>
        <w:rPr>
          <w:color w:val="auto"/>
          <w:highlight w:val="none"/>
        </w:rPr>
      </w:pPr>
      <w:bookmarkStart w:id="305" w:name="_Toc30994"/>
      <w:bookmarkStart w:id="306" w:name="_Toc122424201"/>
      <w:bookmarkStart w:id="307" w:name="_Toc122424450"/>
      <w:r>
        <w:rPr>
          <w:rFonts w:hint="eastAsia"/>
          <w:color w:val="auto"/>
          <w:highlight w:val="none"/>
        </w:rPr>
        <w:t>18. 竣工验收</w:t>
      </w:r>
      <w:bookmarkEnd w:id="301"/>
      <w:bookmarkEnd w:id="302"/>
      <w:bookmarkEnd w:id="303"/>
    </w:p>
    <w:p w14:paraId="39D8A057">
      <w:pPr>
        <w:pStyle w:val="190"/>
        <w:rPr>
          <w:color w:val="auto"/>
          <w:highlight w:val="none"/>
        </w:rPr>
      </w:pPr>
      <w:bookmarkStart w:id="308" w:name="_Toc32352"/>
      <w:r>
        <w:rPr>
          <w:rFonts w:hint="eastAsia"/>
          <w:color w:val="auto"/>
          <w:highlight w:val="none"/>
        </w:rPr>
        <w:t>18.1 竣工验收的含义</w:t>
      </w:r>
      <w:bookmarkEnd w:id="304"/>
    </w:p>
    <w:p w14:paraId="7B202B3D">
      <w:pPr>
        <w:spacing w:line="360" w:lineRule="auto"/>
        <w:ind w:firstLine="480"/>
        <w:rPr>
          <w:color w:val="auto"/>
          <w:highlight w:val="none"/>
        </w:rPr>
      </w:pPr>
      <w:r>
        <w:rPr>
          <w:rFonts w:hint="eastAsia"/>
          <w:color w:val="auto"/>
          <w:highlight w:val="none"/>
        </w:rPr>
        <w:t>18.1.1 竣工验收指承包人完成了全部合同工作后，发包人按合同要求进行的验收。</w:t>
      </w:r>
    </w:p>
    <w:p w14:paraId="4D11F793">
      <w:pPr>
        <w:spacing w:line="360" w:lineRule="auto"/>
        <w:ind w:firstLine="480"/>
        <w:rPr>
          <w:color w:val="auto"/>
          <w:highlight w:val="none"/>
        </w:rPr>
      </w:pPr>
      <w:r>
        <w:rPr>
          <w:rFonts w:hint="eastAsia"/>
          <w:color w:val="auto"/>
          <w:highlight w:val="none"/>
        </w:rPr>
        <w:t>18.1.2 国家验收是政府有关部门根据法律、规范、规程和政策要求，针对发包人全面组织实施的整个工程正式交付投运前的验收。</w:t>
      </w:r>
    </w:p>
    <w:p w14:paraId="3CCE79DF">
      <w:pPr>
        <w:spacing w:line="360" w:lineRule="auto"/>
        <w:ind w:firstLine="480"/>
        <w:rPr>
          <w:color w:val="auto"/>
          <w:highlight w:val="none"/>
        </w:rPr>
      </w:pPr>
      <w:r>
        <w:rPr>
          <w:rFonts w:hint="eastAsia"/>
          <w:color w:val="auto"/>
          <w:highlight w:val="none"/>
        </w:rPr>
        <w:t xml:space="preserve">18.1.3 需要进行国家验收的，竣工验收是国家验收的一部分。竣工验收所采用的各项验收和评定标准应符合国家验收标准。发包人和承包人为竣工验收提供的各项竣工验收资料应符合国家验收的要求。 </w:t>
      </w:r>
    </w:p>
    <w:p w14:paraId="6CE172C3">
      <w:pPr>
        <w:pStyle w:val="190"/>
        <w:rPr>
          <w:color w:val="auto"/>
          <w:highlight w:val="none"/>
        </w:rPr>
      </w:pPr>
      <w:bookmarkStart w:id="309" w:name="_Toc1350"/>
      <w:r>
        <w:rPr>
          <w:rFonts w:hint="eastAsia"/>
          <w:color w:val="auto"/>
          <w:highlight w:val="none"/>
        </w:rPr>
        <w:t>18.2 竣工验收申请报告</w:t>
      </w:r>
      <w:bookmarkEnd w:id="305"/>
    </w:p>
    <w:p w14:paraId="70643F89">
      <w:pPr>
        <w:spacing w:line="360" w:lineRule="auto"/>
        <w:ind w:firstLine="480"/>
        <w:rPr>
          <w:color w:val="auto"/>
          <w:highlight w:val="none"/>
        </w:rPr>
      </w:pPr>
      <w:r>
        <w:rPr>
          <w:rFonts w:hint="eastAsia"/>
          <w:color w:val="auto"/>
          <w:highlight w:val="none"/>
        </w:rPr>
        <w:t>当工程具备以下条件时，承包人即可向监理人报送竣工验收申请报告：</w:t>
      </w:r>
    </w:p>
    <w:p w14:paraId="71C7E544">
      <w:pPr>
        <w:spacing w:line="360" w:lineRule="auto"/>
        <w:ind w:firstLine="480"/>
        <w:rPr>
          <w:color w:val="auto"/>
          <w:highlight w:val="none"/>
        </w:rPr>
      </w:pPr>
      <w:r>
        <w:rPr>
          <w:rFonts w:hint="eastAsia"/>
          <w:color w:val="auto"/>
          <w:highlight w:val="none"/>
        </w:rPr>
        <w:t>（1）除监理人同意列入缺陷责任期内完成的尾工（甩项）工程和缺陷修补工作外，合同范围内的全部单位工程以及有关工作，包括合同要求的试验、试运行以及检验和验收均已完成，并符合合同要求；</w:t>
      </w:r>
    </w:p>
    <w:p w14:paraId="0179FF48">
      <w:pPr>
        <w:spacing w:line="360" w:lineRule="auto"/>
        <w:ind w:firstLine="480"/>
        <w:rPr>
          <w:color w:val="auto"/>
          <w:highlight w:val="none"/>
        </w:rPr>
      </w:pPr>
      <w:r>
        <w:rPr>
          <w:rFonts w:hint="eastAsia"/>
          <w:color w:val="auto"/>
          <w:highlight w:val="none"/>
        </w:rPr>
        <w:t xml:space="preserve">（2）已按合同约定的内容和份数备齐了符合要求的竣工资料； </w:t>
      </w:r>
    </w:p>
    <w:p w14:paraId="5329C1E0">
      <w:pPr>
        <w:spacing w:line="360" w:lineRule="auto"/>
        <w:ind w:firstLine="480"/>
        <w:rPr>
          <w:color w:val="auto"/>
          <w:highlight w:val="none"/>
        </w:rPr>
      </w:pPr>
      <w:r>
        <w:rPr>
          <w:rFonts w:hint="eastAsia"/>
          <w:color w:val="auto"/>
          <w:highlight w:val="none"/>
        </w:rPr>
        <w:t>（3）已按监理人的要求编制了在缺陷责任期内完成的尾工（甩项）工程和缺陷修补工作清单以及相应施工计划；</w:t>
      </w:r>
    </w:p>
    <w:p w14:paraId="2BB2017D">
      <w:pPr>
        <w:spacing w:line="360" w:lineRule="auto"/>
        <w:ind w:firstLine="480"/>
        <w:rPr>
          <w:color w:val="auto"/>
          <w:highlight w:val="none"/>
        </w:rPr>
      </w:pPr>
      <w:r>
        <w:rPr>
          <w:rFonts w:hint="eastAsia"/>
          <w:color w:val="auto"/>
          <w:highlight w:val="none"/>
        </w:rPr>
        <w:t>（4）监理人要求在竣工验收前应完成的其他工作；</w:t>
      </w:r>
    </w:p>
    <w:p w14:paraId="62210D8D">
      <w:pPr>
        <w:spacing w:line="360" w:lineRule="auto"/>
        <w:ind w:firstLine="480"/>
        <w:rPr>
          <w:color w:val="auto"/>
          <w:highlight w:val="none"/>
        </w:rPr>
      </w:pPr>
      <w:r>
        <w:rPr>
          <w:rFonts w:hint="eastAsia"/>
          <w:color w:val="auto"/>
          <w:highlight w:val="none"/>
        </w:rPr>
        <w:t>（5）监理人要求提交的竣工验收资料清单。</w:t>
      </w:r>
    </w:p>
    <w:p w14:paraId="51C31A99">
      <w:pPr>
        <w:pStyle w:val="190"/>
        <w:rPr>
          <w:color w:val="auto"/>
          <w:highlight w:val="none"/>
        </w:rPr>
      </w:pPr>
      <w:bookmarkStart w:id="310" w:name="_Toc7634"/>
      <w:r>
        <w:rPr>
          <w:rFonts w:hint="eastAsia"/>
          <w:color w:val="auto"/>
          <w:highlight w:val="none"/>
        </w:rPr>
        <w:t>18.3 验收</w:t>
      </w:r>
      <w:bookmarkEnd w:id="306"/>
    </w:p>
    <w:p w14:paraId="48DE7847">
      <w:pPr>
        <w:spacing w:line="360" w:lineRule="auto"/>
        <w:ind w:firstLine="480"/>
        <w:rPr>
          <w:color w:val="auto"/>
          <w:highlight w:val="none"/>
        </w:rPr>
      </w:pPr>
      <w:r>
        <w:rPr>
          <w:rFonts w:hint="eastAsia"/>
          <w:color w:val="auto"/>
          <w:highlight w:val="none"/>
        </w:rPr>
        <w:t>监理人收到承包人按第18.2款约定提交的竣工验收申请报告后，应审查申请报告的各项内容，并按以下不同情况进行处理。</w:t>
      </w:r>
    </w:p>
    <w:p w14:paraId="1F1D1D7B">
      <w:pPr>
        <w:spacing w:line="360" w:lineRule="auto"/>
        <w:ind w:firstLine="480"/>
        <w:rPr>
          <w:color w:val="auto"/>
          <w:highlight w:val="none"/>
        </w:rPr>
      </w:pPr>
      <w:r>
        <w:rPr>
          <w:rFonts w:hint="eastAsia"/>
          <w:color w:val="auto"/>
          <w:highlight w:val="none"/>
        </w:rPr>
        <w:t>18.3.1 监理人审查后认为尚不具备竣工验收条件的，应在收到竣工验收申请报告后的28天内通知承包人，指出在颁发接收证书前承包人还需进行的工作内容。承包人完成监理人通知的全部工作内容后，应再次提交竣工验收申请报告，直至监理人同意为止。</w:t>
      </w:r>
    </w:p>
    <w:p w14:paraId="3CFDCE2C">
      <w:pPr>
        <w:spacing w:line="360" w:lineRule="auto"/>
        <w:ind w:firstLine="480"/>
        <w:rPr>
          <w:color w:val="auto"/>
          <w:highlight w:val="none"/>
        </w:rPr>
      </w:pPr>
      <w:r>
        <w:rPr>
          <w:rFonts w:hint="eastAsia"/>
          <w:color w:val="auto"/>
          <w:highlight w:val="none"/>
        </w:rPr>
        <w:t>18.3.2 监理人审查后认为已具备竣工验收条件的，应在收到竣工验收申请报告后的28天内提请发包人进行工程验收。</w:t>
      </w:r>
    </w:p>
    <w:p w14:paraId="3A4669E0">
      <w:pPr>
        <w:spacing w:line="360" w:lineRule="auto"/>
        <w:ind w:firstLine="480"/>
        <w:rPr>
          <w:color w:val="auto"/>
          <w:highlight w:val="none"/>
        </w:rPr>
      </w:pPr>
      <w:r>
        <w:rPr>
          <w:rFonts w:hint="eastAsia"/>
          <w:color w:val="auto"/>
          <w:highlight w:val="none"/>
        </w:rPr>
        <w:t>18.3.3发包人经过验收后同意接受工程的，应在监理人收到竣工验收申请报告后的56天内，由监理人向承包人出具经发包人签认的工程接收证书。发包人验收后同意接收工程但提出整修和完善要求的，限期修好，并缓发工程接收证书。整修和完善工作完成后，监理人复查达到要求的，经发包人同意后，再向承包人出具工程接收证书。</w:t>
      </w:r>
    </w:p>
    <w:p w14:paraId="24B94CD8">
      <w:pPr>
        <w:spacing w:line="360" w:lineRule="auto"/>
        <w:ind w:firstLine="480"/>
        <w:rPr>
          <w:color w:val="auto"/>
          <w:highlight w:val="none"/>
        </w:rPr>
      </w:pPr>
      <w:r>
        <w:rPr>
          <w:rFonts w:hint="eastAsia"/>
          <w:color w:val="auto"/>
          <w:highlight w:val="none"/>
        </w:rPr>
        <w:t>18.3.4 发包人验收后不同意接收工程的，监理人应按照发包人的验收意见发出指示，要求承包人对不合格工程认真返工重作或进行补救处理，并承担由此产生的费用。承包人在完成不合格工程的返工重作或补救工作后，应重新提交竣工验收申请报告，按第18.3.1项、第18.3.2项和第18.3.3项的约定进行。</w:t>
      </w:r>
    </w:p>
    <w:p w14:paraId="126C02F5">
      <w:pPr>
        <w:spacing w:line="360" w:lineRule="auto"/>
        <w:ind w:firstLine="480"/>
        <w:rPr>
          <w:color w:val="auto"/>
          <w:highlight w:val="none"/>
        </w:rPr>
      </w:pPr>
      <w:r>
        <w:rPr>
          <w:rFonts w:hint="eastAsia"/>
          <w:color w:val="auto"/>
          <w:highlight w:val="none"/>
        </w:rPr>
        <w:t>18.3.5 除专用合同条款另有约定外，经验收合格工程的实际竣工日期，以提交竣工验收申请报告的日期为准，并在工程接收证书中写明。</w:t>
      </w:r>
    </w:p>
    <w:p w14:paraId="215AC9F1">
      <w:pPr>
        <w:spacing w:line="360" w:lineRule="auto"/>
        <w:ind w:firstLine="480"/>
        <w:rPr>
          <w:color w:val="auto"/>
          <w:highlight w:val="none"/>
        </w:rPr>
      </w:pPr>
      <w:r>
        <w:rPr>
          <w:rFonts w:hint="eastAsia"/>
          <w:color w:val="auto"/>
          <w:highlight w:val="none"/>
        </w:rPr>
        <w:t>18.3.6 发包人在收到承包人竣工验收申请报告56天后未进行验收的，视为验收合格，实际竣工日期以提交竣工验收申请报告的日期为准，但发包人由于不可抗力不能进行验收的除外。</w:t>
      </w:r>
    </w:p>
    <w:p w14:paraId="7E17B6E3">
      <w:pPr>
        <w:pStyle w:val="190"/>
        <w:rPr>
          <w:color w:val="auto"/>
          <w:highlight w:val="none"/>
        </w:rPr>
      </w:pPr>
      <w:bookmarkStart w:id="311" w:name="_Toc14179"/>
      <w:r>
        <w:rPr>
          <w:rFonts w:hint="eastAsia"/>
          <w:color w:val="auto"/>
          <w:highlight w:val="none"/>
        </w:rPr>
        <w:t>18.4 单位工程验收</w:t>
      </w:r>
      <w:bookmarkEnd w:id="307"/>
    </w:p>
    <w:p w14:paraId="7271B508">
      <w:pPr>
        <w:spacing w:line="360" w:lineRule="auto"/>
        <w:ind w:firstLine="480"/>
        <w:rPr>
          <w:color w:val="auto"/>
          <w:highlight w:val="none"/>
        </w:rPr>
      </w:pPr>
      <w:r>
        <w:rPr>
          <w:rFonts w:hint="eastAsia"/>
          <w:color w:val="auto"/>
          <w:highlight w:val="none"/>
        </w:rPr>
        <w:t>18.4.1 发包人根据合同进度计划安排，在全部工程竣工前需要使用已经竣工的单位工程时，或承包人提出经发包人同意时，可进行单位工程验收。验收的程序可参照第18.2款与第18.3款的约定进行。验收合格后，由监理人向承包人出具经发包人签认的单位工程验收证书。已签发单位工程接收证书的单位工程由发包人负责照管。单位工程的验收成果和结论作为全部工程竣工验收申请报告的附件。</w:t>
      </w:r>
    </w:p>
    <w:p w14:paraId="1DD0613A">
      <w:pPr>
        <w:spacing w:line="360" w:lineRule="auto"/>
        <w:ind w:firstLine="480"/>
        <w:rPr>
          <w:color w:val="auto"/>
          <w:highlight w:val="none"/>
        </w:rPr>
      </w:pPr>
      <w:r>
        <w:rPr>
          <w:rFonts w:hint="eastAsia"/>
          <w:color w:val="auto"/>
          <w:highlight w:val="none"/>
        </w:rPr>
        <w:t>18.4.2 发包人在全部工程竣工前，使用已接收的单位工程导致承包人费用增加的，发包人应承担由此增加的费用和（或）工期延误，并支付承包人合理利润。</w:t>
      </w:r>
    </w:p>
    <w:p w14:paraId="01400C99">
      <w:pPr>
        <w:pStyle w:val="190"/>
        <w:rPr>
          <w:color w:val="auto"/>
          <w:highlight w:val="none"/>
        </w:rPr>
      </w:pPr>
      <w:bookmarkStart w:id="312" w:name="_Toc16446"/>
      <w:r>
        <w:rPr>
          <w:rFonts w:hint="eastAsia"/>
          <w:color w:val="auto"/>
          <w:highlight w:val="none"/>
        </w:rPr>
        <w:t>18.5 施工期运行</w:t>
      </w:r>
      <w:bookmarkEnd w:id="308"/>
    </w:p>
    <w:p w14:paraId="33A5068F">
      <w:pPr>
        <w:spacing w:line="360" w:lineRule="auto"/>
        <w:ind w:firstLine="480"/>
        <w:rPr>
          <w:color w:val="auto"/>
          <w:highlight w:val="none"/>
        </w:rPr>
      </w:pPr>
      <w:r>
        <w:rPr>
          <w:rFonts w:hint="eastAsia"/>
          <w:color w:val="auto"/>
          <w:highlight w:val="none"/>
        </w:rPr>
        <w:t>18.5.1 施工期运行是指合同工程尚未全部竣工，其中某项或某几项单位工程或工程设备安装已竣工，根据专用合同条款约定，需要投入施工期运行的，经发包人按第18.4款的约定验收合格，证明能确保安全后，才能在施工期投入运行。</w:t>
      </w:r>
    </w:p>
    <w:p w14:paraId="24AED81C">
      <w:pPr>
        <w:spacing w:line="360" w:lineRule="auto"/>
        <w:ind w:firstLine="480"/>
        <w:rPr>
          <w:color w:val="auto"/>
          <w:highlight w:val="none"/>
        </w:rPr>
      </w:pPr>
      <w:r>
        <w:rPr>
          <w:rFonts w:hint="eastAsia"/>
          <w:color w:val="auto"/>
          <w:highlight w:val="none"/>
        </w:rPr>
        <w:t>18.5.2 在施工期运行中发现工程或工程设备损坏或存在缺陷的，由承包人按第19.2款约定进行修复。</w:t>
      </w:r>
    </w:p>
    <w:p w14:paraId="0B2DFDBD">
      <w:pPr>
        <w:pStyle w:val="190"/>
        <w:rPr>
          <w:color w:val="auto"/>
          <w:highlight w:val="none"/>
        </w:rPr>
      </w:pPr>
      <w:bookmarkStart w:id="313" w:name="_Toc26484"/>
      <w:r>
        <w:rPr>
          <w:rFonts w:hint="eastAsia"/>
          <w:color w:val="auto"/>
          <w:highlight w:val="none"/>
        </w:rPr>
        <w:t>18.6 试运行</w:t>
      </w:r>
      <w:bookmarkEnd w:id="309"/>
    </w:p>
    <w:p w14:paraId="2FB318C1">
      <w:pPr>
        <w:spacing w:line="360" w:lineRule="auto"/>
        <w:ind w:firstLine="480"/>
        <w:rPr>
          <w:color w:val="auto"/>
          <w:highlight w:val="none"/>
        </w:rPr>
      </w:pPr>
      <w:r>
        <w:rPr>
          <w:rFonts w:hint="eastAsia"/>
          <w:color w:val="auto"/>
          <w:highlight w:val="none"/>
        </w:rPr>
        <w:t>18.6.1 除专用合同条款另有约定外，承包人应按专用合同条款约定进行工程及工程设备试运行，负责提供试运行所需的人员、器材和必要的条件，并承担全部试运行费用。</w:t>
      </w:r>
    </w:p>
    <w:p w14:paraId="10B39C3A">
      <w:pPr>
        <w:spacing w:line="360" w:lineRule="auto"/>
        <w:ind w:firstLine="480"/>
        <w:rPr>
          <w:color w:val="auto"/>
          <w:highlight w:val="none"/>
        </w:rPr>
      </w:pPr>
      <w:r>
        <w:rPr>
          <w:rFonts w:hint="eastAsia"/>
          <w:color w:val="auto"/>
          <w:highlight w:val="none"/>
        </w:rPr>
        <w:t>18.6.2 由于承包人的原因导致试运行失败的，承包人应采取措施保证试运行合格，并承担相应费用。由于发包人的原因导致试运行失败的，承包人应当采取措施保证试运行合格，发包人应承担由此产生的费用，并支付承包人合理利润。</w:t>
      </w:r>
    </w:p>
    <w:p w14:paraId="06065D6F">
      <w:pPr>
        <w:pStyle w:val="190"/>
        <w:rPr>
          <w:color w:val="auto"/>
          <w:highlight w:val="none"/>
        </w:rPr>
      </w:pPr>
      <w:bookmarkStart w:id="314" w:name="_Toc9520"/>
      <w:r>
        <w:rPr>
          <w:rFonts w:hint="eastAsia"/>
          <w:color w:val="auto"/>
          <w:highlight w:val="none"/>
        </w:rPr>
        <w:t>18.7 竣工清场</w:t>
      </w:r>
      <w:bookmarkEnd w:id="310"/>
    </w:p>
    <w:p w14:paraId="35B36B62">
      <w:pPr>
        <w:spacing w:line="360" w:lineRule="auto"/>
        <w:ind w:firstLine="480"/>
        <w:rPr>
          <w:color w:val="auto"/>
          <w:highlight w:val="none"/>
        </w:rPr>
      </w:pPr>
      <w:r>
        <w:rPr>
          <w:rFonts w:hint="eastAsia"/>
          <w:color w:val="auto"/>
          <w:highlight w:val="none"/>
        </w:rPr>
        <w:t>18.7.1 除合同另有约定外，工程接收证书颁发后，承包人应按以下要求对施工场地进行清理，直至监理人检验合格为止。竣工清场费用由承包人承担。</w:t>
      </w:r>
    </w:p>
    <w:p w14:paraId="7693EBE2">
      <w:pPr>
        <w:spacing w:line="360" w:lineRule="auto"/>
        <w:ind w:firstLine="480"/>
        <w:rPr>
          <w:color w:val="auto"/>
          <w:highlight w:val="none"/>
        </w:rPr>
      </w:pPr>
      <w:r>
        <w:rPr>
          <w:rFonts w:hint="eastAsia"/>
          <w:color w:val="auto"/>
          <w:highlight w:val="none"/>
        </w:rPr>
        <w:t>（1）施工场地内残留的垃圾已全部清除出场；</w:t>
      </w:r>
    </w:p>
    <w:p w14:paraId="56F44FD7">
      <w:pPr>
        <w:spacing w:line="360" w:lineRule="auto"/>
        <w:ind w:firstLine="480"/>
        <w:rPr>
          <w:color w:val="auto"/>
          <w:highlight w:val="none"/>
        </w:rPr>
      </w:pPr>
      <w:r>
        <w:rPr>
          <w:rFonts w:hint="eastAsia"/>
          <w:color w:val="auto"/>
          <w:highlight w:val="none"/>
        </w:rPr>
        <w:t>（2）临时工程已拆除，场地已按合同要求进行清理、平整或复原；</w:t>
      </w:r>
    </w:p>
    <w:p w14:paraId="5BFC7AE9">
      <w:pPr>
        <w:spacing w:line="360" w:lineRule="auto"/>
        <w:ind w:firstLine="480"/>
        <w:rPr>
          <w:color w:val="auto"/>
          <w:highlight w:val="none"/>
        </w:rPr>
      </w:pPr>
      <w:r>
        <w:rPr>
          <w:rFonts w:hint="eastAsia"/>
          <w:color w:val="auto"/>
          <w:highlight w:val="none"/>
        </w:rPr>
        <w:t>（3）按合同约定应撤离的承包人设备和剩余的材料，包括废弃的施工设备和材料，已按计划撤离施工场地；</w:t>
      </w:r>
    </w:p>
    <w:p w14:paraId="601C7E2D">
      <w:pPr>
        <w:spacing w:line="360" w:lineRule="auto"/>
        <w:ind w:firstLine="480"/>
        <w:rPr>
          <w:color w:val="auto"/>
          <w:highlight w:val="none"/>
        </w:rPr>
      </w:pPr>
      <w:r>
        <w:rPr>
          <w:rFonts w:hint="eastAsia"/>
          <w:color w:val="auto"/>
          <w:highlight w:val="none"/>
        </w:rPr>
        <w:t>（4）工程建筑物周边及其附近道路、河道的施工堆积物，已按监理人指示全部清理；</w:t>
      </w:r>
    </w:p>
    <w:p w14:paraId="2F5BF924">
      <w:pPr>
        <w:spacing w:line="360" w:lineRule="auto"/>
        <w:ind w:firstLine="480"/>
        <w:rPr>
          <w:color w:val="auto"/>
          <w:highlight w:val="none"/>
        </w:rPr>
      </w:pPr>
      <w:r>
        <w:rPr>
          <w:rFonts w:hint="eastAsia"/>
          <w:color w:val="auto"/>
          <w:highlight w:val="none"/>
        </w:rPr>
        <w:t>（5）监理人指示的其他场地清理工作已全部完成。</w:t>
      </w:r>
    </w:p>
    <w:p w14:paraId="6AA2DE0E">
      <w:pPr>
        <w:spacing w:line="360" w:lineRule="auto"/>
        <w:ind w:firstLine="480"/>
        <w:rPr>
          <w:color w:val="auto"/>
          <w:highlight w:val="none"/>
        </w:rPr>
      </w:pPr>
      <w:r>
        <w:rPr>
          <w:rFonts w:hint="eastAsia"/>
          <w:color w:val="auto"/>
          <w:highlight w:val="none"/>
        </w:rPr>
        <w:t>18.7.2 承包人未按监理人的要求恢复临时占地，或者场地清理未达到合同约定的，发包人有权委托其他人恢复或清理，所发生的金额从拟支付给承包人的款项中扣除。</w:t>
      </w:r>
    </w:p>
    <w:p w14:paraId="280097F7">
      <w:pPr>
        <w:pStyle w:val="190"/>
        <w:rPr>
          <w:color w:val="auto"/>
          <w:highlight w:val="none"/>
        </w:rPr>
      </w:pPr>
      <w:bookmarkStart w:id="315" w:name="_Toc10196"/>
      <w:r>
        <w:rPr>
          <w:rFonts w:hint="eastAsia"/>
          <w:color w:val="auto"/>
          <w:highlight w:val="none"/>
        </w:rPr>
        <w:t>18.8 施工队伍的撤离</w:t>
      </w:r>
      <w:bookmarkEnd w:id="311"/>
    </w:p>
    <w:p w14:paraId="34FDFD97">
      <w:pPr>
        <w:spacing w:line="360" w:lineRule="auto"/>
        <w:ind w:firstLine="480"/>
        <w:rPr>
          <w:color w:val="auto"/>
          <w:highlight w:val="none"/>
        </w:rPr>
      </w:pPr>
      <w:r>
        <w:rPr>
          <w:rFonts w:hint="eastAsia"/>
          <w:color w:val="auto"/>
          <w:highlight w:val="none"/>
        </w:rPr>
        <w:t>工程接收证书颁发后的56天内，除了经监理人同意需在缺陷责任期内继续工作和使用的人员、施工设备和临时工程外，其余的人员、施工设备和临时工程均应撤离施工场地或拆除。除合同另有约定外，缺陷责任期满时，承包人的人员和施工设备应全部撤离施工场地。</w:t>
      </w:r>
    </w:p>
    <w:p w14:paraId="40219729">
      <w:pPr>
        <w:pStyle w:val="189"/>
        <w:spacing w:before="0" w:after="0" w:line="360" w:lineRule="auto"/>
        <w:rPr>
          <w:color w:val="auto"/>
          <w:highlight w:val="none"/>
        </w:rPr>
      </w:pPr>
      <w:bookmarkStart w:id="316" w:name="_Toc122424202"/>
      <w:bookmarkStart w:id="317" w:name="_Toc122424451"/>
      <w:bookmarkStart w:id="318" w:name="_Toc10892"/>
      <w:r>
        <w:rPr>
          <w:rFonts w:hint="eastAsia"/>
          <w:color w:val="auto"/>
          <w:highlight w:val="none"/>
        </w:rPr>
        <w:t>19. 缺陷责任与保修责任</w:t>
      </w:r>
      <w:bookmarkEnd w:id="312"/>
      <w:bookmarkEnd w:id="313"/>
      <w:bookmarkEnd w:id="314"/>
    </w:p>
    <w:p w14:paraId="58F69043">
      <w:pPr>
        <w:pStyle w:val="190"/>
        <w:rPr>
          <w:color w:val="auto"/>
          <w:highlight w:val="none"/>
        </w:rPr>
      </w:pPr>
      <w:bookmarkStart w:id="319" w:name="_Toc2029"/>
      <w:r>
        <w:rPr>
          <w:rFonts w:hint="eastAsia"/>
          <w:color w:val="auto"/>
          <w:highlight w:val="none"/>
        </w:rPr>
        <w:t>19.1 缺陷责任期的起算时间</w:t>
      </w:r>
      <w:bookmarkEnd w:id="315"/>
    </w:p>
    <w:p w14:paraId="3511866C">
      <w:pPr>
        <w:spacing w:line="360" w:lineRule="auto"/>
        <w:ind w:firstLine="480"/>
        <w:rPr>
          <w:color w:val="auto"/>
          <w:highlight w:val="none"/>
        </w:rPr>
      </w:pPr>
      <w:r>
        <w:rPr>
          <w:rFonts w:hint="eastAsia"/>
          <w:color w:val="auto"/>
          <w:highlight w:val="none"/>
        </w:rPr>
        <w:t>缺陷责任期自实际竣工日期起计算。在全部工程竣工验收前，已经发包人提前验收的单位工程，其缺陷责任期的起算日期相应提前。</w:t>
      </w:r>
    </w:p>
    <w:p w14:paraId="09E7D0A0">
      <w:pPr>
        <w:pStyle w:val="190"/>
        <w:rPr>
          <w:color w:val="auto"/>
          <w:highlight w:val="none"/>
        </w:rPr>
      </w:pPr>
      <w:bookmarkStart w:id="320" w:name="_Toc28384"/>
      <w:r>
        <w:rPr>
          <w:rFonts w:hint="eastAsia"/>
          <w:color w:val="auto"/>
          <w:highlight w:val="none"/>
        </w:rPr>
        <w:t>19.2 缺陷责任</w:t>
      </w:r>
      <w:bookmarkEnd w:id="316"/>
    </w:p>
    <w:p w14:paraId="139E6C57">
      <w:pPr>
        <w:spacing w:line="360" w:lineRule="auto"/>
        <w:ind w:firstLine="480"/>
        <w:rPr>
          <w:color w:val="auto"/>
          <w:highlight w:val="none"/>
        </w:rPr>
      </w:pPr>
      <w:r>
        <w:rPr>
          <w:rFonts w:hint="eastAsia"/>
          <w:color w:val="auto"/>
          <w:highlight w:val="none"/>
        </w:rPr>
        <w:t>19.2.1 承包人应在缺陷责任期内对已交付使用的工程承担缺陷责任。</w:t>
      </w:r>
    </w:p>
    <w:p w14:paraId="406DCB56">
      <w:pPr>
        <w:spacing w:line="360" w:lineRule="auto"/>
        <w:ind w:firstLine="480"/>
        <w:rPr>
          <w:color w:val="auto"/>
          <w:highlight w:val="none"/>
        </w:rPr>
      </w:pPr>
      <w:r>
        <w:rPr>
          <w:rFonts w:hint="eastAsia"/>
          <w:color w:val="auto"/>
          <w:highlight w:val="none"/>
        </w:rPr>
        <w:t>19.2.2 缺陷责任期内，发包人对已接收使用的工程负责日常维护工作。发包人在使用过程中，发现已接收的工程存在新的缺陷或已修复的缺陷部位或部件又遭损坏的，承包人应负责修复，直至检验合格为止。</w:t>
      </w:r>
    </w:p>
    <w:p w14:paraId="19FC1382">
      <w:pPr>
        <w:spacing w:line="360" w:lineRule="auto"/>
        <w:ind w:firstLine="480"/>
        <w:rPr>
          <w:color w:val="auto"/>
          <w:highlight w:val="none"/>
        </w:rPr>
      </w:pPr>
      <w:r>
        <w:rPr>
          <w:rFonts w:hint="eastAsia"/>
          <w:color w:val="auto"/>
          <w:highlight w:val="none"/>
        </w:rPr>
        <w:t>19.2.3 监理人和承包人应共同查清缺陷和（或）损坏的原因。经查明属承包人原因造成的，应由承包人承担修复和查验的费用。经查验属发包人原因造成的，发包人应承担修复和查验的费用，并支付承包人合理利润。</w:t>
      </w:r>
    </w:p>
    <w:p w14:paraId="01398E60">
      <w:pPr>
        <w:spacing w:line="360" w:lineRule="auto"/>
        <w:ind w:firstLine="480"/>
        <w:rPr>
          <w:color w:val="auto"/>
          <w:highlight w:val="none"/>
        </w:rPr>
      </w:pPr>
      <w:r>
        <w:rPr>
          <w:rFonts w:hint="eastAsia"/>
          <w:color w:val="auto"/>
          <w:highlight w:val="none"/>
        </w:rPr>
        <w:t>19.2.4 承包人不能在合理时间内修复缺陷的，发包人可自行修复或委托其他人修复，所需费用和利润的承担，按第19.2.3项约定办理。</w:t>
      </w:r>
    </w:p>
    <w:p w14:paraId="6F971E05">
      <w:pPr>
        <w:pStyle w:val="190"/>
        <w:rPr>
          <w:color w:val="auto"/>
          <w:highlight w:val="none"/>
        </w:rPr>
      </w:pPr>
      <w:bookmarkStart w:id="321" w:name="_Toc28081"/>
      <w:r>
        <w:rPr>
          <w:rFonts w:hint="eastAsia"/>
          <w:color w:val="auto"/>
          <w:highlight w:val="none"/>
        </w:rPr>
        <w:t>19.3 缺陷责任期的延长</w:t>
      </w:r>
      <w:bookmarkEnd w:id="317"/>
    </w:p>
    <w:p w14:paraId="7257D841">
      <w:pPr>
        <w:spacing w:line="360" w:lineRule="auto"/>
        <w:ind w:firstLine="480"/>
        <w:rPr>
          <w:color w:val="auto"/>
          <w:highlight w:val="none"/>
        </w:rPr>
      </w:pPr>
      <w:r>
        <w:rPr>
          <w:rFonts w:hint="eastAsia"/>
          <w:color w:val="auto"/>
          <w:highlight w:val="none"/>
        </w:rPr>
        <w:t>由于承包人原因造成某项缺陷或损坏使某项工程或工程设备不能按原定目标使用而需要再次检查、检验和修复的，发包人有权要求承包人相应延长缺陷责任期，但缺陷责任期最长不超过2年。</w:t>
      </w:r>
    </w:p>
    <w:p w14:paraId="779F431F">
      <w:pPr>
        <w:pStyle w:val="190"/>
        <w:rPr>
          <w:color w:val="auto"/>
          <w:highlight w:val="none"/>
        </w:rPr>
      </w:pPr>
      <w:bookmarkStart w:id="322" w:name="_Toc882"/>
      <w:r>
        <w:rPr>
          <w:rFonts w:hint="eastAsia"/>
          <w:color w:val="auto"/>
          <w:highlight w:val="none"/>
        </w:rPr>
        <w:t>19.4 进一步试验和试运行</w:t>
      </w:r>
      <w:bookmarkEnd w:id="318"/>
    </w:p>
    <w:p w14:paraId="7C869718">
      <w:pPr>
        <w:spacing w:line="360" w:lineRule="auto"/>
        <w:ind w:firstLine="480"/>
        <w:rPr>
          <w:color w:val="auto"/>
          <w:highlight w:val="none"/>
        </w:rPr>
      </w:pPr>
      <w:r>
        <w:rPr>
          <w:rFonts w:hint="eastAsia"/>
          <w:color w:val="auto"/>
          <w:highlight w:val="none"/>
        </w:rPr>
        <w:t>任何一项缺陷或损坏修复后，经检查证明其影响了工程或工程设备的使用性能，承包人应重新进行合同约定的试验和试运行，试验和试运行的全部费用应由责任方承担。</w:t>
      </w:r>
    </w:p>
    <w:p w14:paraId="13458E16">
      <w:pPr>
        <w:pStyle w:val="190"/>
        <w:rPr>
          <w:color w:val="auto"/>
          <w:highlight w:val="none"/>
        </w:rPr>
      </w:pPr>
      <w:bookmarkStart w:id="323" w:name="_Toc17413"/>
      <w:r>
        <w:rPr>
          <w:rFonts w:hint="eastAsia"/>
          <w:color w:val="auto"/>
          <w:highlight w:val="none"/>
        </w:rPr>
        <w:t>19.5 承包人的进入权</w:t>
      </w:r>
      <w:bookmarkEnd w:id="319"/>
    </w:p>
    <w:p w14:paraId="53315746">
      <w:pPr>
        <w:spacing w:line="360" w:lineRule="auto"/>
        <w:ind w:firstLine="480"/>
        <w:rPr>
          <w:color w:val="auto"/>
          <w:highlight w:val="none"/>
        </w:rPr>
      </w:pPr>
      <w:r>
        <w:rPr>
          <w:rFonts w:hint="eastAsia"/>
          <w:color w:val="auto"/>
          <w:highlight w:val="none"/>
        </w:rPr>
        <w:t>缺陷责任期内承包人为缺陷修复工作需要，有权进入工程现场，但应遵守发包人的保安和保密规定。</w:t>
      </w:r>
    </w:p>
    <w:p w14:paraId="0250F621">
      <w:pPr>
        <w:pStyle w:val="190"/>
        <w:rPr>
          <w:color w:val="auto"/>
          <w:highlight w:val="none"/>
        </w:rPr>
      </w:pPr>
      <w:bookmarkStart w:id="324" w:name="_Toc4985"/>
      <w:r>
        <w:rPr>
          <w:rFonts w:hint="eastAsia"/>
          <w:color w:val="auto"/>
          <w:highlight w:val="none"/>
        </w:rPr>
        <w:t>19.6 缺陷责任期终止证书</w:t>
      </w:r>
      <w:bookmarkEnd w:id="320"/>
    </w:p>
    <w:p w14:paraId="5DF040EE">
      <w:pPr>
        <w:spacing w:line="360" w:lineRule="auto"/>
        <w:ind w:firstLine="480"/>
        <w:rPr>
          <w:color w:val="auto"/>
          <w:highlight w:val="none"/>
        </w:rPr>
      </w:pPr>
      <w:r>
        <w:rPr>
          <w:rFonts w:hint="eastAsia"/>
          <w:color w:val="auto"/>
          <w:highlight w:val="none"/>
        </w:rPr>
        <w:t>在第1.1.4.5目约定的缺陷责任期，包括根据第19.3款延长的期限终止后14天内，由监理人向承包人出具经发包人签认的缺陷责任期终止证书，并退还剩余的质量保证金。</w:t>
      </w:r>
    </w:p>
    <w:p w14:paraId="5A6C3254">
      <w:pPr>
        <w:pStyle w:val="190"/>
        <w:rPr>
          <w:color w:val="auto"/>
          <w:highlight w:val="none"/>
        </w:rPr>
      </w:pPr>
      <w:bookmarkStart w:id="325" w:name="_Toc28036"/>
      <w:r>
        <w:rPr>
          <w:rFonts w:hint="eastAsia"/>
          <w:color w:val="auto"/>
          <w:highlight w:val="none"/>
        </w:rPr>
        <w:t>19.7 保修责任</w:t>
      </w:r>
      <w:bookmarkEnd w:id="321"/>
    </w:p>
    <w:p w14:paraId="3F7283D8">
      <w:pPr>
        <w:spacing w:line="360" w:lineRule="auto"/>
        <w:ind w:firstLine="480"/>
        <w:rPr>
          <w:color w:val="auto"/>
          <w:highlight w:val="none"/>
        </w:rPr>
      </w:pPr>
      <w:r>
        <w:rPr>
          <w:rFonts w:hint="eastAsia"/>
          <w:color w:val="auto"/>
          <w:highlight w:val="none"/>
        </w:rPr>
        <w:t>合同当事人根据有关法律规定，在专用合同条款中约定工程质量保修范围、期限和责任。保修期自实际竣工日期起计算。在全部工程竣工验收前，已经发包人提前验收的单位工程，其保修期的起算日期相应提前。</w:t>
      </w:r>
    </w:p>
    <w:p w14:paraId="64436E5E">
      <w:pPr>
        <w:pStyle w:val="189"/>
        <w:spacing w:before="0" w:after="0" w:line="360" w:lineRule="auto"/>
        <w:rPr>
          <w:color w:val="auto"/>
          <w:highlight w:val="none"/>
        </w:rPr>
      </w:pPr>
      <w:bookmarkStart w:id="326" w:name="_Toc122424203"/>
      <w:bookmarkStart w:id="327" w:name="_Toc21090"/>
      <w:bookmarkStart w:id="328" w:name="_Toc122424452"/>
      <w:r>
        <w:rPr>
          <w:rFonts w:hint="eastAsia"/>
          <w:color w:val="auto"/>
          <w:highlight w:val="none"/>
        </w:rPr>
        <w:t>20. 保险</w:t>
      </w:r>
      <w:bookmarkEnd w:id="322"/>
      <w:bookmarkEnd w:id="323"/>
      <w:bookmarkEnd w:id="324"/>
    </w:p>
    <w:p w14:paraId="26182C87">
      <w:pPr>
        <w:pStyle w:val="190"/>
        <w:rPr>
          <w:color w:val="auto"/>
          <w:highlight w:val="none"/>
        </w:rPr>
      </w:pPr>
      <w:bookmarkStart w:id="329" w:name="_Toc9782"/>
      <w:r>
        <w:rPr>
          <w:rFonts w:hint="eastAsia"/>
          <w:color w:val="auto"/>
          <w:highlight w:val="none"/>
        </w:rPr>
        <w:t>20.1 工程保险</w:t>
      </w:r>
      <w:bookmarkEnd w:id="325"/>
    </w:p>
    <w:p w14:paraId="2C044EF9">
      <w:pPr>
        <w:spacing w:line="360" w:lineRule="auto"/>
        <w:ind w:firstLine="480"/>
        <w:rPr>
          <w:color w:val="auto"/>
          <w:highlight w:val="none"/>
        </w:rPr>
      </w:pPr>
      <w:r>
        <w:rPr>
          <w:rFonts w:hint="eastAsia"/>
          <w:color w:val="auto"/>
          <w:highlight w:val="none"/>
        </w:rPr>
        <w:t>除专用合同条款另有约定外，承包人应以发包人和承包人的共同名义向双方同意的保险人投保建筑工程一切险、安装工程一切险。其具体的投保内容、保险金额、保险费率、保险期限等有关内容在专用合同条款中约定。</w:t>
      </w:r>
    </w:p>
    <w:p w14:paraId="3084D5D5">
      <w:pPr>
        <w:pStyle w:val="190"/>
        <w:rPr>
          <w:color w:val="auto"/>
          <w:highlight w:val="none"/>
        </w:rPr>
      </w:pPr>
      <w:bookmarkStart w:id="330" w:name="_Toc20764"/>
      <w:r>
        <w:rPr>
          <w:rFonts w:hint="eastAsia"/>
          <w:color w:val="auto"/>
          <w:highlight w:val="none"/>
        </w:rPr>
        <w:t>20.2 人员工伤事故的保险</w:t>
      </w:r>
      <w:bookmarkEnd w:id="326"/>
    </w:p>
    <w:p w14:paraId="6DCD7E11">
      <w:pPr>
        <w:spacing w:line="360" w:lineRule="auto"/>
        <w:ind w:firstLine="480"/>
        <w:rPr>
          <w:color w:val="auto"/>
          <w:highlight w:val="none"/>
        </w:rPr>
      </w:pPr>
      <w:r>
        <w:rPr>
          <w:rFonts w:hint="eastAsia"/>
          <w:color w:val="auto"/>
          <w:highlight w:val="none"/>
        </w:rPr>
        <w:t>20.2.1 承包人员工伤事故的保险</w:t>
      </w:r>
    </w:p>
    <w:p w14:paraId="59D7233E">
      <w:pPr>
        <w:spacing w:line="360" w:lineRule="auto"/>
        <w:ind w:firstLine="480"/>
        <w:rPr>
          <w:color w:val="auto"/>
          <w:highlight w:val="none"/>
        </w:rPr>
      </w:pPr>
      <w:r>
        <w:rPr>
          <w:rFonts w:hint="eastAsia"/>
          <w:color w:val="auto"/>
          <w:highlight w:val="none"/>
        </w:rPr>
        <w:t>承包人应依照有关法律规定参加工伤保险，为其履行合同所雇佣的全部人员，缴纳工伤保险费，并要求其分包人也进行此项保险。</w:t>
      </w:r>
    </w:p>
    <w:p w14:paraId="3CBD1B1B">
      <w:pPr>
        <w:spacing w:line="360" w:lineRule="auto"/>
        <w:ind w:firstLine="480"/>
        <w:rPr>
          <w:color w:val="auto"/>
          <w:highlight w:val="none"/>
        </w:rPr>
      </w:pPr>
      <w:r>
        <w:rPr>
          <w:rFonts w:hint="eastAsia"/>
          <w:color w:val="auto"/>
          <w:highlight w:val="none"/>
        </w:rPr>
        <w:t>20.2.2 发包人员工伤事故的保险</w:t>
      </w:r>
    </w:p>
    <w:p w14:paraId="2046D6F5">
      <w:pPr>
        <w:spacing w:line="360" w:lineRule="auto"/>
        <w:ind w:firstLine="480"/>
        <w:rPr>
          <w:color w:val="auto"/>
          <w:highlight w:val="none"/>
        </w:rPr>
      </w:pPr>
      <w:r>
        <w:rPr>
          <w:rFonts w:hint="eastAsia"/>
          <w:color w:val="auto"/>
          <w:highlight w:val="none"/>
        </w:rPr>
        <w:t>发包人应依照有关法律规定参加工伤保险，为其现场机构雇佣的全部人员，缴纳工伤保险费，并要求其监理人也进行此项保险。</w:t>
      </w:r>
    </w:p>
    <w:p w14:paraId="72B228C8">
      <w:pPr>
        <w:pStyle w:val="190"/>
        <w:rPr>
          <w:color w:val="auto"/>
          <w:highlight w:val="none"/>
        </w:rPr>
      </w:pPr>
      <w:bookmarkStart w:id="331" w:name="_Toc5176"/>
      <w:r>
        <w:rPr>
          <w:rFonts w:hint="eastAsia"/>
          <w:color w:val="auto"/>
          <w:highlight w:val="none"/>
        </w:rPr>
        <w:t>20.3 人身意外伤害险</w:t>
      </w:r>
      <w:bookmarkEnd w:id="327"/>
    </w:p>
    <w:p w14:paraId="194E73DC">
      <w:pPr>
        <w:spacing w:line="360" w:lineRule="auto"/>
        <w:ind w:firstLine="480"/>
        <w:rPr>
          <w:color w:val="auto"/>
          <w:highlight w:val="none"/>
        </w:rPr>
      </w:pPr>
      <w:r>
        <w:rPr>
          <w:rFonts w:hint="eastAsia"/>
          <w:color w:val="auto"/>
          <w:highlight w:val="none"/>
        </w:rPr>
        <w:t>20.3.1 发包人应在整个施工期间为其现场机构雇用的全部人员，投保人身意外伤害险，缴纳保险费，并要求其监理人也进行此项保险。</w:t>
      </w:r>
    </w:p>
    <w:p w14:paraId="5E8DF266">
      <w:pPr>
        <w:spacing w:line="360" w:lineRule="auto"/>
        <w:ind w:firstLine="480"/>
        <w:rPr>
          <w:color w:val="auto"/>
          <w:highlight w:val="none"/>
        </w:rPr>
      </w:pPr>
      <w:r>
        <w:rPr>
          <w:rFonts w:hint="eastAsia"/>
          <w:color w:val="auto"/>
          <w:highlight w:val="none"/>
        </w:rPr>
        <w:t>20.3.2 承包人应在整个施工期间为其现场机构雇用的全部人员，投保人身意外伤害险，缴纳保险费，并要求其分包人也进行此项保险。</w:t>
      </w:r>
    </w:p>
    <w:p w14:paraId="3B454E54">
      <w:pPr>
        <w:pStyle w:val="190"/>
        <w:rPr>
          <w:color w:val="auto"/>
          <w:highlight w:val="none"/>
        </w:rPr>
      </w:pPr>
      <w:bookmarkStart w:id="332" w:name="_Toc6828"/>
      <w:r>
        <w:rPr>
          <w:rFonts w:hint="eastAsia"/>
          <w:color w:val="auto"/>
          <w:highlight w:val="none"/>
        </w:rPr>
        <w:t>20.4 第三者责任险</w:t>
      </w:r>
      <w:bookmarkEnd w:id="328"/>
    </w:p>
    <w:p w14:paraId="62D3F1D8">
      <w:pPr>
        <w:spacing w:line="360" w:lineRule="auto"/>
        <w:ind w:firstLine="480"/>
        <w:rPr>
          <w:color w:val="auto"/>
          <w:highlight w:val="none"/>
        </w:rPr>
      </w:pPr>
      <w:r>
        <w:rPr>
          <w:rFonts w:hint="eastAsia"/>
          <w:color w:val="auto"/>
          <w:highlight w:val="none"/>
        </w:rPr>
        <w:t>20.4.1 第三者责任系指在保险期内，对因工程意外事故造成的、依法应由被保险人负责的工地上及毗邻地区的第三者人身伤亡、疾病或财产损失（本工程除外），以及被保险人因此而支付的诉讼费用和事先经保险人书面同意支付的其他费用等赔偿责任。</w:t>
      </w:r>
    </w:p>
    <w:p w14:paraId="3A3B39FF">
      <w:pPr>
        <w:spacing w:line="360" w:lineRule="auto"/>
        <w:ind w:firstLine="480"/>
        <w:rPr>
          <w:color w:val="auto"/>
          <w:highlight w:val="none"/>
        </w:rPr>
      </w:pPr>
      <w:r>
        <w:rPr>
          <w:rFonts w:hint="eastAsia"/>
          <w:color w:val="auto"/>
          <w:highlight w:val="none"/>
        </w:rPr>
        <w:t>20.4.2 在缺陷责任期终止证书颁发前，承包人应以承包人和发包人的共同名义，投保第20.4.1项约定的第三者责任险，其保险费率、保险金额等有关内容在专用合同条款中约定。</w:t>
      </w:r>
    </w:p>
    <w:p w14:paraId="7BF0228E">
      <w:pPr>
        <w:pStyle w:val="190"/>
        <w:rPr>
          <w:color w:val="auto"/>
          <w:highlight w:val="none"/>
        </w:rPr>
      </w:pPr>
      <w:bookmarkStart w:id="333" w:name="_Toc1637"/>
      <w:r>
        <w:rPr>
          <w:rFonts w:hint="eastAsia"/>
          <w:color w:val="auto"/>
          <w:highlight w:val="none"/>
        </w:rPr>
        <w:t>20.5 其他保险</w:t>
      </w:r>
      <w:bookmarkEnd w:id="329"/>
    </w:p>
    <w:p w14:paraId="545AA666">
      <w:pPr>
        <w:spacing w:line="360" w:lineRule="auto"/>
        <w:ind w:firstLine="480"/>
        <w:rPr>
          <w:color w:val="auto"/>
          <w:highlight w:val="none"/>
        </w:rPr>
      </w:pPr>
      <w:r>
        <w:rPr>
          <w:rFonts w:hint="eastAsia"/>
          <w:color w:val="auto"/>
          <w:highlight w:val="none"/>
        </w:rPr>
        <w:t>除专用合同条款另有约定外，承包人应为其施工设备、进场的材料和工程设备等办理保险。</w:t>
      </w:r>
    </w:p>
    <w:p w14:paraId="5EF78CFE">
      <w:pPr>
        <w:pStyle w:val="190"/>
        <w:rPr>
          <w:color w:val="auto"/>
          <w:highlight w:val="none"/>
        </w:rPr>
      </w:pPr>
      <w:bookmarkStart w:id="334" w:name="_Toc15017"/>
      <w:r>
        <w:rPr>
          <w:rFonts w:hint="eastAsia"/>
          <w:color w:val="auto"/>
          <w:highlight w:val="none"/>
        </w:rPr>
        <w:t>20.6 对各项保险的一般要求</w:t>
      </w:r>
      <w:bookmarkEnd w:id="330"/>
    </w:p>
    <w:p w14:paraId="05B4EF14">
      <w:pPr>
        <w:spacing w:line="360" w:lineRule="auto"/>
        <w:ind w:firstLine="480"/>
        <w:rPr>
          <w:color w:val="auto"/>
          <w:highlight w:val="none"/>
        </w:rPr>
      </w:pPr>
      <w:r>
        <w:rPr>
          <w:rFonts w:hint="eastAsia"/>
          <w:color w:val="auto"/>
          <w:highlight w:val="none"/>
        </w:rPr>
        <w:t>20.6.1 保险凭证</w:t>
      </w:r>
    </w:p>
    <w:p w14:paraId="05B476FD">
      <w:pPr>
        <w:spacing w:line="360" w:lineRule="auto"/>
        <w:ind w:firstLine="480"/>
        <w:rPr>
          <w:color w:val="auto"/>
          <w:highlight w:val="none"/>
        </w:rPr>
      </w:pPr>
      <w:r>
        <w:rPr>
          <w:rFonts w:hint="eastAsia"/>
          <w:color w:val="auto"/>
          <w:highlight w:val="none"/>
        </w:rPr>
        <w:t>承包人应在专用合同条款约定的期限内向发包人提交各项保险生效的证据和保险单副本，保险单必须与专用合同条款约定的条件保持一致。</w:t>
      </w:r>
    </w:p>
    <w:p w14:paraId="5BBCD4EF">
      <w:pPr>
        <w:spacing w:line="360" w:lineRule="auto"/>
        <w:ind w:firstLine="480"/>
        <w:rPr>
          <w:color w:val="auto"/>
          <w:highlight w:val="none"/>
        </w:rPr>
      </w:pPr>
      <w:r>
        <w:rPr>
          <w:rFonts w:hint="eastAsia"/>
          <w:color w:val="auto"/>
          <w:highlight w:val="none"/>
        </w:rPr>
        <w:t>20.6.2 保险合同条款的变动</w:t>
      </w:r>
    </w:p>
    <w:p w14:paraId="675D578A">
      <w:pPr>
        <w:spacing w:line="360" w:lineRule="auto"/>
        <w:ind w:firstLine="480"/>
        <w:rPr>
          <w:color w:val="auto"/>
          <w:highlight w:val="none"/>
        </w:rPr>
      </w:pPr>
      <w:r>
        <w:rPr>
          <w:rFonts w:hint="eastAsia"/>
          <w:color w:val="auto"/>
          <w:highlight w:val="none"/>
        </w:rPr>
        <w:t>承包人需要变动保险合同条款时，应事先征得发包人同意，并通知监理人。保险人作出变动的，承包人应在收到保险人通知后立即通知发包人和监理人。</w:t>
      </w:r>
    </w:p>
    <w:p w14:paraId="099D3A8F">
      <w:pPr>
        <w:spacing w:line="360" w:lineRule="auto"/>
        <w:ind w:firstLine="480"/>
        <w:rPr>
          <w:color w:val="auto"/>
          <w:highlight w:val="none"/>
        </w:rPr>
      </w:pPr>
      <w:r>
        <w:rPr>
          <w:rFonts w:hint="eastAsia"/>
          <w:color w:val="auto"/>
          <w:highlight w:val="none"/>
        </w:rPr>
        <w:t>20.6.3 持续保险</w:t>
      </w:r>
    </w:p>
    <w:p w14:paraId="61F4E66A">
      <w:pPr>
        <w:spacing w:line="360" w:lineRule="auto"/>
        <w:ind w:firstLine="480"/>
        <w:rPr>
          <w:color w:val="auto"/>
          <w:highlight w:val="none"/>
        </w:rPr>
      </w:pPr>
      <w:r>
        <w:rPr>
          <w:rFonts w:hint="eastAsia"/>
          <w:color w:val="auto"/>
          <w:highlight w:val="none"/>
        </w:rPr>
        <w:t>承包人应与保险人保持联系，使保险人能够随时了解工程实施中的变动，并确保按保险合同条款要求持续保险。</w:t>
      </w:r>
    </w:p>
    <w:p w14:paraId="045BD35E">
      <w:pPr>
        <w:spacing w:line="360" w:lineRule="auto"/>
        <w:ind w:firstLine="480"/>
        <w:rPr>
          <w:color w:val="auto"/>
          <w:highlight w:val="none"/>
        </w:rPr>
      </w:pPr>
      <w:r>
        <w:rPr>
          <w:rFonts w:hint="eastAsia"/>
          <w:color w:val="auto"/>
          <w:highlight w:val="none"/>
        </w:rPr>
        <w:t>20.6.4 保险金不足的补偿</w:t>
      </w:r>
    </w:p>
    <w:p w14:paraId="15F1A359">
      <w:pPr>
        <w:spacing w:line="360" w:lineRule="auto"/>
        <w:ind w:firstLine="480"/>
        <w:rPr>
          <w:color w:val="auto"/>
          <w:highlight w:val="none"/>
        </w:rPr>
      </w:pPr>
      <w:r>
        <w:rPr>
          <w:rFonts w:hint="eastAsia"/>
          <w:color w:val="auto"/>
          <w:highlight w:val="none"/>
        </w:rPr>
        <w:t>保险金不足以补偿损失的，应由承包人和（或）发包人按合同约定负责补偿。</w:t>
      </w:r>
    </w:p>
    <w:p w14:paraId="7DC048CD">
      <w:pPr>
        <w:spacing w:line="360" w:lineRule="auto"/>
        <w:ind w:firstLine="480"/>
        <w:rPr>
          <w:color w:val="auto"/>
          <w:highlight w:val="none"/>
        </w:rPr>
      </w:pPr>
      <w:r>
        <w:rPr>
          <w:rFonts w:hint="eastAsia"/>
          <w:color w:val="auto"/>
          <w:highlight w:val="none"/>
        </w:rPr>
        <w:t>20.6.5 未按约定投保的补救</w:t>
      </w:r>
    </w:p>
    <w:p w14:paraId="7BE1A7B4">
      <w:pPr>
        <w:spacing w:line="360" w:lineRule="auto"/>
        <w:ind w:firstLine="480"/>
        <w:rPr>
          <w:color w:val="auto"/>
          <w:highlight w:val="none"/>
        </w:rPr>
      </w:pPr>
      <w:r>
        <w:rPr>
          <w:rFonts w:hint="eastAsia"/>
          <w:color w:val="auto"/>
          <w:highlight w:val="none"/>
        </w:rPr>
        <w:t>（1）由于负有投保义务的一方当事人未按合同约定办理保险，或未能使保险持续有效的，另一方当事人可代为办理，所需费用由对方当事人承担。</w:t>
      </w:r>
    </w:p>
    <w:p w14:paraId="3D908294">
      <w:pPr>
        <w:spacing w:line="360" w:lineRule="auto"/>
        <w:ind w:firstLine="480"/>
        <w:rPr>
          <w:color w:val="auto"/>
          <w:highlight w:val="none"/>
        </w:rPr>
      </w:pPr>
      <w:r>
        <w:rPr>
          <w:rFonts w:hint="eastAsia"/>
          <w:color w:val="auto"/>
          <w:highlight w:val="none"/>
        </w:rPr>
        <w:t>（2）由于负有投保义务的一方当事人未按合同约定办理某项保险，导致受益人未能得到保险人的赔偿，原应从该项保险得到的保险金应由负有投保义务的一方当事人支付。</w:t>
      </w:r>
    </w:p>
    <w:p w14:paraId="5C8B05CC">
      <w:pPr>
        <w:spacing w:line="360" w:lineRule="auto"/>
        <w:ind w:firstLine="480"/>
        <w:rPr>
          <w:color w:val="auto"/>
          <w:highlight w:val="none"/>
        </w:rPr>
      </w:pPr>
      <w:r>
        <w:rPr>
          <w:rFonts w:hint="eastAsia"/>
          <w:color w:val="auto"/>
          <w:highlight w:val="none"/>
        </w:rPr>
        <w:t>20.6.6 报告义务</w:t>
      </w:r>
    </w:p>
    <w:p w14:paraId="315DFE31">
      <w:pPr>
        <w:spacing w:line="360" w:lineRule="auto"/>
        <w:ind w:firstLine="480"/>
        <w:rPr>
          <w:color w:val="auto"/>
          <w:highlight w:val="none"/>
        </w:rPr>
      </w:pPr>
      <w:r>
        <w:rPr>
          <w:rFonts w:hint="eastAsia"/>
          <w:color w:val="auto"/>
          <w:highlight w:val="none"/>
        </w:rPr>
        <w:t>当保险事故发生时，投保人应按照保险单规定的条件和期限及时向保险人报告。</w:t>
      </w:r>
    </w:p>
    <w:p w14:paraId="65293CD9">
      <w:pPr>
        <w:pStyle w:val="189"/>
        <w:spacing w:before="0" w:after="0" w:line="360" w:lineRule="auto"/>
        <w:rPr>
          <w:color w:val="auto"/>
          <w:highlight w:val="none"/>
        </w:rPr>
      </w:pPr>
      <w:bookmarkStart w:id="335" w:name="_Toc122424204"/>
      <w:bookmarkStart w:id="336" w:name="_Toc122424453"/>
      <w:bookmarkStart w:id="337" w:name="_Toc6526"/>
      <w:r>
        <w:rPr>
          <w:rFonts w:hint="eastAsia"/>
          <w:color w:val="auto"/>
          <w:highlight w:val="none"/>
        </w:rPr>
        <w:t>21. 不可抗力</w:t>
      </w:r>
      <w:bookmarkEnd w:id="331"/>
      <w:bookmarkEnd w:id="332"/>
      <w:bookmarkEnd w:id="333"/>
    </w:p>
    <w:p w14:paraId="42BF010A">
      <w:pPr>
        <w:pStyle w:val="190"/>
        <w:rPr>
          <w:color w:val="auto"/>
          <w:highlight w:val="none"/>
        </w:rPr>
      </w:pPr>
      <w:bookmarkStart w:id="338" w:name="_Toc9293"/>
      <w:r>
        <w:rPr>
          <w:rFonts w:hint="eastAsia"/>
          <w:color w:val="auto"/>
          <w:highlight w:val="none"/>
        </w:rPr>
        <w:t>21.1 不可抗力的确认</w:t>
      </w:r>
      <w:bookmarkEnd w:id="334"/>
    </w:p>
    <w:p w14:paraId="67A3AD96">
      <w:pPr>
        <w:spacing w:line="360" w:lineRule="auto"/>
        <w:ind w:firstLine="480"/>
        <w:rPr>
          <w:color w:val="auto"/>
          <w:highlight w:val="none"/>
        </w:rPr>
      </w:pPr>
      <w:r>
        <w:rPr>
          <w:rFonts w:hint="eastAsia"/>
          <w:color w:val="auto"/>
          <w:highlight w:val="none"/>
        </w:rPr>
        <w:t>21.1.1 不可抗力是指承包人和发包人在订立合同时不可预见，在工程施工过程中不可避免发生并不能克服的自然灾害和社会性突发事件，如地震、海啸、瘟疫、水灾、骚乱、暴动、战争和专用合同条款约定的其他情形。</w:t>
      </w:r>
    </w:p>
    <w:p w14:paraId="40A0D591">
      <w:pPr>
        <w:spacing w:line="360" w:lineRule="auto"/>
        <w:ind w:firstLine="480"/>
        <w:rPr>
          <w:color w:val="auto"/>
          <w:highlight w:val="none"/>
        </w:rPr>
      </w:pPr>
      <w:r>
        <w:rPr>
          <w:rFonts w:hint="eastAsia"/>
          <w:color w:val="auto"/>
          <w:highlight w:val="none"/>
        </w:rPr>
        <w:t>21.1.2 不可抗力发生后，发包人和承包人应及时认真统计所造成的损失，收集不可抗力造成损失的证据。合同双方对是否属于不可抗力或其损失的意见不一致的，由监理人按第3.5款商定或确定。发生争议时，按第24条的约定办理。</w:t>
      </w:r>
    </w:p>
    <w:p w14:paraId="120D44E5">
      <w:pPr>
        <w:pStyle w:val="190"/>
        <w:rPr>
          <w:color w:val="auto"/>
          <w:highlight w:val="none"/>
        </w:rPr>
      </w:pPr>
      <w:bookmarkStart w:id="339" w:name="_Toc32615"/>
      <w:r>
        <w:rPr>
          <w:rFonts w:hint="eastAsia"/>
          <w:color w:val="auto"/>
          <w:highlight w:val="none"/>
        </w:rPr>
        <w:t>21.2 不可抗力的通知</w:t>
      </w:r>
      <w:bookmarkEnd w:id="335"/>
    </w:p>
    <w:p w14:paraId="7FF44BA9">
      <w:pPr>
        <w:spacing w:line="360" w:lineRule="auto"/>
        <w:ind w:firstLine="480"/>
        <w:rPr>
          <w:color w:val="auto"/>
          <w:highlight w:val="none"/>
        </w:rPr>
      </w:pPr>
      <w:r>
        <w:rPr>
          <w:rFonts w:hint="eastAsia"/>
          <w:color w:val="auto"/>
          <w:highlight w:val="none"/>
        </w:rPr>
        <w:t>21.2.1 合同一方当事人遇到不可抗力事件，使其履行合同义务受到阻碍时，应立即通知合同另一方当事人和监理人，书面说明不可抗力和受阻碍的详细情况，并提供必要的证明。</w:t>
      </w:r>
    </w:p>
    <w:p w14:paraId="4175A14E">
      <w:pPr>
        <w:spacing w:line="360" w:lineRule="auto"/>
        <w:ind w:firstLine="480"/>
        <w:rPr>
          <w:color w:val="auto"/>
          <w:highlight w:val="none"/>
        </w:rPr>
      </w:pPr>
      <w:r>
        <w:rPr>
          <w:rFonts w:hint="eastAsia"/>
          <w:color w:val="auto"/>
          <w:highlight w:val="none"/>
        </w:rPr>
        <w:t>21.2.2 如不可抗力持续发生，合同一方当事人应及时向合同另一方当事人和监理人提交中间报告，说明不可抗力和履行合同受阻的情况，并于不可抗力事件结束后28天内提交最终报告及有关资料。</w:t>
      </w:r>
    </w:p>
    <w:p w14:paraId="6D2EF8FE">
      <w:pPr>
        <w:pStyle w:val="190"/>
        <w:rPr>
          <w:color w:val="auto"/>
          <w:highlight w:val="none"/>
        </w:rPr>
      </w:pPr>
      <w:bookmarkStart w:id="340" w:name="_Toc26419"/>
      <w:r>
        <w:rPr>
          <w:rFonts w:hint="eastAsia"/>
          <w:color w:val="auto"/>
          <w:highlight w:val="none"/>
        </w:rPr>
        <w:t>21.3 不可抗力后果及其处理</w:t>
      </w:r>
      <w:bookmarkEnd w:id="336"/>
    </w:p>
    <w:p w14:paraId="1A360A73">
      <w:pPr>
        <w:spacing w:line="360" w:lineRule="auto"/>
        <w:ind w:firstLine="480"/>
        <w:rPr>
          <w:color w:val="auto"/>
          <w:highlight w:val="none"/>
        </w:rPr>
      </w:pPr>
      <w:r>
        <w:rPr>
          <w:rFonts w:hint="eastAsia"/>
          <w:color w:val="auto"/>
          <w:highlight w:val="none"/>
        </w:rPr>
        <w:t>21.3.1 不可抗力造成损害的责任</w:t>
      </w:r>
    </w:p>
    <w:p w14:paraId="7A3D43F7">
      <w:pPr>
        <w:spacing w:line="360" w:lineRule="auto"/>
        <w:ind w:firstLine="480"/>
        <w:rPr>
          <w:color w:val="auto"/>
          <w:highlight w:val="none"/>
        </w:rPr>
      </w:pPr>
      <w:r>
        <w:rPr>
          <w:rFonts w:hint="eastAsia"/>
          <w:color w:val="auto"/>
          <w:highlight w:val="none"/>
        </w:rPr>
        <w:t>除专用合同条款另有约定外，不可抗力导致的人员伤亡、财产损失、费用增加和（或）工期延误等后果，由合同双方按以下原则承担：</w:t>
      </w:r>
    </w:p>
    <w:p w14:paraId="5AE2E33C">
      <w:pPr>
        <w:spacing w:line="360" w:lineRule="auto"/>
        <w:ind w:firstLine="480"/>
        <w:rPr>
          <w:color w:val="auto"/>
          <w:highlight w:val="none"/>
        </w:rPr>
      </w:pPr>
      <w:r>
        <w:rPr>
          <w:rFonts w:hint="eastAsia"/>
          <w:color w:val="auto"/>
          <w:highlight w:val="none"/>
        </w:rPr>
        <w:t>（1）永久工程，包括已运至施工场地的材料和工程设备的损害，以及因工程损害造成的第三者人员伤亡和财产损失由发包人承担；</w:t>
      </w:r>
    </w:p>
    <w:p w14:paraId="7C18B24C">
      <w:pPr>
        <w:spacing w:line="360" w:lineRule="auto"/>
        <w:ind w:firstLine="480"/>
        <w:rPr>
          <w:color w:val="auto"/>
          <w:highlight w:val="none"/>
        </w:rPr>
      </w:pPr>
      <w:r>
        <w:rPr>
          <w:rFonts w:hint="eastAsia"/>
          <w:color w:val="auto"/>
          <w:highlight w:val="none"/>
        </w:rPr>
        <w:t>（2）承包人设备的损坏由承包人承担；</w:t>
      </w:r>
    </w:p>
    <w:p w14:paraId="17DBA6E5">
      <w:pPr>
        <w:spacing w:line="360" w:lineRule="auto"/>
        <w:ind w:firstLine="480"/>
        <w:rPr>
          <w:color w:val="auto"/>
          <w:highlight w:val="none"/>
        </w:rPr>
      </w:pPr>
      <w:r>
        <w:rPr>
          <w:rFonts w:hint="eastAsia"/>
          <w:color w:val="auto"/>
          <w:highlight w:val="none"/>
        </w:rPr>
        <w:t>（3）发包人和承包人各自承担其人员伤亡和其他财产损失及其相关费用；</w:t>
      </w:r>
    </w:p>
    <w:p w14:paraId="61E40571">
      <w:pPr>
        <w:spacing w:line="360" w:lineRule="auto"/>
        <w:ind w:firstLine="480"/>
        <w:rPr>
          <w:color w:val="auto"/>
          <w:highlight w:val="none"/>
        </w:rPr>
      </w:pPr>
      <w:r>
        <w:rPr>
          <w:rFonts w:hint="eastAsia"/>
          <w:color w:val="auto"/>
          <w:highlight w:val="none"/>
        </w:rPr>
        <w:t>（4）承包人的停工损失由承包人承担，但停工期间应监理人要求照管工程和清理、修复工程的金额由发包人承担；</w:t>
      </w:r>
    </w:p>
    <w:p w14:paraId="194C0506">
      <w:pPr>
        <w:spacing w:line="360" w:lineRule="auto"/>
        <w:ind w:firstLine="480"/>
        <w:rPr>
          <w:color w:val="auto"/>
          <w:highlight w:val="none"/>
        </w:rPr>
      </w:pPr>
      <w:r>
        <w:rPr>
          <w:rFonts w:hint="eastAsia"/>
          <w:color w:val="auto"/>
          <w:highlight w:val="none"/>
        </w:rPr>
        <w:t>（5）不能按期竣工的，应合理延长工期，承包人不需支付逾期竣工违约金。发包人要求赶工的，承包人应采取赶工措施，赶工费用由发包人承担。</w:t>
      </w:r>
    </w:p>
    <w:p w14:paraId="1658F0B1">
      <w:pPr>
        <w:spacing w:line="360" w:lineRule="auto"/>
        <w:ind w:firstLine="480"/>
        <w:rPr>
          <w:color w:val="auto"/>
          <w:highlight w:val="none"/>
        </w:rPr>
      </w:pPr>
      <w:r>
        <w:rPr>
          <w:rFonts w:hint="eastAsia"/>
          <w:color w:val="auto"/>
          <w:highlight w:val="none"/>
        </w:rPr>
        <w:t>21.3.2 延迟履行期间发生的不可抗力</w:t>
      </w:r>
    </w:p>
    <w:p w14:paraId="6F50E75B">
      <w:pPr>
        <w:spacing w:line="360" w:lineRule="auto"/>
        <w:ind w:firstLine="480"/>
        <w:rPr>
          <w:color w:val="auto"/>
          <w:highlight w:val="none"/>
        </w:rPr>
      </w:pPr>
      <w:r>
        <w:rPr>
          <w:rFonts w:hint="eastAsia"/>
          <w:color w:val="auto"/>
          <w:highlight w:val="none"/>
        </w:rPr>
        <w:t>合同一方当事人延迟履行，在延迟履行期间发生不可抗力的，不免除其责任。</w:t>
      </w:r>
    </w:p>
    <w:p w14:paraId="6B5271BD">
      <w:pPr>
        <w:spacing w:line="360" w:lineRule="auto"/>
        <w:ind w:firstLine="480"/>
        <w:rPr>
          <w:color w:val="auto"/>
          <w:highlight w:val="none"/>
        </w:rPr>
      </w:pPr>
      <w:r>
        <w:rPr>
          <w:rFonts w:hint="eastAsia"/>
          <w:color w:val="auto"/>
          <w:highlight w:val="none"/>
        </w:rPr>
        <w:t>21.3.3 避免和减少不可抗力损失</w:t>
      </w:r>
    </w:p>
    <w:p w14:paraId="7E2AC13A">
      <w:pPr>
        <w:spacing w:line="360" w:lineRule="auto"/>
        <w:ind w:firstLine="480"/>
        <w:rPr>
          <w:color w:val="auto"/>
          <w:highlight w:val="none"/>
        </w:rPr>
      </w:pPr>
      <w:r>
        <w:rPr>
          <w:rFonts w:hint="eastAsia"/>
          <w:color w:val="auto"/>
          <w:highlight w:val="none"/>
        </w:rPr>
        <w:t>不可抗力发生后，发包人和承包人均应采取措施尽量避免和减少损失的扩大，任何一方没有采取有效措施导致损失扩大的，应对扩大的损失承担责任。</w:t>
      </w:r>
    </w:p>
    <w:p w14:paraId="62912831">
      <w:pPr>
        <w:spacing w:line="360" w:lineRule="auto"/>
        <w:ind w:firstLine="480"/>
        <w:rPr>
          <w:color w:val="auto"/>
          <w:highlight w:val="none"/>
        </w:rPr>
      </w:pPr>
      <w:r>
        <w:rPr>
          <w:rFonts w:hint="eastAsia"/>
          <w:color w:val="auto"/>
          <w:highlight w:val="none"/>
        </w:rPr>
        <w:t>21.3.4 因不可抗力解除合同</w:t>
      </w:r>
    </w:p>
    <w:p w14:paraId="18B92325">
      <w:pPr>
        <w:spacing w:line="360" w:lineRule="auto"/>
        <w:ind w:firstLine="480"/>
        <w:rPr>
          <w:color w:val="auto"/>
          <w:highlight w:val="none"/>
        </w:rPr>
      </w:pPr>
      <w:r>
        <w:rPr>
          <w:rFonts w:hint="eastAsia"/>
          <w:color w:val="auto"/>
          <w:highlight w:val="none"/>
        </w:rPr>
        <w:t>合同一方当事人因不可抗力不能履行合同的，应当及时通知对方解除合同。合同解除后，承包人应按照第22.2.5项约定撤离施工场地。已经订货的材料、设备由订货方负责退货或解除订货合同，不能退还的货款和因退货、解除订货合同发生的费用，由发包人承担，因未及时退货造成的损失由责任方承担。合同解除后的付款，参照第22.2.4项约定，由监理人按第3.5款商定或确定。</w:t>
      </w:r>
    </w:p>
    <w:p w14:paraId="02FBF498">
      <w:pPr>
        <w:pStyle w:val="189"/>
        <w:spacing w:before="0" w:after="0" w:line="360" w:lineRule="auto"/>
        <w:rPr>
          <w:color w:val="auto"/>
          <w:highlight w:val="none"/>
        </w:rPr>
      </w:pPr>
      <w:bookmarkStart w:id="341" w:name="_Toc122424454"/>
      <w:bookmarkStart w:id="342" w:name="_Toc16752"/>
      <w:bookmarkStart w:id="343" w:name="_Toc122424205"/>
      <w:r>
        <w:rPr>
          <w:rFonts w:hint="eastAsia"/>
          <w:color w:val="auto"/>
          <w:highlight w:val="none"/>
        </w:rPr>
        <w:t>22. 违约</w:t>
      </w:r>
      <w:bookmarkEnd w:id="337"/>
      <w:bookmarkEnd w:id="338"/>
      <w:bookmarkEnd w:id="339"/>
    </w:p>
    <w:p w14:paraId="2DE83F41">
      <w:pPr>
        <w:pStyle w:val="190"/>
        <w:rPr>
          <w:color w:val="auto"/>
          <w:highlight w:val="none"/>
        </w:rPr>
      </w:pPr>
      <w:bookmarkStart w:id="344" w:name="_Toc18184"/>
      <w:r>
        <w:rPr>
          <w:rFonts w:hint="eastAsia"/>
          <w:color w:val="auto"/>
          <w:highlight w:val="none"/>
        </w:rPr>
        <w:t>22.1 承包人违约</w:t>
      </w:r>
      <w:bookmarkEnd w:id="340"/>
    </w:p>
    <w:p w14:paraId="5C5C8073">
      <w:pPr>
        <w:spacing w:line="360" w:lineRule="auto"/>
        <w:ind w:firstLine="480"/>
        <w:rPr>
          <w:color w:val="auto"/>
          <w:highlight w:val="none"/>
        </w:rPr>
      </w:pPr>
      <w:r>
        <w:rPr>
          <w:rFonts w:hint="eastAsia"/>
          <w:color w:val="auto"/>
          <w:highlight w:val="none"/>
        </w:rPr>
        <w:t>22.1.1 承包人违约的情形</w:t>
      </w:r>
    </w:p>
    <w:p w14:paraId="107AB07A">
      <w:pPr>
        <w:spacing w:line="360" w:lineRule="auto"/>
        <w:ind w:firstLine="480"/>
        <w:rPr>
          <w:color w:val="auto"/>
          <w:highlight w:val="none"/>
        </w:rPr>
      </w:pPr>
      <w:r>
        <w:rPr>
          <w:rFonts w:hint="eastAsia"/>
          <w:color w:val="auto"/>
          <w:highlight w:val="none"/>
        </w:rPr>
        <w:t>在履行合同过程中发生的下列情况属承包人违约：</w:t>
      </w:r>
    </w:p>
    <w:p w14:paraId="741A4BBE">
      <w:pPr>
        <w:spacing w:line="360" w:lineRule="auto"/>
        <w:ind w:firstLine="480"/>
        <w:rPr>
          <w:color w:val="auto"/>
          <w:highlight w:val="none"/>
        </w:rPr>
      </w:pPr>
      <w:r>
        <w:rPr>
          <w:rFonts w:hint="eastAsia"/>
          <w:color w:val="auto"/>
          <w:highlight w:val="none"/>
        </w:rPr>
        <w:t>（1）承包人违反第1.8款或第4.3款的约定，私自将合同的全部或部分权利转让给其他人，或私自将合同的全部或部分义务转移给其他人；</w:t>
      </w:r>
    </w:p>
    <w:p w14:paraId="6BDAE97E">
      <w:pPr>
        <w:spacing w:line="360" w:lineRule="auto"/>
        <w:ind w:firstLine="480"/>
        <w:rPr>
          <w:color w:val="auto"/>
          <w:highlight w:val="none"/>
        </w:rPr>
      </w:pPr>
      <w:r>
        <w:rPr>
          <w:rFonts w:hint="eastAsia"/>
          <w:color w:val="auto"/>
          <w:highlight w:val="none"/>
        </w:rPr>
        <w:t>（2）承包人违反第5.3款或第6.4款的约定，未经监理人批准，私自将已按合同约定进入施工场地的施工设备、临时设施或材料撤离施工场地；</w:t>
      </w:r>
    </w:p>
    <w:p w14:paraId="63398B9C">
      <w:pPr>
        <w:spacing w:line="360" w:lineRule="auto"/>
        <w:ind w:firstLine="480"/>
        <w:rPr>
          <w:color w:val="auto"/>
          <w:highlight w:val="none"/>
        </w:rPr>
      </w:pPr>
      <w:r>
        <w:rPr>
          <w:rFonts w:hint="eastAsia"/>
          <w:color w:val="auto"/>
          <w:highlight w:val="none"/>
        </w:rPr>
        <w:t>（3）承包人违反第5.4款的约定使用了不合格材料或工程设备，工程质量达不到标准要求，又拒绝清除不合格工程；</w:t>
      </w:r>
    </w:p>
    <w:p w14:paraId="2E6B9AE0">
      <w:pPr>
        <w:spacing w:line="360" w:lineRule="auto"/>
        <w:ind w:firstLine="480"/>
        <w:rPr>
          <w:color w:val="auto"/>
          <w:highlight w:val="none"/>
        </w:rPr>
      </w:pPr>
      <w:r>
        <w:rPr>
          <w:rFonts w:hint="eastAsia"/>
          <w:color w:val="auto"/>
          <w:highlight w:val="none"/>
        </w:rPr>
        <w:t>（4）承包人未能按合同进度计划及时完成合同约定的工作，已造成或预期造成工期延误；</w:t>
      </w:r>
    </w:p>
    <w:p w14:paraId="181F55C1">
      <w:pPr>
        <w:spacing w:line="360" w:lineRule="auto"/>
        <w:ind w:firstLine="480"/>
        <w:rPr>
          <w:color w:val="auto"/>
          <w:highlight w:val="none"/>
        </w:rPr>
      </w:pPr>
      <w:r>
        <w:rPr>
          <w:rFonts w:hint="eastAsia"/>
          <w:color w:val="auto"/>
          <w:highlight w:val="none"/>
        </w:rPr>
        <w:t>（5）承包人在缺陷责任期内，未能对工程接收证书所列的缺陷清单的内容或缺陷责任期内发生的缺陷进行修复，而又拒绝按监理人指示再进行修补；</w:t>
      </w:r>
    </w:p>
    <w:p w14:paraId="799495E3">
      <w:pPr>
        <w:spacing w:line="360" w:lineRule="auto"/>
        <w:ind w:firstLine="480"/>
        <w:rPr>
          <w:color w:val="auto"/>
          <w:highlight w:val="none"/>
        </w:rPr>
      </w:pPr>
      <w:r>
        <w:rPr>
          <w:rFonts w:hint="eastAsia"/>
          <w:color w:val="auto"/>
          <w:highlight w:val="none"/>
        </w:rPr>
        <w:t>（6）承包人无法继续履行或明确表示不履行或实质上已停止履行合同；</w:t>
      </w:r>
    </w:p>
    <w:p w14:paraId="02E03E8D">
      <w:pPr>
        <w:spacing w:line="360" w:lineRule="auto"/>
        <w:ind w:firstLine="480"/>
        <w:rPr>
          <w:color w:val="auto"/>
          <w:highlight w:val="none"/>
        </w:rPr>
      </w:pPr>
      <w:r>
        <w:rPr>
          <w:rFonts w:hint="eastAsia"/>
          <w:color w:val="auto"/>
          <w:highlight w:val="none"/>
        </w:rPr>
        <w:t>（7）承包人不按合同约定履行义务的其他情况。</w:t>
      </w:r>
    </w:p>
    <w:p w14:paraId="050814D0">
      <w:pPr>
        <w:spacing w:line="360" w:lineRule="auto"/>
        <w:ind w:firstLine="480"/>
        <w:rPr>
          <w:color w:val="auto"/>
          <w:highlight w:val="none"/>
        </w:rPr>
      </w:pPr>
      <w:r>
        <w:rPr>
          <w:rFonts w:hint="eastAsia"/>
          <w:color w:val="auto"/>
          <w:highlight w:val="none"/>
        </w:rPr>
        <w:t>22.1.2 对承包人违约的处理</w:t>
      </w:r>
    </w:p>
    <w:p w14:paraId="4E6FFE6A">
      <w:pPr>
        <w:spacing w:line="360" w:lineRule="auto"/>
        <w:ind w:firstLine="480"/>
        <w:rPr>
          <w:color w:val="auto"/>
          <w:highlight w:val="none"/>
        </w:rPr>
      </w:pPr>
      <w:r>
        <w:rPr>
          <w:rFonts w:hint="eastAsia"/>
          <w:color w:val="auto"/>
          <w:highlight w:val="none"/>
        </w:rPr>
        <w:t>（1）承包人发生第22.1.1（6）目约定的违约情况时，发包人可通知承包人立即解除合同，并按有关法律处理。</w:t>
      </w:r>
    </w:p>
    <w:p w14:paraId="3EFBDC34">
      <w:pPr>
        <w:spacing w:line="360" w:lineRule="auto"/>
        <w:ind w:firstLine="480"/>
        <w:rPr>
          <w:color w:val="auto"/>
          <w:highlight w:val="none"/>
        </w:rPr>
      </w:pPr>
      <w:r>
        <w:rPr>
          <w:rFonts w:hint="eastAsia"/>
          <w:color w:val="auto"/>
          <w:highlight w:val="none"/>
        </w:rPr>
        <w:t>（2）承包人发生除第22.1.1（6）目约定以外的其他违约情况时，监理人可向承包人发出整改通知，要求其在指定的期限内改正。承包人应承担其违约所引起的费用增加和（或）工期延误。</w:t>
      </w:r>
    </w:p>
    <w:p w14:paraId="1205BC92">
      <w:pPr>
        <w:spacing w:line="360" w:lineRule="auto"/>
        <w:ind w:firstLine="480"/>
        <w:rPr>
          <w:color w:val="auto"/>
          <w:highlight w:val="none"/>
        </w:rPr>
      </w:pPr>
      <w:r>
        <w:rPr>
          <w:rFonts w:hint="eastAsia"/>
          <w:color w:val="auto"/>
          <w:highlight w:val="none"/>
        </w:rPr>
        <w:t>（3）经检查证明承包人已采取了有效措施纠正违约行为，具备复工条件的，可由监理人签发复工通知复工。</w:t>
      </w:r>
    </w:p>
    <w:p w14:paraId="0273CCB7">
      <w:pPr>
        <w:spacing w:line="360" w:lineRule="auto"/>
        <w:ind w:firstLine="480"/>
        <w:rPr>
          <w:color w:val="auto"/>
          <w:highlight w:val="none"/>
        </w:rPr>
      </w:pPr>
      <w:r>
        <w:rPr>
          <w:rFonts w:hint="eastAsia"/>
          <w:color w:val="auto"/>
          <w:highlight w:val="none"/>
        </w:rPr>
        <w:t>22.1.3 承包人违约解除合同</w:t>
      </w:r>
    </w:p>
    <w:p w14:paraId="0462EC0D">
      <w:pPr>
        <w:spacing w:line="360" w:lineRule="auto"/>
        <w:ind w:firstLine="480"/>
        <w:rPr>
          <w:color w:val="auto"/>
          <w:highlight w:val="none"/>
        </w:rPr>
      </w:pPr>
      <w:r>
        <w:rPr>
          <w:rFonts w:hint="eastAsia"/>
          <w:color w:val="auto"/>
          <w:highlight w:val="none"/>
        </w:rPr>
        <w:t>监理人发出整改通知28天后，承包人仍不纠正违约行为的，发包人可向承包人发出解除合同通知。合同解除后，发包人可派员进驻施工场地，另行组织人员或委托其他承包人施工。发包人因继续完成该工程的需要，有权扣留使用承包人在现场的材料、设备和临时设施。但发包人的这一行动不免除承包人应承担的违约责任，也不影响发包人根据合同约定享有的索赔权利。</w:t>
      </w:r>
    </w:p>
    <w:p w14:paraId="2C726FC4">
      <w:pPr>
        <w:spacing w:line="360" w:lineRule="auto"/>
        <w:ind w:firstLine="480"/>
        <w:rPr>
          <w:color w:val="auto"/>
          <w:highlight w:val="none"/>
        </w:rPr>
      </w:pPr>
      <w:r>
        <w:rPr>
          <w:rFonts w:hint="eastAsia"/>
          <w:color w:val="auto"/>
          <w:highlight w:val="none"/>
        </w:rPr>
        <w:t>22.1.4 合同解除后的估价、付款和结清</w:t>
      </w:r>
    </w:p>
    <w:p w14:paraId="5AD36160">
      <w:pPr>
        <w:spacing w:line="360" w:lineRule="auto"/>
        <w:ind w:firstLine="480"/>
        <w:rPr>
          <w:color w:val="auto"/>
          <w:highlight w:val="none"/>
        </w:rPr>
      </w:pPr>
      <w:r>
        <w:rPr>
          <w:rFonts w:hint="eastAsia"/>
          <w:color w:val="auto"/>
          <w:highlight w:val="none"/>
        </w:rPr>
        <w:t xml:space="preserve">（1）合同解除后，监理人按第3.5款商定或确定承包人实际完成工作的价值，以及承包人已提供的材料、施工设备、工程设备和临时工程等的价值。 </w:t>
      </w:r>
    </w:p>
    <w:p w14:paraId="7F475DFC">
      <w:pPr>
        <w:spacing w:line="360" w:lineRule="auto"/>
        <w:ind w:firstLine="480"/>
        <w:rPr>
          <w:color w:val="auto"/>
          <w:highlight w:val="none"/>
        </w:rPr>
      </w:pPr>
      <w:r>
        <w:rPr>
          <w:rFonts w:hint="eastAsia"/>
          <w:color w:val="auto"/>
          <w:highlight w:val="none"/>
        </w:rPr>
        <w:t xml:space="preserve">（2）合同解除后，发包人应暂停对承包人的一切付款，查清各项付款和已扣款金额，包括承包人应支付的违约金。 </w:t>
      </w:r>
    </w:p>
    <w:p w14:paraId="5939EF01">
      <w:pPr>
        <w:spacing w:line="360" w:lineRule="auto"/>
        <w:ind w:firstLine="480"/>
        <w:rPr>
          <w:color w:val="auto"/>
          <w:highlight w:val="none"/>
        </w:rPr>
      </w:pPr>
      <w:r>
        <w:rPr>
          <w:rFonts w:hint="eastAsia"/>
          <w:color w:val="auto"/>
          <w:highlight w:val="none"/>
        </w:rPr>
        <w:t>（3）合同解除后，发包人应按第23.4款的约定向承包人索赔由于解除合同给发包人造成的损失。</w:t>
      </w:r>
    </w:p>
    <w:p w14:paraId="0E86FBE6">
      <w:pPr>
        <w:spacing w:line="360" w:lineRule="auto"/>
        <w:ind w:firstLine="480"/>
        <w:rPr>
          <w:color w:val="auto"/>
          <w:highlight w:val="none"/>
        </w:rPr>
      </w:pPr>
      <w:r>
        <w:rPr>
          <w:rFonts w:hint="eastAsia"/>
          <w:color w:val="auto"/>
          <w:highlight w:val="none"/>
        </w:rPr>
        <w:t>（4）合同双方确认上述往来款项后，出具最终结清付款证书，结清全部合同款项。</w:t>
      </w:r>
    </w:p>
    <w:p w14:paraId="17874549">
      <w:pPr>
        <w:spacing w:line="360" w:lineRule="auto"/>
        <w:ind w:firstLine="480"/>
        <w:rPr>
          <w:color w:val="auto"/>
          <w:highlight w:val="none"/>
        </w:rPr>
      </w:pPr>
      <w:r>
        <w:rPr>
          <w:rFonts w:hint="eastAsia"/>
          <w:color w:val="auto"/>
          <w:highlight w:val="none"/>
        </w:rPr>
        <w:t>（5）发包人和承包人未能就解除合同后的结清达成一致而形成争议的，按第24条的约定办理。</w:t>
      </w:r>
    </w:p>
    <w:p w14:paraId="4F25DEFD">
      <w:pPr>
        <w:spacing w:line="360" w:lineRule="auto"/>
        <w:ind w:firstLine="480"/>
        <w:rPr>
          <w:color w:val="auto"/>
          <w:highlight w:val="none"/>
        </w:rPr>
      </w:pPr>
      <w:r>
        <w:rPr>
          <w:rFonts w:hint="eastAsia"/>
          <w:color w:val="auto"/>
          <w:highlight w:val="none"/>
        </w:rPr>
        <w:t>22.1.5 协议利益的转让</w:t>
      </w:r>
    </w:p>
    <w:p w14:paraId="6523A841">
      <w:pPr>
        <w:spacing w:line="360" w:lineRule="auto"/>
        <w:ind w:firstLine="480"/>
        <w:rPr>
          <w:color w:val="auto"/>
          <w:highlight w:val="none"/>
        </w:rPr>
      </w:pPr>
      <w:r>
        <w:rPr>
          <w:rFonts w:hint="eastAsia"/>
          <w:color w:val="auto"/>
          <w:highlight w:val="none"/>
        </w:rPr>
        <w:t xml:space="preserve">因承包人违约解除合同的，发包人有权要求承包人将其为实施合同而签订的材料和设备的订货协议或任何服务协议利益转让给发包人，并在解除合同后的14天内，依法办理转让手续。 </w:t>
      </w:r>
    </w:p>
    <w:p w14:paraId="1E4EA476">
      <w:pPr>
        <w:spacing w:line="360" w:lineRule="auto"/>
        <w:ind w:firstLine="480"/>
        <w:rPr>
          <w:color w:val="auto"/>
          <w:highlight w:val="none"/>
        </w:rPr>
      </w:pPr>
      <w:r>
        <w:rPr>
          <w:rFonts w:hint="eastAsia"/>
          <w:color w:val="auto"/>
          <w:highlight w:val="none"/>
        </w:rPr>
        <w:t>22.1.6 紧急情况下无能力或不愿进行抢救</w:t>
      </w:r>
    </w:p>
    <w:p w14:paraId="53D748BC">
      <w:pPr>
        <w:spacing w:line="360" w:lineRule="auto"/>
        <w:ind w:firstLine="480"/>
        <w:rPr>
          <w:color w:val="auto"/>
          <w:highlight w:val="none"/>
        </w:rPr>
      </w:pPr>
      <w:r>
        <w:rPr>
          <w:rFonts w:hint="eastAsia"/>
          <w:color w:val="auto"/>
          <w:highlight w:val="none"/>
        </w:rPr>
        <w:t>在工程实施期间或缺陷责任期内发生危及工程安全的事件，监理人通知承包人进行抢救，承包人声明无能力或不愿立即执行的，发包人有权雇佣其他人员进行抢救。此类抢救按合同约定属于承包人义务的，由此发生的金额和（或）工期延误由承包人承担。</w:t>
      </w:r>
    </w:p>
    <w:p w14:paraId="6F52BF08">
      <w:pPr>
        <w:pStyle w:val="190"/>
        <w:rPr>
          <w:color w:val="auto"/>
          <w:highlight w:val="none"/>
        </w:rPr>
      </w:pPr>
      <w:bookmarkStart w:id="345" w:name="_Toc24004"/>
      <w:r>
        <w:rPr>
          <w:rFonts w:hint="eastAsia"/>
          <w:color w:val="auto"/>
          <w:highlight w:val="none"/>
        </w:rPr>
        <w:t>22.2 发包人违约</w:t>
      </w:r>
      <w:bookmarkEnd w:id="341"/>
    </w:p>
    <w:p w14:paraId="53BE5461">
      <w:pPr>
        <w:spacing w:line="360" w:lineRule="auto"/>
        <w:ind w:firstLine="480"/>
        <w:rPr>
          <w:color w:val="auto"/>
          <w:highlight w:val="none"/>
        </w:rPr>
      </w:pPr>
      <w:r>
        <w:rPr>
          <w:rFonts w:hint="eastAsia"/>
          <w:color w:val="auto"/>
          <w:highlight w:val="none"/>
        </w:rPr>
        <w:t>22.2.1 发包人违约的情形</w:t>
      </w:r>
    </w:p>
    <w:p w14:paraId="1B00AA4F">
      <w:pPr>
        <w:spacing w:line="360" w:lineRule="auto"/>
        <w:ind w:firstLine="480"/>
        <w:rPr>
          <w:color w:val="auto"/>
          <w:highlight w:val="none"/>
        </w:rPr>
      </w:pPr>
      <w:r>
        <w:rPr>
          <w:rFonts w:hint="eastAsia"/>
          <w:color w:val="auto"/>
          <w:highlight w:val="none"/>
        </w:rPr>
        <w:t>在履行合同过程中发生的下列情形，属发包人违约：</w:t>
      </w:r>
    </w:p>
    <w:p w14:paraId="2C31DA48">
      <w:pPr>
        <w:spacing w:line="360" w:lineRule="auto"/>
        <w:ind w:firstLine="480"/>
        <w:rPr>
          <w:color w:val="auto"/>
          <w:highlight w:val="none"/>
        </w:rPr>
      </w:pPr>
      <w:r>
        <w:rPr>
          <w:rFonts w:hint="eastAsia"/>
          <w:color w:val="auto"/>
          <w:highlight w:val="none"/>
        </w:rPr>
        <w:t>（1）发包人未能按合同约定支付预付款或合同价款，或拖延、拒绝批准付款申请和支付凭证，导致付款延误的；</w:t>
      </w:r>
    </w:p>
    <w:p w14:paraId="1411173F">
      <w:pPr>
        <w:spacing w:line="360" w:lineRule="auto"/>
        <w:ind w:firstLine="480"/>
        <w:rPr>
          <w:color w:val="auto"/>
          <w:highlight w:val="none"/>
        </w:rPr>
      </w:pPr>
      <w:r>
        <w:rPr>
          <w:rFonts w:hint="eastAsia"/>
          <w:color w:val="auto"/>
          <w:highlight w:val="none"/>
        </w:rPr>
        <w:t>（2）发包人原因造成停工的；</w:t>
      </w:r>
    </w:p>
    <w:p w14:paraId="406FB172">
      <w:pPr>
        <w:spacing w:line="360" w:lineRule="auto"/>
        <w:ind w:firstLine="480"/>
        <w:rPr>
          <w:color w:val="auto"/>
          <w:highlight w:val="none"/>
        </w:rPr>
      </w:pPr>
      <w:r>
        <w:rPr>
          <w:rFonts w:hint="eastAsia"/>
          <w:color w:val="auto"/>
          <w:highlight w:val="none"/>
        </w:rPr>
        <w:t>（3）监理人无正当理由没有在约定期限内发出复工指示，导致承包人无法复工的；</w:t>
      </w:r>
    </w:p>
    <w:p w14:paraId="6ABF6478">
      <w:pPr>
        <w:spacing w:line="360" w:lineRule="auto"/>
        <w:ind w:firstLine="480"/>
        <w:rPr>
          <w:color w:val="auto"/>
          <w:highlight w:val="none"/>
        </w:rPr>
      </w:pPr>
      <w:r>
        <w:rPr>
          <w:rFonts w:hint="eastAsia"/>
          <w:color w:val="auto"/>
          <w:highlight w:val="none"/>
        </w:rPr>
        <w:t>（4）发包人无法继续履行或明确表示不履行或实质上已停止履行合同的；</w:t>
      </w:r>
    </w:p>
    <w:p w14:paraId="2313C929">
      <w:pPr>
        <w:spacing w:line="360" w:lineRule="auto"/>
        <w:ind w:firstLine="480"/>
        <w:rPr>
          <w:color w:val="auto"/>
          <w:highlight w:val="none"/>
        </w:rPr>
      </w:pPr>
      <w:r>
        <w:rPr>
          <w:rFonts w:hint="eastAsia"/>
          <w:color w:val="auto"/>
          <w:highlight w:val="none"/>
        </w:rPr>
        <w:t>（5）发包人不履行合同约定其他义务的。</w:t>
      </w:r>
    </w:p>
    <w:p w14:paraId="7E3FF446">
      <w:pPr>
        <w:spacing w:line="360" w:lineRule="auto"/>
        <w:ind w:firstLine="480"/>
        <w:rPr>
          <w:color w:val="auto"/>
          <w:highlight w:val="none"/>
        </w:rPr>
      </w:pPr>
      <w:r>
        <w:rPr>
          <w:rFonts w:hint="eastAsia"/>
          <w:color w:val="auto"/>
          <w:highlight w:val="none"/>
        </w:rPr>
        <w:t>22.2.2 承包人有权暂停施工</w:t>
      </w:r>
    </w:p>
    <w:p w14:paraId="15D70D67">
      <w:pPr>
        <w:spacing w:line="360" w:lineRule="auto"/>
        <w:ind w:firstLine="480"/>
        <w:rPr>
          <w:color w:val="auto"/>
          <w:highlight w:val="none"/>
        </w:rPr>
      </w:pPr>
      <w:r>
        <w:rPr>
          <w:rFonts w:hint="eastAsia"/>
          <w:color w:val="auto"/>
          <w:highlight w:val="none"/>
        </w:rPr>
        <w:t>发包人发生除第22.2.1（4）目以外的违约情况时，承包人可向发包人发出通知，要求发包人采取有效措施纠正违约行为。发包人收到承包人通知后的28天内仍不履行合同义务，承包人有权暂停施工，并通知监理人，发包人应承担由此增加的费用和（或）工期延误，并支付承包人合理利润。</w:t>
      </w:r>
    </w:p>
    <w:p w14:paraId="01370CD6">
      <w:pPr>
        <w:spacing w:line="360" w:lineRule="auto"/>
        <w:ind w:firstLine="480"/>
        <w:rPr>
          <w:color w:val="auto"/>
          <w:highlight w:val="none"/>
        </w:rPr>
      </w:pPr>
      <w:r>
        <w:rPr>
          <w:rFonts w:hint="eastAsia"/>
          <w:color w:val="auto"/>
          <w:highlight w:val="none"/>
        </w:rPr>
        <w:t xml:space="preserve">22.2.3 发包人违约解除合同 </w:t>
      </w:r>
    </w:p>
    <w:p w14:paraId="16A8D996">
      <w:pPr>
        <w:spacing w:line="360" w:lineRule="auto"/>
        <w:ind w:firstLine="480"/>
        <w:rPr>
          <w:color w:val="auto"/>
          <w:highlight w:val="none"/>
        </w:rPr>
      </w:pPr>
      <w:r>
        <w:rPr>
          <w:rFonts w:hint="eastAsia"/>
          <w:color w:val="auto"/>
          <w:highlight w:val="none"/>
        </w:rPr>
        <w:t xml:space="preserve">（1）发生第22.2.1（4）目的违约情况时，承包人可书面通知发包人解除合同。   </w:t>
      </w:r>
    </w:p>
    <w:p w14:paraId="36F52481">
      <w:pPr>
        <w:spacing w:line="360" w:lineRule="auto"/>
        <w:ind w:firstLine="480"/>
        <w:rPr>
          <w:color w:val="auto"/>
          <w:highlight w:val="none"/>
        </w:rPr>
      </w:pPr>
      <w:r>
        <w:rPr>
          <w:rFonts w:hint="eastAsia"/>
          <w:color w:val="auto"/>
          <w:highlight w:val="none"/>
        </w:rPr>
        <w:t>（2）承包人按22.2.2项暂停施工28天后，发包人仍不纠正违约行为的，承包人可向发包人发出解除合同通知。但承包人的这一行动不免除发包人承担的违约责任，也不影响承包人根据合同约定享有的索赔权利。</w:t>
      </w:r>
    </w:p>
    <w:p w14:paraId="195FD8C6">
      <w:pPr>
        <w:spacing w:line="360" w:lineRule="auto"/>
        <w:ind w:firstLine="480"/>
        <w:rPr>
          <w:color w:val="auto"/>
          <w:highlight w:val="none"/>
        </w:rPr>
      </w:pPr>
      <w:r>
        <w:rPr>
          <w:rFonts w:hint="eastAsia"/>
          <w:color w:val="auto"/>
          <w:highlight w:val="none"/>
        </w:rPr>
        <w:t>22.2.4 解除合同后的付款</w:t>
      </w:r>
    </w:p>
    <w:p w14:paraId="52C343DD">
      <w:pPr>
        <w:spacing w:line="360" w:lineRule="auto"/>
        <w:ind w:firstLine="480"/>
        <w:rPr>
          <w:color w:val="auto"/>
          <w:highlight w:val="none"/>
        </w:rPr>
      </w:pPr>
      <w:r>
        <w:rPr>
          <w:rFonts w:hint="eastAsia"/>
          <w:color w:val="auto"/>
          <w:highlight w:val="none"/>
        </w:rPr>
        <w:t>因发包人违约解除合同的，发包人应在解除合同后28天内向承包人支付下列金额，承包人应在此期限内及时向发包人提交要求支付下列金额的有关资料和凭证：</w:t>
      </w:r>
    </w:p>
    <w:p w14:paraId="21D2DF6D">
      <w:pPr>
        <w:spacing w:line="360" w:lineRule="auto"/>
        <w:ind w:firstLine="480"/>
        <w:rPr>
          <w:color w:val="auto"/>
          <w:highlight w:val="none"/>
        </w:rPr>
      </w:pPr>
      <w:r>
        <w:rPr>
          <w:rFonts w:hint="eastAsia"/>
          <w:color w:val="auto"/>
          <w:highlight w:val="none"/>
        </w:rPr>
        <w:t>（1）合同解除日以前所完成工作的价款；</w:t>
      </w:r>
    </w:p>
    <w:p w14:paraId="2B94F3E2">
      <w:pPr>
        <w:spacing w:line="360" w:lineRule="auto"/>
        <w:ind w:firstLine="480"/>
        <w:rPr>
          <w:color w:val="auto"/>
          <w:highlight w:val="none"/>
        </w:rPr>
      </w:pPr>
      <w:r>
        <w:rPr>
          <w:rFonts w:hint="eastAsia"/>
          <w:color w:val="auto"/>
          <w:highlight w:val="none"/>
        </w:rPr>
        <w:t>（2）承包人为该工程施工订购并已付款的材料、工程设备和其他物品的金额。发包人付还后，该材料、工程设备和其他物品归发包人所有；</w:t>
      </w:r>
    </w:p>
    <w:p w14:paraId="7DE0F00E">
      <w:pPr>
        <w:spacing w:line="360" w:lineRule="auto"/>
        <w:ind w:firstLine="480"/>
        <w:rPr>
          <w:color w:val="auto"/>
          <w:highlight w:val="none"/>
        </w:rPr>
      </w:pPr>
      <w:r>
        <w:rPr>
          <w:rFonts w:hint="eastAsia"/>
          <w:color w:val="auto"/>
          <w:highlight w:val="none"/>
        </w:rPr>
        <w:t>（3）承包人为完成工程所发生的，而发包人未支付的金额；</w:t>
      </w:r>
    </w:p>
    <w:p w14:paraId="292D67AA">
      <w:pPr>
        <w:spacing w:line="360" w:lineRule="auto"/>
        <w:ind w:firstLine="480"/>
        <w:rPr>
          <w:color w:val="auto"/>
          <w:highlight w:val="none"/>
        </w:rPr>
      </w:pPr>
      <w:r>
        <w:rPr>
          <w:rFonts w:hint="eastAsia"/>
          <w:color w:val="auto"/>
          <w:highlight w:val="none"/>
        </w:rPr>
        <w:t>（4）承包人撤离施工场地以及遣散承包人人员的金额；</w:t>
      </w:r>
    </w:p>
    <w:p w14:paraId="1C3CA804">
      <w:pPr>
        <w:spacing w:line="360" w:lineRule="auto"/>
        <w:ind w:firstLine="480"/>
        <w:rPr>
          <w:color w:val="auto"/>
          <w:highlight w:val="none"/>
        </w:rPr>
      </w:pPr>
      <w:r>
        <w:rPr>
          <w:rFonts w:hint="eastAsia"/>
          <w:color w:val="auto"/>
          <w:highlight w:val="none"/>
        </w:rPr>
        <w:t>（5）由于解除合同应赔偿的承包人损失；</w:t>
      </w:r>
    </w:p>
    <w:p w14:paraId="156D304E">
      <w:pPr>
        <w:spacing w:line="360" w:lineRule="auto"/>
        <w:ind w:firstLine="480"/>
        <w:rPr>
          <w:color w:val="auto"/>
          <w:highlight w:val="none"/>
        </w:rPr>
      </w:pPr>
      <w:r>
        <w:rPr>
          <w:rFonts w:hint="eastAsia"/>
          <w:color w:val="auto"/>
          <w:highlight w:val="none"/>
        </w:rPr>
        <w:t>（6）按合同约定在合同解除日前应支付给承包人的其他金额。</w:t>
      </w:r>
    </w:p>
    <w:p w14:paraId="0A81A9AD">
      <w:pPr>
        <w:spacing w:line="360" w:lineRule="auto"/>
        <w:ind w:firstLine="480"/>
        <w:rPr>
          <w:color w:val="auto"/>
          <w:highlight w:val="none"/>
        </w:rPr>
      </w:pPr>
      <w:r>
        <w:rPr>
          <w:rFonts w:hint="eastAsia"/>
          <w:color w:val="auto"/>
          <w:highlight w:val="none"/>
        </w:rPr>
        <w:t>发包人应按本项约定支付上述金额并退还质量保证金和履约担保，但有权要求承包人支付应偿还给发包人的各项金额。</w:t>
      </w:r>
    </w:p>
    <w:p w14:paraId="36D33F06">
      <w:pPr>
        <w:spacing w:line="360" w:lineRule="auto"/>
        <w:ind w:firstLine="480"/>
        <w:rPr>
          <w:color w:val="auto"/>
          <w:highlight w:val="none"/>
        </w:rPr>
      </w:pPr>
      <w:r>
        <w:rPr>
          <w:rFonts w:hint="eastAsia"/>
          <w:color w:val="auto"/>
          <w:highlight w:val="none"/>
        </w:rPr>
        <w:t>22.2.5 解除合同后的承包人撤离</w:t>
      </w:r>
    </w:p>
    <w:p w14:paraId="5F3ABC0A">
      <w:pPr>
        <w:spacing w:line="360" w:lineRule="auto"/>
        <w:ind w:firstLine="480"/>
        <w:rPr>
          <w:color w:val="auto"/>
          <w:highlight w:val="none"/>
        </w:rPr>
      </w:pPr>
      <w:r>
        <w:rPr>
          <w:rFonts w:hint="eastAsia"/>
          <w:color w:val="auto"/>
          <w:highlight w:val="none"/>
        </w:rPr>
        <w:t>因发包人违约而解除合同后，承包人应妥善做好已竣工工程和已购材料、设备的保护和移交工作，按发包人要求将承包人设备和人员撤出施工场地。承包人撤出施工场地应遵守第18.7.1项的约定，发包人应为承包人撤出提供必要条件。</w:t>
      </w:r>
    </w:p>
    <w:p w14:paraId="096DDB7D">
      <w:pPr>
        <w:pStyle w:val="190"/>
        <w:rPr>
          <w:color w:val="auto"/>
          <w:highlight w:val="none"/>
        </w:rPr>
      </w:pPr>
      <w:bookmarkStart w:id="346" w:name="_Toc13746"/>
      <w:r>
        <w:rPr>
          <w:rFonts w:hint="eastAsia"/>
          <w:color w:val="auto"/>
          <w:highlight w:val="none"/>
        </w:rPr>
        <w:t>22.3 第三人造成的违约</w:t>
      </w:r>
      <w:bookmarkEnd w:id="342"/>
    </w:p>
    <w:p w14:paraId="20724A64">
      <w:pPr>
        <w:spacing w:line="360" w:lineRule="auto"/>
        <w:ind w:firstLine="480"/>
        <w:rPr>
          <w:color w:val="auto"/>
          <w:highlight w:val="none"/>
        </w:rPr>
      </w:pPr>
      <w:r>
        <w:rPr>
          <w:rFonts w:hint="eastAsia"/>
          <w:color w:val="auto"/>
          <w:highlight w:val="none"/>
        </w:rPr>
        <w:t>在履行合同过程中，一方当事人因第三人的原因造成违约的，应当向对方当事人承担违约责任。一方当事人和第三人之间的纠纷，依照法律规定或者按照约定解决。</w:t>
      </w:r>
    </w:p>
    <w:p w14:paraId="0A8795F0">
      <w:pPr>
        <w:pStyle w:val="189"/>
        <w:spacing w:before="0" w:after="0" w:line="360" w:lineRule="auto"/>
        <w:rPr>
          <w:color w:val="auto"/>
          <w:highlight w:val="none"/>
        </w:rPr>
      </w:pPr>
      <w:bookmarkStart w:id="347" w:name="_Toc24948"/>
      <w:bookmarkStart w:id="348" w:name="_Toc122424206"/>
      <w:bookmarkStart w:id="349" w:name="_Toc122424455"/>
      <w:r>
        <w:rPr>
          <w:rFonts w:hint="eastAsia"/>
          <w:color w:val="auto"/>
          <w:highlight w:val="none"/>
        </w:rPr>
        <w:t>23. 索赔</w:t>
      </w:r>
      <w:bookmarkEnd w:id="343"/>
      <w:bookmarkEnd w:id="344"/>
      <w:bookmarkEnd w:id="345"/>
    </w:p>
    <w:p w14:paraId="118D6574">
      <w:pPr>
        <w:pStyle w:val="190"/>
        <w:rPr>
          <w:color w:val="auto"/>
          <w:highlight w:val="none"/>
        </w:rPr>
      </w:pPr>
      <w:bookmarkStart w:id="350" w:name="_Toc27577"/>
      <w:r>
        <w:rPr>
          <w:rFonts w:hint="eastAsia"/>
          <w:color w:val="auto"/>
          <w:highlight w:val="none"/>
        </w:rPr>
        <w:t>23.1 承包人索赔的提出</w:t>
      </w:r>
      <w:bookmarkEnd w:id="346"/>
    </w:p>
    <w:p w14:paraId="754A9A85">
      <w:pPr>
        <w:spacing w:line="360" w:lineRule="auto"/>
        <w:ind w:firstLine="480"/>
        <w:rPr>
          <w:color w:val="auto"/>
          <w:highlight w:val="none"/>
        </w:rPr>
      </w:pPr>
      <w:r>
        <w:rPr>
          <w:rFonts w:hint="eastAsia"/>
          <w:color w:val="auto"/>
          <w:highlight w:val="none"/>
        </w:rPr>
        <w:t>根据合同约定，承包人认为有权得到追加付款和（或）延长工期的，应按以下程序向发包人提出索赔：</w:t>
      </w:r>
    </w:p>
    <w:p w14:paraId="2EE32282">
      <w:pPr>
        <w:spacing w:line="360" w:lineRule="auto"/>
        <w:ind w:firstLine="480"/>
        <w:rPr>
          <w:color w:val="auto"/>
          <w:highlight w:val="none"/>
        </w:rPr>
      </w:pPr>
      <w:r>
        <w:rPr>
          <w:rFonts w:hint="eastAsia"/>
          <w:color w:val="auto"/>
          <w:highlight w:val="none"/>
        </w:rPr>
        <w:t>（1）承包人应在知道或应当知道索赔事件发生后28天内，向监理人递交索赔意向通知书，并说明发生索赔事件的事由。承包人未在前述28天内发出索赔意向通知书的，丧失要求追加付款和（或）延长工期的权利；</w:t>
      </w:r>
    </w:p>
    <w:p w14:paraId="3FFEF7D1">
      <w:pPr>
        <w:spacing w:line="360" w:lineRule="auto"/>
        <w:ind w:firstLine="480"/>
        <w:rPr>
          <w:color w:val="auto"/>
          <w:highlight w:val="none"/>
        </w:rPr>
      </w:pPr>
      <w:r>
        <w:rPr>
          <w:rFonts w:hint="eastAsia"/>
          <w:color w:val="auto"/>
          <w:highlight w:val="none"/>
        </w:rPr>
        <w:t>（2）承包人应在发出索赔意向通知书后28天内，向监理人正式递交索赔通知书。索赔通知书应详细说明索赔理由以及要求追加的付款金额和（或）延长的工期，并附必要的记录和证明材料；</w:t>
      </w:r>
    </w:p>
    <w:p w14:paraId="1600C083">
      <w:pPr>
        <w:spacing w:line="360" w:lineRule="auto"/>
        <w:ind w:firstLine="480"/>
        <w:rPr>
          <w:color w:val="auto"/>
          <w:highlight w:val="none"/>
        </w:rPr>
      </w:pPr>
      <w:r>
        <w:rPr>
          <w:rFonts w:hint="eastAsia"/>
          <w:color w:val="auto"/>
          <w:highlight w:val="none"/>
        </w:rPr>
        <w:t>（3）索赔事件具有连续影响的，承包人应按合理时间间隔继续递交延续索赔通知，说明连续影响的实际情况和记录，列出累计的追加付款金额和（或）工期延长天数；</w:t>
      </w:r>
    </w:p>
    <w:p w14:paraId="6B76CD7C">
      <w:pPr>
        <w:spacing w:line="360" w:lineRule="auto"/>
        <w:ind w:firstLine="480"/>
        <w:rPr>
          <w:color w:val="auto"/>
          <w:highlight w:val="none"/>
        </w:rPr>
      </w:pPr>
      <w:r>
        <w:rPr>
          <w:rFonts w:hint="eastAsia"/>
          <w:color w:val="auto"/>
          <w:highlight w:val="none"/>
        </w:rPr>
        <w:t>（4）在索赔事件影响结束后的28天内，承包人应向监理人递交最终索赔通知书，说明最终要求索赔的追加付款金额和延长的工期，并附必要的记录和证明材料。</w:t>
      </w:r>
    </w:p>
    <w:p w14:paraId="4FE5D246">
      <w:pPr>
        <w:pStyle w:val="190"/>
        <w:rPr>
          <w:color w:val="auto"/>
          <w:highlight w:val="none"/>
        </w:rPr>
      </w:pPr>
      <w:bookmarkStart w:id="351" w:name="_Toc27579"/>
      <w:r>
        <w:rPr>
          <w:rFonts w:hint="eastAsia"/>
          <w:color w:val="auto"/>
          <w:highlight w:val="none"/>
        </w:rPr>
        <w:t>23.2 承包人索赔处理程序</w:t>
      </w:r>
      <w:bookmarkEnd w:id="347"/>
    </w:p>
    <w:p w14:paraId="7C18C553">
      <w:pPr>
        <w:spacing w:line="360" w:lineRule="auto"/>
        <w:ind w:firstLine="480"/>
        <w:rPr>
          <w:color w:val="auto"/>
          <w:highlight w:val="none"/>
        </w:rPr>
      </w:pPr>
      <w:r>
        <w:rPr>
          <w:rFonts w:hint="eastAsia"/>
          <w:color w:val="auto"/>
          <w:highlight w:val="none"/>
        </w:rPr>
        <w:t>（1）监理人收到承包人提交的索赔通知书后，应及时审查索赔通知书的内容、查验承包人的记录和证明材料，必要时监理人可要求承包人提交全部原始记录副本。</w:t>
      </w:r>
    </w:p>
    <w:p w14:paraId="1305863B">
      <w:pPr>
        <w:spacing w:line="360" w:lineRule="auto"/>
        <w:ind w:firstLine="480"/>
        <w:rPr>
          <w:color w:val="auto"/>
          <w:highlight w:val="none"/>
        </w:rPr>
      </w:pPr>
      <w:r>
        <w:rPr>
          <w:rFonts w:hint="eastAsia"/>
          <w:color w:val="auto"/>
          <w:highlight w:val="none"/>
        </w:rPr>
        <w:t>（2）监理人应按第3.5款商定或确定追加的付款和（或）延长的工期，并在收到上述索赔通知书或有关索赔的进一步证明材料后的42天内，将索赔处理结果答复承包人。</w:t>
      </w:r>
    </w:p>
    <w:p w14:paraId="02EE26B8">
      <w:pPr>
        <w:spacing w:line="360" w:lineRule="auto"/>
        <w:ind w:firstLine="480"/>
        <w:rPr>
          <w:color w:val="auto"/>
          <w:highlight w:val="none"/>
        </w:rPr>
      </w:pPr>
      <w:r>
        <w:rPr>
          <w:rFonts w:hint="eastAsia"/>
          <w:color w:val="auto"/>
          <w:highlight w:val="none"/>
        </w:rPr>
        <w:t>（3）承包人接受索赔处理结果的，发包人应在作出索赔处理结果答复后28天内完成赔付。承包人不接受索赔处理结果的，按第24条的约定办理。</w:t>
      </w:r>
    </w:p>
    <w:p w14:paraId="093CD73F">
      <w:pPr>
        <w:pStyle w:val="190"/>
        <w:rPr>
          <w:color w:val="auto"/>
          <w:highlight w:val="none"/>
        </w:rPr>
      </w:pPr>
      <w:bookmarkStart w:id="352" w:name="_Toc30968"/>
      <w:r>
        <w:rPr>
          <w:rFonts w:hint="eastAsia"/>
          <w:color w:val="auto"/>
          <w:highlight w:val="none"/>
        </w:rPr>
        <w:t>23.3 承包人提出索赔的期限</w:t>
      </w:r>
      <w:bookmarkEnd w:id="348"/>
    </w:p>
    <w:p w14:paraId="24345B3A">
      <w:pPr>
        <w:spacing w:line="360" w:lineRule="auto"/>
        <w:ind w:firstLine="480"/>
        <w:rPr>
          <w:color w:val="auto"/>
          <w:highlight w:val="none"/>
        </w:rPr>
      </w:pPr>
      <w:r>
        <w:rPr>
          <w:rFonts w:hint="eastAsia"/>
          <w:color w:val="auto"/>
          <w:highlight w:val="none"/>
        </w:rPr>
        <w:t>23.3.1 承包人按第17.5款的约定接受了竣工付款证书后，应被认为已无权再提出在合同工程接收证书颁发前所发生的任何索赔。</w:t>
      </w:r>
    </w:p>
    <w:p w14:paraId="2FE34FB4">
      <w:pPr>
        <w:spacing w:line="360" w:lineRule="auto"/>
        <w:ind w:firstLine="480"/>
        <w:rPr>
          <w:color w:val="auto"/>
          <w:highlight w:val="none"/>
        </w:rPr>
      </w:pPr>
      <w:r>
        <w:rPr>
          <w:rFonts w:hint="eastAsia"/>
          <w:color w:val="auto"/>
          <w:highlight w:val="none"/>
        </w:rPr>
        <w:t xml:space="preserve">23.3.2 承包人按第17.6款的约定提交的最终结清申请单中，只限于提出工程接收证书颁发后发生的索赔。提出索赔的期限自接受最终结清证书时终止。 </w:t>
      </w:r>
    </w:p>
    <w:p w14:paraId="0442C49E">
      <w:pPr>
        <w:pStyle w:val="190"/>
        <w:rPr>
          <w:color w:val="auto"/>
          <w:highlight w:val="none"/>
        </w:rPr>
      </w:pPr>
      <w:bookmarkStart w:id="353" w:name="_Toc11364"/>
      <w:r>
        <w:rPr>
          <w:rFonts w:hint="eastAsia"/>
          <w:color w:val="auto"/>
          <w:highlight w:val="none"/>
        </w:rPr>
        <w:t>23.4 发包人的索赔</w:t>
      </w:r>
      <w:bookmarkEnd w:id="349"/>
    </w:p>
    <w:p w14:paraId="3498BA1A">
      <w:pPr>
        <w:spacing w:line="360" w:lineRule="auto"/>
        <w:ind w:firstLine="480"/>
        <w:rPr>
          <w:color w:val="auto"/>
          <w:highlight w:val="none"/>
        </w:rPr>
      </w:pPr>
      <w:r>
        <w:rPr>
          <w:rFonts w:hint="eastAsia"/>
          <w:color w:val="auto"/>
          <w:highlight w:val="none"/>
        </w:rPr>
        <w:t>23.4.1 发生索赔事件后，监理人应及时书面通知承包人，详细说明发包人有权得到的索赔金额和（或）延长缺陷责任期的细节和依据。发包人提出索赔的期限和要求与第23.3款的约定相同，延长缺陷责任期的通知应在缺陷责任期届满前发出。</w:t>
      </w:r>
    </w:p>
    <w:p w14:paraId="6655ABE5">
      <w:pPr>
        <w:spacing w:line="360" w:lineRule="auto"/>
        <w:ind w:firstLine="480"/>
        <w:rPr>
          <w:color w:val="auto"/>
          <w:highlight w:val="none"/>
        </w:rPr>
      </w:pPr>
      <w:r>
        <w:rPr>
          <w:rFonts w:hint="eastAsia"/>
          <w:color w:val="auto"/>
          <w:highlight w:val="none"/>
        </w:rPr>
        <w:t>23.4.2 监理人按第3.5款商定或确定发包人从承包人处得到赔付的金额和（或）缺陷责任期的延长期。承包人应付给发包人的金额可从拟支付给承包人的合同价款中扣除，或由承包人以其他方式支付给发包人。</w:t>
      </w:r>
    </w:p>
    <w:p w14:paraId="0016B2E8">
      <w:pPr>
        <w:pStyle w:val="189"/>
        <w:spacing w:before="0" w:after="0" w:line="360" w:lineRule="auto"/>
        <w:rPr>
          <w:color w:val="auto"/>
          <w:highlight w:val="none"/>
        </w:rPr>
      </w:pPr>
      <w:bookmarkStart w:id="354" w:name="_Toc14309"/>
      <w:bookmarkStart w:id="355" w:name="_Toc122424456"/>
      <w:bookmarkStart w:id="356" w:name="_Toc122424207"/>
      <w:r>
        <w:rPr>
          <w:rFonts w:hint="eastAsia"/>
          <w:color w:val="auto"/>
          <w:highlight w:val="none"/>
        </w:rPr>
        <w:t>24. 争议的解决</w:t>
      </w:r>
      <w:bookmarkEnd w:id="350"/>
      <w:bookmarkEnd w:id="351"/>
      <w:bookmarkEnd w:id="352"/>
    </w:p>
    <w:p w14:paraId="77344714">
      <w:pPr>
        <w:pStyle w:val="190"/>
        <w:rPr>
          <w:color w:val="auto"/>
          <w:highlight w:val="none"/>
        </w:rPr>
      </w:pPr>
      <w:bookmarkStart w:id="357" w:name="_Toc16006"/>
      <w:r>
        <w:rPr>
          <w:rFonts w:hint="eastAsia"/>
          <w:color w:val="auto"/>
          <w:highlight w:val="none"/>
        </w:rPr>
        <w:t>24.1 争议的解决方式</w:t>
      </w:r>
      <w:bookmarkEnd w:id="353"/>
    </w:p>
    <w:p w14:paraId="077FBC15">
      <w:pPr>
        <w:spacing w:line="360" w:lineRule="auto"/>
        <w:ind w:firstLine="480"/>
        <w:rPr>
          <w:color w:val="auto"/>
          <w:highlight w:val="none"/>
        </w:rPr>
      </w:pPr>
      <w:r>
        <w:rPr>
          <w:rFonts w:hint="eastAsia"/>
          <w:color w:val="auto"/>
          <w:highlight w:val="none"/>
        </w:rPr>
        <w:t>发包人和承包人在履行合同中发生争议的，可以友好协商解决或者提请争议评审组评审。合同当事人友好协商解决不成、不愿提请争议评审或者不接受争议评审组意见的，可在专用合同条款中约定下列一种方式解决。</w:t>
      </w:r>
    </w:p>
    <w:p w14:paraId="43AF1905">
      <w:pPr>
        <w:spacing w:line="360" w:lineRule="auto"/>
        <w:ind w:firstLine="480"/>
        <w:rPr>
          <w:color w:val="auto"/>
          <w:highlight w:val="none"/>
        </w:rPr>
      </w:pPr>
      <w:r>
        <w:rPr>
          <w:rFonts w:hint="eastAsia"/>
          <w:color w:val="auto"/>
          <w:highlight w:val="none"/>
        </w:rPr>
        <w:t>（1）向约定的仲裁委员会申请仲裁；</w:t>
      </w:r>
    </w:p>
    <w:p w14:paraId="7A9BA046">
      <w:pPr>
        <w:spacing w:line="360" w:lineRule="auto"/>
        <w:ind w:firstLine="480"/>
        <w:rPr>
          <w:color w:val="auto"/>
          <w:highlight w:val="none"/>
        </w:rPr>
      </w:pPr>
      <w:r>
        <w:rPr>
          <w:rFonts w:hint="eastAsia"/>
          <w:color w:val="auto"/>
          <w:highlight w:val="none"/>
        </w:rPr>
        <w:t>（2）向有管辖权的人民法院提起诉讼。</w:t>
      </w:r>
    </w:p>
    <w:p w14:paraId="41DB135A">
      <w:pPr>
        <w:pStyle w:val="190"/>
        <w:rPr>
          <w:color w:val="auto"/>
          <w:highlight w:val="none"/>
        </w:rPr>
      </w:pPr>
      <w:bookmarkStart w:id="358" w:name="_Toc8167"/>
      <w:r>
        <w:rPr>
          <w:rFonts w:hint="eastAsia"/>
          <w:color w:val="auto"/>
          <w:highlight w:val="none"/>
        </w:rPr>
        <w:t>24.2 友好解决</w:t>
      </w:r>
      <w:bookmarkEnd w:id="354"/>
    </w:p>
    <w:p w14:paraId="094A41DF">
      <w:pPr>
        <w:spacing w:line="360" w:lineRule="auto"/>
        <w:ind w:firstLine="480"/>
        <w:rPr>
          <w:color w:val="auto"/>
          <w:highlight w:val="none"/>
        </w:rPr>
      </w:pPr>
      <w:r>
        <w:rPr>
          <w:rFonts w:hint="eastAsia"/>
          <w:color w:val="auto"/>
          <w:highlight w:val="none"/>
        </w:rPr>
        <w:t>在提请争议评审、仲裁或者诉讼前，以及在争议评审、仲裁或诉讼过程中，发包人和承包人均可共同努力友好协商解决争议。</w:t>
      </w:r>
    </w:p>
    <w:p w14:paraId="737A4732">
      <w:pPr>
        <w:pStyle w:val="190"/>
        <w:rPr>
          <w:color w:val="auto"/>
          <w:highlight w:val="none"/>
        </w:rPr>
      </w:pPr>
      <w:bookmarkStart w:id="359" w:name="_Toc2540"/>
      <w:r>
        <w:rPr>
          <w:rFonts w:hint="eastAsia"/>
          <w:color w:val="auto"/>
          <w:highlight w:val="none"/>
        </w:rPr>
        <w:t>24.3 争议评审</w:t>
      </w:r>
      <w:bookmarkEnd w:id="355"/>
    </w:p>
    <w:p w14:paraId="7FB69F21">
      <w:pPr>
        <w:spacing w:line="360" w:lineRule="auto"/>
        <w:ind w:firstLine="480"/>
        <w:rPr>
          <w:color w:val="auto"/>
          <w:highlight w:val="none"/>
        </w:rPr>
      </w:pPr>
      <w:r>
        <w:rPr>
          <w:rFonts w:hint="eastAsia"/>
          <w:color w:val="auto"/>
          <w:highlight w:val="none"/>
        </w:rPr>
        <w:t>24.3.1 采用争议评审的，发包人和承包人应在开工日后的28天内或在争议发生后，协商成立争议评审组。争议评审组由有合同管理和工程实践经验的专家组成。</w:t>
      </w:r>
    </w:p>
    <w:p w14:paraId="0C752C87">
      <w:pPr>
        <w:spacing w:line="360" w:lineRule="auto"/>
        <w:ind w:firstLine="480"/>
        <w:rPr>
          <w:color w:val="auto"/>
          <w:highlight w:val="none"/>
        </w:rPr>
      </w:pPr>
      <w:r>
        <w:rPr>
          <w:rFonts w:hint="eastAsia"/>
          <w:color w:val="auto"/>
          <w:highlight w:val="none"/>
        </w:rPr>
        <w:t>24.3.2 合同双方的争议，应首先由申请人向争议评审组提交一份详细的评审申请报告，并附必要的文件、图纸和证明材料，申请人还应将上述报告的副本同时提交给被申请人和监理人。</w:t>
      </w:r>
    </w:p>
    <w:p w14:paraId="143D85AB">
      <w:pPr>
        <w:spacing w:line="360" w:lineRule="auto"/>
        <w:ind w:firstLine="480"/>
        <w:rPr>
          <w:color w:val="auto"/>
          <w:highlight w:val="none"/>
        </w:rPr>
      </w:pPr>
      <w:r>
        <w:rPr>
          <w:rFonts w:hint="eastAsia"/>
          <w:color w:val="auto"/>
          <w:highlight w:val="none"/>
        </w:rPr>
        <w:t>24.3.3 被申请人在收到申请人评审申请报告副本后的28天内，向争议评审组提交一份答辩报告，并附证明材料。被申请人应将答辩报告的副本同时提交给申请人和监理人。</w:t>
      </w:r>
    </w:p>
    <w:p w14:paraId="4B94490C">
      <w:pPr>
        <w:spacing w:line="360" w:lineRule="auto"/>
        <w:ind w:firstLine="480"/>
        <w:rPr>
          <w:color w:val="auto"/>
          <w:highlight w:val="none"/>
        </w:rPr>
      </w:pPr>
      <w:r>
        <w:rPr>
          <w:rFonts w:hint="eastAsia"/>
          <w:color w:val="auto"/>
          <w:highlight w:val="none"/>
        </w:rPr>
        <w:t>24.3.4 除专用合同条款另有约定外，争议评审组在收到合同双方报告后的14天内，邀请双方代表和有关人员举行调查会，向双方调查争议细节；必要时争议评审组可要求双方进一步提供补充材料。</w:t>
      </w:r>
    </w:p>
    <w:p w14:paraId="2C9692ED">
      <w:pPr>
        <w:spacing w:line="360" w:lineRule="auto"/>
        <w:ind w:firstLine="480"/>
        <w:rPr>
          <w:color w:val="auto"/>
          <w:highlight w:val="none"/>
        </w:rPr>
      </w:pPr>
      <w:r>
        <w:rPr>
          <w:rFonts w:hint="eastAsia"/>
          <w:color w:val="auto"/>
          <w:highlight w:val="none"/>
        </w:rPr>
        <w:t>24.3.5 除专用合同条款另有约定外，在调查会结束后的14天内，争议评审组应在不受任何干扰的情况下进行独立、公正的评审，作出书面评审意见，并说明理由。在争议评审期间，争议双方暂按总监理工程师的确定执行。</w:t>
      </w:r>
    </w:p>
    <w:p w14:paraId="6898C000">
      <w:pPr>
        <w:spacing w:line="360" w:lineRule="auto"/>
        <w:ind w:firstLine="480"/>
        <w:rPr>
          <w:color w:val="auto"/>
          <w:highlight w:val="none"/>
        </w:rPr>
      </w:pPr>
      <w:r>
        <w:rPr>
          <w:rFonts w:hint="eastAsia"/>
          <w:color w:val="auto"/>
          <w:highlight w:val="none"/>
        </w:rPr>
        <w:t>24.3.6 发包人和承包人接受评审意见的，由监理人根据评审意见拟定执行协议，经争议双方签字后作为合同的补充文件，并遵照执行。</w:t>
      </w:r>
    </w:p>
    <w:p w14:paraId="55AB37B9">
      <w:pPr>
        <w:widowControl/>
        <w:spacing w:line="360" w:lineRule="auto"/>
        <w:rPr>
          <w:color w:val="auto"/>
          <w:highlight w:val="none"/>
        </w:rPr>
      </w:pPr>
      <w:r>
        <w:rPr>
          <w:rFonts w:hint="eastAsia"/>
          <w:color w:val="auto"/>
          <w:highlight w:val="none"/>
        </w:rPr>
        <w:t>24.3.7 发包人或承包人不接受评审意见，并要求提交仲裁或提起诉讼的，应在收到评审意见后的14天内将仲裁或起诉意向书面通知另一方，并抄送监理人，但在仲裁或诉讼结束前应暂按总监理工程师的确定执行。</w:t>
      </w:r>
    </w:p>
    <w:p w14:paraId="18BB2A39">
      <w:pPr>
        <w:tabs>
          <w:tab w:val="left" w:pos="1080"/>
        </w:tabs>
        <w:spacing w:line="400" w:lineRule="exact"/>
        <w:ind w:firstLine="482"/>
        <w:jc w:val="center"/>
        <w:rPr>
          <w:rFonts w:hint="eastAsia" w:ascii="宋体" w:hAnsi="宋体" w:cs="宋体"/>
          <w:b/>
          <w:color w:val="auto"/>
          <w:szCs w:val="21"/>
          <w:highlight w:val="none"/>
        </w:rPr>
      </w:pPr>
      <w:r>
        <w:rPr>
          <w:color w:val="auto"/>
          <w:highlight w:val="none"/>
        </w:rPr>
        <w:br w:type="page" w:clear="all"/>
      </w:r>
      <w:bookmarkEnd w:id="356"/>
      <w:bookmarkEnd w:id="357"/>
      <w:bookmarkEnd w:id="358"/>
      <w:bookmarkEnd w:id="359"/>
    </w:p>
    <w:p w14:paraId="154BD911">
      <w:pPr>
        <w:pStyle w:val="189"/>
        <w:ind w:firstLine="422"/>
        <w:jc w:val="center"/>
        <w:rPr>
          <w:rFonts w:hint="eastAsia" w:ascii="宋体" w:hAnsi="宋体" w:cs="宋体"/>
          <w:color w:val="auto"/>
          <w:highlight w:val="none"/>
        </w:rPr>
      </w:pPr>
      <w:bookmarkStart w:id="360" w:name="_Toc508779703"/>
      <w:bookmarkStart w:id="361" w:name="_Toc517163146"/>
      <w:bookmarkStart w:id="362" w:name="_Toc514759026"/>
      <w:bookmarkStart w:id="363" w:name="_Toc15755"/>
      <w:bookmarkStart w:id="364" w:name="_Toc511595187"/>
      <w:bookmarkStart w:id="365" w:name="_Toc394929412"/>
      <w:r>
        <w:rPr>
          <w:rFonts w:ascii="宋体" w:hAnsi="宋体" w:cs="宋体"/>
          <w:color w:val="auto"/>
          <w:highlight w:val="none"/>
        </w:rPr>
        <w:t>第二节  专用合同条款</w:t>
      </w:r>
      <w:bookmarkEnd w:id="360"/>
      <w:bookmarkEnd w:id="361"/>
      <w:bookmarkEnd w:id="362"/>
      <w:bookmarkEnd w:id="363"/>
      <w:bookmarkEnd w:id="364"/>
      <w:bookmarkEnd w:id="365"/>
    </w:p>
    <w:p w14:paraId="1E379A44">
      <w:pPr>
        <w:keepNext/>
        <w:keepLines/>
        <w:spacing w:line="360" w:lineRule="auto"/>
        <w:outlineLvl w:val="1"/>
        <w:rPr>
          <w:rFonts w:ascii="Cambria" w:hAnsi="Cambria"/>
          <w:b/>
          <w:bCs/>
          <w:color w:val="auto"/>
          <w:sz w:val="32"/>
          <w:szCs w:val="32"/>
          <w:highlight w:val="none"/>
        </w:rPr>
      </w:pPr>
      <w:bookmarkStart w:id="366" w:name="_Toc26847"/>
      <w:bookmarkStart w:id="367" w:name="_Toc25648"/>
      <w:bookmarkStart w:id="368" w:name="_Toc122424209"/>
      <w:bookmarkStart w:id="369" w:name="_Toc122424458"/>
      <w:r>
        <w:rPr>
          <w:rFonts w:hint="eastAsia" w:ascii="Cambria" w:hAnsi="Cambria"/>
          <w:b/>
          <w:bCs/>
          <w:color w:val="auto"/>
          <w:sz w:val="32"/>
          <w:szCs w:val="32"/>
          <w:highlight w:val="none"/>
        </w:rPr>
        <w:t>A.公路工程专用合同条款</w:t>
      </w:r>
      <w:bookmarkEnd w:id="366"/>
      <w:bookmarkEnd w:id="367"/>
      <w:bookmarkEnd w:id="368"/>
      <w:bookmarkEnd w:id="369"/>
    </w:p>
    <w:p w14:paraId="7B7EB8A9">
      <w:pPr>
        <w:keepNext/>
        <w:keepLines/>
        <w:spacing w:line="360" w:lineRule="auto"/>
        <w:outlineLvl w:val="2"/>
        <w:rPr>
          <w:b/>
          <w:bCs/>
          <w:color w:val="auto"/>
          <w:sz w:val="32"/>
          <w:szCs w:val="32"/>
          <w:highlight w:val="none"/>
        </w:rPr>
      </w:pPr>
      <w:bookmarkStart w:id="370" w:name="_Toc122424210"/>
      <w:bookmarkStart w:id="371" w:name="_Toc122424459"/>
      <w:bookmarkStart w:id="372" w:name="_Toc11744"/>
      <w:r>
        <w:rPr>
          <w:rFonts w:hint="eastAsia"/>
          <w:b/>
          <w:bCs/>
          <w:color w:val="auto"/>
          <w:sz w:val="32"/>
          <w:szCs w:val="32"/>
          <w:highlight w:val="none"/>
        </w:rPr>
        <w:t>1.一般约定</w:t>
      </w:r>
      <w:bookmarkEnd w:id="370"/>
      <w:bookmarkEnd w:id="371"/>
      <w:bookmarkEnd w:id="372"/>
    </w:p>
    <w:p w14:paraId="6D6B03A8">
      <w:pPr>
        <w:keepNext/>
        <w:keepLines/>
        <w:spacing w:line="360" w:lineRule="auto"/>
        <w:outlineLvl w:val="3"/>
        <w:rPr>
          <w:rFonts w:ascii="Arial" w:hAnsi="Arial"/>
          <w:b/>
          <w:bCs/>
          <w:color w:val="auto"/>
          <w:sz w:val="28"/>
          <w:szCs w:val="28"/>
          <w:highlight w:val="none"/>
        </w:rPr>
      </w:pPr>
      <w:bookmarkStart w:id="373" w:name="_Toc32051"/>
      <w:r>
        <w:rPr>
          <w:rFonts w:hint="eastAsia" w:ascii="Arial" w:hAnsi="Arial"/>
          <w:b/>
          <w:bCs/>
          <w:color w:val="auto"/>
          <w:sz w:val="28"/>
          <w:szCs w:val="28"/>
          <w:highlight w:val="none"/>
        </w:rPr>
        <w:t>1.1词语定义</w:t>
      </w:r>
      <w:bookmarkEnd w:id="373"/>
    </w:p>
    <w:p w14:paraId="1AA1A784">
      <w:pPr>
        <w:keepNext/>
        <w:keepLines/>
        <w:spacing w:line="360" w:lineRule="auto"/>
        <w:ind w:firstLine="482"/>
        <w:outlineLvl w:val="4"/>
        <w:rPr>
          <w:b/>
          <w:bCs/>
          <w:color w:val="auto"/>
          <w:sz w:val="28"/>
          <w:szCs w:val="28"/>
          <w:highlight w:val="none"/>
        </w:rPr>
      </w:pPr>
      <w:r>
        <w:rPr>
          <w:rFonts w:hint="eastAsia"/>
          <w:b/>
          <w:bCs/>
          <w:color w:val="auto"/>
          <w:sz w:val="28"/>
          <w:szCs w:val="28"/>
          <w:highlight w:val="none"/>
        </w:rPr>
        <w:t>1.1.1 合同</w:t>
      </w:r>
    </w:p>
    <w:p w14:paraId="4F6BCA4C">
      <w:pPr>
        <w:spacing w:line="360" w:lineRule="auto"/>
        <w:ind w:firstLine="480"/>
        <w:rPr>
          <w:color w:val="auto"/>
          <w:highlight w:val="none"/>
        </w:rPr>
      </w:pPr>
      <w:r>
        <w:rPr>
          <w:rFonts w:hint="eastAsia"/>
          <w:color w:val="auto"/>
          <w:highlight w:val="none"/>
        </w:rPr>
        <w:t>第 1.1.1.6 目细化为：</w:t>
      </w:r>
    </w:p>
    <w:p w14:paraId="02780EE3">
      <w:pPr>
        <w:spacing w:line="360" w:lineRule="auto"/>
        <w:ind w:firstLine="480"/>
        <w:rPr>
          <w:color w:val="auto"/>
          <w:highlight w:val="none"/>
        </w:rPr>
      </w:pPr>
      <w:r>
        <w:rPr>
          <w:rFonts w:hint="eastAsia"/>
          <w:color w:val="auto"/>
          <w:highlight w:val="none"/>
        </w:rPr>
        <w:t>技术规范：指本合同所约定的技术标准和要求，是合同文件的组成部分。通用合同条款中“技术标准和要求”一词具有相同含义。</w:t>
      </w:r>
    </w:p>
    <w:p w14:paraId="05E4B99A">
      <w:pPr>
        <w:spacing w:line="360" w:lineRule="auto"/>
        <w:ind w:firstLine="480"/>
        <w:rPr>
          <w:color w:val="auto"/>
          <w:highlight w:val="none"/>
        </w:rPr>
      </w:pPr>
      <w:r>
        <w:rPr>
          <w:rFonts w:hint="eastAsia"/>
          <w:color w:val="auto"/>
          <w:highlight w:val="none"/>
        </w:rPr>
        <w:t>第 1.1.1.8 目细化为：</w:t>
      </w:r>
    </w:p>
    <w:p w14:paraId="0E1AD861">
      <w:pPr>
        <w:spacing w:line="360" w:lineRule="auto"/>
        <w:ind w:firstLine="480"/>
        <w:rPr>
          <w:color w:val="auto"/>
          <w:highlight w:val="none"/>
        </w:rPr>
      </w:pPr>
      <w:r>
        <w:rPr>
          <w:rFonts w:hint="eastAsia"/>
          <w:color w:val="auto"/>
          <w:highlight w:val="none"/>
        </w:rPr>
        <w:t>已标价工程量清单：指构成合同文件组成部分的已标明价格、经算术性错误修正及其他错误修正（如有）且承包人已确认的最终的工程量清单，包括工程量清单说明、投标报价说明、计日工说明、其他说明及工程量清单各项表格（工程量清单表 5.1～表 5.5）。</w:t>
      </w:r>
    </w:p>
    <w:p w14:paraId="4469D5C2">
      <w:pPr>
        <w:spacing w:line="360" w:lineRule="auto"/>
        <w:ind w:firstLine="480"/>
        <w:rPr>
          <w:color w:val="auto"/>
          <w:highlight w:val="none"/>
        </w:rPr>
      </w:pPr>
      <w:r>
        <w:rPr>
          <w:rFonts w:hint="eastAsia"/>
          <w:color w:val="auto"/>
          <w:highlight w:val="none"/>
        </w:rPr>
        <w:t>本项补充第 1.1.1.10 目：</w:t>
      </w:r>
    </w:p>
    <w:p w14:paraId="1F85CCF8">
      <w:pPr>
        <w:spacing w:line="360" w:lineRule="auto"/>
        <w:ind w:firstLine="480"/>
        <w:rPr>
          <w:color w:val="auto"/>
          <w:highlight w:val="none"/>
        </w:rPr>
      </w:pPr>
      <w:r>
        <w:rPr>
          <w:rFonts w:hint="eastAsia"/>
          <w:color w:val="auto"/>
          <w:highlight w:val="none"/>
        </w:rPr>
        <w:t>1.1.1.10 补遗书：指发出竞争性磋商文件之后由采购人向已取得竞争性磋商的采购人发出的、编号的对竞争性磋商所作的澄清、修改书。</w:t>
      </w:r>
    </w:p>
    <w:p w14:paraId="33143FDD">
      <w:pPr>
        <w:keepNext/>
        <w:keepLines/>
        <w:spacing w:line="360" w:lineRule="auto"/>
        <w:ind w:firstLine="482"/>
        <w:outlineLvl w:val="4"/>
        <w:rPr>
          <w:b/>
          <w:bCs/>
          <w:color w:val="auto"/>
          <w:sz w:val="28"/>
          <w:szCs w:val="28"/>
          <w:highlight w:val="none"/>
        </w:rPr>
      </w:pPr>
      <w:r>
        <w:rPr>
          <w:rFonts w:hint="eastAsia"/>
          <w:b/>
          <w:bCs/>
          <w:color w:val="auto"/>
          <w:sz w:val="28"/>
          <w:szCs w:val="28"/>
          <w:highlight w:val="none"/>
        </w:rPr>
        <w:t>1.1.2合同当事人和人员</w:t>
      </w:r>
    </w:p>
    <w:p w14:paraId="5B4AD8D1">
      <w:pPr>
        <w:spacing w:line="360" w:lineRule="auto"/>
        <w:ind w:firstLine="480"/>
        <w:rPr>
          <w:color w:val="auto"/>
          <w:highlight w:val="none"/>
        </w:rPr>
      </w:pPr>
      <w:r>
        <w:rPr>
          <w:rFonts w:hint="eastAsia"/>
          <w:color w:val="auto"/>
          <w:highlight w:val="none"/>
        </w:rPr>
        <w:t>本项补充第 1.1.2.8 目：</w:t>
      </w:r>
    </w:p>
    <w:p w14:paraId="2BE08A17">
      <w:pPr>
        <w:spacing w:line="360" w:lineRule="auto"/>
        <w:ind w:firstLine="480"/>
        <w:rPr>
          <w:color w:val="auto"/>
          <w:highlight w:val="none"/>
        </w:rPr>
      </w:pPr>
      <w:r>
        <w:rPr>
          <w:rFonts w:hint="eastAsia"/>
          <w:color w:val="auto"/>
          <w:highlight w:val="none"/>
        </w:rPr>
        <w:t>1.1.2.8 承包人项目总工：指由承包人书面委派常驻现场负责管理本合同工程的总工程师或技术总负责人。</w:t>
      </w:r>
    </w:p>
    <w:p w14:paraId="6C3A29A8">
      <w:pPr>
        <w:keepNext/>
        <w:keepLines/>
        <w:spacing w:line="360" w:lineRule="auto"/>
        <w:ind w:firstLine="482"/>
        <w:outlineLvl w:val="4"/>
        <w:rPr>
          <w:b/>
          <w:bCs/>
          <w:color w:val="auto"/>
          <w:sz w:val="28"/>
          <w:szCs w:val="28"/>
          <w:highlight w:val="none"/>
        </w:rPr>
      </w:pPr>
      <w:r>
        <w:rPr>
          <w:rFonts w:hint="eastAsia"/>
          <w:b/>
          <w:bCs/>
          <w:color w:val="auto"/>
          <w:sz w:val="28"/>
          <w:szCs w:val="28"/>
          <w:highlight w:val="none"/>
        </w:rPr>
        <w:t>1.1.3工程和设备</w:t>
      </w:r>
    </w:p>
    <w:p w14:paraId="630F4BA4">
      <w:pPr>
        <w:spacing w:line="360" w:lineRule="auto"/>
        <w:ind w:firstLine="480"/>
        <w:rPr>
          <w:color w:val="auto"/>
          <w:highlight w:val="none"/>
        </w:rPr>
      </w:pPr>
      <w:r>
        <w:rPr>
          <w:rFonts w:hint="eastAsia"/>
          <w:color w:val="auto"/>
          <w:highlight w:val="none"/>
        </w:rPr>
        <w:t>第 1.1.3.4 目细化为：</w:t>
      </w:r>
    </w:p>
    <w:p w14:paraId="1463675B">
      <w:pPr>
        <w:spacing w:line="360" w:lineRule="auto"/>
        <w:ind w:firstLine="480"/>
        <w:rPr>
          <w:color w:val="auto"/>
          <w:highlight w:val="none"/>
        </w:rPr>
      </w:pPr>
      <w:r>
        <w:rPr>
          <w:rFonts w:hint="eastAsia"/>
          <w:color w:val="auto"/>
          <w:highlight w:val="none"/>
        </w:rPr>
        <w:t>单位工程：指在建设项目中，根据签订的合同，具有独立施工条件的工程。</w:t>
      </w:r>
    </w:p>
    <w:p w14:paraId="691BFE41">
      <w:pPr>
        <w:spacing w:line="360" w:lineRule="auto"/>
        <w:ind w:firstLine="480"/>
        <w:rPr>
          <w:color w:val="auto"/>
          <w:highlight w:val="none"/>
        </w:rPr>
      </w:pPr>
      <w:r>
        <w:rPr>
          <w:rFonts w:hint="eastAsia"/>
          <w:color w:val="auto"/>
          <w:highlight w:val="none"/>
        </w:rPr>
        <w:t>第 1.1.3.10 目细化为：</w:t>
      </w:r>
    </w:p>
    <w:p w14:paraId="54418C60">
      <w:pPr>
        <w:spacing w:line="360" w:lineRule="auto"/>
        <w:ind w:firstLine="480"/>
        <w:rPr>
          <w:color w:val="auto"/>
          <w:highlight w:val="none"/>
        </w:rPr>
      </w:pPr>
      <w:r>
        <w:rPr>
          <w:rFonts w:hint="eastAsia"/>
          <w:color w:val="auto"/>
          <w:highlight w:val="none"/>
        </w:rPr>
        <w:t>永久占地：指为实施本合同工程而需要的一切永久占用的土地，包括公路两侧路权范围内的用地。</w:t>
      </w:r>
    </w:p>
    <w:p w14:paraId="1403F244">
      <w:pPr>
        <w:spacing w:line="360" w:lineRule="auto"/>
        <w:ind w:firstLine="480"/>
        <w:rPr>
          <w:color w:val="auto"/>
          <w:highlight w:val="none"/>
        </w:rPr>
      </w:pPr>
      <w:r>
        <w:rPr>
          <w:rFonts w:hint="eastAsia"/>
          <w:color w:val="auto"/>
          <w:highlight w:val="none"/>
        </w:rPr>
        <w:t>第 1.1.3.11 目细化为：</w:t>
      </w:r>
    </w:p>
    <w:p w14:paraId="35CD0F36">
      <w:pPr>
        <w:spacing w:line="360" w:lineRule="auto"/>
        <w:ind w:firstLine="480"/>
        <w:rPr>
          <w:color w:val="auto"/>
          <w:highlight w:val="none"/>
        </w:rPr>
      </w:pPr>
      <w:r>
        <w:rPr>
          <w:rFonts w:hint="eastAsia"/>
          <w:color w:val="auto"/>
          <w:highlight w:val="none"/>
        </w:rPr>
        <w:t>临时占地：指为实施本合同工程而需要的一切临时占用的土地，包括施工所用的临时支线、便道、便桥和现场的临时出入通道，以及生产（办公）、生活等临时设施用地等。</w:t>
      </w:r>
    </w:p>
    <w:p w14:paraId="52435F02">
      <w:pPr>
        <w:spacing w:line="360" w:lineRule="auto"/>
        <w:ind w:firstLine="480"/>
        <w:rPr>
          <w:color w:val="auto"/>
          <w:highlight w:val="none"/>
        </w:rPr>
      </w:pPr>
      <w:r>
        <w:rPr>
          <w:rFonts w:hint="eastAsia"/>
          <w:color w:val="auto"/>
          <w:highlight w:val="none"/>
        </w:rPr>
        <w:t>本项补充第 1.1.3.12 目、第 1.1.3.13 目：</w:t>
      </w:r>
    </w:p>
    <w:p w14:paraId="5D9437A1">
      <w:pPr>
        <w:spacing w:line="360" w:lineRule="auto"/>
        <w:ind w:firstLine="480"/>
        <w:rPr>
          <w:color w:val="auto"/>
          <w:highlight w:val="none"/>
        </w:rPr>
      </w:pPr>
      <w:r>
        <w:rPr>
          <w:rFonts w:hint="eastAsia"/>
          <w:color w:val="auto"/>
          <w:highlight w:val="none"/>
        </w:rPr>
        <w:t>1.1.3.12分部工程：指在单位工程中，按结构部位、路段长度及施工特点或施工任务划分的若干个工程。</w:t>
      </w:r>
    </w:p>
    <w:p w14:paraId="7C2F9A26">
      <w:pPr>
        <w:spacing w:line="360" w:lineRule="auto"/>
        <w:ind w:firstLine="480"/>
        <w:rPr>
          <w:color w:val="auto"/>
          <w:highlight w:val="none"/>
        </w:rPr>
      </w:pPr>
      <w:r>
        <w:rPr>
          <w:rFonts w:hint="eastAsia"/>
          <w:color w:val="auto"/>
          <w:highlight w:val="none"/>
        </w:rPr>
        <w:t>1.1.3.13分项工程：指在分部工程中，按不同的施工方法、材料、工序及路段长度等划分的若干个工程。</w:t>
      </w:r>
    </w:p>
    <w:p w14:paraId="6ECA9210">
      <w:pPr>
        <w:keepNext/>
        <w:keepLines/>
        <w:spacing w:line="360" w:lineRule="auto"/>
        <w:ind w:firstLine="482"/>
        <w:outlineLvl w:val="4"/>
        <w:rPr>
          <w:b/>
          <w:bCs/>
          <w:color w:val="auto"/>
          <w:sz w:val="28"/>
          <w:szCs w:val="28"/>
          <w:highlight w:val="none"/>
        </w:rPr>
      </w:pPr>
      <w:r>
        <w:rPr>
          <w:rFonts w:hint="eastAsia"/>
          <w:b/>
          <w:bCs/>
          <w:color w:val="auto"/>
          <w:sz w:val="28"/>
          <w:szCs w:val="28"/>
          <w:highlight w:val="none"/>
        </w:rPr>
        <w:t>1.1.6 其他</w:t>
      </w:r>
    </w:p>
    <w:p w14:paraId="0B58FFA5">
      <w:pPr>
        <w:spacing w:line="360" w:lineRule="auto"/>
        <w:ind w:firstLine="480"/>
        <w:rPr>
          <w:color w:val="auto"/>
          <w:highlight w:val="none"/>
        </w:rPr>
      </w:pPr>
      <w:r>
        <w:rPr>
          <w:rFonts w:hint="eastAsia"/>
          <w:color w:val="auto"/>
          <w:highlight w:val="none"/>
        </w:rPr>
        <w:t>本项补充第 1.1.6.2 目～第 1.1.6.9 目：</w:t>
      </w:r>
    </w:p>
    <w:p w14:paraId="16A60BEE">
      <w:pPr>
        <w:spacing w:line="360" w:lineRule="auto"/>
        <w:ind w:firstLine="480"/>
        <w:rPr>
          <w:color w:val="auto"/>
          <w:highlight w:val="none"/>
        </w:rPr>
      </w:pPr>
      <w:r>
        <w:rPr>
          <w:rFonts w:hint="eastAsia"/>
          <w:color w:val="auto"/>
          <w:highlight w:val="none"/>
        </w:rPr>
        <w:t>1.1.6.2竣工验收：指《公路工程竣（交）工验收办法》中的竣工验收。通用合同条款中“国家验收”一词具有相同含义。</w:t>
      </w:r>
    </w:p>
    <w:p w14:paraId="58090137">
      <w:pPr>
        <w:spacing w:line="360" w:lineRule="auto"/>
        <w:ind w:firstLine="480"/>
        <w:rPr>
          <w:color w:val="auto"/>
          <w:highlight w:val="none"/>
        </w:rPr>
      </w:pPr>
      <w:r>
        <w:rPr>
          <w:rFonts w:hint="eastAsia"/>
          <w:color w:val="auto"/>
          <w:highlight w:val="none"/>
        </w:rPr>
        <w:t>1.1.6.3交工：指《公路工程竣（交）工验收办法》中的交工。通用合同条款中“竣工”一词具有相同含义。</w:t>
      </w:r>
    </w:p>
    <w:p w14:paraId="55F5CB02">
      <w:pPr>
        <w:spacing w:line="360" w:lineRule="auto"/>
        <w:ind w:firstLine="480"/>
        <w:rPr>
          <w:color w:val="auto"/>
          <w:highlight w:val="none"/>
        </w:rPr>
      </w:pPr>
      <w:r>
        <w:rPr>
          <w:rFonts w:hint="eastAsia"/>
          <w:color w:val="auto"/>
          <w:highlight w:val="none"/>
        </w:rPr>
        <w:t>1.1.6.4交工验收：指《公路工程竣（交）工验收办法》中的交工验收。通用合同条款中“竣工验收”一词具有相同含义。</w:t>
      </w:r>
    </w:p>
    <w:p w14:paraId="12A86982">
      <w:pPr>
        <w:spacing w:line="360" w:lineRule="auto"/>
        <w:ind w:firstLine="480"/>
        <w:rPr>
          <w:color w:val="auto"/>
          <w:highlight w:val="none"/>
        </w:rPr>
      </w:pPr>
      <w:r>
        <w:rPr>
          <w:rFonts w:hint="eastAsia"/>
          <w:color w:val="auto"/>
          <w:highlight w:val="none"/>
        </w:rPr>
        <w:t>1.1.6.5交工验收证书：指《公路工程竣（交）工验收办法》中的交工验收证书。通用合同条款中“工程接收证书”一词具有相同含义。</w:t>
      </w:r>
    </w:p>
    <w:p w14:paraId="22C61366">
      <w:pPr>
        <w:spacing w:line="360" w:lineRule="auto"/>
        <w:ind w:firstLine="480"/>
        <w:rPr>
          <w:color w:val="auto"/>
          <w:highlight w:val="none"/>
        </w:rPr>
      </w:pPr>
      <w:r>
        <w:rPr>
          <w:rFonts w:hint="eastAsia"/>
          <w:color w:val="auto"/>
          <w:highlight w:val="none"/>
        </w:rPr>
        <w:t>1.1.6.6转包：指承包人违反法律和不履行合同规定的责任和义务，将中标工程全部委托或以专业分包的名义将中标工程肢解后全部委托给其他施工企业施工的行为。</w:t>
      </w:r>
    </w:p>
    <w:p w14:paraId="1D29E3AA">
      <w:pPr>
        <w:spacing w:line="360" w:lineRule="auto"/>
        <w:ind w:firstLine="480"/>
        <w:rPr>
          <w:color w:val="auto"/>
          <w:highlight w:val="none"/>
        </w:rPr>
      </w:pPr>
      <w:r>
        <w:rPr>
          <w:rFonts w:hint="eastAsia"/>
          <w:color w:val="auto"/>
          <w:highlight w:val="none"/>
        </w:rPr>
        <w:t>1.1.6.7专业分包：指承包人与具有相应资格的施工企业签订专业分包合同， 由分包人承担承包人委托的分部工程、分项工程或适合专业化队伍施工的其他工程， 整体结算，并能独立控制工程质量、施工进度、材料采购、生产安全的施工行为。</w:t>
      </w:r>
    </w:p>
    <w:p w14:paraId="6B0B7E2B">
      <w:pPr>
        <w:spacing w:line="360" w:lineRule="auto"/>
        <w:ind w:firstLine="480"/>
        <w:rPr>
          <w:color w:val="auto"/>
          <w:highlight w:val="none"/>
        </w:rPr>
      </w:pPr>
      <w:r>
        <w:rPr>
          <w:rFonts w:hint="eastAsia"/>
          <w:color w:val="auto"/>
          <w:highlight w:val="none"/>
        </w:rPr>
        <w:t>1.1.6.8劳务分包：指承包人与具有施工劳务资质的劳务企业签订劳务分包合同，由劳务企业提供劳务人员及机具，由承包人统一组织施工、统一控制工程质量、施工进度、材料采购、生产安全的施工行为。</w:t>
      </w:r>
    </w:p>
    <w:p w14:paraId="5A4B2A77">
      <w:pPr>
        <w:spacing w:line="360" w:lineRule="auto"/>
        <w:ind w:firstLine="480"/>
        <w:rPr>
          <w:color w:val="auto"/>
          <w:highlight w:val="none"/>
        </w:rPr>
      </w:pPr>
      <w:r>
        <w:rPr>
          <w:rFonts w:hint="eastAsia"/>
          <w:color w:val="auto"/>
          <w:highlight w:val="none"/>
        </w:rPr>
        <w:t>1.1.6.9雇用民工：指承包人与具有相应劳动能力的自然人签订劳动合同，由承包人统一组织管理，从事分项工程施工或配套工程施工的行为。</w:t>
      </w:r>
    </w:p>
    <w:p w14:paraId="6B7D7281">
      <w:pPr>
        <w:keepNext/>
        <w:keepLines/>
        <w:spacing w:line="360" w:lineRule="auto"/>
        <w:outlineLvl w:val="3"/>
        <w:rPr>
          <w:rFonts w:ascii="Arial" w:hAnsi="Arial"/>
          <w:b/>
          <w:bCs/>
          <w:color w:val="auto"/>
          <w:sz w:val="28"/>
          <w:szCs w:val="28"/>
          <w:highlight w:val="none"/>
        </w:rPr>
      </w:pPr>
      <w:bookmarkStart w:id="374" w:name="_Toc6501"/>
      <w:r>
        <w:rPr>
          <w:rFonts w:hint="eastAsia" w:ascii="Arial" w:hAnsi="Arial"/>
          <w:b/>
          <w:bCs/>
          <w:color w:val="auto"/>
          <w:sz w:val="28"/>
          <w:szCs w:val="28"/>
          <w:highlight w:val="none"/>
        </w:rPr>
        <w:t>1.4合同文件的优先顺序</w:t>
      </w:r>
      <w:bookmarkEnd w:id="374"/>
    </w:p>
    <w:p w14:paraId="7FA6134E">
      <w:pPr>
        <w:spacing w:line="360" w:lineRule="auto"/>
        <w:ind w:firstLine="480"/>
        <w:rPr>
          <w:color w:val="auto"/>
          <w:highlight w:val="none"/>
        </w:rPr>
      </w:pPr>
      <w:r>
        <w:rPr>
          <w:rFonts w:hint="eastAsia"/>
          <w:color w:val="auto"/>
          <w:highlight w:val="none"/>
        </w:rPr>
        <w:t>本款约定为：</w:t>
      </w:r>
    </w:p>
    <w:p w14:paraId="1EF74371">
      <w:pPr>
        <w:spacing w:line="360" w:lineRule="auto"/>
        <w:ind w:firstLine="480"/>
        <w:rPr>
          <w:color w:val="auto"/>
          <w:highlight w:val="none"/>
        </w:rPr>
      </w:pPr>
      <w:r>
        <w:rPr>
          <w:rFonts w:hint="eastAsia"/>
          <w:color w:val="auto"/>
          <w:highlight w:val="none"/>
        </w:rPr>
        <w:t>组成合同的各项文件应互相解释，互为说明。除项目专用合同条款另有约定外，解释合同文件的优先顺序如下：</w:t>
      </w:r>
    </w:p>
    <w:p w14:paraId="189843F2">
      <w:pPr>
        <w:spacing w:line="360" w:lineRule="auto"/>
        <w:ind w:firstLine="480"/>
        <w:rPr>
          <w:color w:val="auto"/>
          <w:highlight w:val="none"/>
        </w:rPr>
      </w:pPr>
      <w:r>
        <w:rPr>
          <w:rFonts w:hint="eastAsia"/>
          <w:color w:val="auto"/>
          <w:highlight w:val="none"/>
        </w:rPr>
        <w:t>（1）合同协议书及各种合同附件（含评标期间和合同谈判过程中的澄清文件和补充资料）；</w:t>
      </w:r>
    </w:p>
    <w:p w14:paraId="6A6FD899">
      <w:pPr>
        <w:spacing w:line="360" w:lineRule="auto"/>
        <w:ind w:firstLine="480"/>
        <w:rPr>
          <w:color w:val="auto"/>
          <w:highlight w:val="none"/>
        </w:rPr>
      </w:pPr>
      <w:r>
        <w:rPr>
          <w:rFonts w:hint="eastAsia"/>
          <w:color w:val="auto"/>
          <w:highlight w:val="none"/>
        </w:rPr>
        <w:t>（2）成交通知书；</w:t>
      </w:r>
    </w:p>
    <w:p w14:paraId="5B7750A4">
      <w:pPr>
        <w:spacing w:line="360" w:lineRule="auto"/>
        <w:ind w:firstLine="480"/>
        <w:rPr>
          <w:color w:val="auto"/>
          <w:highlight w:val="none"/>
        </w:rPr>
      </w:pPr>
      <w:r>
        <w:rPr>
          <w:rFonts w:hint="eastAsia"/>
          <w:color w:val="auto"/>
          <w:highlight w:val="none"/>
        </w:rPr>
        <w:t>（3）磋商函及磋商函附录；</w:t>
      </w:r>
    </w:p>
    <w:p w14:paraId="1D448A4E">
      <w:pPr>
        <w:spacing w:line="360" w:lineRule="auto"/>
        <w:ind w:firstLine="480"/>
        <w:rPr>
          <w:color w:val="auto"/>
          <w:highlight w:val="none"/>
        </w:rPr>
      </w:pPr>
      <w:r>
        <w:rPr>
          <w:rFonts w:hint="eastAsia"/>
          <w:color w:val="auto"/>
          <w:highlight w:val="none"/>
        </w:rPr>
        <w:t>（4）项目专用合同条款；</w:t>
      </w:r>
    </w:p>
    <w:p w14:paraId="6CD1DF2F">
      <w:pPr>
        <w:spacing w:line="360" w:lineRule="auto"/>
        <w:ind w:firstLine="480"/>
        <w:rPr>
          <w:color w:val="auto"/>
          <w:highlight w:val="none"/>
        </w:rPr>
      </w:pPr>
      <w:r>
        <w:rPr>
          <w:rFonts w:hint="eastAsia"/>
          <w:color w:val="auto"/>
          <w:highlight w:val="none"/>
        </w:rPr>
        <w:t>（5）公路工程专用合同条款；</w:t>
      </w:r>
    </w:p>
    <w:p w14:paraId="1835AB2E">
      <w:pPr>
        <w:spacing w:line="360" w:lineRule="auto"/>
        <w:ind w:firstLine="480"/>
        <w:rPr>
          <w:color w:val="auto"/>
          <w:highlight w:val="none"/>
        </w:rPr>
      </w:pPr>
      <w:r>
        <w:rPr>
          <w:rFonts w:hint="eastAsia"/>
          <w:color w:val="auto"/>
          <w:highlight w:val="none"/>
        </w:rPr>
        <w:t>（6）通用合同条款；</w:t>
      </w:r>
    </w:p>
    <w:p w14:paraId="74226C05">
      <w:pPr>
        <w:spacing w:line="360" w:lineRule="auto"/>
        <w:ind w:firstLine="480"/>
        <w:rPr>
          <w:color w:val="auto"/>
          <w:highlight w:val="none"/>
        </w:rPr>
      </w:pPr>
      <w:r>
        <w:rPr>
          <w:rFonts w:hint="eastAsia"/>
          <w:color w:val="auto"/>
          <w:highlight w:val="none"/>
        </w:rPr>
        <w:t>（7）工程量清单计量规则；</w:t>
      </w:r>
    </w:p>
    <w:p w14:paraId="7F23FC26">
      <w:pPr>
        <w:spacing w:line="360" w:lineRule="auto"/>
        <w:ind w:firstLine="480"/>
        <w:rPr>
          <w:color w:val="auto"/>
          <w:highlight w:val="none"/>
        </w:rPr>
      </w:pPr>
      <w:r>
        <w:rPr>
          <w:rFonts w:hint="eastAsia"/>
          <w:color w:val="auto"/>
          <w:highlight w:val="none"/>
        </w:rPr>
        <w:t>（8）技术规范；</w:t>
      </w:r>
    </w:p>
    <w:p w14:paraId="75408291">
      <w:pPr>
        <w:spacing w:line="360" w:lineRule="auto"/>
        <w:ind w:firstLine="480"/>
        <w:rPr>
          <w:color w:val="auto"/>
          <w:highlight w:val="none"/>
        </w:rPr>
      </w:pPr>
      <w:r>
        <w:rPr>
          <w:rFonts w:hint="eastAsia"/>
          <w:color w:val="auto"/>
          <w:highlight w:val="none"/>
        </w:rPr>
        <w:t>（9）图纸；</w:t>
      </w:r>
    </w:p>
    <w:p w14:paraId="1DB2399B">
      <w:pPr>
        <w:spacing w:line="360" w:lineRule="auto"/>
        <w:ind w:firstLine="480"/>
        <w:rPr>
          <w:color w:val="auto"/>
          <w:highlight w:val="none"/>
        </w:rPr>
      </w:pPr>
      <w:r>
        <w:rPr>
          <w:rFonts w:hint="eastAsia"/>
          <w:color w:val="auto"/>
          <w:highlight w:val="none"/>
        </w:rPr>
        <w:t>（10）已标价工程量清单；</w:t>
      </w:r>
    </w:p>
    <w:p w14:paraId="4047050E">
      <w:pPr>
        <w:spacing w:line="360" w:lineRule="auto"/>
        <w:ind w:firstLine="480"/>
        <w:rPr>
          <w:color w:val="auto"/>
          <w:highlight w:val="none"/>
        </w:rPr>
      </w:pPr>
      <w:r>
        <w:rPr>
          <w:rFonts w:hint="eastAsia"/>
          <w:color w:val="auto"/>
          <w:highlight w:val="none"/>
        </w:rPr>
        <w:t>（11）承包人有关人员、设备投入的承诺及投标（响应）文件中的施工组织设计；</w:t>
      </w:r>
    </w:p>
    <w:p w14:paraId="16E21BCA">
      <w:pPr>
        <w:spacing w:line="360" w:lineRule="auto"/>
        <w:ind w:firstLine="480"/>
        <w:rPr>
          <w:color w:val="auto"/>
          <w:highlight w:val="none"/>
        </w:rPr>
      </w:pPr>
      <w:r>
        <w:rPr>
          <w:rFonts w:hint="eastAsia"/>
          <w:color w:val="auto"/>
          <w:highlight w:val="none"/>
        </w:rPr>
        <w:t>（12）其他合同文件。</w:t>
      </w:r>
    </w:p>
    <w:p w14:paraId="16F7D61B">
      <w:pPr>
        <w:keepNext/>
        <w:keepLines/>
        <w:spacing w:line="360" w:lineRule="auto"/>
        <w:outlineLvl w:val="3"/>
        <w:rPr>
          <w:rFonts w:ascii="Arial" w:hAnsi="Arial"/>
          <w:b/>
          <w:bCs/>
          <w:color w:val="auto"/>
          <w:sz w:val="28"/>
          <w:szCs w:val="28"/>
          <w:highlight w:val="none"/>
        </w:rPr>
      </w:pPr>
      <w:bookmarkStart w:id="375" w:name="_Toc14018"/>
      <w:r>
        <w:rPr>
          <w:rFonts w:hint="eastAsia" w:ascii="Arial" w:hAnsi="Arial"/>
          <w:b/>
          <w:bCs/>
          <w:color w:val="auto"/>
          <w:sz w:val="28"/>
          <w:szCs w:val="28"/>
          <w:highlight w:val="none"/>
        </w:rPr>
        <w:t>1.5合同协议书</w:t>
      </w:r>
      <w:bookmarkEnd w:id="375"/>
    </w:p>
    <w:p w14:paraId="0080086E">
      <w:pPr>
        <w:spacing w:line="360" w:lineRule="auto"/>
        <w:ind w:firstLine="480"/>
        <w:rPr>
          <w:color w:val="auto"/>
          <w:highlight w:val="none"/>
        </w:rPr>
      </w:pPr>
      <w:r>
        <w:rPr>
          <w:rFonts w:hint="eastAsia"/>
          <w:color w:val="auto"/>
          <w:highlight w:val="none"/>
        </w:rPr>
        <w:t>本款补充：</w:t>
      </w:r>
    </w:p>
    <w:p w14:paraId="0E9FC4EA">
      <w:pPr>
        <w:spacing w:line="360" w:lineRule="auto"/>
        <w:ind w:firstLine="480"/>
        <w:rPr>
          <w:color w:val="auto"/>
          <w:highlight w:val="none"/>
        </w:rPr>
      </w:pPr>
      <w:r>
        <w:rPr>
          <w:rFonts w:hint="eastAsia"/>
          <w:color w:val="auto"/>
          <w:highlight w:val="none"/>
        </w:rPr>
        <w:t>制备本合同文件的费用由发包人承担。在合同协议书签订并生效之前，磋商函和成交通知书将对双方具有约束力。</w:t>
      </w:r>
    </w:p>
    <w:p w14:paraId="42F87D9A">
      <w:pPr>
        <w:keepNext/>
        <w:keepLines/>
        <w:spacing w:line="360" w:lineRule="auto"/>
        <w:outlineLvl w:val="3"/>
        <w:rPr>
          <w:rFonts w:ascii="Arial" w:hAnsi="Arial"/>
          <w:b/>
          <w:bCs/>
          <w:color w:val="auto"/>
          <w:sz w:val="28"/>
          <w:szCs w:val="28"/>
          <w:highlight w:val="none"/>
        </w:rPr>
      </w:pPr>
      <w:bookmarkStart w:id="376" w:name="_Toc6014"/>
      <w:r>
        <w:rPr>
          <w:rFonts w:hint="eastAsia" w:ascii="Arial" w:hAnsi="Arial"/>
          <w:b/>
          <w:bCs/>
          <w:color w:val="auto"/>
          <w:sz w:val="28"/>
          <w:szCs w:val="28"/>
          <w:highlight w:val="none"/>
        </w:rPr>
        <w:t>1.6图纸和承包人文件</w:t>
      </w:r>
      <w:bookmarkEnd w:id="376"/>
    </w:p>
    <w:p w14:paraId="290097B7">
      <w:pPr>
        <w:keepNext/>
        <w:keepLines/>
        <w:spacing w:line="360" w:lineRule="auto"/>
        <w:ind w:firstLine="482"/>
        <w:outlineLvl w:val="4"/>
        <w:rPr>
          <w:b/>
          <w:bCs/>
          <w:color w:val="auto"/>
          <w:sz w:val="28"/>
          <w:szCs w:val="28"/>
          <w:highlight w:val="none"/>
        </w:rPr>
      </w:pPr>
      <w:r>
        <w:rPr>
          <w:rFonts w:hint="eastAsia"/>
          <w:b/>
          <w:bCs/>
          <w:color w:val="auto"/>
          <w:sz w:val="28"/>
          <w:szCs w:val="28"/>
          <w:highlight w:val="none"/>
        </w:rPr>
        <w:t>1.6.1图纸的提供</w:t>
      </w:r>
    </w:p>
    <w:p w14:paraId="56EA44CA">
      <w:pPr>
        <w:spacing w:line="360" w:lineRule="auto"/>
        <w:ind w:firstLine="480"/>
        <w:rPr>
          <w:color w:val="auto"/>
          <w:highlight w:val="none"/>
        </w:rPr>
      </w:pPr>
      <w:r>
        <w:rPr>
          <w:rFonts w:hint="eastAsia"/>
          <w:color w:val="auto"/>
          <w:highlight w:val="none"/>
        </w:rPr>
        <w:t>本项细化为：</w:t>
      </w:r>
    </w:p>
    <w:p w14:paraId="547FFE89">
      <w:pPr>
        <w:spacing w:line="360" w:lineRule="auto"/>
        <w:ind w:firstLine="480"/>
        <w:rPr>
          <w:color w:val="auto"/>
          <w:highlight w:val="none"/>
        </w:rPr>
      </w:pPr>
      <w:r>
        <w:rPr>
          <w:rFonts w:hint="eastAsia"/>
          <w:color w:val="auto"/>
          <w:highlight w:val="none"/>
        </w:rPr>
        <w:t>监理人应在发出中标通知书之后 42 天内，向承包人免费提供由发包人或其委托的设计单位设计的施工图纸、技术规范和其他技术资料 2 份，并向承包人进行技术交底。承包人需要更多份数时，应自费复制。由于发包人未按时提供图纸造成工期延误的，按第 11.3 款的约定办理。</w:t>
      </w:r>
    </w:p>
    <w:p w14:paraId="364CF01E">
      <w:pPr>
        <w:keepNext/>
        <w:keepLines/>
        <w:spacing w:line="360" w:lineRule="auto"/>
        <w:ind w:firstLine="482"/>
        <w:outlineLvl w:val="4"/>
        <w:rPr>
          <w:b/>
          <w:bCs/>
          <w:color w:val="auto"/>
          <w:sz w:val="28"/>
          <w:szCs w:val="28"/>
          <w:highlight w:val="none"/>
        </w:rPr>
      </w:pPr>
      <w:r>
        <w:rPr>
          <w:rFonts w:hint="eastAsia"/>
          <w:b/>
          <w:bCs/>
          <w:color w:val="auto"/>
          <w:sz w:val="28"/>
          <w:szCs w:val="28"/>
          <w:highlight w:val="none"/>
        </w:rPr>
        <w:t>1.6.2承包人提供的文件</w:t>
      </w:r>
    </w:p>
    <w:p w14:paraId="1449D284">
      <w:pPr>
        <w:spacing w:line="360" w:lineRule="auto"/>
        <w:ind w:firstLine="480"/>
        <w:rPr>
          <w:color w:val="auto"/>
          <w:highlight w:val="none"/>
        </w:rPr>
      </w:pPr>
      <w:r>
        <w:rPr>
          <w:rFonts w:hint="eastAsia"/>
          <w:color w:val="auto"/>
          <w:highlight w:val="none"/>
        </w:rPr>
        <w:t>本项细化为：</w:t>
      </w:r>
    </w:p>
    <w:p w14:paraId="496A3529">
      <w:pPr>
        <w:spacing w:line="360" w:lineRule="auto"/>
        <w:ind w:firstLine="480"/>
        <w:rPr>
          <w:color w:val="auto"/>
          <w:highlight w:val="none"/>
        </w:rPr>
      </w:pPr>
      <w:r>
        <w:rPr>
          <w:rFonts w:hint="eastAsia"/>
          <w:color w:val="auto"/>
          <w:highlight w:val="none"/>
        </w:rPr>
        <w:t>有下列情形之一的，承包人应免费向监理人提交相关部分工程的施工图纸 3 份， 并附必要的计算书、技术资料，或施工工艺图、设备安装图及安装设备的使用和维护手册各 2 份供监理人批准。</w:t>
      </w:r>
    </w:p>
    <w:p w14:paraId="36294352">
      <w:pPr>
        <w:spacing w:line="360" w:lineRule="auto"/>
        <w:ind w:firstLine="480"/>
        <w:rPr>
          <w:color w:val="auto"/>
          <w:highlight w:val="none"/>
        </w:rPr>
      </w:pPr>
      <w:r>
        <w:rPr>
          <w:rFonts w:hint="eastAsia"/>
          <w:color w:val="auto"/>
          <w:highlight w:val="none"/>
        </w:rPr>
        <w:t>（1）为使第 1.6.1 项所述的施工图纸适合于经施工测量后的纵、横断面；</w:t>
      </w:r>
    </w:p>
    <w:p w14:paraId="60BB4B1F">
      <w:pPr>
        <w:spacing w:line="360" w:lineRule="auto"/>
        <w:ind w:firstLine="480"/>
        <w:rPr>
          <w:color w:val="auto"/>
          <w:highlight w:val="none"/>
        </w:rPr>
      </w:pPr>
      <w:r>
        <w:rPr>
          <w:rFonts w:hint="eastAsia"/>
          <w:color w:val="auto"/>
          <w:highlight w:val="none"/>
        </w:rPr>
        <w:t>（2）为使第 1.6.1 项所述的施工图纸适合于现场具体地形；</w:t>
      </w:r>
    </w:p>
    <w:p w14:paraId="0190364A">
      <w:pPr>
        <w:spacing w:line="360" w:lineRule="auto"/>
        <w:ind w:firstLine="480"/>
        <w:rPr>
          <w:color w:val="auto"/>
          <w:highlight w:val="none"/>
        </w:rPr>
      </w:pPr>
      <w:r>
        <w:rPr>
          <w:rFonts w:hint="eastAsia"/>
          <w:color w:val="auto"/>
          <w:highlight w:val="none"/>
        </w:rPr>
        <w:t>（3）为使第 1.6.1 项所述的施工图纸适合于因尺寸与位置变化而引起局部变更；</w:t>
      </w:r>
    </w:p>
    <w:p w14:paraId="3371B841">
      <w:pPr>
        <w:spacing w:line="360" w:lineRule="auto"/>
        <w:ind w:firstLine="480"/>
        <w:rPr>
          <w:color w:val="auto"/>
          <w:highlight w:val="none"/>
        </w:rPr>
      </w:pPr>
      <w:r>
        <w:rPr>
          <w:rFonts w:hint="eastAsia"/>
          <w:color w:val="auto"/>
          <w:highlight w:val="none"/>
        </w:rPr>
        <w:t>（4）由于合同要求与施工需要。</w:t>
      </w:r>
    </w:p>
    <w:p w14:paraId="6BD7E298">
      <w:pPr>
        <w:spacing w:line="360" w:lineRule="auto"/>
        <w:ind w:firstLine="480"/>
        <w:rPr>
          <w:color w:val="auto"/>
          <w:highlight w:val="none"/>
        </w:rPr>
      </w:pPr>
      <w:r>
        <w:rPr>
          <w:rFonts w:hint="eastAsia"/>
          <w:color w:val="auto"/>
          <w:highlight w:val="none"/>
        </w:rPr>
        <w:t>此类图纸应按监理人规定的格式和图幅绘制。监理人在收到由承包人绘制的上述工程、工艺图纸、计算书和有关技术资料后 14 天内应予批准或提出修改要求，承包人应按监理人提出的要求作出修改，重新向监理人提交，监理人应在 7 天内批准或提出进一步的修改意见。</w:t>
      </w:r>
    </w:p>
    <w:p w14:paraId="5510BBF0">
      <w:pPr>
        <w:keepNext/>
        <w:keepLines/>
        <w:spacing w:line="360" w:lineRule="auto"/>
        <w:ind w:firstLine="482"/>
        <w:outlineLvl w:val="4"/>
        <w:rPr>
          <w:b/>
          <w:bCs/>
          <w:color w:val="auto"/>
          <w:sz w:val="28"/>
          <w:szCs w:val="28"/>
          <w:highlight w:val="none"/>
        </w:rPr>
      </w:pPr>
      <w:r>
        <w:rPr>
          <w:rFonts w:hint="eastAsia"/>
          <w:b/>
          <w:bCs/>
          <w:color w:val="auto"/>
          <w:sz w:val="28"/>
          <w:szCs w:val="28"/>
          <w:highlight w:val="none"/>
        </w:rPr>
        <w:t>1.6.4 图纸的错误</w:t>
      </w:r>
    </w:p>
    <w:p w14:paraId="4CE55A71">
      <w:pPr>
        <w:spacing w:line="360" w:lineRule="auto"/>
        <w:ind w:firstLine="480"/>
        <w:rPr>
          <w:color w:val="auto"/>
          <w:highlight w:val="none"/>
        </w:rPr>
      </w:pPr>
      <w:r>
        <w:rPr>
          <w:rFonts w:hint="eastAsia"/>
          <w:color w:val="auto"/>
          <w:highlight w:val="none"/>
        </w:rPr>
        <w:t>本项细化为：</w:t>
      </w:r>
    </w:p>
    <w:p w14:paraId="52182CB2">
      <w:pPr>
        <w:spacing w:line="360" w:lineRule="auto"/>
        <w:ind w:firstLine="480"/>
        <w:rPr>
          <w:color w:val="auto"/>
          <w:highlight w:val="none"/>
        </w:rPr>
      </w:pPr>
      <w:r>
        <w:rPr>
          <w:rFonts w:hint="eastAsia"/>
          <w:color w:val="auto"/>
          <w:highlight w:val="none"/>
        </w:rPr>
        <w:t>当承包人在查阅合同文件或在本合同工程实施过程中，发现有关的工程设计、技术规范、图纸或其他资料中的任何差错、遗漏或缺陷后，应及时通知监理人。监理人接到该通知后，应立即就此作出决定，并通知承包人和发包人。</w:t>
      </w:r>
    </w:p>
    <w:p w14:paraId="63192F5D">
      <w:pPr>
        <w:keepNext/>
        <w:keepLines/>
        <w:spacing w:line="360" w:lineRule="auto"/>
        <w:outlineLvl w:val="3"/>
        <w:rPr>
          <w:rFonts w:ascii="Arial" w:hAnsi="Arial"/>
          <w:b/>
          <w:bCs/>
          <w:color w:val="auto"/>
          <w:sz w:val="28"/>
          <w:szCs w:val="28"/>
          <w:highlight w:val="none"/>
        </w:rPr>
      </w:pPr>
      <w:bookmarkStart w:id="377" w:name="_Toc24253"/>
      <w:r>
        <w:rPr>
          <w:rFonts w:hint="eastAsia" w:ascii="Arial" w:hAnsi="Arial"/>
          <w:b/>
          <w:bCs/>
          <w:color w:val="auto"/>
          <w:sz w:val="28"/>
          <w:szCs w:val="28"/>
          <w:highlight w:val="none"/>
        </w:rPr>
        <w:t>1.9 严禁贿赂</w:t>
      </w:r>
      <w:bookmarkEnd w:id="377"/>
    </w:p>
    <w:p w14:paraId="5FC1F163">
      <w:pPr>
        <w:spacing w:line="360" w:lineRule="auto"/>
        <w:ind w:firstLine="480"/>
        <w:rPr>
          <w:color w:val="auto"/>
          <w:highlight w:val="none"/>
        </w:rPr>
      </w:pPr>
      <w:r>
        <w:rPr>
          <w:rFonts w:hint="eastAsia"/>
          <w:color w:val="auto"/>
          <w:highlight w:val="none"/>
        </w:rPr>
        <w:t>本款补充：</w:t>
      </w:r>
    </w:p>
    <w:p w14:paraId="0BAD4D5E">
      <w:pPr>
        <w:spacing w:line="360" w:lineRule="auto"/>
        <w:ind w:firstLine="480"/>
        <w:rPr>
          <w:color w:val="auto"/>
          <w:highlight w:val="none"/>
        </w:rPr>
      </w:pPr>
      <w:r>
        <w:rPr>
          <w:rFonts w:hint="eastAsia"/>
          <w:color w:val="auto"/>
          <w:highlight w:val="none"/>
        </w:rPr>
        <w:t>在合同执行过程中，发包人和承包人应严格履行《廉政合同》约定的双方在廉政建设方面的权利和义务以及应承担的违约责任。承包人如果用行贿、送礼或其他不正当手段企图影响或已经影响了发包人或监理人的行为和（或）欲获得或已获得超出合同规定以外的额外费用，则发包人应按有关法纪严肃处理当事人，且承包人应对其上述行为造成的工程损害、发包人的经济损失等承担一切责任，并予赔偿。情节严重者，发包人有权终止承包人在本合同项下的承包。</w:t>
      </w:r>
    </w:p>
    <w:p w14:paraId="4AF9D9C6">
      <w:pPr>
        <w:keepNext/>
        <w:keepLines/>
        <w:spacing w:line="360" w:lineRule="auto"/>
        <w:outlineLvl w:val="2"/>
        <w:rPr>
          <w:b/>
          <w:bCs/>
          <w:color w:val="auto"/>
          <w:sz w:val="32"/>
          <w:szCs w:val="32"/>
          <w:highlight w:val="none"/>
        </w:rPr>
      </w:pPr>
      <w:bookmarkStart w:id="378" w:name="_Toc122424460"/>
      <w:bookmarkStart w:id="379" w:name="_Toc20696"/>
      <w:bookmarkStart w:id="380" w:name="_Toc122424211"/>
      <w:r>
        <w:rPr>
          <w:rFonts w:hint="eastAsia"/>
          <w:b/>
          <w:bCs/>
          <w:color w:val="auto"/>
          <w:sz w:val="32"/>
          <w:szCs w:val="32"/>
          <w:highlight w:val="none"/>
        </w:rPr>
        <w:t>2.发包人义务</w:t>
      </w:r>
      <w:bookmarkEnd w:id="378"/>
      <w:bookmarkEnd w:id="379"/>
      <w:bookmarkEnd w:id="380"/>
    </w:p>
    <w:p w14:paraId="0AE8F1BC">
      <w:pPr>
        <w:keepNext/>
        <w:keepLines/>
        <w:spacing w:line="360" w:lineRule="auto"/>
        <w:outlineLvl w:val="3"/>
        <w:rPr>
          <w:rFonts w:ascii="Arial" w:hAnsi="Arial"/>
          <w:b/>
          <w:bCs/>
          <w:color w:val="auto"/>
          <w:sz w:val="28"/>
          <w:szCs w:val="28"/>
          <w:highlight w:val="none"/>
        </w:rPr>
      </w:pPr>
      <w:bookmarkStart w:id="381" w:name="_Toc22133"/>
      <w:r>
        <w:rPr>
          <w:rFonts w:hint="eastAsia" w:ascii="Arial" w:hAnsi="Arial"/>
          <w:b/>
          <w:bCs/>
          <w:color w:val="auto"/>
          <w:sz w:val="28"/>
          <w:szCs w:val="28"/>
          <w:highlight w:val="none"/>
        </w:rPr>
        <w:t>2.3 提供施工场地</w:t>
      </w:r>
      <w:bookmarkEnd w:id="381"/>
    </w:p>
    <w:p w14:paraId="4F4F2B4E">
      <w:pPr>
        <w:spacing w:line="360" w:lineRule="auto"/>
        <w:ind w:firstLine="480"/>
        <w:rPr>
          <w:color w:val="auto"/>
          <w:highlight w:val="none"/>
        </w:rPr>
      </w:pPr>
      <w:r>
        <w:rPr>
          <w:rFonts w:hint="eastAsia"/>
          <w:color w:val="auto"/>
          <w:highlight w:val="none"/>
        </w:rPr>
        <w:t>本款补充：</w:t>
      </w:r>
    </w:p>
    <w:p w14:paraId="06C6EC5E">
      <w:pPr>
        <w:spacing w:line="360" w:lineRule="auto"/>
        <w:ind w:firstLine="480"/>
        <w:rPr>
          <w:color w:val="auto"/>
          <w:highlight w:val="none"/>
        </w:rPr>
      </w:pPr>
      <w:r>
        <w:rPr>
          <w:rFonts w:hint="eastAsia"/>
          <w:color w:val="auto"/>
          <w:highlight w:val="none"/>
        </w:rPr>
        <w:t>发包人负责办理永久占地的征用及与之有关的拆迁赔偿手续并承担相关费用。承包人在按第 10 条规定提交施工进度计划的同时，应向监理人提交一份按施工先后次</w:t>
      </w:r>
    </w:p>
    <w:p w14:paraId="3BF0D046">
      <w:pPr>
        <w:spacing w:line="360" w:lineRule="auto"/>
        <w:ind w:firstLine="480"/>
        <w:rPr>
          <w:color w:val="auto"/>
          <w:highlight w:val="none"/>
        </w:rPr>
      </w:pPr>
      <w:r>
        <w:rPr>
          <w:rFonts w:hint="eastAsia"/>
          <w:color w:val="auto"/>
          <w:highlight w:val="none"/>
        </w:rPr>
        <w:t>序所需的永久占地计划。监理人应在收到此计划后的 14 天内审核并转报发包人核备。发包人应在监理人发出本工程或分部工程开工通知之前，对承包人开工所需的永久占地办妥征用手续和相关拆迁赔偿手续，通知承包人使用，以使承包人能够及时开工；此后按承包人提交并经监理人同意的合同进度计划的安排，分期（也可以一次）将施工所需的其余永久占地办妥征用以及拆迁赔偿手续，通知承包人使用， 以使承包人能够连续不间断地施工。由于承包人施工考虑不周或措施不当等原因而造成的超计划占地或拆迁等所发生的征用和赔偿费用，应由承包人承担。</w:t>
      </w:r>
    </w:p>
    <w:p w14:paraId="1CBD5275">
      <w:pPr>
        <w:spacing w:line="360" w:lineRule="auto"/>
        <w:ind w:firstLine="480"/>
        <w:rPr>
          <w:color w:val="auto"/>
          <w:highlight w:val="none"/>
        </w:rPr>
      </w:pPr>
      <w:r>
        <w:rPr>
          <w:rFonts w:hint="eastAsia"/>
          <w:color w:val="auto"/>
          <w:highlight w:val="none"/>
        </w:rPr>
        <w:t>由于发包人未能按照本项规定办妥永久占地征用手续，影响承包人及时使用永久占地造成的费用增加和（或）工期延误应由发包人承担。由于承包人未能按照本项规定提交占地计划，影响发包人办理永久占地征用手续造成的费用增加和（或）工期延误由承包人承担。</w:t>
      </w:r>
    </w:p>
    <w:p w14:paraId="46A43683">
      <w:pPr>
        <w:keepNext/>
        <w:keepLines/>
        <w:spacing w:line="360" w:lineRule="auto"/>
        <w:outlineLvl w:val="2"/>
        <w:rPr>
          <w:b/>
          <w:bCs/>
          <w:color w:val="auto"/>
          <w:sz w:val="32"/>
          <w:szCs w:val="32"/>
          <w:highlight w:val="none"/>
        </w:rPr>
      </w:pPr>
      <w:bookmarkStart w:id="382" w:name="_Toc122424212"/>
      <w:bookmarkStart w:id="383" w:name="_Toc122424461"/>
      <w:bookmarkStart w:id="384" w:name="_Toc22405"/>
      <w:r>
        <w:rPr>
          <w:rFonts w:hint="eastAsia"/>
          <w:b/>
          <w:bCs/>
          <w:color w:val="auto"/>
          <w:sz w:val="32"/>
          <w:szCs w:val="32"/>
          <w:highlight w:val="none"/>
        </w:rPr>
        <w:t>3.监理人</w:t>
      </w:r>
      <w:bookmarkEnd w:id="382"/>
      <w:bookmarkEnd w:id="383"/>
      <w:bookmarkEnd w:id="384"/>
    </w:p>
    <w:p w14:paraId="03B9FF00">
      <w:pPr>
        <w:keepNext/>
        <w:keepLines/>
        <w:spacing w:line="360" w:lineRule="auto"/>
        <w:outlineLvl w:val="3"/>
        <w:rPr>
          <w:rFonts w:ascii="Arial" w:hAnsi="Arial"/>
          <w:b/>
          <w:bCs/>
          <w:color w:val="auto"/>
          <w:sz w:val="28"/>
          <w:szCs w:val="28"/>
          <w:highlight w:val="none"/>
        </w:rPr>
      </w:pPr>
      <w:bookmarkStart w:id="385" w:name="_Toc28048"/>
      <w:r>
        <w:rPr>
          <w:rFonts w:hint="eastAsia" w:ascii="Arial" w:hAnsi="Arial"/>
          <w:b/>
          <w:bCs/>
          <w:color w:val="auto"/>
          <w:sz w:val="28"/>
          <w:szCs w:val="28"/>
          <w:highlight w:val="none"/>
        </w:rPr>
        <w:t>3.1监理人的职责和权力</w:t>
      </w:r>
      <w:bookmarkEnd w:id="385"/>
    </w:p>
    <w:p w14:paraId="0ED31AFC">
      <w:pPr>
        <w:keepNext/>
        <w:keepLines/>
        <w:spacing w:line="360" w:lineRule="auto"/>
        <w:ind w:firstLine="482"/>
        <w:outlineLvl w:val="4"/>
        <w:rPr>
          <w:b/>
          <w:bCs/>
          <w:color w:val="auto"/>
          <w:sz w:val="28"/>
          <w:szCs w:val="28"/>
          <w:highlight w:val="none"/>
        </w:rPr>
      </w:pPr>
      <w:r>
        <w:rPr>
          <w:rFonts w:hint="eastAsia"/>
          <w:b/>
          <w:bCs/>
          <w:color w:val="auto"/>
          <w:sz w:val="28"/>
          <w:szCs w:val="28"/>
          <w:highlight w:val="none"/>
        </w:rPr>
        <w:t>第 3.1.1 项补充：</w:t>
      </w:r>
    </w:p>
    <w:p w14:paraId="6A84252A">
      <w:pPr>
        <w:spacing w:line="360" w:lineRule="auto"/>
        <w:ind w:firstLine="480"/>
        <w:rPr>
          <w:color w:val="auto"/>
          <w:highlight w:val="none"/>
        </w:rPr>
      </w:pPr>
      <w:r>
        <w:rPr>
          <w:rFonts w:hint="eastAsia"/>
          <w:color w:val="auto"/>
          <w:highlight w:val="none"/>
        </w:rPr>
        <w:t>监理人在行使下列权力前需要经发包人事先批准：</w:t>
      </w:r>
    </w:p>
    <w:p w14:paraId="1E849A06">
      <w:pPr>
        <w:spacing w:line="360" w:lineRule="auto"/>
        <w:ind w:firstLine="480"/>
        <w:rPr>
          <w:color w:val="auto"/>
          <w:highlight w:val="none"/>
        </w:rPr>
      </w:pPr>
      <w:r>
        <w:rPr>
          <w:rFonts w:hint="eastAsia"/>
          <w:color w:val="auto"/>
          <w:highlight w:val="none"/>
        </w:rPr>
        <w:t>（1）根据第 4.3 款，同意分包本工程的某些非关键性工作或者适合专业化队伍施工的专项工程；</w:t>
      </w:r>
    </w:p>
    <w:p w14:paraId="5880BDBF">
      <w:pPr>
        <w:spacing w:line="360" w:lineRule="auto"/>
        <w:ind w:firstLine="480"/>
        <w:rPr>
          <w:color w:val="auto"/>
          <w:highlight w:val="none"/>
        </w:rPr>
      </w:pPr>
      <w:r>
        <w:rPr>
          <w:rFonts w:hint="eastAsia"/>
          <w:color w:val="auto"/>
          <w:highlight w:val="none"/>
        </w:rPr>
        <w:t>（2）确定第 4.11 款下产生的费用增加额；</w:t>
      </w:r>
    </w:p>
    <w:p w14:paraId="7471CCBB">
      <w:pPr>
        <w:spacing w:line="360" w:lineRule="auto"/>
        <w:ind w:firstLine="480"/>
        <w:rPr>
          <w:color w:val="auto"/>
          <w:highlight w:val="none"/>
        </w:rPr>
      </w:pPr>
      <w:r>
        <w:rPr>
          <w:rFonts w:hint="eastAsia"/>
          <w:color w:val="auto"/>
          <w:highlight w:val="none"/>
        </w:rPr>
        <w:t>（3）根据第 11.1 款、第 12.3 款、第 12.4 款发布开工通知、暂停施工指示或复工通知；</w:t>
      </w:r>
    </w:p>
    <w:p w14:paraId="1F471AD1">
      <w:pPr>
        <w:spacing w:line="360" w:lineRule="auto"/>
        <w:ind w:firstLine="480"/>
        <w:rPr>
          <w:color w:val="auto"/>
          <w:highlight w:val="none"/>
        </w:rPr>
      </w:pPr>
      <w:r>
        <w:rPr>
          <w:rFonts w:hint="eastAsia"/>
          <w:color w:val="auto"/>
          <w:highlight w:val="none"/>
        </w:rPr>
        <w:t>（4）决定第 11.3 款、第 11.4 款下的工期延长；</w:t>
      </w:r>
    </w:p>
    <w:p w14:paraId="261027BF">
      <w:pPr>
        <w:spacing w:line="360" w:lineRule="auto"/>
        <w:ind w:firstLine="480"/>
        <w:rPr>
          <w:color w:val="auto"/>
          <w:highlight w:val="none"/>
        </w:rPr>
      </w:pPr>
      <w:r>
        <w:rPr>
          <w:rFonts w:hint="eastAsia"/>
          <w:color w:val="auto"/>
          <w:highlight w:val="none"/>
        </w:rPr>
        <w:t>（5）审查批准技术方案或设计的变更；</w:t>
      </w:r>
    </w:p>
    <w:p w14:paraId="3F160AD3">
      <w:pPr>
        <w:spacing w:line="360" w:lineRule="auto"/>
        <w:ind w:firstLine="480"/>
        <w:rPr>
          <w:color w:val="auto"/>
          <w:highlight w:val="none"/>
        </w:rPr>
      </w:pPr>
      <w:r>
        <w:rPr>
          <w:rFonts w:hint="eastAsia"/>
          <w:color w:val="auto"/>
          <w:highlight w:val="none"/>
        </w:rPr>
        <w:t>（6）根据第 15.3 款发出的变更指示，其单项工程变更或累计变更涉及的金额超过了项目专用合同条款数据表中规定的金额；</w:t>
      </w:r>
    </w:p>
    <w:p w14:paraId="1E57A660">
      <w:pPr>
        <w:spacing w:line="360" w:lineRule="auto"/>
        <w:ind w:firstLine="480"/>
        <w:rPr>
          <w:color w:val="auto"/>
          <w:highlight w:val="none"/>
        </w:rPr>
      </w:pPr>
      <w:r>
        <w:rPr>
          <w:rFonts w:hint="eastAsia"/>
          <w:color w:val="auto"/>
          <w:highlight w:val="none"/>
        </w:rPr>
        <w:t>（7）确定第 15.4 款下变更工作的单价；</w:t>
      </w:r>
    </w:p>
    <w:p w14:paraId="24E66E5F">
      <w:pPr>
        <w:spacing w:line="360" w:lineRule="auto"/>
        <w:ind w:firstLine="480"/>
        <w:rPr>
          <w:color w:val="auto"/>
          <w:highlight w:val="none"/>
        </w:rPr>
      </w:pPr>
      <w:r>
        <w:rPr>
          <w:rFonts w:hint="eastAsia"/>
          <w:color w:val="auto"/>
          <w:highlight w:val="none"/>
        </w:rPr>
        <w:t>（8）按照第 15.6 款决定有关暂列金额的使用；</w:t>
      </w:r>
    </w:p>
    <w:p w14:paraId="6CC240F0">
      <w:pPr>
        <w:spacing w:line="360" w:lineRule="auto"/>
        <w:ind w:firstLine="480"/>
        <w:rPr>
          <w:color w:val="auto"/>
          <w:highlight w:val="none"/>
        </w:rPr>
      </w:pPr>
      <w:r>
        <w:rPr>
          <w:rFonts w:hint="eastAsia"/>
          <w:color w:val="auto"/>
          <w:highlight w:val="none"/>
        </w:rPr>
        <w:t>（9）确定第 15.8 款下的暂估价金额；</w:t>
      </w:r>
    </w:p>
    <w:p w14:paraId="6F11A52F">
      <w:pPr>
        <w:spacing w:line="360" w:lineRule="auto"/>
        <w:ind w:firstLine="480"/>
        <w:rPr>
          <w:color w:val="auto"/>
          <w:highlight w:val="none"/>
        </w:rPr>
      </w:pPr>
      <w:r>
        <w:rPr>
          <w:rFonts w:hint="eastAsia"/>
          <w:color w:val="auto"/>
          <w:highlight w:val="none"/>
        </w:rPr>
        <w:t>（10）确定第 23.1 款下的索赔额。</w:t>
      </w:r>
    </w:p>
    <w:p w14:paraId="69F95978">
      <w:pPr>
        <w:spacing w:line="360" w:lineRule="auto"/>
        <w:ind w:firstLine="480"/>
        <w:rPr>
          <w:color w:val="auto"/>
          <w:highlight w:val="none"/>
        </w:rPr>
      </w:pPr>
      <w:r>
        <w:rPr>
          <w:rFonts w:hint="eastAsia"/>
          <w:color w:val="auto"/>
          <w:highlight w:val="none"/>
        </w:rPr>
        <w:t>如果发生紧急情况，监理人认为将造成人员伤亡，或危及本工程或邻近的财产需立即采取行动，监理人有权在未征得发包人的批准的情况下发布处理紧急情况所必需的指令，承包人应予执行，由此造成的费用增加由监理人按第 3.5 款商定或确定。</w:t>
      </w:r>
    </w:p>
    <w:p w14:paraId="66128C42">
      <w:pPr>
        <w:keepNext/>
        <w:keepLines/>
        <w:spacing w:line="360" w:lineRule="auto"/>
        <w:outlineLvl w:val="3"/>
        <w:rPr>
          <w:rFonts w:ascii="Arial" w:hAnsi="Arial"/>
          <w:b/>
          <w:bCs/>
          <w:color w:val="auto"/>
          <w:sz w:val="28"/>
          <w:szCs w:val="28"/>
          <w:highlight w:val="none"/>
        </w:rPr>
      </w:pPr>
      <w:bookmarkStart w:id="386" w:name="_Toc13038"/>
      <w:r>
        <w:rPr>
          <w:rFonts w:hint="eastAsia" w:ascii="Arial" w:hAnsi="Arial"/>
          <w:b/>
          <w:bCs/>
          <w:color w:val="auto"/>
          <w:sz w:val="28"/>
          <w:szCs w:val="28"/>
          <w:highlight w:val="none"/>
        </w:rPr>
        <w:t>3.5 商定或确定</w:t>
      </w:r>
      <w:bookmarkEnd w:id="386"/>
    </w:p>
    <w:p w14:paraId="1D39D826">
      <w:pPr>
        <w:keepNext/>
        <w:keepLines/>
        <w:spacing w:line="360" w:lineRule="auto"/>
        <w:ind w:firstLine="482"/>
        <w:outlineLvl w:val="4"/>
        <w:rPr>
          <w:b/>
          <w:bCs/>
          <w:color w:val="auto"/>
          <w:sz w:val="28"/>
          <w:szCs w:val="28"/>
          <w:highlight w:val="none"/>
        </w:rPr>
      </w:pPr>
      <w:r>
        <w:rPr>
          <w:rFonts w:hint="eastAsia"/>
          <w:b/>
          <w:bCs/>
          <w:color w:val="auto"/>
          <w:sz w:val="28"/>
          <w:szCs w:val="28"/>
          <w:highlight w:val="none"/>
        </w:rPr>
        <w:t>第 3.5.1 项补充：</w:t>
      </w:r>
    </w:p>
    <w:p w14:paraId="2435AB15">
      <w:pPr>
        <w:spacing w:line="360" w:lineRule="auto"/>
        <w:ind w:firstLine="480"/>
        <w:rPr>
          <w:color w:val="auto"/>
          <w:highlight w:val="none"/>
        </w:rPr>
      </w:pPr>
      <w:r>
        <w:rPr>
          <w:rFonts w:hint="eastAsia"/>
          <w:color w:val="auto"/>
          <w:highlight w:val="none"/>
        </w:rPr>
        <w:t>如果这项商定或确定导致费用增加和（或）工期延长，或者涉及确定变更工程的价格，则总监理工程师在发出通知前，应征得发包人的同意。</w:t>
      </w:r>
    </w:p>
    <w:p w14:paraId="463F1F18">
      <w:pPr>
        <w:keepNext/>
        <w:keepLines/>
        <w:spacing w:line="360" w:lineRule="auto"/>
        <w:outlineLvl w:val="2"/>
        <w:rPr>
          <w:b/>
          <w:bCs/>
          <w:color w:val="auto"/>
          <w:sz w:val="32"/>
          <w:szCs w:val="32"/>
          <w:highlight w:val="none"/>
        </w:rPr>
      </w:pPr>
      <w:bookmarkStart w:id="387" w:name="_Toc4806"/>
      <w:bookmarkStart w:id="388" w:name="_Toc122424213"/>
      <w:bookmarkStart w:id="389" w:name="_Toc122424462"/>
      <w:r>
        <w:rPr>
          <w:rFonts w:hint="eastAsia"/>
          <w:b/>
          <w:bCs/>
          <w:color w:val="auto"/>
          <w:sz w:val="32"/>
          <w:szCs w:val="32"/>
          <w:highlight w:val="none"/>
        </w:rPr>
        <w:t>4.承包人</w:t>
      </w:r>
      <w:bookmarkEnd w:id="387"/>
      <w:bookmarkEnd w:id="388"/>
      <w:bookmarkEnd w:id="389"/>
    </w:p>
    <w:p w14:paraId="749AAAE9">
      <w:pPr>
        <w:keepNext/>
        <w:keepLines/>
        <w:spacing w:line="360" w:lineRule="auto"/>
        <w:outlineLvl w:val="3"/>
        <w:rPr>
          <w:rFonts w:ascii="Arial" w:hAnsi="Arial"/>
          <w:b/>
          <w:bCs/>
          <w:color w:val="auto"/>
          <w:sz w:val="28"/>
          <w:szCs w:val="28"/>
          <w:highlight w:val="none"/>
        </w:rPr>
      </w:pPr>
      <w:bookmarkStart w:id="390" w:name="_Toc20501"/>
      <w:r>
        <w:rPr>
          <w:rFonts w:hint="eastAsia" w:ascii="Arial" w:hAnsi="Arial"/>
          <w:b/>
          <w:bCs/>
          <w:color w:val="auto"/>
          <w:sz w:val="28"/>
          <w:szCs w:val="28"/>
          <w:highlight w:val="none"/>
        </w:rPr>
        <w:t>4.1承包人的一般义务</w:t>
      </w:r>
      <w:bookmarkEnd w:id="390"/>
    </w:p>
    <w:p w14:paraId="5CD4DA92">
      <w:pPr>
        <w:keepNext/>
        <w:keepLines/>
        <w:spacing w:line="360" w:lineRule="auto"/>
        <w:ind w:firstLine="482"/>
        <w:outlineLvl w:val="4"/>
        <w:rPr>
          <w:b/>
          <w:bCs/>
          <w:color w:val="auto"/>
          <w:sz w:val="28"/>
          <w:szCs w:val="28"/>
          <w:highlight w:val="none"/>
        </w:rPr>
      </w:pPr>
      <w:r>
        <w:rPr>
          <w:rFonts w:hint="eastAsia"/>
          <w:b/>
          <w:bCs/>
          <w:color w:val="auto"/>
          <w:sz w:val="28"/>
          <w:szCs w:val="28"/>
          <w:highlight w:val="none"/>
        </w:rPr>
        <w:t>4.1.9工程的维护和照管</w:t>
      </w:r>
    </w:p>
    <w:p w14:paraId="30743248">
      <w:pPr>
        <w:spacing w:line="360" w:lineRule="auto"/>
        <w:ind w:firstLine="480"/>
        <w:rPr>
          <w:color w:val="auto"/>
          <w:highlight w:val="none"/>
        </w:rPr>
      </w:pPr>
      <w:r>
        <w:rPr>
          <w:rFonts w:hint="eastAsia"/>
          <w:color w:val="auto"/>
          <w:highlight w:val="none"/>
        </w:rPr>
        <w:t>本项细化为：</w:t>
      </w:r>
    </w:p>
    <w:p w14:paraId="3D21B997">
      <w:pPr>
        <w:spacing w:line="360" w:lineRule="auto"/>
        <w:ind w:firstLine="480"/>
        <w:rPr>
          <w:color w:val="auto"/>
          <w:highlight w:val="none"/>
        </w:rPr>
      </w:pPr>
      <w:r>
        <w:rPr>
          <w:rFonts w:hint="eastAsia"/>
          <w:color w:val="auto"/>
          <w:highlight w:val="none"/>
        </w:rPr>
        <w:t>（1）交工验收证书颁发前，承包人应负责照管和维护工程及将用于或安装在本工程中的材料、设备。交工验收证书颁发时尚有部分未交工工程的，承包人还应负责该未交工工程、材料、设备的照管和维护工作，直至交工后移交给发包人为止。</w:t>
      </w:r>
    </w:p>
    <w:p w14:paraId="3119EF58">
      <w:pPr>
        <w:spacing w:line="360" w:lineRule="auto"/>
        <w:ind w:firstLine="480"/>
        <w:rPr>
          <w:color w:val="auto"/>
          <w:highlight w:val="none"/>
        </w:rPr>
      </w:pPr>
      <w:r>
        <w:rPr>
          <w:rFonts w:hint="eastAsia"/>
          <w:color w:val="auto"/>
          <w:highlight w:val="none"/>
        </w:rPr>
        <w:t>（2）在承包人负责照管与维护期间，如果本工程或材料、设备等发生损失或损害，除不可抗力原因之外，承包人均应自费弥补，并达到合同要求。承包人还应对按第 19 条规定而实施作业过程中由承包人造成的对工程的任何损失或损害负责。</w:t>
      </w:r>
    </w:p>
    <w:p w14:paraId="5BB84458">
      <w:pPr>
        <w:keepNext/>
        <w:keepLines/>
        <w:spacing w:line="360" w:lineRule="auto"/>
        <w:ind w:firstLine="482"/>
        <w:outlineLvl w:val="4"/>
        <w:rPr>
          <w:b/>
          <w:bCs/>
          <w:color w:val="auto"/>
          <w:sz w:val="28"/>
          <w:szCs w:val="28"/>
          <w:highlight w:val="none"/>
        </w:rPr>
      </w:pPr>
      <w:r>
        <w:rPr>
          <w:rFonts w:hint="eastAsia"/>
          <w:b/>
          <w:bCs/>
          <w:color w:val="auto"/>
          <w:sz w:val="28"/>
          <w:szCs w:val="28"/>
          <w:highlight w:val="none"/>
        </w:rPr>
        <w:t>4.1.10其他义务</w:t>
      </w:r>
    </w:p>
    <w:p w14:paraId="45ABF7C4">
      <w:pPr>
        <w:spacing w:line="360" w:lineRule="auto"/>
        <w:ind w:firstLine="480"/>
        <w:rPr>
          <w:color w:val="auto"/>
          <w:highlight w:val="none"/>
        </w:rPr>
      </w:pPr>
      <w:r>
        <w:rPr>
          <w:rFonts w:hint="eastAsia"/>
          <w:color w:val="auto"/>
          <w:highlight w:val="none"/>
        </w:rPr>
        <w:t>本项细化为：</w:t>
      </w:r>
    </w:p>
    <w:p w14:paraId="43DF361D">
      <w:pPr>
        <w:spacing w:line="360" w:lineRule="auto"/>
        <w:ind w:firstLine="480"/>
        <w:rPr>
          <w:color w:val="auto"/>
          <w:highlight w:val="none"/>
        </w:rPr>
      </w:pPr>
      <w:r>
        <w:rPr>
          <w:rFonts w:hint="eastAsia"/>
          <w:color w:val="auto"/>
          <w:highlight w:val="none"/>
        </w:rPr>
        <w:t>（1）临时占地由承包人向当地政府土地管理部门申请，并办理租用手续，承包人按有关规定直接支付其费用，发包人对此将予以协调。</w:t>
      </w:r>
    </w:p>
    <w:p w14:paraId="3C3E7C2C">
      <w:pPr>
        <w:spacing w:line="360" w:lineRule="auto"/>
        <w:ind w:firstLine="480"/>
        <w:rPr>
          <w:color w:val="auto"/>
          <w:highlight w:val="none"/>
        </w:rPr>
      </w:pPr>
      <w:r>
        <w:rPr>
          <w:rFonts w:hint="eastAsia"/>
          <w:color w:val="auto"/>
          <w:highlight w:val="none"/>
        </w:rPr>
        <w:t>临时占地范围包括承包人驻地的办公室、食堂、宿舍、道路和机械设备停放场、材料堆放场地、弃土场、预制场、拌和场、仓库、进场临时道路、临时便道、便桥等。承包人应在“临时占地计划表”范围内按实际需要与先后次序，提出具体计划报监理人同意，并报发包人。临时占地的面积和使用期应满足工程需要，费用包括临时占地数量、时间及因此而发生的协调、租用、复耕、地面附着物（电力、电信、房屋、坟墓除外）的拆迁补偿等相关费用。除项目专用合同条款另有约定外，临时占地的租地费用实行总额包干，列入工程量清单第 100 章中由承包人按总额报价。</w:t>
      </w:r>
    </w:p>
    <w:p w14:paraId="10E3188F">
      <w:pPr>
        <w:spacing w:line="360" w:lineRule="auto"/>
        <w:ind w:firstLine="480"/>
        <w:rPr>
          <w:color w:val="auto"/>
          <w:highlight w:val="none"/>
        </w:rPr>
      </w:pPr>
      <w:r>
        <w:rPr>
          <w:rFonts w:hint="eastAsia"/>
          <w:color w:val="auto"/>
          <w:highlight w:val="none"/>
        </w:rPr>
        <w:t>临时占地退还前，承包人应自费恢复到临时占地使用前的状况。如因承包人撤离后未按要求对临时占地进行恢复或虽进行了恢复但未达到使用标准的，将由发包人委托第三方对其恢复，所发生的费用将从应付给承包人的任何款项内扣除。</w:t>
      </w:r>
    </w:p>
    <w:p w14:paraId="621AF575">
      <w:pPr>
        <w:spacing w:line="360" w:lineRule="auto"/>
        <w:ind w:firstLine="480"/>
        <w:rPr>
          <w:color w:val="auto"/>
          <w:highlight w:val="none"/>
        </w:rPr>
      </w:pPr>
      <w:r>
        <w:rPr>
          <w:rFonts w:hint="eastAsia"/>
          <w:color w:val="auto"/>
          <w:highlight w:val="none"/>
        </w:rPr>
        <w:t>（2）除项目专用合同条款另有约定外，承包人应承担并支付为获得本合同工程所需的石料、砂、砾石、黏土或其他当地材料等所发生的料场使用费及其他开支或补偿费。发包人应尽可能协助承包人办理料场租用手续及解决使用过程中的有关问题。</w:t>
      </w:r>
    </w:p>
    <w:p w14:paraId="22D69993">
      <w:pPr>
        <w:spacing w:line="360" w:lineRule="auto"/>
        <w:ind w:firstLine="480"/>
        <w:rPr>
          <w:color w:val="auto"/>
          <w:highlight w:val="none"/>
        </w:rPr>
      </w:pPr>
      <w:r>
        <w:rPr>
          <w:rFonts w:hint="eastAsia"/>
          <w:color w:val="auto"/>
          <w:highlight w:val="none"/>
        </w:rPr>
        <w:t>（3）承包人应严格遵守国家有关解决拖欠工程款和民工工资的法律、法规，及时支付工程中的材料、设备货款及民工工资等费用。承包人不得以任何借口拖欠材料、设备货款及民工工资等费用，如果出现此种现象，发包人有权代为支付其拖欠的材料、设备货款及民工工资，并从应付给承包人的工程款中扣除相应款项。对恶意拖欠和拒不按计划支付的，作为不良记录纳入公路建设市场信用信息管理系统。承包人的项目经理部是民工工资支付行为的主体，承包人的项目经理是民工工资支付的责任人。项目经理部要建立全体民工花名册和工资支付表，确保将工资直接发放给民工本人，或委托银行发放民工工资，严禁发放给“包工头”或其他不具备用工主体资格的组织和个人。</w:t>
      </w:r>
    </w:p>
    <w:p w14:paraId="30D06C63">
      <w:pPr>
        <w:spacing w:line="360" w:lineRule="auto"/>
        <w:ind w:firstLine="480"/>
        <w:rPr>
          <w:color w:val="auto"/>
          <w:highlight w:val="none"/>
        </w:rPr>
      </w:pPr>
      <w:r>
        <w:rPr>
          <w:rFonts w:hint="eastAsia"/>
          <w:color w:val="auto"/>
          <w:highlight w:val="none"/>
        </w:rPr>
        <w:t>工资支付表应如实记录支付单位、支付时间、支付对象、支付数额、支付对象的身份证号和签字等信息。民工花名册和工资支付表应报监理人备查。</w:t>
      </w:r>
    </w:p>
    <w:p w14:paraId="56A524FC">
      <w:pPr>
        <w:spacing w:line="360" w:lineRule="auto"/>
        <w:ind w:firstLine="480"/>
        <w:rPr>
          <w:color w:val="auto"/>
          <w:highlight w:val="none"/>
        </w:rPr>
      </w:pPr>
      <w:r>
        <w:rPr>
          <w:rFonts w:hint="eastAsia"/>
          <w:color w:val="auto"/>
          <w:highlight w:val="none"/>
        </w:rPr>
        <w:t>（4）承包人应分解工程价款中的人工费用，在工程项目所在地银行开设民工工资（劳务费）专用账户，专项用于支付民工工资。发包人应按照本合同约定的比例或承包人提供的人工费用数额，将应付工程款中的人工费单独拨付到承包人开设的民工工资（劳务费）专用账户。民工工资（劳务费）专用账户应向人力资源社会保障部门和交通运输主管部门备案，并委托开户银行负责日常监管，确保专款专用。开户银行发现账户资金不足、被挪用等情况，应及时向人力资源社会保障部门和交通运输主管部门报告。</w:t>
      </w:r>
    </w:p>
    <w:p w14:paraId="4CA35246">
      <w:pPr>
        <w:spacing w:line="360" w:lineRule="auto"/>
        <w:ind w:firstLine="480"/>
        <w:rPr>
          <w:color w:val="auto"/>
          <w:highlight w:val="none"/>
        </w:rPr>
      </w:pPr>
      <w:r>
        <w:rPr>
          <w:rFonts w:hint="eastAsia"/>
          <w:color w:val="auto"/>
          <w:highlight w:val="none"/>
        </w:rPr>
        <w:t>（5）承包人应严格执行竞争性磋商技术规范对施工标准化提出的具体要求，结合本单位施工能力和技术优势，积极采取有利于标准化施工的组织方式和工艺流程， 加强工地建设、工艺控制、人员管理和内业资料管理，强化对施工一线操作人员的培训，改善职工生产生活条件，与此相关的费用承包人应列入工程量清单第 100 章中。</w:t>
      </w:r>
    </w:p>
    <w:p w14:paraId="23B42756">
      <w:pPr>
        <w:spacing w:line="360" w:lineRule="auto"/>
        <w:ind w:firstLine="480"/>
        <w:rPr>
          <w:color w:val="auto"/>
          <w:highlight w:val="none"/>
        </w:rPr>
      </w:pPr>
      <w:r>
        <w:rPr>
          <w:rFonts w:hint="eastAsia"/>
          <w:color w:val="auto"/>
          <w:highlight w:val="none"/>
        </w:rPr>
        <w:t>（6）承包人应履行项目专用合同条款约定的其他义务。</w:t>
      </w:r>
    </w:p>
    <w:p w14:paraId="4F7B8697">
      <w:pPr>
        <w:keepNext/>
        <w:keepLines/>
        <w:spacing w:line="360" w:lineRule="auto"/>
        <w:outlineLvl w:val="3"/>
        <w:rPr>
          <w:rFonts w:ascii="Arial" w:hAnsi="Arial"/>
          <w:b/>
          <w:bCs/>
          <w:color w:val="auto"/>
          <w:sz w:val="28"/>
          <w:szCs w:val="28"/>
          <w:highlight w:val="none"/>
        </w:rPr>
      </w:pPr>
      <w:bookmarkStart w:id="391" w:name="_Toc31637"/>
      <w:r>
        <w:rPr>
          <w:rFonts w:hint="eastAsia" w:ascii="Arial" w:hAnsi="Arial"/>
          <w:b/>
          <w:bCs/>
          <w:color w:val="auto"/>
          <w:sz w:val="28"/>
          <w:szCs w:val="28"/>
          <w:highlight w:val="none"/>
        </w:rPr>
        <w:t>4.2履约保证金</w:t>
      </w:r>
      <w:bookmarkEnd w:id="391"/>
    </w:p>
    <w:p w14:paraId="64B6CEAE">
      <w:pPr>
        <w:spacing w:line="360" w:lineRule="auto"/>
        <w:ind w:firstLine="480"/>
        <w:rPr>
          <w:color w:val="auto"/>
          <w:highlight w:val="none"/>
        </w:rPr>
      </w:pPr>
      <w:r>
        <w:rPr>
          <w:rFonts w:hint="eastAsia"/>
          <w:color w:val="auto"/>
          <w:highlight w:val="none"/>
        </w:rPr>
        <w:t>本项目免履约担保。</w:t>
      </w:r>
    </w:p>
    <w:p w14:paraId="1F081FAA">
      <w:pPr>
        <w:keepNext/>
        <w:keepLines/>
        <w:spacing w:line="360" w:lineRule="auto"/>
        <w:outlineLvl w:val="3"/>
        <w:rPr>
          <w:rFonts w:ascii="Arial" w:hAnsi="Arial"/>
          <w:b/>
          <w:bCs/>
          <w:color w:val="auto"/>
          <w:sz w:val="28"/>
          <w:szCs w:val="28"/>
          <w:highlight w:val="none"/>
        </w:rPr>
      </w:pPr>
      <w:bookmarkStart w:id="392" w:name="_Toc8441"/>
      <w:r>
        <w:rPr>
          <w:rFonts w:hint="eastAsia" w:ascii="Arial" w:hAnsi="Arial"/>
          <w:b/>
          <w:bCs/>
          <w:color w:val="auto"/>
          <w:sz w:val="28"/>
          <w:szCs w:val="28"/>
          <w:highlight w:val="none"/>
        </w:rPr>
        <w:t>4.3分包</w:t>
      </w:r>
      <w:bookmarkEnd w:id="392"/>
    </w:p>
    <w:p w14:paraId="2083F748">
      <w:pPr>
        <w:keepNext/>
        <w:keepLines/>
        <w:spacing w:line="360" w:lineRule="auto"/>
        <w:ind w:firstLine="482"/>
        <w:outlineLvl w:val="4"/>
        <w:rPr>
          <w:b/>
          <w:bCs/>
          <w:color w:val="auto"/>
          <w:sz w:val="28"/>
          <w:szCs w:val="28"/>
          <w:highlight w:val="none"/>
        </w:rPr>
      </w:pPr>
      <w:r>
        <w:rPr>
          <w:rFonts w:hint="eastAsia"/>
          <w:b/>
          <w:bCs/>
          <w:color w:val="auto"/>
          <w:sz w:val="28"/>
          <w:szCs w:val="28"/>
          <w:highlight w:val="none"/>
        </w:rPr>
        <w:t>第 4.3.2 项～第 4.3.4 项细化为：</w:t>
      </w:r>
    </w:p>
    <w:p w14:paraId="32534E55">
      <w:pPr>
        <w:keepNext/>
        <w:keepLines/>
        <w:spacing w:line="360" w:lineRule="auto"/>
        <w:ind w:firstLine="482"/>
        <w:outlineLvl w:val="4"/>
        <w:rPr>
          <w:b/>
          <w:bCs/>
          <w:color w:val="auto"/>
          <w:sz w:val="28"/>
          <w:szCs w:val="28"/>
          <w:highlight w:val="none"/>
        </w:rPr>
      </w:pPr>
      <w:r>
        <w:rPr>
          <w:rFonts w:hint="eastAsia"/>
          <w:b/>
          <w:bCs/>
          <w:color w:val="auto"/>
          <w:sz w:val="28"/>
          <w:szCs w:val="28"/>
          <w:highlight w:val="none"/>
        </w:rPr>
        <w:t>4.3.2承包人不得将工程关键性工作分包给第三人。经发包人同意，承包人可将工程的其他部分或工作分包给第三人。分包包括专业分包和劳务分包。</w:t>
      </w:r>
    </w:p>
    <w:p w14:paraId="3BE22238">
      <w:pPr>
        <w:keepNext/>
        <w:keepLines/>
        <w:spacing w:line="360" w:lineRule="auto"/>
        <w:ind w:firstLine="482"/>
        <w:outlineLvl w:val="4"/>
        <w:rPr>
          <w:b/>
          <w:bCs/>
          <w:color w:val="auto"/>
          <w:sz w:val="28"/>
          <w:szCs w:val="28"/>
          <w:highlight w:val="none"/>
        </w:rPr>
      </w:pPr>
      <w:r>
        <w:rPr>
          <w:rFonts w:hint="eastAsia"/>
          <w:b/>
          <w:bCs/>
          <w:color w:val="auto"/>
          <w:sz w:val="28"/>
          <w:szCs w:val="28"/>
          <w:highlight w:val="none"/>
        </w:rPr>
        <w:t>4.3.3专业分包</w:t>
      </w:r>
    </w:p>
    <w:p w14:paraId="6F175AA2">
      <w:pPr>
        <w:spacing w:line="360" w:lineRule="auto"/>
        <w:ind w:firstLine="480"/>
        <w:rPr>
          <w:color w:val="auto"/>
          <w:highlight w:val="none"/>
        </w:rPr>
      </w:pPr>
      <w:r>
        <w:rPr>
          <w:rFonts w:hint="eastAsia"/>
          <w:color w:val="auto"/>
          <w:highlight w:val="none"/>
        </w:rPr>
        <w:t>在工程施工过程中，承包人进行专业分包必须遵守以下规定：</w:t>
      </w:r>
    </w:p>
    <w:p w14:paraId="7C5A46B0">
      <w:pPr>
        <w:spacing w:line="360" w:lineRule="auto"/>
        <w:ind w:firstLine="480"/>
        <w:rPr>
          <w:color w:val="auto"/>
          <w:highlight w:val="none"/>
        </w:rPr>
      </w:pPr>
      <w:r>
        <w:rPr>
          <w:rFonts w:hint="eastAsia"/>
          <w:color w:val="auto"/>
          <w:highlight w:val="none"/>
        </w:rPr>
        <w:t>（1）允许专业分包的工程范围仅限于非关键性工程或者适合专业化队伍施工的专项工程。未列入响应文件的专项工程，承包人不得分包。但因工程变更增加了有特殊性技术要求、特殊工艺或者涉及专利保护等的专项工程，且按规定无须再进行招标的，由承包人提出书面申请，经发包人书面同意，可以分包。</w:t>
      </w:r>
    </w:p>
    <w:p w14:paraId="3D2A6859">
      <w:pPr>
        <w:spacing w:line="360" w:lineRule="auto"/>
        <w:ind w:firstLine="480"/>
        <w:rPr>
          <w:color w:val="auto"/>
          <w:highlight w:val="none"/>
        </w:rPr>
      </w:pPr>
      <w:r>
        <w:rPr>
          <w:rFonts w:hint="eastAsia"/>
          <w:color w:val="auto"/>
          <w:highlight w:val="none"/>
        </w:rPr>
        <w:t>（2）专业分包人的资格能力（含安全生产能力）应与其分包工程的标准和规模相适应，且应当具备如下条件：</w:t>
      </w:r>
    </w:p>
    <w:p w14:paraId="7BB2E467">
      <w:pPr>
        <w:spacing w:line="360" w:lineRule="auto"/>
        <w:ind w:firstLine="480"/>
        <w:rPr>
          <w:color w:val="auto"/>
          <w:highlight w:val="none"/>
        </w:rPr>
      </w:pPr>
      <w:r>
        <w:rPr>
          <w:rFonts w:hint="eastAsia"/>
          <w:color w:val="auto"/>
          <w:highlight w:val="none"/>
        </w:rPr>
        <w:t>a.具有经工商登记的法人资格；</w:t>
      </w:r>
    </w:p>
    <w:p w14:paraId="0BB2FDA9">
      <w:pPr>
        <w:spacing w:line="360" w:lineRule="auto"/>
        <w:ind w:firstLine="480"/>
        <w:rPr>
          <w:color w:val="auto"/>
          <w:highlight w:val="none"/>
        </w:rPr>
      </w:pPr>
      <w:r>
        <w:rPr>
          <w:rFonts w:hint="eastAsia"/>
          <w:color w:val="auto"/>
          <w:highlight w:val="none"/>
        </w:rPr>
        <w:t>b.具有从事类似工程经验的管理与技术人员；</w:t>
      </w:r>
    </w:p>
    <w:p w14:paraId="144067D4">
      <w:pPr>
        <w:spacing w:line="360" w:lineRule="auto"/>
        <w:ind w:firstLine="480"/>
        <w:rPr>
          <w:color w:val="auto"/>
          <w:highlight w:val="none"/>
        </w:rPr>
      </w:pPr>
      <w:r>
        <w:rPr>
          <w:rFonts w:hint="eastAsia"/>
          <w:color w:val="auto"/>
          <w:highlight w:val="none"/>
        </w:rPr>
        <w:t>c.具有（自有或租赁）分包工程所需的施工设备。</w:t>
      </w:r>
    </w:p>
    <w:p w14:paraId="781BFFB5">
      <w:pPr>
        <w:spacing w:line="360" w:lineRule="auto"/>
        <w:ind w:firstLine="480"/>
        <w:rPr>
          <w:color w:val="auto"/>
          <w:highlight w:val="none"/>
        </w:rPr>
      </w:pPr>
      <w:r>
        <w:rPr>
          <w:rFonts w:hint="eastAsia"/>
          <w:color w:val="auto"/>
          <w:highlight w:val="none"/>
        </w:rPr>
        <w:t>承包人应向监理人提交专业分包人的资格能力证明材料，经监理人审查并报发包人批准后，可以将相应专业工程分包给该专业分包人。</w:t>
      </w:r>
    </w:p>
    <w:p w14:paraId="2411CCAA">
      <w:pPr>
        <w:spacing w:line="360" w:lineRule="auto"/>
        <w:ind w:firstLine="480"/>
        <w:rPr>
          <w:color w:val="auto"/>
          <w:highlight w:val="none"/>
        </w:rPr>
      </w:pPr>
      <w:r>
        <w:rPr>
          <w:rFonts w:hint="eastAsia"/>
          <w:color w:val="auto"/>
          <w:highlight w:val="none"/>
        </w:rPr>
        <w:t>（3）专业分包工程不得再次分包。</w:t>
      </w:r>
    </w:p>
    <w:p w14:paraId="1C1C4BC2">
      <w:pPr>
        <w:spacing w:line="360" w:lineRule="auto"/>
        <w:ind w:firstLine="480"/>
        <w:rPr>
          <w:color w:val="auto"/>
          <w:highlight w:val="none"/>
        </w:rPr>
      </w:pPr>
      <w:r>
        <w:rPr>
          <w:rFonts w:hint="eastAsia"/>
          <w:color w:val="auto"/>
          <w:highlight w:val="none"/>
        </w:rPr>
        <w:t>（4）承包人和专业分包人应当按照交通运输主管部门制定的统一格式依法签订专业分包合同，并履行合同约定的义务。专业分包合同必须遵循承包合同的各项原则，满足承包合同中的质量、安全、进度、环保以及其他技术、经济等要求。专业分包合同必须明确约定工程款支付条款、结算方式以及保证按期支付的相应措施，确保工程款的支付。承包人应在工程实施前，将经监理人审查同意后的分包合同报发包人备案。</w:t>
      </w:r>
    </w:p>
    <w:p w14:paraId="3765781E">
      <w:pPr>
        <w:spacing w:line="360" w:lineRule="auto"/>
        <w:ind w:firstLine="480"/>
        <w:rPr>
          <w:color w:val="auto"/>
          <w:highlight w:val="none"/>
        </w:rPr>
      </w:pPr>
      <w:r>
        <w:rPr>
          <w:rFonts w:hint="eastAsia"/>
          <w:color w:val="auto"/>
          <w:highlight w:val="none"/>
        </w:rPr>
        <w:t>（5）专业分包人应当设立项目管理机构，对所分包工程的施工活动实施管理。项目管理机构应当具有与分包工程的规模、技术复杂程度相适应的技术、经济管理人员，其中项目负责人和技术、财务、计量、质量、安全等主要管理人员必须是专业分包人本单位人员。</w:t>
      </w:r>
    </w:p>
    <w:p w14:paraId="3D421E7E">
      <w:pPr>
        <w:spacing w:line="360" w:lineRule="auto"/>
        <w:ind w:firstLine="480"/>
        <w:rPr>
          <w:color w:val="auto"/>
          <w:highlight w:val="none"/>
        </w:rPr>
      </w:pPr>
      <w:r>
        <w:rPr>
          <w:rFonts w:hint="eastAsia"/>
          <w:color w:val="auto"/>
          <w:highlight w:val="none"/>
        </w:rPr>
        <w:t>（6）承包人应当建立健全相关分包管理制度和台账，对专业分包工程的质量、安全、进度和专业分包人的行为等实施全过程管理，按照合同约定对专业分包工程的实施向发包人负责，并承担赔偿责任。专业分包合同不免除承包合同中规定的承包人的责任或者义务。</w:t>
      </w:r>
    </w:p>
    <w:p w14:paraId="0007F698">
      <w:pPr>
        <w:spacing w:line="360" w:lineRule="auto"/>
        <w:ind w:firstLine="480"/>
        <w:rPr>
          <w:color w:val="auto"/>
          <w:highlight w:val="none"/>
        </w:rPr>
      </w:pPr>
      <w:r>
        <w:rPr>
          <w:rFonts w:hint="eastAsia"/>
          <w:color w:val="auto"/>
          <w:highlight w:val="none"/>
        </w:rPr>
        <w:t>（7）专业分包人应当依据专业分包合同的约定，组织分包工程的施工，并对分包工程的质量、安全和进度等实施有效控制。专业分包人对其分包的工程向承包人负责，并就所分包的工程向发包人承担连带责任。</w:t>
      </w:r>
    </w:p>
    <w:p w14:paraId="48B8D59B">
      <w:pPr>
        <w:spacing w:line="360" w:lineRule="auto"/>
        <w:ind w:firstLine="480"/>
        <w:rPr>
          <w:color w:val="auto"/>
          <w:highlight w:val="none"/>
        </w:rPr>
      </w:pPr>
      <w:r>
        <w:rPr>
          <w:rFonts w:hint="eastAsia"/>
          <w:color w:val="auto"/>
          <w:highlight w:val="none"/>
        </w:rPr>
        <w:t>（8）承包人对施工现场安全负总责，并对专业分包人的安全生产进行培训和管理。专业分包人应将其专业分包工程的施工组织设计和施工安全方案报承包人备案。专业分包人对分包施工现场安全负责，发现事故隐患，应及时处理。</w:t>
      </w:r>
    </w:p>
    <w:p w14:paraId="79ABD9CA">
      <w:pPr>
        <w:spacing w:line="360" w:lineRule="auto"/>
        <w:ind w:firstLine="480"/>
        <w:rPr>
          <w:color w:val="auto"/>
          <w:highlight w:val="none"/>
        </w:rPr>
      </w:pPr>
      <w:r>
        <w:rPr>
          <w:rFonts w:hint="eastAsia"/>
          <w:color w:val="auto"/>
          <w:highlight w:val="none"/>
        </w:rPr>
        <w:t>违反上述规定之一者属违规分包。</w:t>
      </w:r>
    </w:p>
    <w:p w14:paraId="29469A84">
      <w:pPr>
        <w:keepNext/>
        <w:keepLines/>
        <w:spacing w:line="360" w:lineRule="auto"/>
        <w:ind w:firstLine="482"/>
        <w:outlineLvl w:val="4"/>
        <w:rPr>
          <w:b/>
          <w:bCs/>
          <w:color w:val="auto"/>
          <w:sz w:val="28"/>
          <w:szCs w:val="28"/>
          <w:highlight w:val="none"/>
        </w:rPr>
      </w:pPr>
      <w:r>
        <w:rPr>
          <w:rFonts w:hint="eastAsia"/>
          <w:b/>
          <w:bCs/>
          <w:color w:val="auto"/>
          <w:sz w:val="28"/>
          <w:szCs w:val="28"/>
          <w:highlight w:val="none"/>
        </w:rPr>
        <w:t>4.3.4劳务分包</w:t>
      </w:r>
    </w:p>
    <w:p w14:paraId="26272057">
      <w:pPr>
        <w:spacing w:line="360" w:lineRule="auto"/>
        <w:ind w:firstLine="480"/>
        <w:rPr>
          <w:color w:val="auto"/>
          <w:highlight w:val="none"/>
        </w:rPr>
      </w:pPr>
      <w:r>
        <w:rPr>
          <w:rFonts w:hint="eastAsia"/>
          <w:color w:val="auto"/>
          <w:highlight w:val="none"/>
        </w:rPr>
        <w:t>在工程施工过程中，承包人进行劳务分包必须遵守以下规定：</w:t>
      </w:r>
    </w:p>
    <w:p w14:paraId="7E1043D7">
      <w:pPr>
        <w:spacing w:line="360" w:lineRule="auto"/>
        <w:ind w:firstLine="480"/>
        <w:rPr>
          <w:color w:val="auto"/>
          <w:highlight w:val="none"/>
        </w:rPr>
      </w:pPr>
      <w:r>
        <w:rPr>
          <w:rFonts w:hint="eastAsia"/>
          <w:color w:val="auto"/>
          <w:highlight w:val="none"/>
        </w:rPr>
        <w:t>（1）劳务分包人应具有施工劳务资质。</w:t>
      </w:r>
    </w:p>
    <w:p w14:paraId="2B7D73A5">
      <w:pPr>
        <w:spacing w:line="360" w:lineRule="auto"/>
        <w:ind w:firstLine="480"/>
        <w:rPr>
          <w:color w:val="auto"/>
          <w:highlight w:val="none"/>
        </w:rPr>
      </w:pPr>
      <w:r>
        <w:rPr>
          <w:rFonts w:hint="eastAsia"/>
          <w:color w:val="auto"/>
          <w:highlight w:val="none"/>
        </w:rPr>
        <w:t>（2）劳务分包应当依法签订劳务分包合同，劳务分包合同必须由承包人的法定代表人或其委托代理人与劳务分包人直接签订，不得由他人代签。承包人的项目经理部、项目经理、施工班组等不具备用工主体资格，不能与劳务分包人签订劳务分包合同。承包人应向发包人和监理人提交劳务分包合同副本并报项目所在地劳动保障部门备案。</w:t>
      </w:r>
    </w:p>
    <w:p w14:paraId="19591B73">
      <w:pPr>
        <w:spacing w:line="360" w:lineRule="auto"/>
        <w:ind w:firstLine="480"/>
        <w:rPr>
          <w:color w:val="auto"/>
          <w:highlight w:val="none"/>
        </w:rPr>
      </w:pPr>
      <w:r>
        <w:rPr>
          <w:rFonts w:hint="eastAsia"/>
          <w:color w:val="auto"/>
          <w:highlight w:val="none"/>
        </w:rPr>
        <w:t>（3）承包人雇用的劳务作业应加入到承包人的施工班组统一管理。有关施工质量、施工安全、施工进度、环境保护、技术方案、试验检测、材料保管与供应、机械设备等都必须由承包人管理与调配，不得以包代管。</w:t>
      </w:r>
    </w:p>
    <w:p w14:paraId="0E945E8C">
      <w:pPr>
        <w:spacing w:line="360" w:lineRule="auto"/>
        <w:ind w:firstLine="480"/>
        <w:rPr>
          <w:color w:val="auto"/>
          <w:highlight w:val="none"/>
        </w:rPr>
      </w:pPr>
      <w:r>
        <w:rPr>
          <w:rFonts w:hint="eastAsia"/>
          <w:color w:val="auto"/>
          <w:highlight w:val="none"/>
        </w:rPr>
        <w:t>（4）承包人应当对劳务分包人员进行安全培训和管理，劳务分包人不得将其分包的劳务作业再次分包。</w:t>
      </w:r>
    </w:p>
    <w:p w14:paraId="5CE0B608">
      <w:pPr>
        <w:spacing w:line="360" w:lineRule="auto"/>
        <w:ind w:firstLine="480"/>
        <w:rPr>
          <w:color w:val="auto"/>
          <w:highlight w:val="none"/>
        </w:rPr>
      </w:pPr>
      <w:r>
        <w:rPr>
          <w:rFonts w:hint="eastAsia"/>
          <w:color w:val="auto"/>
          <w:highlight w:val="none"/>
        </w:rPr>
        <w:t>违反上述规定之一者属违规分包。</w:t>
      </w:r>
    </w:p>
    <w:p w14:paraId="055F7C4E">
      <w:pPr>
        <w:spacing w:line="360" w:lineRule="auto"/>
        <w:ind w:firstLine="480"/>
        <w:rPr>
          <w:color w:val="auto"/>
          <w:highlight w:val="none"/>
        </w:rPr>
      </w:pPr>
      <w:r>
        <w:rPr>
          <w:rFonts w:hint="eastAsia"/>
          <w:color w:val="auto"/>
          <w:highlight w:val="none"/>
        </w:rPr>
        <w:t>本款补充第 4.3.6 项、第 4.3.7 项：</w:t>
      </w:r>
    </w:p>
    <w:p w14:paraId="436BB70B">
      <w:pPr>
        <w:keepNext/>
        <w:keepLines/>
        <w:spacing w:line="360" w:lineRule="auto"/>
        <w:ind w:firstLine="482"/>
        <w:outlineLvl w:val="4"/>
        <w:rPr>
          <w:b/>
          <w:bCs/>
          <w:color w:val="auto"/>
          <w:sz w:val="28"/>
          <w:szCs w:val="28"/>
          <w:highlight w:val="none"/>
        </w:rPr>
      </w:pPr>
      <w:r>
        <w:rPr>
          <w:rFonts w:hint="eastAsia"/>
          <w:b/>
          <w:bCs/>
          <w:color w:val="auto"/>
          <w:sz w:val="28"/>
          <w:szCs w:val="28"/>
          <w:highlight w:val="none"/>
        </w:rPr>
        <w:t>4.3.6发包人对承包人与分包人之间的法律与经济纠纷不承担任何责任和义务。</w:t>
      </w:r>
    </w:p>
    <w:p w14:paraId="5AE0A09D">
      <w:pPr>
        <w:keepNext/>
        <w:keepLines/>
        <w:spacing w:line="360" w:lineRule="auto"/>
        <w:ind w:firstLine="482"/>
        <w:outlineLvl w:val="4"/>
        <w:rPr>
          <w:b/>
          <w:bCs/>
          <w:color w:val="auto"/>
          <w:sz w:val="28"/>
          <w:szCs w:val="28"/>
          <w:highlight w:val="none"/>
        </w:rPr>
      </w:pPr>
      <w:r>
        <w:rPr>
          <w:rFonts w:hint="eastAsia"/>
          <w:b/>
          <w:bCs/>
          <w:color w:val="auto"/>
          <w:sz w:val="28"/>
          <w:szCs w:val="28"/>
          <w:highlight w:val="none"/>
        </w:rPr>
        <w:t>4.3.7本项目的各项分包工作均应遵守《公路工程施工分包管理办法》的有关规定。</w:t>
      </w:r>
    </w:p>
    <w:p w14:paraId="6E3384B1">
      <w:pPr>
        <w:keepNext/>
        <w:keepLines/>
        <w:spacing w:line="360" w:lineRule="auto"/>
        <w:outlineLvl w:val="3"/>
        <w:rPr>
          <w:rFonts w:ascii="Arial" w:hAnsi="Arial"/>
          <w:b/>
          <w:bCs/>
          <w:color w:val="auto"/>
          <w:sz w:val="28"/>
          <w:szCs w:val="28"/>
          <w:highlight w:val="none"/>
        </w:rPr>
      </w:pPr>
      <w:bookmarkStart w:id="393" w:name="_Toc660"/>
      <w:r>
        <w:rPr>
          <w:rFonts w:hint="eastAsia" w:ascii="Arial" w:hAnsi="Arial"/>
          <w:b/>
          <w:bCs/>
          <w:color w:val="auto"/>
          <w:sz w:val="28"/>
          <w:szCs w:val="28"/>
          <w:highlight w:val="none"/>
        </w:rPr>
        <w:t>4.4联合体</w:t>
      </w:r>
      <w:bookmarkEnd w:id="393"/>
    </w:p>
    <w:p w14:paraId="27C31919">
      <w:pPr>
        <w:keepNext/>
        <w:keepLines/>
        <w:spacing w:line="360" w:lineRule="auto"/>
        <w:ind w:firstLine="482"/>
        <w:outlineLvl w:val="4"/>
        <w:rPr>
          <w:b/>
          <w:bCs/>
          <w:color w:val="auto"/>
          <w:sz w:val="28"/>
          <w:szCs w:val="28"/>
          <w:highlight w:val="none"/>
        </w:rPr>
      </w:pPr>
      <w:r>
        <w:rPr>
          <w:rFonts w:hint="eastAsia"/>
          <w:color w:val="auto"/>
          <w:highlight w:val="none"/>
        </w:rPr>
        <w:t>本款补充第 4.4.4 项：无</w:t>
      </w:r>
      <w:r>
        <w:rPr>
          <w:rFonts w:hint="eastAsia"/>
          <w:b/>
          <w:bCs/>
          <w:color w:val="auto"/>
          <w:sz w:val="28"/>
          <w:szCs w:val="28"/>
          <w:highlight w:val="none"/>
        </w:rPr>
        <w:t>。</w:t>
      </w:r>
    </w:p>
    <w:p w14:paraId="334B1833">
      <w:pPr>
        <w:keepNext/>
        <w:keepLines/>
        <w:spacing w:line="360" w:lineRule="auto"/>
        <w:outlineLvl w:val="3"/>
        <w:rPr>
          <w:rFonts w:ascii="Arial" w:hAnsi="Arial"/>
          <w:b/>
          <w:bCs/>
          <w:color w:val="auto"/>
          <w:sz w:val="28"/>
          <w:szCs w:val="28"/>
          <w:highlight w:val="none"/>
        </w:rPr>
      </w:pPr>
      <w:bookmarkStart w:id="394" w:name="_Toc19492"/>
      <w:r>
        <w:rPr>
          <w:rFonts w:hint="eastAsia" w:ascii="Arial" w:hAnsi="Arial"/>
          <w:b/>
          <w:bCs/>
          <w:color w:val="auto"/>
          <w:sz w:val="28"/>
          <w:szCs w:val="28"/>
          <w:highlight w:val="none"/>
        </w:rPr>
        <w:t>4.6承包人人员的管理</w:t>
      </w:r>
      <w:bookmarkEnd w:id="394"/>
    </w:p>
    <w:p w14:paraId="74752E0E">
      <w:pPr>
        <w:keepNext/>
        <w:keepLines/>
        <w:spacing w:line="360" w:lineRule="auto"/>
        <w:ind w:firstLine="482"/>
        <w:outlineLvl w:val="4"/>
        <w:rPr>
          <w:b/>
          <w:bCs/>
          <w:color w:val="auto"/>
          <w:sz w:val="28"/>
          <w:szCs w:val="28"/>
          <w:highlight w:val="none"/>
        </w:rPr>
      </w:pPr>
      <w:r>
        <w:rPr>
          <w:rFonts w:hint="eastAsia"/>
          <w:b/>
          <w:bCs/>
          <w:color w:val="auto"/>
          <w:sz w:val="28"/>
          <w:szCs w:val="28"/>
          <w:highlight w:val="none"/>
        </w:rPr>
        <w:t>第 4.6.3 项细化为：</w:t>
      </w:r>
    </w:p>
    <w:p w14:paraId="11071FA4">
      <w:pPr>
        <w:spacing w:line="360" w:lineRule="auto"/>
        <w:ind w:firstLine="480"/>
        <w:rPr>
          <w:color w:val="auto"/>
          <w:highlight w:val="none"/>
        </w:rPr>
      </w:pPr>
      <w:r>
        <w:rPr>
          <w:rFonts w:hint="eastAsia"/>
          <w:color w:val="auto"/>
          <w:highlight w:val="none"/>
        </w:rPr>
        <w:t>承包人安排在施工场地的主要管理人员和技术骨干应与承包人承诺的名单一致，并保持相对稳定。未经监理人批准，上述人员不应无故不到位或被替换；若确实无法到位或需替换，需经监理人审核并报发包人批准后，用同等资质和经历的人员替换。</w:t>
      </w:r>
    </w:p>
    <w:p w14:paraId="1CA520B7">
      <w:pPr>
        <w:keepNext/>
        <w:keepLines/>
        <w:spacing w:line="360" w:lineRule="auto"/>
        <w:ind w:firstLine="482"/>
        <w:outlineLvl w:val="4"/>
        <w:rPr>
          <w:b/>
          <w:bCs/>
          <w:color w:val="auto"/>
          <w:sz w:val="28"/>
          <w:szCs w:val="28"/>
          <w:highlight w:val="none"/>
        </w:rPr>
      </w:pPr>
      <w:r>
        <w:rPr>
          <w:rFonts w:hint="eastAsia"/>
          <w:b/>
          <w:bCs/>
          <w:color w:val="auto"/>
          <w:sz w:val="28"/>
          <w:szCs w:val="28"/>
          <w:highlight w:val="none"/>
        </w:rPr>
        <w:t>本款补充第 4.6.5 项：</w:t>
      </w:r>
    </w:p>
    <w:p w14:paraId="351FF7C4">
      <w:pPr>
        <w:spacing w:line="360" w:lineRule="auto"/>
        <w:ind w:firstLine="480"/>
        <w:rPr>
          <w:color w:val="auto"/>
          <w:highlight w:val="none"/>
        </w:rPr>
      </w:pPr>
      <w:r>
        <w:rPr>
          <w:rFonts w:hint="eastAsia"/>
          <w:color w:val="auto"/>
          <w:highlight w:val="none"/>
        </w:rPr>
        <w:t>4.6.5 尽管承包人已按承诺派遣了上述各类人员，但若这些人员仍不能满足合同进度计划和（或）质量要求时，监理人有权要求承包人继续增派或雇用这类人员， 并书面通知承包人和抄送发包人。承包人在接到上述通知后应立即执行监理人的上述指示，不得无故拖延，由此增加的费用和（或）工期延误由承包人承担。</w:t>
      </w:r>
    </w:p>
    <w:p w14:paraId="0D0DC9DF">
      <w:pPr>
        <w:keepNext/>
        <w:keepLines/>
        <w:spacing w:line="360" w:lineRule="auto"/>
        <w:outlineLvl w:val="3"/>
        <w:rPr>
          <w:rFonts w:ascii="Arial" w:hAnsi="Arial"/>
          <w:b/>
          <w:bCs/>
          <w:color w:val="auto"/>
          <w:sz w:val="28"/>
          <w:szCs w:val="28"/>
          <w:highlight w:val="none"/>
        </w:rPr>
      </w:pPr>
      <w:bookmarkStart w:id="395" w:name="_Toc14658"/>
      <w:r>
        <w:rPr>
          <w:rFonts w:hint="eastAsia" w:ascii="Arial" w:hAnsi="Arial"/>
          <w:b/>
          <w:bCs/>
          <w:color w:val="auto"/>
          <w:sz w:val="28"/>
          <w:szCs w:val="28"/>
          <w:highlight w:val="none"/>
        </w:rPr>
        <w:t>4.7撤换承包人项目经理和其他人员</w:t>
      </w:r>
      <w:bookmarkEnd w:id="395"/>
    </w:p>
    <w:p w14:paraId="436BBA73">
      <w:pPr>
        <w:spacing w:line="360" w:lineRule="auto"/>
        <w:ind w:firstLine="480"/>
        <w:rPr>
          <w:color w:val="auto"/>
          <w:highlight w:val="none"/>
        </w:rPr>
      </w:pPr>
      <w:r>
        <w:rPr>
          <w:rFonts w:hint="eastAsia"/>
          <w:color w:val="auto"/>
          <w:highlight w:val="none"/>
        </w:rPr>
        <w:t>本款细化为：</w:t>
      </w:r>
    </w:p>
    <w:p w14:paraId="6DD64E9A">
      <w:pPr>
        <w:spacing w:line="360" w:lineRule="auto"/>
        <w:ind w:firstLine="480"/>
        <w:rPr>
          <w:color w:val="auto"/>
          <w:highlight w:val="none"/>
        </w:rPr>
      </w:pPr>
      <w:r>
        <w:rPr>
          <w:rFonts w:hint="eastAsia"/>
          <w:color w:val="auto"/>
          <w:highlight w:val="none"/>
        </w:rPr>
        <w:t>承包人应对其项目经理和其他人员进行有效管理。监理人要求撤换不能胜任本职工作、行为不端或玩忽职守的承包人项目经理和其他人员的，承包人应予以撤换， 同时委派经发包人与监理人同意的新的项目经理和其他人员。</w:t>
      </w:r>
    </w:p>
    <w:p w14:paraId="4B918BDC">
      <w:pPr>
        <w:keepNext/>
        <w:keepLines/>
        <w:spacing w:line="360" w:lineRule="auto"/>
        <w:outlineLvl w:val="3"/>
        <w:rPr>
          <w:rFonts w:ascii="Arial" w:hAnsi="Arial"/>
          <w:b/>
          <w:bCs/>
          <w:color w:val="auto"/>
          <w:sz w:val="28"/>
          <w:szCs w:val="28"/>
          <w:highlight w:val="none"/>
        </w:rPr>
      </w:pPr>
      <w:bookmarkStart w:id="396" w:name="_Toc5548"/>
      <w:r>
        <w:rPr>
          <w:rFonts w:hint="eastAsia" w:ascii="Arial" w:hAnsi="Arial"/>
          <w:b/>
          <w:bCs/>
          <w:color w:val="auto"/>
          <w:sz w:val="28"/>
          <w:szCs w:val="28"/>
          <w:highlight w:val="none"/>
        </w:rPr>
        <w:t>4.9工程价款应专款专用</w:t>
      </w:r>
      <w:bookmarkEnd w:id="396"/>
    </w:p>
    <w:p w14:paraId="7E806F66">
      <w:pPr>
        <w:spacing w:line="360" w:lineRule="auto"/>
        <w:ind w:firstLine="480"/>
        <w:rPr>
          <w:color w:val="auto"/>
          <w:highlight w:val="none"/>
        </w:rPr>
      </w:pPr>
      <w:r>
        <w:rPr>
          <w:rFonts w:hint="eastAsia"/>
          <w:color w:val="auto"/>
          <w:highlight w:val="none"/>
        </w:rPr>
        <w:t>本款细化为：</w:t>
      </w:r>
    </w:p>
    <w:p w14:paraId="6BAB6C77">
      <w:pPr>
        <w:spacing w:line="360" w:lineRule="auto"/>
        <w:ind w:firstLine="480"/>
        <w:rPr>
          <w:color w:val="auto"/>
          <w:highlight w:val="none"/>
        </w:rPr>
      </w:pPr>
      <w:r>
        <w:rPr>
          <w:rFonts w:hint="eastAsia"/>
          <w:color w:val="auto"/>
          <w:highlight w:val="none"/>
        </w:rPr>
        <w:t>发包人按合同约定支付给承包人的各项价款应专用于合同工程。承包人必须在发包人指定的银行开户，并与发包人、银行共同签订《工程资金监管协议》，接受发包人和银行对资金的监管。承包人应向发包人授权进行本合同工程开户银行工程资金的查询。发包人支付的工程进度款应为本工程的专款专用资金，不得转移或用于其他工程。发包人的期中支付款将转入该银行所设的专门账户，发包人及其派出机构有权不定期对承包人工程资金使用情况进行检查，发现问题及时责令承包人限期改正，否则，将终止月支付，直至承包人改正为止。</w:t>
      </w:r>
    </w:p>
    <w:p w14:paraId="1CBED626">
      <w:pPr>
        <w:keepNext/>
        <w:keepLines/>
        <w:spacing w:line="360" w:lineRule="auto"/>
        <w:outlineLvl w:val="3"/>
        <w:rPr>
          <w:rFonts w:ascii="Arial" w:hAnsi="Arial"/>
          <w:b/>
          <w:bCs/>
          <w:color w:val="auto"/>
          <w:sz w:val="28"/>
          <w:szCs w:val="28"/>
          <w:highlight w:val="none"/>
        </w:rPr>
      </w:pPr>
      <w:bookmarkStart w:id="397" w:name="_Toc20880"/>
      <w:r>
        <w:rPr>
          <w:rFonts w:hint="eastAsia" w:ascii="Arial" w:hAnsi="Arial"/>
          <w:b/>
          <w:bCs/>
          <w:color w:val="auto"/>
          <w:sz w:val="28"/>
          <w:szCs w:val="28"/>
          <w:highlight w:val="none"/>
        </w:rPr>
        <w:t>4.10承包人现场查勘</w:t>
      </w:r>
      <w:bookmarkEnd w:id="397"/>
    </w:p>
    <w:p w14:paraId="0911C984">
      <w:pPr>
        <w:keepNext/>
        <w:keepLines/>
        <w:spacing w:line="360" w:lineRule="auto"/>
        <w:ind w:firstLine="482"/>
        <w:outlineLvl w:val="4"/>
        <w:rPr>
          <w:b/>
          <w:bCs/>
          <w:color w:val="auto"/>
          <w:sz w:val="28"/>
          <w:szCs w:val="28"/>
          <w:highlight w:val="none"/>
        </w:rPr>
      </w:pPr>
      <w:r>
        <w:rPr>
          <w:rFonts w:hint="eastAsia"/>
          <w:b/>
          <w:bCs/>
          <w:color w:val="auto"/>
          <w:sz w:val="28"/>
          <w:szCs w:val="28"/>
          <w:highlight w:val="none"/>
        </w:rPr>
        <w:t>第 4.10.1 项细化为：</w:t>
      </w:r>
      <w:r>
        <w:rPr>
          <w:b/>
          <w:bCs/>
          <w:color w:val="auto"/>
          <w:sz w:val="28"/>
          <w:szCs w:val="28"/>
          <w:highlight w:val="none"/>
          <w:vertAlign w:val="superscript"/>
        </w:rPr>
        <w:footnoteReference w:id="0"/>
      </w:r>
    </w:p>
    <w:p w14:paraId="1CE7F9A8">
      <w:pPr>
        <w:spacing w:line="360" w:lineRule="auto"/>
        <w:ind w:firstLine="480"/>
        <w:rPr>
          <w:color w:val="auto"/>
          <w:highlight w:val="none"/>
        </w:rPr>
      </w:pPr>
      <w:r>
        <w:rPr>
          <w:rFonts w:hint="eastAsia"/>
          <w:color w:val="auto"/>
          <w:highlight w:val="none"/>
        </w:rPr>
        <w:t>发包人提供的本合同工程的水文、地质、气象和料场分布、取土场、弃土场位置等资料均属于参考资料，并不构成合同文件的组成部分，承包人应对自己就上述资料的解释、推论和应用负责，发包人不对承包人据此作出的判断和决策承担任何责任。</w:t>
      </w:r>
    </w:p>
    <w:p w14:paraId="5B3CDD18">
      <w:pPr>
        <w:keepNext/>
        <w:keepLines/>
        <w:spacing w:line="360" w:lineRule="auto"/>
        <w:outlineLvl w:val="3"/>
        <w:rPr>
          <w:rFonts w:ascii="Arial" w:hAnsi="Arial"/>
          <w:b/>
          <w:bCs/>
          <w:color w:val="auto"/>
          <w:sz w:val="28"/>
          <w:szCs w:val="28"/>
          <w:highlight w:val="none"/>
        </w:rPr>
      </w:pPr>
      <w:bookmarkStart w:id="398" w:name="_Toc13611"/>
      <w:r>
        <w:rPr>
          <w:rFonts w:hint="eastAsia" w:ascii="Arial" w:hAnsi="Arial"/>
          <w:b/>
          <w:bCs/>
          <w:color w:val="auto"/>
          <w:sz w:val="28"/>
          <w:szCs w:val="28"/>
          <w:highlight w:val="none"/>
        </w:rPr>
        <w:t>4.11不利物质条件</w:t>
      </w:r>
      <w:bookmarkEnd w:id="398"/>
    </w:p>
    <w:p w14:paraId="32ECAF19">
      <w:pPr>
        <w:keepNext/>
        <w:keepLines/>
        <w:spacing w:line="360" w:lineRule="auto"/>
        <w:ind w:firstLine="482"/>
        <w:outlineLvl w:val="4"/>
        <w:rPr>
          <w:b/>
          <w:bCs/>
          <w:color w:val="auto"/>
          <w:sz w:val="28"/>
          <w:szCs w:val="28"/>
          <w:highlight w:val="none"/>
        </w:rPr>
      </w:pPr>
      <w:r>
        <w:rPr>
          <w:rFonts w:hint="eastAsia"/>
          <w:b/>
          <w:bCs/>
          <w:color w:val="auto"/>
          <w:sz w:val="28"/>
          <w:szCs w:val="28"/>
          <w:highlight w:val="none"/>
        </w:rPr>
        <w:t>第 4.11.2 项细化为：</w:t>
      </w:r>
    </w:p>
    <w:p w14:paraId="19FB273D">
      <w:pPr>
        <w:spacing w:line="360" w:lineRule="auto"/>
        <w:ind w:firstLine="480"/>
        <w:rPr>
          <w:color w:val="auto"/>
          <w:highlight w:val="none"/>
        </w:rPr>
      </w:pPr>
      <w:r>
        <w:rPr>
          <w:rFonts w:hint="eastAsia"/>
          <w:color w:val="auto"/>
          <w:highlight w:val="none"/>
        </w:rPr>
        <w:t>4.11.2承包人遇到不可预见的不利物质条件时，应采取适应不利物质条件的合理措施继续施工，并及时通知监理人。监理人应当及时发出指示，指示构成变更的， 按第 15 条约定办理。监理人没有发出指示的，承包人因采取合理措施而增加的费用和（或）工期延误，由发包人承担。</w:t>
      </w:r>
    </w:p>
    <w:p w14:paraId="6F67F05F">
      <w:pPr>
        <w:spacing w:line="360" w:lineRule="auto"/>
        <w:ind w:firstLine="480"/>
        <w:rPr>
          <w:color w:val="auto"/>
          <w:highlight w:val="none"/>
        </w:rPr>
      </w:pPr>
      <w:r>
        <w:rPr>
          <w:rFonts w:hint="eastAsia"/>
          <w:color w:val="auto"/>
          <w:highlight w:val="none"/>
        </w:rPr>
        <w:t>本款补充第 4.11.3 项：</w:t>
      </w:r>
    </w:p>
    <w:p w14:paraId="69935E91">
      <w:pPr>
        <w:keepNext/>
        <w:keepLines/>
        <w:spacing w:line="360" w:lineRule="auto"/>
        <w:ind w:firstLine="482"/>
        <w:outlineLvl w:val="4"/>
        <w:rPr>
          <w:b/>
          <w:bCs/>
          <w:color w:val="auto"/>
          <w:sz w:val="28"/>
          <w:szCs w:val="28"/>
          <w:highlight w:val="none"/>
        </w:rPr>
      </w:pPr>
      <w:r>
        <w:rPr>
          <w:rFonts w:hint="eastAsia"/>
          <w:b/>
          <w:bCs/>
          <w:color w:val="auto"/>
          <w:sz w:val="28"/>
          <w:szCs w:val="28"/>
          <w:highlight w:val="none"/>
        </w:rPr>
        <w:t>4.11.3可预见的不利物质条件</w:t>
      </w:r>
    </w:p>
    <w:p w14:paraId="1C727BC0">
      <w:pPr>
        <w:numPr>
          <w:ilvl w:val="0"/>
          <w:numId w:val="2"/>
        </w:numPr>
        <w:spacing w:line="360" w:lineRule="auto"/>
        <w:ind w:firstLine="420"/>
        <w:rPr>
          <w:color w:val="auto"/>
          <w:highlight w:val="none"/>
        </w:rPr>
      </w:pPr>
      <w:r>
        <w:rPr>
          <w:rFonts w:hint="eastAsia"/>
          <w:color w:val="auto"/>
          <w:highlight w:val="none"/>
        </w:rPr>
        <w:t>对于项目专用合同条款中已经明确指出的不利物质条件无论承包人是否有其经历和经验均视为承包人在接受合同时已预见其影响，并已在签约合同价中计入因其影响而可能发生的一切费用。</w:t>
      </w:r>
    </w:p>
    <w:p w14:paraId="14757F6E">
      <w:pPr>
        <w:spacing w:line="360" w:lineRule="auto"/>
        <w:ind w:firstLine="480"/>
        <w:rPr>
          <w:color w:val="auto"/>
          <w:highlight w:val="none"/>
        </w:rPr>
      </w:pPr>
      <w:r>
        <w:rPr>
          <w:rFonts w:hint="eastAsia"/>
          <w:color w:val="auto"/>
          <w:highlight w:val="none"/>
        </w:rPr>
        <w:t>（2）对于项目专用合同条款未明确指出，但是在不利物质条件发生之前，监理人已经指示承包人有可能发生，但承包人未能及时采取有效措施，而导致的损失和后果均由承包人承担。</w:t>
      </w:r>
    </w:p>
    <w:p w14:paraId="4C85D9FA">
      <w:pPr>
        <w:spacing w:line="360" w:lineRule="auto"/>
        <w:ind w:firstLine="480"/>
        <w:rPr>
          <w:color w:val="auto"/>
          <w:highlight w:val="none"/>
        </w:rPr>
      </w:pPr>
      <w:r>
        <w:rPr>
          <w:rFonts w:hint="eastAsia"/>
          <w:color w:val="auto"/>
          <w:highlight w:val="none"/>
        </w:rPr>
        <w:t>补充第 4.12 款、第 4.13 款：</w:t>
      </w:r>
    </w:p>
    <w:p w14:paraId="06586532">
      <w:pPr>
        <w:keepNext/>
        <w:keepLines/>
        <w:spacing w:line="360" w:lineRule="auto"/>
        <w:outlineLvl w:val="3"/>
        <w:rPr>
          <w:rFonts w:ascii="Arial" w:hAnsi="Arial"/>
          <w:b/>
          <w:bCs/>
          <w:color w:val="auto"/>
          <w:sz w:val="28"/>
          <w:szCs w:val="28"/>
          <w:highlight w:val="none"/>
        </w:rPr>
      </w:pPr>
      <w:bookmarkStart w:id="399" w:name="_Toc25718"/>
      <w:r>
        <w:rPr>
          <w:rFonts w:hint="eastAsia" w:ascii="Arial" w:hAnsi="Arial"/>
          <w:b/>
          <w:bCs/>
          <w:color w:val="auto"/>
          <w:sz w:val="28"/>
          <w:szCs w:val="28"/>
          <w:highlight w:val="none"/>
        </w:rPr>
        <w:t>4.12响应文件的完备性</w:t>
      </w:r>
      <w:bookmarkEnd w:id="399"/>
    </w:p>
    <w:p w14:paraId="2E8C24BA">
      <w:pPr>
        <w:spacing w:line="360" w:lineRule="auto"/>
        <w:ind w:firstLine="480"/>
        <w:rPr>
          <w:color w:val="auto"/>
          <w:highlight w:val="none"/>
        </w:rPr>
      </w:pPr>
      <w:r>
        <w:rPr>
          <w:rFonts w:hint="eastAsia"/>
          <w:color w:val="auto"/>
          <w:highlight w:val="none"/>
        </w:rPr>
        <w:t>合同双方一致认为，承包人在递交响应文件前，对本合同工程的响应文件和已标价工程量清单中开列的单价和总额价已查明是正确的和完备的。响应的单价和总额价应已包括了合同中规定的承包人的全部义务（包括提供货物、材料、设备、服务的义务，并包括了暂列金额和暂估价范围内的额外工作的义务）以及为实施和完成本合同工程及其缺陷修复所必需的一切工作和条件。</w:t>
      </w:r>
    </w:p>
    <w:p w14:paraId="2B3A74C8">
      <w:pPr>
        <w:keepNext/>
        <w:keepLines/>
        <w:spacing w:line="360" w:lineRule="auto"/>
        <w:outlineLvl w:val="2"/>
        <w:rPr>
          <w:b/>
          <w:bCs/>
          <w:color w:val="auto"/>
          <w:sz w:val="32"/>
          <w:szCs w:val="32"/>
          <w:highlight w:val="none"/>
        </w:rPr>
      </w:pPr>
      <w:bookmarkStart w:id="400" w:name="_Toc122424463"/>
      <w:bookmarkStart w:id="401" w:name="_Toc1605"/>
      <w:bookmarkStart w:id="402" w:name="_Toc122424214"/>
      <w:r>
        <w:rPr>
          <w:rFonts w:hint="eastAsia"/>
          <w:b/>
          <w:bCs/>
          <w:color w:val="auto"/>
          <w:sz w:val="32"/>
          <w:szCs w:val="32"/>
          <w:highlight w:val="none"/>
        </w:rPr>
        <w:t>5.材料和工程设备</w:t>
      </w:r>
      <w:bookmarkEnd w:id="400"/>
      <w:bookmarkEnd w:id="401"/>
      <w:bookmarkEnd w:id="402"/>
    </w:p>
    <w:p w14:paraId="4E6C2FC1">
      <w:pPr>
        <w:keepNext/>
        <w:keepLines/>
        <w:spacing w:line="360" w:lineRule="auto"/>
        <w:outlineLvl w:val="3"/>
        <w:rPr>
          <w:rFonts w:ascii="Arial" w:hAnsi="Arial"/>
          <w:b/>
          <w:bCs/>
          <w:color w:val="auto"/>
          <w:sz w:val="28"/>
          <w:szCs w:val="28"/>
          <w:highlight w:val="none"/>
        </w:rPr>
      </w:pPr>
      <w:bookmarkStart w:id="403" w:name="_Toc20766"/>
      <w:r>
        <w:rPr>
          <w:rFonts w:hint="eastAsia" w:ascii="Arial" w:hAnsi="Arial"/>
          <w:b/>
          <w:bCs/>
          <w:color w:val="auto"/>
          <w:sz w:val="28"/>
          <w:szCs w:val="28"/>
          <w:highlight w:val="none"/>
        </w:rPr>
        <w:t>5.2 发包人提供的材料和工程设备</w:t>
      </w:r>
      <w:bookmarkEnd w:id="403"/>
    </w:p>
    <w:p w14:paraId="1CD00F88">
      <w:pPr>
        <w:keepNext/>
        <w:keepLines/>
        <w:spacing w:line="360" w:lineRule="auto"/>
        <w:ind w:firstLine="482"/>
        <w:outlineLvl w:val="4"/>
        <w:rPr>
          <w:b/>
          <w:bCs/>
          <w:color w:val="auto"/>
          <w:sz w:val="28"/>
          <w:szCs w:val="28"/>
          <w:highlight w:val="none"/>
        </w:rPr>
      </w:pPr>
      <w:r>
        <w:rPr>
          <w:rFonts w:hint="eastAsia"/>
          <w:b/>
          <w:bCs/>
          <w:color w:val="auto"/>
          <w:sz w:val="28"/>
          <w:szCs w:val="28"/>
          <w:highlight w:val="none"/>
        </w:rPr>
        <w:t>第 5.2.3 项补充：</w:t>
      </w:r>
    </w:p>
    <w:p w14:paraId="5A72B1D8">
      <w:pPr>
        <w:spacing w:line="360" w:lineRule="auto"/>
        <w:ind w:firstLine="480"/>
        <w:rPr>
          <w:color w:val="auto"/>
          <w:highlight w:val="none"/>
        </w:rPr>
      </w:pPr>
      <w:r>
        <w:rPr>
          <w:rFonts w:hint="eastAsia"/>
          <w:color w:val="auto"/>
          <w:highlight w:val="none"/>
        </w:rPr>
        <w:t>承包人负责接收并按规定对材料进行抽样检验和对工程设备进行检验测试，若发现材料和工程设备存在缺陷，承包人应及时通知监理人，发包人应及时改正通知中指出的缺陷。承包人负责接收后的运输和保管，因承包人的原因发生丢失、损坏或进度拖延，由承包人承担相应责任。</w:t>
      </w:r>
    </w:p>
    <w:p w14:paraId="6C872ED4">
      <w:pPr>
        <w:keepNext/>
        <w:keepLines/>
        <w:spacing w:line="360" w:lineRule="auto"/>
        <w:outlineLvl w:val="2"/>
        <w:rPr>
          <w:b/>
          <w:bCs/>
          <w:color w:val="auto"/>
          <w:sz w:val="32"/>
          <w:szCs w:val="32"/>
          <w:highlight w:val="none"/>
        </w:rPr>
      </w:pPr>
      <w:bookmarkStart w:id="404" w:name="_Toc122424215"/>
      <w:bookmarkStart w:id="405" w:name="_Toc122424464"/>
      <w:bookmarkStart w:id="406" w:name="_Toc24228"/>
      <w:r>
        <w:rPr>
          <w:rFonts w:hint="eastAsia"/>
          <w:b/>
          <w:bCs/>
          <w:color w:val="auto"/>
          <w:sz w:val="32"/>
          <w:szCs w:val="32"/>
          <w:highlight w:val="none"/>
        </w:rPr>
        <w:t>6.施工设备和临时设施</w:t>
      </w:r>
      <w:bookmarkEnd w:id="404"/>
      <w:bookmarkEnd w:id="405"/>
      <w:bookmarkEnd w:id="406"/>
    </w:p>
    <w:p w14:paraId="16EDCB3C">
      <w:pPr>
        <w:keepNext/>
        <w:keepLines/>
        <w:spacing w:line="360" w:lineRule="auto"/>
        <w:outlineLvl w:val="3"/>
        <w:rPr>
          <w:rFonts w:ascii="Arial" w:hAnsi="Arial"/>
          <w:b/>
          <w:bCs/>
          <w:color w:val="auto"/>
          <w:sz w:val="28"/>
          <w:szCs w:val="28"/>
          <w:highlight w:val="none"/>
        </w:rPr>
      </w:pPr>
      <w:bookmarkStart w:id="407" w:name="_Toc23309"/>
      <w:r>
        <w:rPr>
          <w:rFonts w:hint="eastAsia" w:ascii="Arial" w:hAnsi="Arial"/>
          <w:b/>
          <w:bCs/>
          <w:color w:val="auto"/>
          <w:sz w:val="28"/>
          <w:szCs w:val="28"/>
          <w:highlight w:val="none"/>
        </w:rPr>
        <w:t>6.1承包人提供的施工设备和临时设施</w:t>
      </w:r>
      <w:bookmarkEnd w:id="407"/>
    </w:p>
    <w:p w14:paraId="138DB348">
      <w:pPr>
        <w:keepNext/>
        <w:keepLines/>
        <w:spacing w:line="360" w:lineRule="auto"/>
        <w:ind w:firstLine="482"/>
        <w:outlineLvl w:val="4"/>
        <w:rPr>
          <w:b/>
          <w:bCs/>
          <w:color w:val="auto"/>
          <w:sz w:val="28"/>
          <w:szCs w:val="28"/>
          <w:highlight w:val="none"/>
        </w:rPr>
      </w:pPr>
      <w:r>
        <w:rPr>
          <w:rFonts w:hint="eastAsia"/>
          <w:b/>
          <w:bCs/>
          <w:color w:val="auto"/>
          <w:sz w:val="28"/>
          <w:szCs w:val="28"/>
          <w:highlight w:val="none"/>
        </w:rPr>
        <w:t>第 6.1.2 项约定为：</w:t>
      </w:r>
    </w:p>
    <w:p w14:paraId="083C6AAB">
      <w:pPr>
        <w:spacing w:line="360" w:lineRule="auto"/>
        <w:ind w:firstLine="480"/>
        <w:rPr>
          <w:color w:val="auto"/>
          <w:highlight w:val="none"/>
        </w:rPr>
      </w:pPr>
      <w:r>
        <w:rPr>
          <w:rFonts w:hint="eastAsia"/>
          <w:color w:val="auto"/>
          <w:highlight w:val="none"/>
        </w:rPr>
        <w:t>承包人应自行承担修建临时设施的费用，需要临时占地的，应由承包人按第4.1.10 项（1）目的规定办理。</w:t>
      </w:r>
    </w:p>
    <w:p w14:paraId="6E3F0C64">
      <w:pPr>
        <w:spacing w:line="360" w:lineRule="auto"/>
        <w:ind w:firstLine="480"/>
        <w:rPr>
          <w:color w:val="auto"/>
          <w:highlight w:val="none"/>
        </w:rPr>
      </w:pPr>
    </w:p>
    <w:p w14:paraId="7377D4BF">
      <w:pPr>
        <w:keepNext/>
        <w:keepLines/>
        <w:spacing w:line="360" w:lineRule="auto"/>
        <w:outlineLvl w:val="3"/>
        <w:rPr>
          <w:rFonts w:ascii="Arial" w:hAnsi="Arial"/>
          <w:b/>
          <w:bCs/>
          <w:color w:val="auto"/>
          <w:sz w:val="28"/>
          <w:szCs w:val="28"/>
          <w:highlight w:val="none"/>
        </w:rPr>
      </w:pPr>
      <w:bookmarkStart w:id="408" w:name="_Toc26966"/>
      <w:r>
        <w:rPr>
          <w:rFonts w:hint="eastAsia" w:ascii="Arial" w:hAnsi="Arial"/>
          <w:b/>
          <w:bCs/>
          <w:color w:val="auto"/>
          <w:sz w:val="28"/>
          <w:szCs w:val="28"/>
          <w:highlight w:val="none"/>
        </w:rPr>
        <w:t>6.3 要求承包人增加或更换施工设备</w:t>
      </w:r>
      <w:bookmarkEnd w:id="408"/>
    </w:p>
    <w:p w14:paraId="478A302B">
      <w:pPr>
        <w:spacing w:line="360" w:lineRule="auto"/>
        <w:ind w:firstLine="480"/>
        <w:rPr>
          <w:color w:val="auto"/>
          <w:highlight w:val="none"/>
        </w:rPr>
      </w:pPr>
      <w:r>
        <w:rPr>
          <w:rFonts w:hint="eastAsia"/>
          <w:color w:val="auto"/>
          <w:highlight w:val="none"/>
        </w:rPr>
        <w:t>本款细化为：</w:t>
      </w:r>
    </w:p>
    <w:p w14:paraId="5B9023F1">
      <w:pPr>
        <w:spacing w:line="360" w:lineRule="auto"/>
        <w:ind w:firstLine="480"/>
        <w:rPr>
          <w:color w:val="auto"/>
          <w:highlight w:val="none"/>
        </w:rPr>
      </w:pPr>
      <w:r>
        <w:rPr>
          <w:rFonts w:hint="eastAsia"/>
          <w:color w:val="auto"/>
          <w:highlight w:val="none"/>
        </w:rPr>
        <w:t>承包人承诺的施工设备必须按时到达现场，不得拖延、缺短或任意更换。尽管承包人已按承诺提供了上述设备，但若承包人使用的施工设备不能满足合同进度计划和（或）质量要求时，监理人有权要求承包人增加或更换施工设备，承包人应及时增加或更换，由此增加的费用和（或）工期延误由承包人承担。</w:t>
      </w:r>
    </w:p>
    <w:p w14:paraId="49318818">
      <w:pPr>
        <w:keepNext/>
        <w:keepLines/>
        <w:spacing w:line="360" w:lineRule="auto"/>
        <w:outlineLvl w:val="2"/>
        <w:rPr>
          <w:b/>
          <w:bCs/>
          <w:color w:val="auto"/>
          <w:sz w:val="32"/>
          <w:szCs w:val="32"/>
          <w:highlight w:val="none"/>
        </w:rPr>
      </w:pPr>
      <w:bookmarkStart w:id="409" w:name="_Toc122424216"/>
      <w:bookmarkStart w:id="410" w:name="_Toc122424465"/>
      <w:bookmarkStart w:id="411" w:name="_Toc7330"/>
      <w:r>
        <w:rPr>
          <w:rFonts w:hint="eastAsia"/>
          <w:b/>
          <w:bCs/>
          <w:color w:val="auto"/>
          <w:sz w:val="32"/>
          <w:szCs w:val="32"/>
          <w:highlight w:val="none"/>
        </w:rPr>
        <w:t>7.交通运输</w:t>
      </w:r>
      <w:bookmarkEnd w:id="409"/>
      <w:bookmarkEnd w:id="410"/>
      <w:bookmarkEnd w:id="411"/>
    </w:p>
    <w:p w14:paraId="664EC851">
      <w:pPr>
        <w:keepNext/>
        <w:keepLines/>
        <w:spacing w:line="360" w:lineRule="auto"/>
        <w:outlineLvl w:val="3"/>
        <w:rPr>
          <w:rFonts w:ascii="Arial" w:hAnsi="Arial"/>
          <w:b/>
          <w:bCs/>
          <w:color w:val="auto"/>
          <w:sz w:val="28"/>
          <w:szCs w:val="28"/>
          <w:highlight w:val="none"/>
        </w:rPr>
      </w:pPr>
      <w:bookmarkStart w:id="412" w:name="_Toc28212"/>
      <w:r>
        <w:rPr>
          <w:rFonts w:hint="eastAsia" w:ascii="Arial" w:hAnsi="Arial"/>
          <w:b/>
          <w:bCs/>
          <w:color w:val="auto"/>
          <w:sz w:val="28"/>
          <w:szCs w:val="28"/>
          <w:highlight w:val="none"/>
        </w:rPr>
        <w:t>7.1道路通行权和场外设施</w:t>
      </w:r>
      <w:bookmarkEnd w:id="412"/>
    </w:p>
    <w:p w14:paraId="22AFC2AD">
      <w:pPr>
        <w:spacing w:line="360" w:lineRule="auto"/>
        <w:ind w:firstLine="480"/>
        <w:rPr>
          <w:color w:val="auto"/>
          <w:highlight w:val="none"/>
        </w:rPr>
      </w:pPr>
      <w:r>
        <w:rPr>
          <w:rFonts w:hint="eastAsia"/>
          <w:color w:val="auto"/>
          <w:highlight w:val="none"/>
        </w:rPr>
        <w:t>本款约定为：</w:t>
      </w:r>
    </w:p>
    <w:p w14:paraId="5C7B01B8">
      <w:pPr>
        <w:spacing w:line="360" w:lineRule="auto"/>
        <w:ind w:firstLine="480"/>
        <w:rPr>
          <w:color w:val="auto"/>
          <w:highlight w:val="none"/>
        </w:rPr>
      </w:pPr>
      <w:r>
        <w:rPr>
          <w:rFonts w:hint="eastAsia"/>
          <w:color w:val="auto"/>
          <w:highlight w:val="none"/>
        </w:rPr>
        <w:t>承包人应根据合同工程的施工需要，负责办理取得出入施工场地的专用和临时道路的通行权，以及取得为工程建设所需修建场外设施的权利，并承担有关费用。需要发包人协调时，发包人应协助承包人办理相关手续。</w:t>
      </w:r>
    </w:p>
    <w:p w14:paraId="21DF7BC4">
      <w:pPr>
        <w:keepNext/>
        <w:keepLines/>
        <w:spacing w:line="360" w:lineRule="auto"/>
        <w:outlineLvl w:val="2"/>
        <w:rPr>
          <w:b/>
          <w:bCs/>
          <w:color w:val="auto"/>
          <w:sz w:val="32"/>
          <w:szCs w:val="32"/>
          <w:highlight w:val="none"/>
        </w:rPr>
      </w:pPr>
      <w:bookmarkStart w:id="413" w:name="_Toc122424466"/>
      <w:bookmarkStart w:id="414" w:name="_Toc25933"/>
      <w:bookmarkStart w:id="415" w:name="_Toc122424217"/>
      <w:r>
        <w:rPr>
          <w:rFonts w:hint="eastAsia"/>
          <w:b/>
          <w:bCs/>
          <w:color w:val="auto"/>
          <w:sz w:val="32"/>
          <w:szCs w:val="32"/>
          <w:highlight w:val="none"/>
        </w:rPr>
        <w:t>8.测量放线</w:t>
      </w:r>
      <w:bookmarkEnd w:id="413"/>
      <w:bookmarkEnd w:id="414"/>
      <w:bookmarkEnd w:id="415"/>
    </w:p>
    <w:p w14:paraId="63B919DE">
      <w:pPr>
        <w:keepNext/>
        <w:keepLines/>
        <w:spacing w:line="360" w:lineRule="auto"/>
        <w:outlineLvl w:val="3"/>
        <w:rPr>
          <w:rFonts w:ascii="Arial" w:hAnsi="Arial"/>
          <w:b/>
          <w:bCs/>
          <w:color w:val="auto"/>
          <w:sz w:val="28"/>
          <w:szCs w:val="28"/>
          <w:highlight w:val="none"/>
        </w:rPr>
      </w:pPr>
      <w:bookmarkStart w:id="416" w:name="_Toc29191"/>
      <w:r>
        <w:rPr>
          <w:rFonts w:hint="eastAsia" w:ascii="Arial" w:hAnsi="Arial"/>
          <w:b/>
          <w:bCs/>
          <w:color w:val="auto"/>
          <w:sz w:val="28"/>
          <w:szCs w:val="28"/>
          <w:highlight w:val="none"/>
        </w:rPr>
        <w:t>8.4 监理人使用施工控制网</w:t>
      </w:r>
      <w:bookmarkEnd w:id="416"/>
    </w:p>
    <w:p w14:paraId="489D3BBF">
      <w:pPr>
        <w:spacing w:line="360" w:lineRule="auto"/>
        <w:ind w:firstLine="480"/>
        <w:rPr>
          <w:color w:val="auto"/>
          <w:highlight w:val="none"/>
        </w:rPr>
      </w:pPr>
      <w:r>
        <w:rPr>
          <w:rFonts w:hint="eastAsia"/>
          <w:color w:val="auto"/>
          <w:highlight w:val="none"/>
        </w:rPr>
        <w:t>本款补充：</w:t>
      </w:r>
    </w:p>
    <w:p w14:paraId="5ADDB865">
      <w:pPr>
        <w:spacing w:line="360" w:lineRule="auto"/>
        <w:ind w:firstLine="480"/>
        <w:rPr>
          <w:color w:val="auto"/>
          <w:highlight w:val="none"/>
        </w:rPr>
      </w:pPr>
      <w:r>
        <w:rPr>
          <w:rFonts w:hint="eastAsia"/>
          <w:color w:val="auto"/>
          <w:highlight w:val="none"/>
        </w:rPr>
        <w:t>经监理人批准，其他相关承包人也可免费使用施工控制网。</w:t>
      </w:r>
    </w:p>
    <w:p w14:paraId="1696B3E3">
      <w:pPr>
        <w:keepNext/>
        <w:keepLines/>
        <w:spacing w:line="360" w:lineRule="auto"/>
        <w:outlineLvl w:val="2"/>
        <w:rPr>
          <w:b/>
          <w:bCs/>
          <w:color w:val="auto"/>
          <w:sz w:val="32"/>
          <w:szCs w:val="32"/>
          <w:highlight w:val="none"/>
        </w:rPr>
      </w:pPr>
      <w:bookmarkStart w:id="417" w:name="_Toc122424218"/>
      <w:bookmarkStart w:id="418" w:name="_Toc122424467"/>
      <w:bookmarkStart w:id="419" w:name="_Toc5499"/>
      <w:r>
        <w:rPr>
          <w:rFonts w:hint="eastAsia"/>
          <w:b/>
          <w:bCs/>
          <w:color w:val="auto"/>
          <w:sz w:val="32"/>
          <w:szCs w:val="32"/>
          <w:highlight w:val="none"/>
        </w:rPr>
        <w:t>9.施工安全、治安保卫和环境保护</w:t>
      </w:r>
      <w:bookmarkEnd w:id="417"/>
      <w:bookmarkEnd w:id="418"/>
      <w:bookmarkEnd w:id="419"/>
    </w:p>
    <w:p w14:paraId="0CE765E7">
      <w:pPr>
        <w:keepNext/>
        <w:keepLines/>
        <w:spacing w:line="360" w:lineRule="auto"/>
        <w:outlineLvl w:val="3"/>
        <w:rPr>
          <w:rFonts w:ascii="Arial" w:hAnsi="Arial"/>
          <w:b/>
          <w:bCs/>
          <w:color w:val="auto"/>
          <w:sz w:val="28"/>
          <w:szCs w:val="28"/>
          <w:highlight w:val="none"/>
        </w:rPr>
      </w:pPr>
      <w:bookmarkStart w:id="420" w:name="_Toc12070"/>
      <w:r>
        <w:rPr>
          <w:rFonts w:hint="eastAsia" w:ascii="Arial" w:hAnsi="Arial"/>
          <w:b/>
          <w:bCs/>
          <w:color w:val="auto"/>
          <w:sz w:val="28"/>
          <w:szCs w:val="28"/>
          <w:highlight w:val="none"/>
        </w:rPr>
        <w:t>9.2承包人的施工安全责任</w:t>
      </w:r>
      <w:bookmarkEnd w:id="420"/>
    </w:p>
    <w:p w14:paraId="4CB1F360">
      <w:pPr>
        <w:keepNext/>
        <w:keepLines/>
        <w:spacing w:line="360" w:lineRule="auto"/>
        <w:ind w:firstLine="482"/>
        <w:outlineLvl w:val="4"/>
        <w:rPr>
          <w:b/>
          <w:bCs/>
          <w:color w:val="auto"/>
          <w:sz w:val="28"/>
          <w:szCs w:val="28"/>
          <w:highlight w:val="none"/>
        </w:rPr>
      </w:pPr>
      <w:r>
        <w:rPr>
          <w:rFonts w:hint="eastAsia"/>
          <w:b/>
          <w:bCs/>
          <w:color w:val="auto"/>
          <w:sz w:val="28"/>
          <w:szCs w:val="28"/>
          <w:highlight w:val="none"/>
        </w:rPr>
        <w:t>第 9.2.1 项细化为：</w:t>
      </w:r>
    </w:p>
    <w:p w14:paraId="60751E54">
      <w:pPr>
        <w:spacing w:line="360" w:lineRule="auto"/>
        <w:ind w:firstLine="480"/>
        <w:rPr>
          <w:color w:val="auto"/>
          <w:highlight w:val="none"/>
        </w:rPr>
      </w:pPr>
      <w:r>
        <w:rPr>
          <w:rFonts w:hint="eastAsia"/>
          <w:color w:val="auto"/>
          <w:highlight w:val="none"/>
        </w:rPr>
        <w:t>承包人应按合同约定履行安全职责，严格执行国家、地方政府有关施工安全管理方面的法律、法规及规章制度，同时严格执行发包人制订的本项目安全生产管理方面的规章制度、安全检查程序及施工安全管理要求，以及监理人有关安全工作的指示。</w:t>
      </w:r>
    </w:p>
    <w:p w14:paraId="3738E3F8">
      <w:pPr>
        <w:spacing w:line="360" w:lineRule="auto"/>
        <w:ind w:firstLine="480"/>
        <w:rPr>
          <w:color w:val="auto"/>
          <w:highlight w:val="none"/>
        </w:rPr>
      </w:pPr>
      <w:r>
        <w:rPr>
          <w:rFonts w:hint="eastAsia"/>
          <w:color w:val="auto"/>
          <w:highlight w:val="none"/>
        </w:rPr>
        <w:t>承包人应根据本工程的实际安全施工要求，编制施工安全技术措施，并在签订合同协议书后 28 天内，报监理人和发包人批准。该施工安全技术措施包括（但不限于）施工安全保障体系，安全生产责任制，安全生产管理规章制度，安全防护施工方案，施工现场临时用电方案，施工安全评估，安全预控及保证措施方案，紧急应变措施，安全标识、警示和围护方案等。对影响安全的重要工序和下列危险性较大的工程应编制专项施工方案，并附安全验算结果，经承包人项目总工签字并报监理人和发包人批准后实施，由专职安全生产管理人员进行现场监督。</w:t>
      </w:r>
    </w:p>
    <w:p w14:paraId="6AF25B13">
      <w:pPr>
        <w:spacing w:line="360" w:lineRule="auto"/>
        <w:ind w:firstLine="480"/>
        <w:rPr>
          <w:color w:val="auto"/>
          <w:highlight w:val="none"/>
        </w:rPr>
      </w:pPr>
      <w:r>
        <w:rPr>
          <w:rFonts w:hint="eastAsia"/>
          <w:color w:val="auto"/>
          <w:highlight w:val="none"/>
        </w:rPr>
        <w:t>本项目需要编制专项施工方案的工程包括但不限于以下内容：</w:t>
      </w:r>
    </w:p>
    <w:p w14:paraId="61107D2B">
      <w:pPr>
        <w:spacing w:line="360" w:lineRule="auto"/>
        <w:ind w:firstLine="480"/>
        <w:rPr>
          <w:color w:val="auto"/>
          <w:highlight w:val="none"/>
        </w:rPr>
      </w:pPr>
      <w:r>
        <w:rPr>
          <w:rFonts w:hint="eastAsia"/>
          <w:color w:val="auto"/>
          <w:highlight w:val="none"/>
        </w:rPr>
        <w:t>（1）不良地质条件下有潜在危险性的土方、石方开挖；</w:t>
      </w:r>
    </w:p>
    <w:p w14:paraId="7CB7C3F9">
      <w:pPr>
        <w:spacing w:line="360" w:lineRule="auto"/>
        <w:ind w:firstLine="480"/>
        <w:rPr>
          <w:color w:val="auto"/>
          <w:highlight w:val="none"/>
        </w:rPr>
      </w:pPr>
      <w:r>
        <w:rPr>
          <w:rFonts w:hint="eastAsia"/>
          <w:color w:val="auto"/>
          <w:highlight w:val="none"/>
        </w:rPr>
        <w:t>（2）滑坡和高边坡处理；</w:t>
      </w:r>
    </w:p>
    <w:p w14:paraId="1B301E20">
      <w:pPr>
        <w:spacing w:line="360" w:lineRule="auto"/>
        <w:ind w:firstLine="480"/>
        <w:rPr>
          <w:color w:val="auto"/>
          <w:highlight w:val="none"/>
        </w:rPr>
      </w:pPr>
      <w:r>
        <w:rPr>
          <w:rFonts w:hint="eastAsia"/>
          <w:color w:val="auto"/>
          <w:highlight w:val="none"/>
        </w:rPr>
        <w:t>（3）桩基础、挡墙基础、深水基础及围堰工程；</w:t>
      </w:r>
    </w:p>
    <w:p w14:paraId="5C448DCB">
      <w:pPr>
        <w:spacing w:line="360" w:lineRule="auto"/>
        <w:ind w:firstLine="480"/>
        <w:rPr>
          <w:color w:val="auto"/>
          <w:highlight w:val="none"/>
        </w:rPr>
      </w:pPr>
      <w:r>
        <w:rPr>
          <w:rFonts w:hint="eastAsia"/>
          <w:color w:val="auto"/>
          <w:highlight w:val="none"/>
        </w:rPr>
        <w:t>（4）桥梁工程中的梁、拱、柱等构件施工等；</w:t>
      </w:r>
    </w:p>
    <w:p w14:paraId="63D5DD7F">
      <w:pPr>
        <w:spacing w:line="360" w:lineRule="auto"/>
        <w:ind w:firstLine="480"/>
        <w:rPr>
          <w:color w:val="auto"/>
          <w:highlight w:val="none"/>
        </w:rPr>
      </w:pPr>
      <w:r>
        <w:rPr>
          <w:rFonts w:hint="eastAsia"/>
          <w:color w:val="auto"/>
          <w:highlight w:val="none"/>
        </w:rPr>
        <w:t>（5）隧道工程中的不良地质隧道、高瓦斯隧道等；</w:t>
      </w:r>
    </w:p>
    <w:p w14:paraId="794D78C5">
      <w:pPr>
        <w:spacing w:line="360" w:lineRule="auto"/>
        <w:ind w:firstLine="480"/>
        <w:rPr>
          <w:color w:val="auto"/>
          <w:highlight w:val="none"/>
        </w:rPr>
      </w:pPr>
      <w:r>
        <w:rPr>
          <w:rFonts w:hint="eastAsia"/>
          <w:color w:val="auto"/>
          <w:highlight w:val="none"/>
        </w:rPr>
        <w:t>（6）水上工程中的打桩船作业、施工船作业、外海孤岛作业、边通航边施工 作业等；</w:t>
      </w:r>
    </w:p>
    <w:p w14:paraId="7F25AE03">
      <w:pPr>
        <w:spacing w:line="360" w:lineRule="auto"/>
        <w:ind w:firstLine="480"/>
        <w:rPr>
          <w:color w:val="auto"/>
          <w:highlight w:val="none"/>
        </w:rPr>
      </w:pPr>
      <w:r>
        <w:rPr>
          <w:rFonts w:hint="eastAsia"/>
          <w:color w:val="auto"/>
          <w:highlight w:val="none"/>
        </w:rPr>
        <w:t>（7）水下工程中的水下焊接、混凝土浇筑、爆破工程等；</w:t>
      </w:r>
    </w:p>
    <w:p w14:paraId="48F252D9">
      <w:pPr>
        <w:spacing w:line="360" w:lineRule="auto"/>
        <w:ind w:firstLine="480"/>
        <w:rPr>
          <w:color w:val="auto"/>
          <w:highlight w:val="none"/>
        </w:rPr>
      </w:pPr>
      <w:r>
        <w:rPr>
          <w:rFonts w:hint="eastAsia"/>
          <w:color w:val="auto"/>
          <w:highlight w:val="none"/>
        </w:rPr>
        <w:t>（8）爆破工程；</w:t>
      </w:r>
    </w:p>
    <w:p w14:paraId="65309EFA">
      <w:pPr>
        <w:spacing w:line="360" w:lineRule="auto"/>
        <w:ind w:firstLine="480"/>
        <w:rPr>
          <w:color w:val="auto"/>
          <w:highlight w:val="none"/>
        </w:rPr>
      </w:pPr>
      <w:r>
        <w:rPr>
          <w:rFonts w:hint="eastAsia"/>
          <w:color w:val="auto"/>
          <w:highlight w:val="none"/>
        </w:rPr>
        <w:t>（9）大型临时工程中的大型支架、模板、便桥的架设与拆除；桥梁、码头的加固与拆除；</w:t>
      </w:r>
    </w:p>
    <w:p w14:paraId="2A97154A">
      <w:pPr>
        <w:spacing w:line="360" w:lineRule="auto"/>
        <w:ind w:firstLine="480"/>
        <w:rPr>
          <w:color w:val="auto"/>
          <w:highlight w:val="none"/>
        </w:rPr>
      </w:pPr>
      <w:r>
        <w:rPr>
          <w:rFonts w:hint="eastAsia"/>
          <w:color w:val="auto"/>
          <w:highlight w:val="none"/>
        </w:rPr>
        <w:t>（10）其他危险性较大的工程。</w:t>
      </w:r>
    </w:p>
    <w:p w14:paraId="37466E41">
      <w:pPr>
        <w:spacing w:line="360" w:lineRule="auto"/>
        <w:ind w:firstLine="480"/>
        <w:rPr>
          <w:color w:val="auto"/>
          <w:highlight w:val="none"/>
        </w:rPr>
      </w:pPr>
      <w:r>
        <w:rPr>
          <w:rFonts w:hint="eastAsia"/>
          <w:color w:val="auto"/>
          <w:highlight w:val="none"/>
        </w:rPr>
        <w:t>监理人和发包人在检查中发现有安全问题或有违反安全管理规章制度的情况时，可视为承包人违约，应按第 22.1 款的规定办理。</w:t>
      </w:r>
    </w:p>
    <w:p w14:paraId="7F8EC43D">
      <w:pPr>
        <w:keepNext/>
        <w:keepLines/>
        <w:spacing w:line="360" w:lineRule="auto"/>
        <w:ind w:firstLine="482"/>
        <w:outlineLvl w:val="4"/>
        <w:rPr>
          <w:b/>
          <w:bCs/>
          <w:color w:val="auto"/>
          <w:sz w:val="28"/>
          <w:szCs w:val="28"/>
          <w:highlight w:val="none"/>
        </w:rPr>
      </w:pPr>
      <w:r>
        <w:rPr>
          <w:rFonts w:hint="eastAsia"/>
          <w:b/>
          <w:bCs/>
          <w:color w:val="auto"/>
          <w:sz w:val="28"/>
          <w:szCs w:val="28"/>
          <w:highlight w:val="none"/>
        </w:rPr>
        <w:t>第 9.2.5 项细化为：</w:t>
      </w:r>
    </w:p>
    <w:p w14:paraId="71545002">
      <w:pPr>
        <w:spacing w:line="360" w:lineRule="auto"/>
        <w:ind w:firstLine="480"/>
        <w:rPr>
          <w:color w:val="auto"/>
          <w:highlight w:val="none"/>
        </w:rPr>
      </w:pPr>
      <w:r>
        <w:rPr>
          <w:rFonts w:hint="eastAsia"/>
          <w:color w:val="auto"/>
          <w:highlight w:val="none"/>
        </w:rPr>
        <w:t>除项目专用合同条款另有约定外，安全生产费用应为投标价（不含安全生产费及建筑工程一切险及第三者责任险的保险费）的 1.5%（若发包人公布了最高投标限价时，按最高投标限价的 1.5%计）。安全生产费用应用于施工安全防护用具及设施的采购和更新、安全施工措施的落实、安全生产条件的改善，不得挪作他用。如承包人在此基础上增加安全生产费用以满足项目施工需要，则承包人应在本项目工程量清单其他相关子目的单价或总额价中予以考虑，发包人不再另行支付。因采取合同未约定的特殊防护措施增加的费用，由监理人按第 3.5 款商定或确定。</w:t>
      </w:r>
    </w:p>
    <w:p w14:paraId="2BFED133">
      <w:pPr>
        <w:keepNext/>
        <w:keepLines/>
        <w:spacing w:line="360" w:lineRule="auto"/>
        <w:ind w:firstLine="482"/>
        <w:outlineLvl w:val="4"/>
        <w:rPr>
          <w:b/>
          <w:bCs/>
          <w:color w:val="auto"/>
          <w:sz w:val="28"/>
          <w:szCs w:val="28"/>
          <w:highlight w:val="none"/>
        </w:rPr>
      </w:pPr>
      <w:r>
        <w:rPr>
          <w:rFonts w:hint="eastAsia"/>
          <w:b/>
          <w:bCs/>
          <w:color w:val="auto"/>
          <w:sz w:val="28"/>
          <w:szCs w:val="28"/>
          <w:highlight w:val="none"/>
        </w:rPr>
        <w:t>本款补充第 9.2.8 项~第 9.2.11 项：</w:t>
      </w:r>
    </w:p>
    <w:p w14:paraId="17DB488B">
      <w:pPr>
        <w:spacing w:line="360" w:lineRule="auto"/>
        <w:ind w:firstLine="480"/>
        <w:rPr>
          <w:color w:val="auto"/>
          <w:highlight w:val="none"/>
        </w:rPr>
      </w:pPr>
      <w:r>
        <w:rPr>
          <w:rFonts w:hint="eastAsia"/>
          <w:color w:val="auto"/>
          <w:highlight w:val="none"/>
        </w:rPr>
        <w:t>9.2.8承包人应充分关注和保障所有在现场工作的人员的安全，采取以下有效措施，使现场和本合同工程的实施保持有条不紊，以免使上述人员的安全受到威胁。</w:t>
      </w:r>
    </w:p>
    <w:p w14:paraId="7FBF333C">
      <w:pPr>
        <w:spacing w:line="360" w:lineRule="auto"/>
        <w:ind w:firstLine="480"/>
        <w:rPr>
          <w:color w:val="auto"/>
          <w:highlight w:val="none"/>
        </w:rPr>
      </w:pPr>
      <w:r>
        <w:rPr>
          <w:rFonts w:hint="eastAsia"/>
          <w:color w:val="auto"/>
          <w:highlight w:val="none"/>
        </w:rPr>
        <w:t>（1）按《公路水运工程安全生产监督管理办法》规定的最低数量和资质条件配备专职安全生产管理人员；</w:t>
      </w:r>
    </w:p>
    <w:p w14:paraId="360CA88E">
      <w:pPr>
        <w:spacing w:line="360" w:lineRule="auto"/>
        <w:ind w:firstLine="480"/>
        <w:rPr>
          <w:color w:val="auto"/>
          <w:highlight w:val="none"/>
        </w:rPr>
      </w:pPr>
      <w:r>
        <w:rPr>
          <w:rFonts w:hint="eastAsia"/>
          <w:color w:val="auto"/>
          <w:highlight w:val="none"/>
        </w:rPr>
        <w:t>（2）承包人的垂直运输机械作业人员、施工船舶作业人员、爆破作业人员、 安装拆卸工、起重信号工、电工、焊工等国家规定的特种作业人员，必须按照国家规定经过专门的安全作业培训，并取得特种作业操作资格证书后，方可上岗作业；</w:t>
      </w:r>
    </w:p>
    <w:p w14:paraId="279CD489">
      <w:pPr>
        <w:spacing w:line="360" w:lineRule="auto"/>
        <w:ind w:firstLine="480"/>
        <w:rPr>
          <w:color w:val="auto"/>
          <w:highlight w:val="none"/>
        </w:rPr>
      </w:pPr>
      <w:r>
        <w:rPr>
          <w:rFonts w:hint="eastAsia"/>
          <w:color w:val="auto"/>
          <w:highlight w:val="none"/>
        </w:rPr>
        <w:t>（3）所有施工机具设备和高空作业设备均应定期检查，并有安全员的签字记录；</w:t>
      </w:r>
    </w:p>
    <w:p w14:paraId="409185F7">
      <w:pPr>
        <w:spacing w:line="360" w:lineRule="auto"/>
        <w:ind w:firstLine="480"/>
        <w:rPr>
          <w:color w:val="auto"/>
          <w:highlight w:val="none"/>
        </w:rPr>
      </w:pPr>
      <w:r>
        <w:rPr>
          <w:rFonts w:hint="eastAsia"/>
          <w:color w:val="auto"/>
          <w:highlight w:val="none"/>
        </w:rPr>
        <w:t>（4）根据本合同各单位工程的施工特点，严格执行《公路水运工程安全生产监督管理办法》《公路工程施工安全技术规范》等有关规定。</w:t>
      </w:r>
    </w:p>
    <w:p w14:paraId="19812278">
      <w:pPr>
        <w:spacing w:line="360" w:lineRule="auto"/>
        <w:ind w:firstLine="480"/>
        <w:rPr>
          <w:color w:val="auto"/>
          <w:highlight w:val="none"/>
        </w:rPr>
      </w:pPr>
      <w:r>
        <w:rPr>
          <w:rFonts w:hint="eastAsia"/>
          <w:color w:val="auto"/>
          <w:highlight w:val="none"/>
        </w:rPr>
        <w:t>9.2.9为了保护本合同工程免遭损坏，或为了现场附近和过往群众的安全与方便，在确有必要的时候和地方，或当监理人或有关主管部门要求时，承包人应自费提供照明、警卫、护栅、警告标志等安全防护设施。</w:t>
      </w:r>
    </w:p>
    <w:p w14:paraId="7617A3C7">
      <w:pPr>
        <w:spacing w:line="360" w:lineRule="auto"/>
        <w:ind w:firstLine="480"/>
        <w:rPr>
          <w:color w:val="auto"/>
          <w:highlight w:val="none"/>
        </w:rPr>
      </w:pPr>
      <w:r>
        <w:rPr>
          <w:rFonts w:hint="eastAsia"/>
          <w:color w:val="auto"/>
          <w:highlight w:val="none"/>
        </w:rPr>
        <w:t>9.2.10在通航水域施工时，承包人应与当地主管部门取得联系，设置必要的导航标志，及时发布航行通告，确保施工水域安全。</w:t>
      </w:r>
    </w:p>
    <w:p w14:paraId="6B77A562">
      <w:pPr>
        <w:spacing w:line="360" w:lineRule="auto"/>
        <w:ind w:firstLine="480"/>
        <w:rPr>
          <w:color w:val="auto"/>
          <w:highlight w:val="none"/>
        </w:rPr>
      </w:pPr>
      <w:r>
        <w:rPr>
          <w:rFonts w:hint="eastAsia"/>
          <w:color w:val="auto"/>
          <w:highlight w:val="none"/>
        </w:rPr>
        <w:t>9.2.11在整个施工过程中对承包人采取的施工安全措施，发包人和监理人有权监督，并向承包人提出整改要求。如果由于承包人未能对其负责的上述事项采取各种必要的措施而导致或发生与此有关的人身伤亡、罚款、索赔、损失补偿、诉讼费用及其他一切责任应由承包人负责。</w:t>
      </w:r>
    </w:p>
    <w:p w14:paraId="08B0B9D4">
      <w:pPr>
        <w:keepNext/>
        <w:keepLines/>
        <w:spacing w:line="360" w:lineRule="auto"/>
        <w:outlineLvl w:val="3"/>
        <w:rPr>
          <w:rFonts w:ascii="Arial" w:hAnsi="Arial"/>
          <w:b/>
          <w:bCs/>
          <w:color w:val="auto"/>
          <w:sz w:val="28"/>
          <w:szCs w:val="28"/>
          <w:highlight w:val="none"/>
        </w:rPr>
      </w:pPr>
      <w:bookmarkStart w:id="421" w:name="_Toc29507"/>
      <w:r>
        <w:rPr>
          <w:rFonts w:hint="eastAsia" w:ascii="Arial" w:hAnsi="Arial"/>
          <w:b/>
          <w:bCs/>
          <w:color w:val="auto"/>
          <w:sz w:val="28"/>
          <w:szCs w:val="28"/>
          <w:highlight w:val="none"/>
        </w:rPr>
        <w:t>9.4 环境保护</w:t>
      </w:r>
      <w:bookmarkEnd w:id="421"/>
    </w:p>
    <w:p w14:paraId="0FB0D05A">
      <w:pPr>
        <w:keepNext/>
        <w:keepLines/>
        <w:spacing w:line="360" w:lineRule="auto"/>
        <w:ind w:firstLine="482"/>
        <w:outlineLvl w:val="4"/>
        <w:rPr>
          <w:b/>
          <w:bCs/>
          <w:color w:val="auto"/>
          <w:sz w:val="28"/>
          <w:szCs w:val="28"/>
          <w:highlight w:val="none"/>
        </w:rPr>
      </w:pPr>
      <w:r>
        <w:rPr>
          <w:rFonts w:hint="eastAsia"/>
          <w:b/>
          <w:bCs/>
          <w:color w:val="auto"/>
          <w:sz w:val="28"/>
          <w:szCs w:val="28"/>
          <w:highlight w:val="none"/>
        </w:rPr>
        <w:t>本款补充第 9.4.7 项~第 9.4.11 项：</w:t>
      </w:r>
    </w:p>
    <w:p w14:paraId="2E30491F">
      <w:pPr>
        <w:spacing w:line="360" w:lineRule="auto"/>
        <w:ind w:firstLine="480"/>
        <w:rPr>
          <w:color w:val="auto"/>
          <w:highlight w:val="none"/>
        </w:rPr>
      </w:pPr>
      <w:r>
        <w:rPr>
          <w:rFonts w:hint="eastAsia"/>
          <w:color w:val="auto"/>
          <w:highlight w:val="none"/>
        </w:rPr>
        <w:t>9.4.7承包人应切实执行技术规范中有关环境保护方面的条款和规定。</w:t>
      </w:r>
    </w:p>
    <w:p w14:paraId="15371237">
      <w:pPr>
        <w:spacing w:line="360" w:lineRule="auto"/>
        <w:ind w:firstLine="480"/>
        <w:rPr>
          <w:color w:val="auto"/>
          <w:highlight w:val="none"/>
        </w:rPr>
      </w:pPr>
      <w:r>
        <w:rPr>
          <w:rFonts w:hint="eastAsia"/>
          <w:color w:val="auto"/>
          <w:highlight w:val="none"/>
        </w:rPr>
        <w:t>（1）对于来自施工机械和运输车辆的施工噪声，为保护施工人员的健康，应遵守《中华人民共和国环境噪声污染防治法》并依据《工业企业噪声卫生标准》合理安排工作人员轮流操作筑路机械，减少接触高噪声的时间，或间歇安排高噪声的工作。对距噪声源较近的施工人员，除采取使用防护耳塞或头盔等有效措施外，还应当缩短其劳动时间。同时，要注意对机械的经常性保养，尽量使其噪声降低到最低水平。为保护施工现场附近居民的夜间休息，对居民区 150m 以内的施工现场， 施工时间应加以控制。</w:t>
      </w:r>
    </w:p>
    <w:p w14:paraId="0C426B5C">
      <w:pPr>
        <w:spacing w:line="360" w:lineRule="auto"/>
        <w:ind w:firstLine="480"/>
        <w:rPr>
          <w:color w:val="auto"/>
          <w:highlight w:val="none"/>
        </w:rPr>
      </w:pPr>
      <w:r>
        <w:rPr>
          <w:rFonts w:hint="eastAsia"/>
          <w:color w:val="auto"/>
          <w:highlight w:val="none"/>
        </w:rPr>
        <w:t>（2）对于公路施工中粉尘污染的主要污染源——灰土拌和、施工车辆和筑路机械运行及运输产生的扬尘，应采取有效措施减轻其对施工现场的大气污染，保护人民健康，如：</w:t>
      </w:r>
    </w:p>
    <w:p w14:paraId="50949BEA">
      <w:pPr>
        <w:spacing w:line="360" w:lineRule="auto"/>
        <w:ind w:firstLine="480"/>
        <w:rPr>
          <w:color w:val="auto"/>
          <w:highlight w:val="none"/>
        </w:rPr>
      </w:pPr>
      <w:r>
        <w:rPr>
          <w:rFonts w:hint="eastAsia"/>
          <w:color w:val="auto"/>
          <w:highlight w:val="none"/>
        </w:rPr>
        <w:t>a.拌和设备应有较好的密封，或有防尘设备。</w:t>
      </w:r>
    </w:p>
    <w:p w14:paraId="099E8A2C">
      <w:pPr>
        <w:spacing w:line="360" w:lineRule="auto"/>
        <w:ind w:firstLine="480"/>
        <w:rPr>
          <w:color w:val="auto"/>
          <w:highlight w:val="none"/>
        </w:rPr>
      </w:pPr>
      <w:r>
        <w:rPr>
          <w:rFonts w:hint="eastAsia"/>
          <w:color w:val="auto"/>
          <w:highlight w:val="none"/>
        </w:rPr>
        <w:t>b.施工通道、沥青混凝土拌和站及灰土拌和站应经常进行洒水降尘。</w:t>
      </w:r>
    </w:p>
    <w:p w14:paraId="2663A179">
      <w:pPr>
        <w:spacing w:line="360" w:lineRule="auto"/>
        <w:ind w:firstLine="480"/>
        <w:rPr>
          <w:color w:val="auto"/>
          <w:highlight w:val="none"/>
        </w:rPr>
      </w:pPr>
      <w:r>
        <w:rPr>
          <w:rFonts w:hint="eastAsia"/>
          <w:color w:val="auto"/>
          <w:highlight w:val="none"/>
        </w:rPr>
        <w:t>c.路面施工应注意保持水分，以免扬尘。</w:t>
      </w:r>
    </w:p>
    <w:p w14:paraId="04328003">
      <w:pPr>
        <w:spacing w:line="360" w:lineRule="auto"/>
        <w:ind w:firstLine="480"/>
        <w:rPr>
          <w:color w:val="auto"/>
          <w:highlight w:val="none"/>
        </w:rPr>
      </w:pPr>
      <w:r>
        <w:rPr>
          <w:rFonts w:hint="eastAsia"/>
          <w:color w:val="auto"/>
          <w:highlight w:val="none"/>
        </w:rPr>
        <w:t>d.隧道出渣和桥梁钻孔灌注桩施工时排出的泥浆要进行妥善处理，严禁向河流或农田排放。</w:t>
      </w:r>
    </w:p>
    <w:p w14:paraId="7F833C74">
      <w:pPr>
        <w:spacing w:line="360" w:lineRule="auto"/>
        <w:ind w:firstLine="480"/>
        <w:rPr>
          <w:color w:val="auto"/>
          <w:highlight w:val="none"/>
        </w:rPr>
      </w:pPr>
      <w:r>
        <w:rPr>
          <w:rFonts w:hint="eastAsia"/>
          <w:color w:val="auto"/>
          <w:highlight w:val="none"/>
        </w:rPr>
        <w:t>（3）采取可靠措施保证原有交通的正常通行，维持沿线村镇的居民饮水、农田灌溉、生产生活用电及通信等管线的正常使用。</w:t>
      </w:r>
    </w:p>
    <w:p w14:paraId="3BD7F759">
      <w:pPr>
        <w:spacing w:line="360" w:lineRule="auto"/>
        <w:ind w:firstLine="480"/>
        <w:rPr>
          <w:color w:val="auto"/>
          <w:highlight w:val="none"/>
        </w:rPr>
      </w:pPr>
      <w:r>
        <w:rPr>
          <w:rFonts w:hint="eastAsia"/>
          <w:color w:val="auto"/>
          <w:highlight w:val="none"/>
        </w:rPr>
        <w:t>9.4.8在整个施工过程中对承包人采取的环境保护措施，发包人和监理人有权监督，并向承包人提出整改要求。如果由于承包人未能对其负责的上述事项采取各种必要的措施而导致或发生与此有关的人身伤亡、罚款、索赔、损失补偿、诉讼费用及其他一切责任应由承包人负责。</w:t>
      </w:r>
    </w:p>
    <w:p w14:paraId="4874461D">
      <w:pPr>
        <w:spacing w:line="360" w:lineRule="auto"/>
        <w:ind w:firstLine="480"/>
        <w:rPr>
          <w:color w:val="auto"/>
          <w:highlight w:val="none"/>
        </w:rPr>
      </w:pPr>
      <w:r>
        <w:rPr>
          <w:rFonts w:hint="eastAsia"/>
          <w:color w:val="auto"/>
          <w:highlight w:val="none"/>
        </w:rPr>
        <w:t>9.4.9在施工期间，承包人应随时保持现场整洁，施工设备和材料、工程设备应整齐妥善存放和储存，废料与垃圾及不再需要的临时设施应及时从现场清除、拆除并运走。</w:t>
      </w:r>
    </w:p>
    <w:p w14:paraId="26A5D023">
      <w:pPr>
        <w:spacing w:line="360" w:lineRule="auto"/>
        <w:ind w:firstLine="480"/>
        <w:rPr>
          <w:color w:val="auto"/>
          <w:highlight w:val="none"/>
        </w:rPr>
      </w:pPr>
      <w:r>
        <w:rPr>
          <w:rFonts w:hint="eastAsia"/>
          <w:color w:val="auto"/>
          <w:highlight w:val="none"/>
        </w:rPr>
        <w:t>9.4.10在施工期间，承包人应严格遵守《关于在公路建设中实行最严格的耕地保护制度的若干意见》的相关规定，规范用地、科学用地、合理用地和节约用地。承包人应合理利用所占耕地地表的耕作层，用于重新造地；合理设置取土坑和弃土场，取土坑和弃土场的施工防护要符合要求，防止水土流失。承包人应严格控制临时占地数量，施工便道、各种料场、预制场要根据工程进度统筹考虑，尽可能设置在公路用地范围内或利用荒坡、废弃地解决，不得占用农田。施工过程中要采取有效措施防止污染农田，项目完工后承包人应将临时占地自费恢复到临时占地使用前的状况。</w:t>
      </w:r>
    </w:p>
    <w:p w14:paraId="29729EC5">
      <w:pPr>
        <w:spacing w:line="360" w:lineRule="auto"/>
        <w:ind w:firstLine="480"/>
        <w:rPr>
          <w:color w:val="auto"/>
          <w:highlight w:val="none"/>
        </w:rPr>
      </w:pPr>
      <w:r>
        <w:rPr>
          <w:rFonts w:hint="eastAsia"/>
          <w:color w:val="auto"/>
          <w:highlight w:val="none"/>
        </w:rPr>
        <w:t>9.4.11承包人应严格按照国家有关法规要求，做好施工过程中的生态保护和水土保持工作。施工中要尽可能减少对原地面的扰动，减少对地面草木的破坏，需要爆破作业的，应按规定进行控爆设计。雨季填筑路基应随挖、随运、随填、随压， 要完善施工中的临时排水系统，加强施工便道的管理。取（弃）土场必须先挡后弃， 严禁在指定的取（弃）土场以外的地方乱挖乱弃。</w:t>
      </w:r>
    </w:p>
    <w:p w14:paraId="5F0994D4">
      <w:pPr>
        <w:keepNext/>
        <w:keepLines/>
        <w:spacing w:line="360" w:lineRule="auto"/>
        <w:outlineLvl w:val="2"/>
        <w:rPr>
          <w:b/>
          <w:bCs/>
          <w:color w:val="auto"/>
          <w:sz w:val="32"/>
          <w:szCs w:val="32"/>
          <w:highlight w:val="none"/>
        </w:rPr>
      </w:pPr>
      <w:bookmarkStart w:id="422" w:name="_Toc23551"/>
      <w:bookmarkStart w:id="423" w:name="_Toc122424219"/>
      <w:bookmarkStart w:id="424" w:name="_Toc122424468"/>
      <w:r>
        <w:rPr>
          <w:rFonts w:hint="eastAsia"/>
          <w:b/>
          <w:bCs/>
          <w:color w:val="auto"/>
          <w:sz w:val="32"/>
          <w:szCs w:val="32"/>
          <w:highlight w:val="none"/>
        </w:rPr>
        <w:t>10.进度计划</w:t>
      </w:r>
      <w:bookmarkEnd w:id="422"/>
      <w:bookmarkEnd w:id="423"/>
      <w:bookmarkEnd w:id="424"/>
    </w:p>
    <w:p w14:paraId="30CD6EB8">
      <w:pPr>
        <w:keepNext/>
        <w:keepLines/>
        <w:spacing w:line="360" w:lineRule="auto"/>
        <w:outlineLvl w:val="3"/>
        <w:rPr>
          <w:rFonts w:ascii="Arial" w:hAnsi="Arial"/>
          <w:b/>
          <w:bCs/>
          <w:color w:val="auto"/>
          <w:sz w:val="28"/>
          <w:szCs w:val="28"/>
          <w:highlight w:val="none"/>
        </w:rPr>
      </w:pPr>
      <w:bookmarkStart w:id="425" w:name="_Toc2371"/>
      <w:r>
        <w:rPr>
          <w:rFonts w:hint="eastAsia" w:ascii="Arial" w:hAnsi="Arial"/>
          <w:b/>
          <w:bCs/>
          <w:color w:val="auto"/>
          <w:sz w:val="28"/>
          <w:szCs w:val="28"/>
          <w:highlight w:val="none"/>
        </w:rPr>
        <w:t>10.1合同进度计划</w:t>
      </w:r>
      <w:bookmarkEnd w:id="425"/>
    </w:p>
    <w:p w14:paraId="0AD8BB82">
      <w:pPr>
        <w:spacing w:line="360" w:lineRule="auto"/>
        <w:ind w:firstLine="480"/>
        <w:rPr>
          <w:color w:val="auto"/>
          <w:highlight w:val="none"/>
        </w:rPr>
      </w:pPr>
      <w:r>
        <w:rPr>
          <w:rFonts w:hint="eastAsia"/>
          <w:color w:val="auto"/>
          <w:highlight w:val="none"/>
        </w:rPr>
        <w:t>本款补充：</w:t>
      </w:r>
    </w:p>
    <w:p w14:paraId="44E3F7FE">
      <w:pPr>
        <w:spacing w:line="360" w:lineRule="auto"/>
        <w:ind w:firstLine="480"/>
        <w:rPr>
          <w:color w:val="auto"/>
          <w:highlight w:val="none"/>
        </w:rPr>
      </w:pPr>
      <w:r>
        <w:rPr>
          <w:rFonts w:hint="eastAsia"/>
          <w:color w:val="auto"/>
          <w:highlight w:val="none"/>
        </w:rPr>
        <w:t>承包人编制施工方案说明的内容见项目专用合同条款。</w:t>
      </w:r>
    </w:p>
    <w:p w14:paraId="24E3B9FF">
      <w:pPr>
        <w:spacing w:line="360" w:lineRule="auto"/>
        <w:ind w:firstLine="480"/>
        <w:rPr>
          <w:color w:val="auto"/>
          <w:highlight w:val="none"/>
        </w:rPr>
      </w:pPr>
      <w:r>
        <w:rPr>
          <w:rFonts w:hint="eastAsia"/>
          <w:color w:val="auto"/>
          <w:highlight w:val="none"/>
        </w:rPr>
        <w:t>承包人向监理人报送施工进度计划和施工方案说明的期限：签订合同协议书后28 天之内。</w:t>
      </w:r>
    </w:p>
    <w:p w14:paraId="7DEBCB03">
      <w:pPr>
        <w:spacing w:line="360" w:lineRule="auto"/>
        <w:ind w:firstLine="480"/>
        <w:rPr>
          <w:color w:val="auto"/>
          <w:highlight w:val="none"/>
        </w:rPr>
      </w:pPr>
      <w:r>
        <w:rPr>
          <w:rFonts w:hint="eastAsia"/>
          <w:color w:val="auto"/>
          <w:highlight w:val="none"/>
        </w:rPr>
        <w:t>监理人应在 14 天内对承包人施工进度计划和施工方案说明予以批复或提出修改意见。</w:t>
      </w:r>
    </w:p>
    <w:p w14:paraId="5D3A268C">
      <w:pPr>
        <w:spacing w:line="360" w:lineRule="auto"/>
        <w:ind w:firstLine="480"/>
        <w:rPr>
          <w:color w:val="auto"/>
          <w:highlight w:val="none"/>
        </w:rPr>
      </w:pPr>
      <w:r>
        <w:rPr>
          <w:rFonts w:hint="eastAsia"/>
          <w:color w:val="auto"/>
          <w:highlight w:val="none"/>
        </w:rPr>
        <w:t>合同进度计划应按照关键线路网络图和主要工作横道图两种形式分别编绘，并应包括每月预计完成的工作量和形象进度。</w:t>
      </w:r>
    </w:p>
    <w:p w14:paraId="141A5996">
      <w:pPr>
        <w:keepNext/>
        <w:keepLines/>
        <w:spacing w:line="360" w:lineRule="auto"/>
        <w:outlineLvl w:val="3"/>
        <w:rPr>
          <w:rFonts w:ascii="Arial" w:hAnsi="Arial"/>
          <w:b/>
          <w:bCs/>
          <w:color w:val="auto"/>
          <w:sz w:val="28"/>
          <w:szCs w:val="28"/>
          <w:highlight w:val="none"/>
        </w:rPr>
      </w:pPr>
      <w:bookmarkStart w:id="426" w:name="_Toc30457"/>
      <w:r>
        <w:rPr>
          <w:rFonts w:hint="eastAsia" w:ascii="Arial" w:hAnsi="Arial"/>
          <w:b/>
          <w:bCs/>
          <w:color w:val="auto"/>
          <w:sz w:val="28"/>
          <w:szCs w:val="28"/>
          <w:highlight w:val="none"/>
        </w:rPr>
        <w:t>10.2合同进度计划的修订</w:t>
      </w:r>
      <w:bookmarkEnd w:id="426"/>
    </w:p>
    <w:p w14:paraId="7C3B1689">
      <w:pPr>
        <w:spacing w:line="360" w:lineRule="auto"/>
        <w:ind w:firstLine="480"/>
        <w:rPr>
          <w:color w:val="auto"/>
          <w:highlight w:val="none"/>
        </w:rPr>
      </w:pPr>
      <w:r>
        <w:rPr>
          <w:rFonts w:hint="eastAsia"/>
          <w:color w:val="auto"/>
          <w:highlight w:val="none"/>
        </w:rPr>
        <w:t>本款补充：</w:t>
      </w:r>
    </w:p>
    <w:p w14:paraId="274EED7B">
      <w:pPr>
        <w:spacing w:line="360" w:lineRule="auto"/>
        <w:ind w:firstLine="480"/>
        <w:rPr>
          <w:color w:val="auto"/>
          <w:highlight w:val="none"/>
        </w:rPr>
      </w:pPr>
      <w:r>
        <w:rPr>
          <w:rFonts w:hint="eastAsia"/>
          <w:color w:val="auto"/>
          <w:highlight w:val="none"/>
        </w:rPr>
        <w:t>承包人提交合同进度计划修订申请报告，并附有关措施和相关资料的期限：实际进度发生滞后的当月 25 日前。</w:t>
      </w:r>
    </w:p>
    <w:p w14:paraId="59B3E028">
      <w:pPr>
        <w:spacing w:line="360" w:lineRule="auto"/>
        <w:ind w:firstLine="480"/>
        <w:rPr>
          <w:color w:val="auto"/>
          <w:highlight w:val="none"/>
        </w:rPr>
      </w:pPr>
      <w:r>
        <w:rPr>
          <w:rFonts w:hint="eastAsia"/>
          <w:color w:val="auto"/>
          <w:highlight w:val="none"/>
        </w:rPr>
        <w:t>监理人批复修订合同进度计划的期限：收到修订合同进度计划后 14 天内。</w:t>
      </w:r>
    </w:p>
    <w:p w14:paraId="1F4A96E8">
      <w:pPr>
        <w:spacing w:line="360" w:lineRule="auto"/>
        <w:ind w:firstLine="480"/>
        <w:rPr>
          <w:color w:val="auto"/>
          <w:highlight w:val="none"/>
        </w:rPr>
      </w:pPr>
      <w:r>
        <w:rPr>
          <w:rFonts w:hint="eastAsia"/>
          <w:color w:val="auto"/>
          <w:highlight w:val="none"/>
        </w:rPr>
        <w:t>本条补充第 10.3 款、第 10.4 款：</w:t>
      </w:r>
    </w:p>
    <w:p w14:paraId="7B443ECC">
      <w:pPr>
        <w:keepNext/>
        <w:keepLines/>
        <w:spacing w:line="360" w:lineRule="auto"/>
        <w:outlineLvl w:val="3"/>
        <w:rPr>
          <w:rFonts w:ascii="Arial" w:hAnsi="Arial"/>
          <w:b/>
          <w:bCs/>
          <w:color w:val="auto"/>
          <w:sz w:val="28"/>
          <w:szCs w:val="28"/>
          <w:highlight w:val="none"/>
        </w:rPr>
      </w:pPr>
      <w:bookmarkStart w:id="427" w:name="_Toc2437"/>
      <w:r>
        <w:rPr>
          <w:rFonts w:hint="eastAsia" w:ascii="Arial" w:hAnsi="Arial"/>
          <w:b/>
          <w:bCs/>
          <w:color w:val="auto"/>
          <w:sz w:val="28"/>
          <w:szCs w:val="28"/>
          <w:highlight w:val="none"/>
        </w:rPr>
        <w:t>10.3年度施工计划</w:t>
      </w:r>
      <w:bookmarkEnd w:id="427"/>
    </w:p>
    <w:p w14:paraId="233BC33C">
      <w:pPr>
        <w:spacing w:line="360" w:lineRule="auto"/>
        <w:ind w:firstLine="480"/>
        <w:rPr>
          <w:color w:val="auto"/>
          <w:highlight w:val="none"/>
        </w:rPr>
      </w:pPr>
      <w:r>
        <w:rPr>
          <w:rFonts w:hint="eastAsia"/>
          <w:color w:val="auto"/>
          <w:highlight w:val="none"/>
        </w:rPr>
        <w:t>承包人应在每年 11 月底前，根据已同意的合同进度计划或其修订的计划，向监理人提交 2 份格式和内容符合监理人合理规定的下一年度的施工计划，以供审查。该计划应包括本年度估计完成的和下一年度预计完成的分项工程数量和工作量，以及为实施此计划将采取的措施。</w:t>
      </w:r>
    </w:p>
    <w:p w14:paraId="136720FD">
      <w:pPr>
        <w:keepNext/>
        <w:keepLines/>
        <w:spacing w:line="360" w:lineRule="auto"/>
        <w:outlineLvl w:val="3"/>
        <w:rPr>
          <w:rFonts w:ascii="Arial" w:hAnsi="Arial"/>
          <w:b/>
          <w:bCs/>
          <w:color w:val="auto"/>
          <w:sz w:val="28"/>
          <w:szCs w:val="28"/>
          <w:highlight w:val="none"/>
        </w:rPr>
      </w:pPr>
      <w:bookmarkStart w:id="428" w:name="_Toc19021"/>
      <w:r>
        <w:rPr>
          <w:rFonts w:hint="eastAsia" w:ascii="Arial" w:hAnsi="Arial"/>
          <w:b/>
          <w:bCs/>
          <w:color w:val="auto"/>
          <w:sz w:val="28"/>
          <w:szCs w:val="28"/>
          <w:highlight w:val="none"/>
        </w:rPr>
        <w:t>10.4合同用款计划</w:t>
      </w:r>
      <w:bookmarkEnd w:id="428"/>
    </w:p>
    <w:p w14:paraId="0397968F">
      <w:pPr>
        <w:spacing w:line="360" w:lineRule="auto"/>
        <w:ind w:firstLine="480"/>
        <w:rPr>
          <w:color w:val="auto"/>
          <w:highlight w:val="none"/>
        </w:rPr>
      </w:pPr>
      <w:r>
        <w:rPr>
          <w:rFonts w:hint="eastAsia"/>
          <w:color w:val="auto"/>
          <w:highlight w:val="none"/>
        </w:rPr>
        <w:t>承包人应在签订本合同协议书后 28 天之内，按磋商文件中规定的格式，向监理人提交 2 份按合同规定承包人有权得到支付的详细的季度合同用款计划，以备监理人查阅。如果监理人提出要求，承包人还应按季度提交修订的合同用款计划。</w:t>
      </w:r>
    </w:p>
    <w:p w14:paraId="21F4637C">
      <w:pPr>
        <w:keepNext/>
        <w:keepLines/>
        <w:spacing w:line="360" w:lineRule="auto"/>
        <w:outlineLvl w:val="2"/>
        <w:rPr>
          <w:b/>
          <w:bCs/>
          <w:color w:val="auto"/>
          <w:sz w:val="32"/>
          <w:szCs w:val="32"/>
          <w:highlight w:val="none"/>
        </w:rPr>
      </w:pPr>
      <w:bookmarkStart w:id="429" w:name="_Toc15458"/>
      <w:bookmarkStart w:id="430" w:name="_Toc122424469"/>
      <w:bookmarkStart w:id="431" w:name="_Toc122424220"/>
      <w:r>
        <w:rPr>
          <w:rFonts w:hint="eastAsia"/>
          <w:b/>
          <w:bCs/>
          <w:color w:val="auto"/>
          <w:sz w:val="32"/>
          <w:szCs w:val="32"/>
          <w:highlight w:val="none"/>
        </w:rPr>
        <w:t>11.开工和交工</w:t>
      </w:r>
      <w:bookmarkEnd w:id="429"/>
      <w:bookmarkEnd w:id="430"/>
      <w:bookmarkEnd w:id="431"/>
    </w:p>
    <w:p w14:paraId="213EF166">
      <w:pPr>
        <w:keepNext/>
        <w:keepLines/>
        <w:spacing w:line="360" w:lineRule="auto"/>
        <w:outlineLvl w:val="3"/>
        <w:rPr>
          <w:rFonts w:ascii="Arial" w:hAnsi="Arial"/>
          <w:b/>
          <w:bCs/>
          <w:color w:val="auto"/>
          <w:sz w:val="28"/>
          <w:szCs w:val="28"/>
          <w:highlight w:val="none"/>
        </w:rPr>
      </w:pPr>
      <w:bookmarkStart w:id="432" w:name="_Toc12235"/>
      <w:r>
        <w:rPr>
          <w:rFonts w:hint="eastAsia" w:ascii="Arial" w:hAnsi="Arial"/>
          <w:b/>
          <w:bCs/>
          <w:color w:val="auto"/>
          <w:sz w:val="28"/>
          <w:szCs w:val="28"/>
          <w:highlight w:val="none"/>
        </w:rPr>
        <w:t>11.1开工</w:t>
      </w:r>
      <w:bookmarkEnd w:id="432"/>
    </w:p>
    <w:p w14:paraId="6434D1C0">
      <w:pPr>
        <w:keepNext/>
        <w:keepLines/>
        <w:spacing w:line="360" w:lineRule="auto"/>
        <w:ind w:firstLine="482"/>
        <w:outlineLvl w:val="4"/>
        <w:rPr>
          <w:b/>
          <w:bCs/>
          <w:color w:val="auto"/>
          <w:sz w:val="28"/>
          <w:szCs w:val="28"/>
          <w:highlight w:val="none"/>
        </w:rPr>
      </w:pPr>
      <w:r>
        <w:rPr>
          <w:rFonts w:hint="eastAsia"/>
          <w:b/>
          <w:bCs/>
          <w:color w:val="auto"/>
          <w:sz w:val="28"/>
          <w:szCs w:val="28"/>
          <w:highlight w:val="none"/>
        </w:rPr>
        <w:t>第 11.1.2 项补充：</w:t>
      </w:r>
    </w:p>
    <w:p w14:paraId="5F29FD1F">
      <w:pPr>
        <w:spacing w:line="360" w:lineRule="auto"/>
        <w:ind w:firstLine="480"/>
        <w:rPr>
          <w:color w:val="auto"/>
          <w:highlight w:val="none"/>
        </w:rPr>
      </w:pPr>
      <w:r>
        <w:rPr>
          <w:rFonts w:hint="eastAsia"/>
          <w:color w:val="auto"/>
          <w:highlight w:val="none"/>
        </w:rPr>
        <w:t>承包人应在分部工程开工前 14 天向监理人提交分部工程开工报审表，若承包人的开工准备、工作计划和质量控制方法是可接受的且已获得批准，则经监理人书面同意，分部工程才能开工。</w:t>
      </w:r>
    </w:p>
    <w:p w14:paraId="3A0032DA">
      <w:pPr>
        <w:keepNext/>
        <w:keepLines/>
        <w:spacing w:line="360" w:lineRule="auto"/>
        <w:outlineLvl w:val="3"/>
        <w:rPr>
          <w:rFonts w:ascii="Arial" w:hAnsi="Arial"/>
          <w:b/>
          <w:bCs/>
          <w:color w:val="auto"/>
          <w:sz w:val="28"/>
          <w:szCs w:val="28"/>
          <w:highlight w:val="none"/>
        </w:rPr>
      </w:pPr>
      <w:bookmarkStart w:id="433" w:name="_Toc965"/>
      <w:r>
        <w:rPr>
          <w:rFonts w:hint="eastAsia" w:ascii="Arial" w:hAnsi="Arial"/>
          <w:b/>
          <w:bCs/>
          <w:color w:val="auto"/>
          <w:sz w:val="28"/>
          <w:szCs w:val="28"/>
          <w:highlight w:val="none"/>
        </w:rPr>
        <w:t>11.3发包人的工期延误</w:t>
      </w:r>
      <w:bookmarkEnd w:id="433"/>
    </w:p>
    <w:p w14:paraId="518C19D5">
      <w:pPr>
        <w:spacing w:line="360" w:lineRule="auto"/>
        <w:ind w:firstLine="480"/>
        <w:rPr>
          <w:color w:val="auto"/>
          <w:highlight w:val="none"/>
        </w:rPr>
      </w:pPr>
      <w:r>
        <w:rPr>
          <w:rFonts w:hint="eastAsia"/>
          <w:color w:val="auto"/>
          <w:highlight w:val="none"/>
        </w:rPr>
        <w:t>本款补充：</w:t>
      </w:r>
    </w:p>
    <w:p w14:paraId="12C07705">
      <w:pPr>
        <w:spacing w:line="360" w:lineRule="auto"/>
        <w:ind w:firstLine="480"/>
        <w:rPr>
          <w:color w:val="auto"/>
          <w:highlight w:val="none"/>
        </w:rPr>
      </w:pPr>
      <w:r>
        <w:rPr>
          <w:rFonts w:hint="eastAsia"/>
          <w:color w:val="auto"/>
          <w:highlight w:val="none"/>
        </w:rPr>
        <w:t>即使由于上述原因造成工期延误，如果受影响的工程并非处在工程施工进度网络计划的关键线路上，则承包人无权要求延长总工期。</w:t>
      </w:r>
    </w:p>
    <w:p w14:paraId="5CAEAFD9">
      <w:pPr>
        <w:keepNext/>
        <w:keepLines/>
        <w:spacing w:line="360" w:lineRule="auto"/>
        <w:outlineLvl w:val="3"/>
        <w:rPr>
          <w:rFonts w:ascii="Arial" w:hAnsi="Arial"/>
          <w:b/>
          <w:bCs/>
          <w:color w:val="auto"/>
          <w:sz w:val="28"/>
          <w:szCs w:val="28"/>
          <w:highlight w:val="none"/>
        </w:rPr>
      </w:pPr>
      <w:r>
        <w:rPr>
          <w:rFonts w:hint="eastAsia" w:ascii="Arial" w:hAnsi="Arial"/>
          <w:b/>
          <w:bCs/>
          <w:color w:val="auto"/>
          <w:sz w:val="28"/>
          <w:szCs w:val="28"/>
          <w:highlight w:val="none"/>
        </w:rPr>
        <w:t>11.4异常恶劣的气候条件</w:t>
      </w:r>
    </w:p>
    <w:p w14:paraId="353F77B6">
      <w:pPr>
        <w:spacing w:line="360" w:lineRule="auto"/>
        <w:ind w:firstLine="480"/>
        <w:rPr>
          <w:color w:val="auto"/>
          <w:highlight w:val="none"/>
        </w:rPr>
      </w:pPr>
      <w:r>
        <w:rPr>
          <w:rFonts w:hint="eastAsia"/>
          <w:color w:val="auto"/>
          <w:highlight w:val="none"/>
        </w:rPr>
        <w:t>本款补充：</w:t>
      </w:r>
    </w:p>
    <w:p w14:paraId="0B738CA4">
      <w:pPr>
        <w:spacing w:line="360" w:lineRule="auto"/>
        <w:ind w:firstLine="480"/>
        <w:rPr>
          <w:color w:val="auto"/>
          <w:highlight w:val="none"/>
        </w:rPr>
      </w:pPr>
      <w:r>
        <w:rPr>
          <w:rFonts w:hint="eastAsia"/>
          <w:color w:val="auto"/>
          <w:highlight w:val="none"/>
        </w:rPr>
        <w:t>异常气候是指项目所在地 30 年以上一遇的罕见气候现象（包括温度、降水、降雪、风等）。异常恶劣的气候条件在项目专用合同条款中作具体约定。</w:t>
      </w:r>
    </w:p>
    <w:p w14:paraId="6B72E797">
      <w:pPr>
        <w:keepNext/>
        <w:keepLines/>
        <w:spacing w:line="360" w:lineRule="auto"/>
        <w:outlineLvl w:val="3"/>
        <w:rPr>
          <w:rFonts w:ascii="Arial" w:hAnsi="Arial"/>
          <w:b/>
          <w:bCs/>
          <w:color w:val="auto"/>
          <w:sz w:val="28"/>
          <w:szCs w:val="28"/>
          <w:highlight w:val="none"/>
        </w:rPr>
      </w:pPr>
      <w:r>
        <w:rPr>
          <w:rFonts w:hint="eastAsia" w:ascii="Arial" w:hAnsi="Arial"/>
          <w:b/>
          <w:bCs/>
          <w:color w:val="auto"/>
          <w:sz w:val="28"/>
          <w:szCs w:val="28"/>
          <w:highlight w:val="none"/>
        </w:rPr>
        <w:t>11.5承包人的工期延误</w:t>
      </w:r>
    </w:p>
    <w:p w14:paraId="1CC1CED3">
      <w:pPr>
        <w:spacing w:line="360" w:lineRule="auto"/>
        <w:ind w:firstLine="480"/>
        <w:rPr>
          <w:color w:val="auto"/>
          <w:highlight w:val="none"/>
        </w:rPr>
      </w:pPr>
      <w:r>
        <w:rPr>
          <w:rFonts w:hint="eastAsia"/>
          <w:color w:val="auto"/>
          <w:highlight w:val="none"/>
        </w:rPr>
        <w:t>本款细化为：</w:t>
      </w:r>
    </w:p>
    <w:p w14:paraId="1844E5F4">
      <w:pPr>
        <w:spacing w:line="360" w:lineRule="auto"/>
        <w:ind w:firstLine="480"/>
        <w:rPr>
          <w:color w:val="auto"/>
          <w:highlight w:val="none"/>
        </w:rPr>
      </w:pPr>
      <w:r>
        <w:rPr>
          <w:rFonts w:hint="eastAsia"/>
          <w:color w:val="auto"/>
          <w:highlight w:val="none"/>
        </w:rPr>
        <w:t>（1）承包人应严格执行监理人批准的合同进度计划，对工作量计划和形象进度计划分别控制。除第 11.3 款规定外，承包人的实际工程进度曲线应在合同进度管理曲线规定的安全区域之内。若承包人的实际工程进度曲线处在合同进度管理曲线规定的安全区域的下限之外时，则监理人有权认为本合同工程的进度过慢，并通知承包人应采取必要措施，以便加快工程进度，确保工程能在预定的工期内交工。承包人应采取措施加快进度，并承担加快进度所增加的费用。</w:t>
      </w:r>
    </w:p>
    <w:p w14:paraId="5E62AA23">
      <w:pPr>
        <w:spacing w:line="360" w:lineRule="auto"/>
        <w:ind w:firstLine="480"/>
        <w:rPr>
          <w:color w:val="auto"/>
          <w:highlight w:val="none"/>
        </w:rPr>
      </w:pPr>
      <w:r>
        <w:rPr>
          <w:rFonts w:hint="eastAsia"/>
          <w:color w:val="auto"/>
          <w:highlight w:val="none"/>
        </w:rPr>
        <w:t>（2）如果承包人在接到监理人通知后的 14 天内，未能采取加快工程进度的措施，致使实际工程进度进一步滞后，或承包人虽采取了一些措施，仍无法按预计工期交工时，监理人应立即通知发包人。发包人在向承包人发出书面警告通知 14 天后，发包人可按第 22.1 款终止对承包人的雇用，也可将本合同工程中的一部分工作交由其他承包人或其他分包人完成。在不解除本合同规定的承包人责任和义务的同时， 承包人应承担因此所增加的一切费用。</w:t>
      </w:r>
    </w:p>
    <w:p w14:paraId="1CD8EF74">
      <w:pPr>
        <w:spacing w:line="360" w:lineRule="auto"/>
        <w:ind w:firstLine="480"/>
        <w:rPr>
          <w:color w:val="auto"/>
          <w:highlight w:val="none"/>
        </w:rPr>
      </w:pPr>
      <w:r>
        <w:rPr>
          <w:rFonts w:hint="eastAsia"/>
          <w:color w:val="auto"/>
          <w:highlight w:val="none"/>
        </w:rPr>
        <w:t>（3）由于承包人原因造成工期延误，承包人应支付逾期交工违约金。逾期交工违约金的计算方法在项目专用合同条款数据表中约定，时间自预定的交工日期起到交工验收证书中写明的实际交工日期止（扣除已批准的延长工期），按天计算。逾期交工违约金累计金额最高不超过项目专用合同条款数据表中写明的限额。发包人可以从应付或到期应付给承包人的任何款项中或采用其他方法扣除此违约金。</w:t>
      </w:r>
    </w:p>
    <w:p w14:paraId="5D8832A6">
      <w:pPr>
        <w:spacing w:line="360" w:lineRule="auto"/>
        <w:ind w:firstLine="480"/>
        <w:rPr>
          <w:color w:val="auto"/>
          <w:highlight w:val="none"/>
        </w:rPr>
      </w:pPr>
      <w:r>
        <w:rPr>
          <w:rFonts w:hint="eastAsia"/>
          <w:color w:val="auto"/>
          <w:highlight w:val="none"/>
        </w:rPr>
        <w:t>（4）承包人支付逾期交工违约金，不免除承包人完成工程及修补缺陷的义务。</w:t>
      </w:r>
    </w:p>
    <w:p w14:paraId="5065BB13">
      <w:pPr>
        <w:spacing w:line="360" w:lineRule="auto"/>
        <w:ind w:firstLine="480"/>
        <w:rPr>
          <w:color w:val="auto"/>
          <w:highlight w:val="none"/>
        </w:rPr>
      </w:pPr>
      <w:r>
        <w:rPr>
          <w:rFonts w:hint="eastAsia"/>
          <w:color w:val="auto"/>
          <w:highlight w:val="none"/>
        </w:rPr>
        <w:t>（5）如果在合同工程完工之前，已对合同工程内按时完工的单位工程签发了交工验收证书，则合同工程的逾期交工违约金，应按已签发交工验收证书的单位工程的价值占合同工程价值的比例予以减少，但本规定不应影响逾期交工违约金的规定限额。</w:t>
      </w:r>
    </w:p>
    <w:p w14:paraId="7B184F7C">
      <w:pPr>
        <w:keepNext/>
        <w:keepLines/>
        <w:spacing w:line="360" w:lineRule="auto"/>
        <w:outlineLvl w:val="3"/>
        <w:rPr>
          <w:rFonts w:ascii="Arial" w:hAnsi="Arial"/>
          <w:b/>
          <w:bCs/>
          <w:color w:val="auto"/>
          <w:sz w:val="28"/>
          <w:szCs w:val="28"/>
          <w:highlight w:val="none"/>
        </w:rPr>
      </w:pPr>
      <w:r>
        <w:rPr>
          <w:rFonts w:hint="eastAsia" w:ascii="Arial" w:hAnsi="Arial"/>
          <w:b/>
          <w:bCs/>
          <w:color w:val="auto"/>
          <w:sz w:val="28"/>
          <w:szCs w:val="28"/>
          <w:highlight w:val="none"/>
        </w:rPr>
        <w:t>11.6工期提前</w:t>
      </w:r>
    </w:p>
    <w:p w14:paraId="0C917259">
      <w:pPr>
        <w:spacing w:line="360" w:lineRule="auto"/>
        <w:ind w:firstLine="480"/>
        <w:rPr>
          <w:color w:val="auto"/>
          <w:highlight w:val="none"/>
        </w:rPr>
      </w:pPr>
      <w:r>
        <w:rPr>
          <w:rFonts w:hint="eastAsia"/>
          <w:color w:val="auto"/>
          <w:highlight w:val="none"/>
        </w:rPr>
        <w:t>本款补充：</w:t>
      </w:r>
    </w:p>
    <w:p w14:paraId="14137946">
      <w:pPr>
        <w:spacing w:line="360" w:lineRule="auto"/>
        <w:ind w:firstLine="480"/>
        <w:rPr>
          <w:color w:val="auto"/>
          <w:highlight w:val="none"/>
        </w:rPr>
      </w:pPr>
      <w:r>
        <w:rPr>
          <w:rFonts w:hint="eastAsia"/>
          <w:color w:val="auto"/>
          <w:highlight w:val="none"/>
        </w:rPr>
        <w:t>发包人不得随意要求承包人提前交工，承包人也不得随意提出提前交工的建议。如遇特殊情况，确需将工期提前的，发包人和承包人必须采取有效措施，确保工程质量。</w:t>
      </w:r>
    </w:p>
    <w:p w14:paraId="23504268">
      <w:pPr>
        <w:spacing w:line="360" w:lineRule="auto"/>
        <w:ind w:firstLine="480"/>
        <w:rPr>
          <w:color w:val="auto"/>
          <w:highlight w:val="none"/>
        </w:rPr>
      </w:pPr>
      <w:r>
        <w:rPr>
          <w:rFonts w:hint="eastAsia"/>
          <w:color w:val="auto"/>
          <w:highlight w:val="none"/>
        </w:rPr>
        <w:t>如果承包人提前交工，发包人支付奖金的计算方法在项目专用合同条款数据表中约定，时间自交工验收证书中写明的实际交工日期起至预定的交工日期止，按天计算。但奖金最高限额不超过项目专用合同条款数据表中写明的限额。</w:t>
      </w:r>
    </w:p>
    <w:p w14:paraId="0433DD0B">
      <w:pPr>
        <w:spacing w:line="360" w:lineRule="auto"/>
        <w:ind w:firstLine="480"/>
        <w:rPr>
          <w:color w:val="auto"/>
          <w:highlight w:val="none"/>
        </w:rPr>
      </w:pPr>
      <w:r>
        <w:rPr>
          <w:rFonts w:hint="eastAsia"/>
          <w:color w:val="auto"/>
          <w:highlight w:val="none"/>
        </w:rPr>
        <w:t>本条补充第 11.7 款：</w:t>
      </w:r>
    </w:p>
    <w:p w14:paraId="0395980F">
      <w:pPr>
        <w:keepNext/>
        <w:keepLines/>
        <w:spacing w:line="360" w:lineRule="auto"/>
        <w:outlineLvl w:val="3"/>
        <w:rPr>
          <w:rFonts w:ascii="Arial" w:hAnsi="Arial"/>
          <w:b/>
          <w:bCs/>
          <w:color w:val="auto"/>
          <w:sz w:val="28"/>
          <w:szCs w:val="28"/>
          <w:highlight w:val="none"/>
        </w:rPr>
      </w:pPr>
      <w:r>
        <w:rPr>
          <w:rFonts w:hint="eastAsia" w:ascii="Arial" w:hAnsi="Arial"/>
          <w:b/>
          <w:bCs/>
          <w:color w:val="auto"/>
          <w:sz w:val="28"/>
          <w:szCs w:val="28"/>
          <w:highlight w:val="none"/>
        </w:rPr>
        <w:t>11.7工作时间的限制</w:t>
      </w:r>
    </w:p>
    <w:p w14:paraId="786C7830">
      <w:pPr>
        <w:spacing w:line="360" w:lineRule="auto"/>
        <w:ind w:firstLine="480"/>
        <w:rPr>
          <w:color w:val="auto"/>
          <w:highlight w:val="none"/>
        </w:rPr>
      </w:pPr>
      <w:r>
        <w:rPr>
          <w:rFonts w:hint="eastAsia"/>
          <w:color w:val="auto"/>
          <w:highlight w:val="none"/>
        </w:rPr>
        <w:t>承包人在夜间或国家规定的节假日进行永久工程的施工，应向监理人报告，以便监理人履行监理职责和义务。</w:t>
      </w:r>
    </w:p>
    <w:p w14:paraId="052C6807">
      <w:pPr>
        <w:spacing w:line="360" w:lineRule="auto"/>
        <w:ind w:firstLine="480"/>
        <w:rPr>
          <w:color w:val="auto"/>
          <w:highlight w:val="none"/>
        </w:rPr>
      </w:pPr>
      <w:r>
        <w:rPr>
          <w:rFonts w:hint="eastAsia"/>
          <w:color w:val="auto"/>
          <w:highlight w:val="none"/>
        </w:rPr>
        <w:t>但是，为了抢救生命或保护财产，或为了工程的安全、质量而不可避免地短暂作业，则不必事先向监理人报告。但承包人应在事后立即向监理人报告。</w:t>
      </w:r>
    </w:p>
    <w:p w14:paraId="726BB9E6">
      <w:pPr>
        <w:spacing w:line="360" w:lineRule="auto"/>
        <w:ind w:firstLine="480"/>
        <w:rPr>
          <w:color w:val="auto"/>
          <w:highlight w:val="none"/>
        </w:rPr>
      </w:pPr>
      <w:r>
        <w:rPr>
          <w:rFonts w:hint="eastAsia"/>
          <w:color w:val="auto"/>
          <w:highlight w:val="none"/>
        </w:rPr>
        <w:t>本款规定不适用于习惯上或施工本身要求实行连续生产的作业。</w:t>
      </w:r>
    </w:p>
    <w:p w14:paraId="255A1882">
      <w:pPr>
        <w:keepNext/>
        <w:keepLines/>
        <w:spacing w:line="360" w:lineRule="auto"/>
        <w:outlineLvl w:val="2"/>
        <w:rPr>
          <w:b/>
          <w:bCs/>
          <w:color w:val="auto"/>
          <w:sz w:val="32"/>
          <w:szCs w:val="32"/>
          <w:highlight w:val="none"/>
        </w:rPr>
      </w:pPr>
      <w:r>
        <w:rPr>
          <w:rFonts w:hint="eastAsia"/>
          <w:b/>
          <w:bCs/>
          <w:color w:val="auto"/>
          <w:sz w:val="32"/>
          <w:szCs w:val="32"/>
          <w:highlight w:val="none"/>
        </w:rPr>
        <w:t>12.暂停施工</w:t>
      </w:r>
    </w:p>
    <w:p w14:paraId="4E7E6A50">
      <w:pPr>
        <w:keepNext/>
        <w:keepLines/>
        <w:spacing w:line="360" w:lineRule="auto"/>
        <w:outlineLvl w:val="3"/>
        <w:rPr>
          <w:rFonts w:ascii="Arial" w:hAnsi="Arial"/>
          <w:b/>
          <w:bCs/>
          <w:color w:val="auto"/>
          <w:sz w:val="28"/>
          <w:szCs w:val="28"/>
          <w:highlight w:val="none"/>
        </w:rPr>
      </w:pPr>
      <w:r>
        <w:rPr>
          <w:rFonts w:hint="eastAsia" w:ascii="Arial" w:hAnsi="Arial"/>
          <w:b/>
          <w:bCs/>
          <w:color w:val="auto"/>
          <w:sz w:val="28"/>
          <w:szCs w:val="28"/>
          <w:highlight w:val="none"/>
        </w:rPr>
        <w:t>12.1承包人暂停施工的责任</w:t>
      </w:r>
    </w:p>
    <w:p w14:paraId="77B120E1">
      <w:pPr>
        <w:keepNext/>
        <w:keepLines/>
        <w:spacing w:line="360" w:lineRule="auto"/>
        <w:ind w:firstLine="482"/>
        <w:outlineLvl w:val="4"/>
        <w:rPr>
          <w:b/>
          <w:bCs/>
          <w:color w:val="auto"/>
          <w:sz w:val="28"/>
          <w:szCs w:val="28"/>
          <w:highlight w:val="none"/>
        </w:rPr>
      </w:pPr>
      <w:r>
        <w:rPr>
          <w:rFonts w:hint="eastAsia"/>
          <w:b/>
          <w:bCs/>
          <w:color w:val="auto"/>
          <w:sz w:val="28"/>
          <w:szCs w:val="28"/>
          <w:highlight w:val="none"/>
        </w:rPr>
        <w:t>本款第（5）项细化为：</w:t>
      </w:r>
    </w:p>
    <w:p w14:paraId="3CAC0FE2">
      <w:pPr>
        <w:spacing w:line="360" w:lineRule="auto"/>
        <w:ind w:firstLine="480"/>
        <w:rPr>
          <w:color w:val="auto"/>
          <w:highlight w:val="none"/>
        </w:rPr>
      </w:pPr>
      <w:r>
        <w:rPr>
          <w:rFonts w:hint="eastAsia"/>
          <w:color w:val="auto"/>
          <w:highlight w:val="none"/>
        </w:rPr>
        <w:t>（5）现场气候条件导致的必要停工（第 11.4 款约定的异常恶劣的气候条件除外）；</w:t>
      </w:r>
    </w:p>
    <w:p w14:paraId="3BCDDD70">
      <w:pPr>
        <w:spacing w:line="360" w:lineRule="auto"/>
        <w:ind w:firstLine="480"/>
        <w:rPr>
          <w:color w:val="auto"/>
          <w:highlight w:val="none"/>
        </w:rPr>
      </w:pPr>
      <w:r>
        <w:rPr>
          <w:rFonts w:hint="eastAsia"/>
          <w:color w:val="auto"/>
          <w:highlight w:val="none"/>
        </w:rPr>
        <w:t>（6）项目专用合同条款可能约定的由承包人承担的其他暂停施工。</w:t>
      </w:r>
    </w:p>
    <w:p w14:paraId="59E80273">
      <w:pPr>
        <w:keepNext/>
        <w:keepLines/>
        <w:spacing w:line="360" w:lineRule="auto"/>
        <w:outlineLvl w:val="2"/>
        <w:rPr>
          <w:b/>
          <w:bCs/>
          <w:color w:val="auto"/>
          <w:sz w:val="32"/>
          <w:szCs w:val="32"/>
          <w:highlight w:val="none"/>
        </w:rPr>
      </w:pPr>
      <w:r>
        <w:rPr>
          <w:rFonts w:hint="eastAsia"/>
          <w:b/>
          <w:bCs/>
          <w:color w:val="auto"/>
          <w:sz w:val="32"/>
          <w:szCs w:val="32"/>
          <w:highlight w:val="none"/>
        </w:rPr>
        <w:t>13.工程质量</w:t>
      </w:r>
    </w:p>
    <w:p w14:paraId="758565DE">
      <w:pPr>
        <w:keepNext/>
        <w:keepLines/>
        <w:spacing w:line="360" w:lineRule="auto"/>
        <w:outlineLvl w:val="3"/>
        <w:rPr>
          <w:rFonts w:ascii="Arial" w:hAnsi="Arial"/>
          <w:b/>
          <w:bCs/>
          <w:color w:val="auto"/>
          <w:sz w:val="28"/>
          <w:szCs w:val="28"/>
          <w:highlight w:val="none"/>
        </w:rPr>
      </w:pPr>
      <w:r>
        <w:rPr>
          <w:rFonts w:hint="eastAsia" w:ascii="Arial" w:hAnsi="Arial"/>
          <w:b/>
          <w:bCs/>
          <w:color w:val="auto"/>
          <w:sz w:val="28"/>
          <w:szCs w:val="28"/>
          <w:highlight w:val="none"/>
        </w:rPr>
        <w:t>13.1工程质量要求</w:t>
      </w:r>
    </w:p>
    <w:p w14:paraId="5EC255AF">
      <w:pPr>
        <w:keepNext/>
        <w:keepLines/>
        <w:spacing w:line="360" w:lineRule="auto"/>
        <w:ind w:firstLine="482"/>
        <w:outlineLvl w:val="4"/>
        <w:rPr>
          <w:b/>
          <w:bCs/>
          <w:color w:val="auto"/>
          <w:sz w:val="28"/>
          <w:szCs w:val="28"/>
          <w:highlight w:val="none"/>
        </w:rPr>
      </w:pPr>
      <w:r>
        <w:rPr>
          <w:rFonts w:hint="eastAsia"/>
          <w:b/>
          <w:bCs/>
          <w:color w:val="auto"/>
          <w:sz w:val="28"/>
          <w:szCs w:val="28"/>
          <w:highlight w:val="none"/>
        </w:rPr>
        <w:t>第 13.1.1 项约定为：</w:t>
      </w:r>
    </w:p>
    <w:p w14:paraId="723E125B">
      <w:pPr>
        <w:spacing w:line="360" w:lineRule="auto"/>
        <w:ind w:firstLine="480"/>
        <w:rPr>
          <w:color w:val="auto"/>
          <w:highlight w:val="none"/>
        </w:rPr>
      </w:pPr>
      <w:r>
        <w:rPr>
          <w:rFonts w:hint="eastAsia"/>
          <w:color w:val="auto"/>
          <w:highlight w:val="none"/>
        </w:rPr>
        <w:t>工程质量验收按技术规范及《公路工程质量检验评定标准》执行。</w:t>
      </w:r>
    </w:p>
    <w:p w14:paraId="3AD029FD">
      <w:pPr>
        <w:spacing w:line="360" w:lineRule="auto"/>
        <w:ind w:firstLine="480"/>
        <w:rPr>
          <w:color w:val="auto"/>
          <w:highlight w:val="none"/>
        </w:rPr>
      </w:pPr>
    </w:p>
    <w:p w14:paraId="777AB6B0">
      <w:pPr>
        <w:keepNext/>
        <w:keepLines/>
        <w:spacing w:line="360" w:lineRule="auto"/>
        <w:ind w:firstLine="482"/>
        <w:outlineLvl w:val="4"/>
        <w:rPr>
          <w:b/>
          <w:bCs/>
          <w:color w:val="auto"/>
          <w:sz w:val="28"/>
          <w:szCs w:val="28"/>
          <w:highlight w:val="none"/>
        </w:rPr>
      </w:pPr>
      <w:r>
        <w:rPr>
          <w:rFonts w:hint="eastAsia"/>
          <w:b/>
          <w:bCs/>
          <w:color w:val="auto"/>
          <w:sz w:val="28"/>
          <w:szCs w:val="28"/>
          <w:highlight w:val="none"/>
        </w:rPr>
        <w:t>本款补充第 13.1.4 项、第 13.1.5 项：</w:t>
      </w:r>
    </w:p>
    <w:p w14:paraId="2CBEA331">
      <w:pPr>
        <w:spacing w:line="360" w:lineRule="auto"/>
        <w:ind w:firstLine="480"/>
        <w:rPr>
          <w:color w:val="auto"/>
          <w:highlight w:val="none"/>
        </w:rPr>
      </w:pPr>
      <w:r>
        <w:rPr>
          <w:rFonts w:hint="eastAsia"/>
          <w:color w:val="auto"/>
          <w:highlight w:val="none"/>
        </w:rPr>
        <w:t>13.1.4发包人和承包人应严格遵守《关于严格落实公路工程质量责任制的若干意见》的相关规定，认真执行工程质量责任登记制度并按要求填写工程质量责任登记表。</w:t>
      </w:r>
    </w:p>
    <w:p w14:paraId="4C34B6BC">
      <w:pPr>
        <w:spacing w:line="360" w:lineRule="auto"/>
        <w:ind w:firstLine="480"/>
        <w:rPr>
          <w:color w:val="auto"/>
          <w:highlight w:val="none"/>
        </w:rPr>
      </w:pPr>
      <w:r>
        <w:rPr>
          <w:rFonts w:hint="eastAsia"/>
          <w:color w:val="auto"/>
          <w:highlight w:val="none"/>
        </w:rPr>
        <w:t>13.1.5本项目严格执行质量责任追究制度。质量事故处理实行“四不放过”原则： 事故原因调查不清不放过；事故责任者没有受到教育不放过；没有防范措施不放过； 相关责任人没受到处理不放过。</w:t>
      </w:r>
    </w:p>
    <w:p w14:paraId="08175CAE">
      <w:pPr>
        <w:keepNext/>
        <w:keepLines/>
        <w:spacing w:line="360" w:lineRule="auto"/>
        <w:outlineLvl w:val="3"/>
        <w:rPr>
          <w:rFonts w:ascii="Arial" w:hAnsi="Arial"/>
          <w:b/>
          <w:bCs/>
          <w:color w:val="auto"/>
          <w:sz w:val="28"/>
          <w:szCs w:val="28"/>
          <w:highlight w:val="none"/>
        </w:rPr>
      </w:pPr>
      <w:r>
        <w:rPr>
          <w:rFonts w:hint="eastAsia" w:ascii="Arial" w:hAnsi="Arial"/>
          <w:b/>
          <w:bCs/>
          <w:color w:val="auto"/>
          <w:sz w:val="28"/>
          <w:szCs w:val="28"/>
          <w:highlight w:val="none"/>
        </w:rPr>
        <w:t>13.2承包人的质量管理</w:t>
      </w:r>
    </w:p>
    <w:p w14:paraId="25940332">
      <w:pPr>
        <w:keepNext/>
        <w:keepLines/>
        <w:spacing w:line="360" w:lineRule="auto"/>
        <w:ind w:firstLine="482"/>
        <w:outlineLvl w:val="4"/>
        <w:rPr>
          <w:b/>
          <w:bCs/>
          <w:color w:val="auto"/>
          <w:sz w:val="28"/>
          <w:szCs w:val="28"/>
          <w:highlight w:val="none"/>
        </w:rPr>
      </w:pPr>
      <w:r>
        <w:rPr>
          <w:rFonts w:hint="eastAsia"/>
          <w:b/>
          <w:bCs/>
          <w:color w:val="auto"/>
          <w:sz w:val="28"/>
          <w:szCs w:val="28"/>
          <w:highlight w:val="none"/>
        </w:rPr>
        <w:t>第 13.2.1 项补充：</w:t>
      </w:r>
    </w:p>
    <w:p w14:paraId="687AD4DF">
      <w:pPr>
        <w:spacing w:line="360" w:lineRule="auto"/>
        <w:ind w:firstLine="480"/>
        <w:rPr>
          <w:color w:val="auto"/>
          <w:highlight w:val="none"/>
        </w:rPr>
      </w:pPr>
      <w:r>
        <w:rPr>
          <w:rFonts w:hint="eastAsia"/>
          <w:color w:val="auto"/>
          <w:highlight w:val="none"/>
        </w:rPr>
        <w:t>承包人提交工程质量保证措施文件的期限：签订合同协议书后 28 天之内。</w:t>
      </w:r>
    </w:p>
    <w:p w14:paraId="3E508FF5">
      <w:pPr>
        <w:keepNext/>
        <w:keepLines/>
        <w:spacing w:line="360" w:lineRule="auto"/>
        <w:ind w:firstLine="482"/>
        <w:outlineLvl w:val="4"/>
        <w:rPr>
          <w:b/>
          <w:bCs/>
          <w:color w:val="auto"/>
          <w:sz w:val="28"/>
          <w:szCs w:val="28"/>
          <w:highlight w:val="none"/>
        </w:rPr>
      </w:pPr>
      <w:r>
        <w:rPr>
          <w:rFonts w:hint="eastAsia"/>
          <w:b/>
          <w:bCs/>
          <w:color w:val="auto"/>
          <w:sz w:val="28"/>
          <w:szCs w:val="28"/>
          <w:highlight w:val="none"/>
        </w:rPr>
        <w:t>本款补充第 13.2.3 项~第 13.2.10 项：</w:t>
      </w:r>
    </w:p>
    <w:p w14:paraId="32506D34">
      <w:pPr>
        <w:spacing w:line="360" w:lineRule="auto"/>
        <w:ind w:firstLine="480"/>
        <w:rPr>
          <w:color w:val="auto"/>
          <w:highlight w:val="none"/>
        </w:rPr>
      </w:pPr>
      <w:r>
        <w:rPr>
          <w:rFonts w:hint="eastAsia"/>
          <w:color w:val="auto"/>
          <w:highlight w:val="none"/>
        </w:rPr>
        <w:t>13.2.3公路工程施行质量责任终身制。承包人应当书面明确相应的项目负责人和质量负责人。承包人的相关人员按照国家法律法规和有关规定在工程合理使用年限内承担相应的质量责任。</w:t>
      </w:r>
    </w:p>
    <w:p w14:paraId="67D2E3B1">
      <w:pPr>
        <w:spacing w:line="360" w:lineRule="auto"/>
        <w:ind w:firstLine="480"/>
        <w:rPr>
          <w:color w:val="auto"/>
          <w:highlight w:val="none"/>
        </w:rPr>
      </w:pPr>
      <w:r>
        <w:rPr>
          <w:rFonts w:hint="eastAsia"/>
          <w:color w:val="auto"/>
          <w:highlight w:val="none"/>
        </w:rPr>
        <w:t>13.2.4承包人应当建立健全工程质量保证体系，制定质量管理制度，强化工程质量管理措施，完善工程质量目标保障机制；严格遵守国家有关法律、法规和规章， 严格执行公路工程强制性技术标准、各类技术规范及规程，全面履行工程合同义务。</w:t>
      </w:r>
    </w:p>
    <w:p w14:paraId="6585BDCC">
      <w:pPr>
        <w:spacing w:line="360" w:lineRule="auto"/>
        <w:ind w:firstLine="480"/>
        <w:rPr>
          <w:color w:val="auto"/>
          <w:highlight w:val="none"/>
        </w:rPr>
      </w:pPr>
      <w:r>
        <w:rPr>
          <w:rFonts w:hint="eastAsia"/>
          <w:color w:val="auto"/>
          <w:highlight w:val="none"/>
        </w:rPr>
        <w:t>13.2.5承包人对工程施工质量负责，应当按合同约定设立现场质量管理机构、配备工程技术人员和质量管理人员，落实工程施工质量责任制。</w:t>
      </w:r>
    </w:p>
    <w:p w14:paraId="01696655">
      <w:pPr>
        <w:spacing w:line="360" w:lineRule="auto"/>
        <w:ind w:firstLine="480"/>
        <w:rPr>
          <w:color w:val="auto"/>
          <w:highlight w:val="none"/>
        </w:rPr>
      </w:pPr>
      <w:r>
        <w:rPr>
          <w:rFonts w:hint="eastAsia"/>
          <w:color w:val="auto"/>
          <w:highlight w:val="none"/>
        </w:rPr>
        <w:t>13.2.6承包人应当严格按照工程设计图纸、施工技术标准和合同约定施工，对原材料、混合料、构配件、工程实体、机电设备等进行检验；按规定施行班组自检、工序交接检、专职质检员检验的质量控制程序；对分项工程、分部工程和单位工程进行质量自评。检验或者自评不合格的，不得进入下道工序或者投入使用。</w:t>
      </w:r>
    </w:p>
    <w:p w14:paraId="3D99C567">
      <w:pPr>
        <w:spacing w:line="360" w:lineRule="auto"/>
        <w:ind w:firstLine="480"/>
        <w:rPr>
          <w:color w:val="auto"/>
          <w:highlight w:val="none"/>
        </w:rPr>
      </w:pPr>
      <w:r>
        <w:rPr>
          <w:rFonts w:hint="eastAsia"/>
          <w:color w:val="auto"/>
          <w:highlight w:val="none"/>
        </w:rPr>
        <w:t>13.2.7承包人应当加强施工过程质量控制，并形成完整、可追溯的施工质量管理资料，主体工程的隐蔽部位施工还应当保留影像资料。对施工中出现的质量问题或者验收不合格的工程，应当负责返工处理；对在保修范围和保修期限内发生质量问题的工程，应当履行保修义务。</w:t>
      </w:r>
    </w:p>
    <w:p w14:paraId="10EDD0CB">
      <w:pPr>
        <w:spacing w:line="360" w:lineRule="auto"/>
        <w:ind w:firstLine="480"/>
        <w:rPr>
          <w:color w:val="auto"/>
          <w:highlight w:val="none"/>
        </w:rPr>
      </w:pPr>
      <w:r>
        <w:rPr>
          <w:rFonts w:hint="eastAsia"/>
          <w:color w:val="auto"/>
          <w:highlight w:val="none"/>
        </w:rPr>
        <w:t>13.2.8承包人应当按照合同约定设立工地临时试验室，配齐检测和试验仪器、仪表，及时校正确保其精度；严格按照工程技术标准、检测规范和规程，在核定的试验检测参数范围内开展试验检测活动，并确保规范规定的检验、抽检频率。承包人应当对其设立的工地临时试验室所出具的试验检测数据和报告的真实性、客观性、准确性负责。</w:t>
      </w:r>
    </w:p>
    <w:p w14:paraId="353A2F30">
      <w:pPr>
        <w:spacing w:line="360" w:lineRule="auto"/>
        <w:ind w:firstLine="480"/>
        <w:rPr>
          <w:color w:val="auto"/>
          <w:highlight w:val="none"/>
        </w:rPr>
      </w:pPr>
      <w:r>
        <w:rPr>
          <w:rFonts w:hint="eastAsia"/>
          <w:color w:val="auto"/>
          <w:highlight w:val="none"/>
        </w:rPr>
        <w:t>13.2.9承包人应当依法规范分包行为，并对承担的工程质量负总责，分包单位对分包合同范围内的工程质量负责。</w:t>
      </w:r>
    </w:p>
    <w:p w14:paraId="114C7FC9">
      <w:pPr>
        <w:spacing w:line="360" w:lineRule="auto"/>
        <w:ind w:firstLine="480"/>
        <w:rPr>
          <w:color w:val="auto"/>
          <w:highlight w:val="none"/>
        </w:rPr>
      </w:pPr>
      <w:r>
        <w:rPr>
          <w:rFonts w:hint="eastAsia"/>
          <w:color w:val="auto"/>
          <w:highlight w:val="none"/>
        </w:rPr>
        <w:t>13.2.10承包人驻工程现场机构应在现场驻地和重要的分部、分项工程施工现场设置明显的工程质量责任登记表公示牌。</w:t>
      </w:r>
    </w:p>
    <w:p w14:paraId="55A21986">
      <w:pPr>
        <w:keepNext/>
        <w:keepLines/>
        <w:spacing w:line="360" w:lineRule="auto"/>
        <w:outlineLvl w:val="3"/>
        <w:rPr>
          <w:rFonts w:ascii="Arial" w:hAnsi="Arial"/>
          <w:b/>
          <w:bCs/>
          <w:color w:val="auto"/>
          <w:sz w:val="28"/>
          <w:szCs w:val="28"/>
          <w:highlight w:val="none"/>
        </w:rPr>
      </w:pPr>
      <w:r>
        <w:rPr>
          <w:rFonts w:hint="eastAsia" w:ascii="Arial" w:hAnsi="Arial"/>
          <w:b/>
          <w:bCs/>
          <w:color w:val="auto"/>
          <w:sz w:val="28"/>
          <w:szCs w:val="28"/>
          <w:highlight w:val="none"/>
        </w:rPr>
        <w:t>13.4监理人的质量检查</w:t>
      </w:r>
    </w:p>
    <w:p w14:paraId="04756C30">
      <w:pPr>
        <w:spacing w:line="360" w:lineRule="auto"/>
        <w:ind w:firstLine="480"/>
        <w:rPr>
          <w:color w:val="auto"/>
          <w:highlight w:val="none"/>
        </w:rPr>
      </w:pPr>
      <w:r>
        <w:rPr>
          <w:rFonts w:hint="eastAsia"/>
          <w:color w:val="auto"/>
          <w:highlight w:val="none"/>
        </w:rPr>
        <w:t>本款补充：</w:t>
      </w:r>
    </w:p>
    <w:p w14:paraId="64C67EB6">
      <w:pPr>
        <w:spacing w:line="360" w:lineRule="auto"/>
        <w:ind w:firstLine="480"/>
        <w:rPr>
          <w:color w:val="auto"/>
          <w:highlight w:val="none"/>
        </w:rPr>
      </w:pPr>
      <w:r>
        <w:rPr>
          <w:rFonts w:hint="eastAsia"/>
          <w:color w:val="auto"/>
          <w:highlight w:val="none"/>
        </w:rPr>
        <w:t>监理人及其委派的检验人员，应能进入工程现场，以及材料或工程设备的制造、加工或制配的车间和场所，包括不属于承包人的车间或场所进行检查，承包人应为此提供便利和协助。</w:t>
      </w:r>
    </w:p>
    <w:p w14:paraId="57939140">
      <w:pPr>
        <w:spacing w:line="360" w:lineRule="auto"/>
        <w:ind w:firstLine="480"/>
        <w:rPr>
          <w:color w:val="auto"/>
          <w:highlight w:val="none"/>
        </w:rPr>
      </w:pPr>
      <w:r>
        <w:rPr>
          <w:rFonts w:hint="eastAsia"/>
          <w:color w:val="auto"/>
          <w:highlight w:val="none"/>
        </w:rPr>
        <w:t>监理人可以将材料或工程设备的检查和检验委托给一家独立的有质量检验认证资格的检验单位。该独立检验单位的检验结果应视为监理人完成的。监理人应将这种委托的通知书不少于 7 天前交给承包人。</w:t>
      </w:r>
    </w:p>
    <w:p w14:paraId="5E29C3C0">
      <w:pPr>
        <w:keepNext/>
        <w:keepLines/>
        <w:spacing w:line="360" w:lineRule="auto"/>
        <w:outlineLvl w:val="3"/>
        <w:rPr>
          <w:rFonts w:ascii="Arial" w:hAnsi="Arial"/>
          <w:b/>
          <w:bCs/>
          <w:color w:val="auto"/>
          <w:sz w:val="28"/>
          <w:szCs w:val="28"/>
          <w:highlight w:val="none"/>
        </w:rPr>
      </w:pPr>
      <w:r>
        <w:rPr>
          <w:rFonts w:hint="eastAsia" w:ascii="Arial" w:hAnsi="Arial"/>
          <w:b/>
          <w:bCs/>
          <w:color w:val="auto"/>
          <w:sz w:val="28"/>
          <w:szCs w:val="28"/>
          <w:highlight w:val="none"/>
        </w:rPr>
        <w:t>13.5工程隐蔽部位覆盖前的检查</w:t>
      </w:r>
    </w:p>
    <w:p w14:paraId="6078F56A">
      <w:pPr>
        <w:keepNext/>
        <w:keepLines/>
        <w:spacing w:line="360" w:lineRule="auto"/>
        <w:ind w:firstLine="482"/>
        <w:outlineLvl w:val="4"/>
        <w:rPr>
          <w:b/>
          <w:bCs/>
          <w:color w:val="auto"/>
          <w:sz w:val="28"/>
          <w:szCs w:val="28"/>
          <w:highlight w:val="none"/>
        </w:rPr>
      </w:pPr>
      <w:r>
        <w:rPr>
          <w:rFonts w:hint="eastAsia"/>
          <w:b/>
          <w:bCs/>
          <w:color w:val="auto"/>
          <w:sz w:val="28"/>
          <w:szCs w:val="28"/>
          <w:highlight w:val="none"/>
        </w:rPr>
        <w:t>第 13.5.1 项补充：</w:t>
      </w:r>
    </w:p>
    <w:p w14:paraId="7446E93D">
      <w:pPr>
        <w:spacing w:line="360" w:lineRule="auto"/>
        <w:ind w:firstLine="480"/>
        <w:rPr>
          <w:color w:val="auto"/>
          <w:highlight w:val="none"/>
        </w:rPr>
      </w:pPr>
      <w:r>
        <w:rPr>
          <w:rFonts w:hint="eastAsia"/>
          <w:color w:val="auto"/>
          <w:highlight w:val="none"/>
        </w:rPr>
        <w:t>当监理人有指令时，承包人应对重要隐蔽工程进行拍摄或照相并应保证监理人有充分的机会对将要覆盖或掩蔽的工程进行检查和量测，特别是在基础以上的任一部分工程修筑之前，对该基础进行检查。</w:t>
      </w:r>
    </w:p>
    <w:p w14:paraId="388BC8FD">
      <w:pPr>
        <w:keepNext/>
        <w:keepLines/>
        <w:spacing w:line="360" w:lineRule="auto"/>
        <w:outlineLvl w:val="3"/>
        <w:rPr>
          <w:rFonts w:ascii="Arial" w:hAnsi="Arial"/>
          <w:b/>
          <w:bCs/>
          <w:color w:val="auto"/>
          <w:sz w:val="28"/>
          <w:szCs w:val="28"/>
          <w:highlight w:val="none"/>
        </w:rPr>
      </w:pPr>
      <w:r>
        <w:rPr>
          <w:rFonts w:hint="eastAsia" w:ascii="Arial" w:hAnsi="Arial"/>
          <w:b/>
          <w:bCs/>
          <w:color w:val="auto"/>
          <w:sz w:val="28"/>
          <w:szCs w:val="28"/>
          <w:highlight w:val="none"/>
        </w:rPr>
        <w:t>13.6清除不合格工程</w:t>
      </w:r>
    </w:p>
    <w:p w14:paraId="1E882023">
      <w:pPr>
        <w:keepNext/>
        <w:keepLines/>
        <w:spacing w:line="360" w:lineRule="auto"/>
        <w:ind w:firstLine="482"/>
        <w:outlineLvl w:val="4"/>
        <w:rPr>
          <w:b/>
          <w:bCs/>
          <w:color w:val="auto"/>
          <w:sz w:val="28"/>
          <w:szCs w:val="28"/>
          <w:highlight w:val="none"/>
        </w:rPr>
      </w:pPr>
      <w:r>
        <w:rPr>
          <w:rFonts w:hint="eastAsia"/>
          <w:b/>
          <w:bCs/>
          <w:color w:val="auto"/>
          <w:sz w:val="28"/>
          <w:szCs w:val="28"/>
          <w:highlight w:val="none"/>
        </w:rPr>
        <w:t>第 13.6.1 项细化为：</w:t>
      </w:r>
    </w:p>
    <w:p w14:paraId="2B9BEE01">
      <w:pPr>
        <w:spacing w:line="360" w:lineRule="auto"/>
        <w:ind w:firstLine="480"/>
        <w:rPr>
          <w:color w:val="auto"/>
          <w:highlight w:val="none"/>
        </w:rPr>
      </w:pPr>
      <w:r>
        <w:rPr>
          <w:rFonts w:hint="eastAsia"/>
          <w:color w:val="auto"/>
          <w:highlight w:val="none"/>
        </w:rPr>
        <w:t>（1）承包人使用不合格材料、工程设备，或采用不适当的施工工艺，或施工 不当，造成工程不合格的，监理人可以随时发出指示，要求承包人立即采取措施进行替换、补救或拆除重建，直至达到合同要求的质量标准，由此增加的费用和（或）工期延误由承包人承担。</w:t>
      </w:r>
    </w:p>
    <w:p w14:paraId="4F0538EC">
      <w:pPr>
        <w:spacing w:line="360" w:lineRule="auto"/>
        <w:ind w:firstLine="480"/>
        <w:rPr>
          <w:color w:val="auto"/>
          <w:highlight w:val="none"/>
        </w:rPr>
      </w:pPr>
      <w:r>
        <w:rPr>
          <w:rFonts w:hint="eastAsia"/>
          <w:color w:val="auto"/>
          <w:highlight w:val="none"/>
        </w:rPr>
        <w:t>（2）如果承包人未在规定时间内执行监理人的指示，发包人有权雇用他人执行，由此增加的费用和（或）工期延误由承包人承担。</w:t>
      </w:r>
    </w:p>
    <w:p w14:paraId="4B1D89CF">
      <w:pPr>
        <w:keepNext/>
        <w:keepLines/>
        <w:spacing w:line="360" w:lineRule="auto"/>
        <w:outlineLvl w:val="2"/>
        <w:rPr>
          <w:b/>
          <w:bCs/>
          <w:color w:val="auto"/>
          <w:sz w:val="32"/>
          <w:szCs w:val="32"/>
          <w:highlight w:val="none"/>
        </w:rPr>
      </w:pPr>
      <w:r>
        <w:rPr>
          <w:rFonts w:hint="eastAsia"/>
          <w:b/>
          <w:bCs/>
          <w:color w:val="auto"/>
          <w:sz w:val="32"/>
          <w:szCs w:val="32"/>
          <w:highlight w:val="none"/>
        </w:rPr>
        <w:t>14.试验和检验</w:t>
      </w:r>
    </w:p>
    <w:p w14:paraId="405B3EAD">
      <w:pPr>
        <w:spacing w:line="360" w:lineRule="auto"/>
        <w:ind w:firstLine="480"/>
        <w:rPr>
          <w:color w:val="auto"/>
          <w:highlight w:val="none"/>
        </w:rPr>
      </w:pPr>
      <w:r>
        <w:rPr>
          <w:rFonts w:hint="eastAsia"/>
          <w:color w:val="auto"/>
          <w:highlight w:val="none"/>
        </w:rPr>
        <w:t>本条补充第 14.4 款：</w:t>
      </w:r>
    </w:p>
    <w:p w14:paraId="7B134DFA">
      <w:pPr>
        <w:keepNext/>
        <w:keepLines/>
        <w:spacing w:line="360" w:lineRule="auto"/>
        <w:outlineLvl w:val="3"/>
        <w:rPr>
          <w:rFonts w:ascii="Arial" w:hAnsi="Arial"/>
          <w:b/>
          <w:bCs/>
          <w:color w:val="auto"/>
          <w:sz w:val="28"/>
          <w:szCs w:val="28"/>
          <w:highlight w:val="none"/>
        </w:rPr>
      </w:pPr>
      <w:r>
        <w:rPr>
          <w:rFonts w:hint="eastAsia" w:ascii="Arial" w:hAnsi="Arial"/>
          <w:b/>
          <w:bCs/>
          <w:color w:val="auto"/>
          <w:sz w:val="28"/>
          <w:szCs w:val="28"/>
          <w:highlight w:val="none"/>
        </w:rPr>
        <w:t>14.4试验和检验费用</w:t>
      </w:r>
    </w:p>
    <w:p w14:paraId="7CF7DFA6">
      <w:pPr>
        <w:spacing w:line="360" w:lineRule="auto"/>
        <w:ind w:firstLine="480"/>
        <w:rPr>
          <w:color w:val="auto"/>
          <w:highlight w:val="none"/>
        </w:rPr>
      </w:pPr>
      <w:r>
        <w:rPr>
          <w:rFonts w:hint="eastAsia"/>
          <w:color w:val="auto"/>
          <w:highlight w:val="none"/>
        </w:rPr>
        <w:t>（1）承包人应负责提供合同和技术规范规定的试验和检验所需的全部样品，并承担其费用。</w:t>
      </w:r>
    </w:p>
    <w:p w14:paraId="56ABDB07">
      <w:pPr>
        <w:spacing w:line="360" w:lineRule="auto"/>
        <w:ind w:firstLine="480"/>
        <w:rPr>
          <w:color w:val="auto"/>
          <w:highlight w:val="none"/>
        </w:rPr>
      </w:pPr>
      <w:r>
        <w:rPr>
          <w:rFonts w:hint="eastAsia"/>
          <w:color w:val="auto"/>
          <w:highlight w:val="none"/>
        </w:rPr>
        <w:t>（2）在合同中明确规定的试验和检验，包括无须在工程量清单中单独列项和已在工程量清单中单独列项的试验和检验，其试验和检验的费用由承包人承担。</w:t>
      </w:r>
    </w:p>
    <w:p w14:paraId="342CD99E">
      <w:pPr>
        <w:spacing w:line="360" w:lineRule="auto"/>
        <w:ind w:firstLine="480"/>
        <w:rPr>
          <w:color w:val="auto"/>
          <w:highlight w:val="none"/>
        </w:rPr>
      </w:pPr>
      <w:r>
        <w:rPr>
          <w:rFonts w:hint="eastAsia"/>
          <w:color w:val="auto"/>
          <w:highlight w:val="none"/>
        </w:rPr>
        <w:t>（3）如果监理人所要求做的试验和检验为合同未规定的或是在该材料或工程设备的制造、加工、制配场地以外的场所进行的，则检验结束后，如表明操作工艺或材料、工程设备未能符合合同规定，其费用应由承包人承担，否则，其费用应由发包人承担。</w:t>
      </w:r>
    </w:p>
    <w:p w14:paraId="4EA1C5DF">
      <w:pPr>
        <w:spacing w:line="360" w:lineRule="auto"/>
        <w:ind w:firstLine="480"/>
        <w:rPr>
          <w:color w:val="auto"/>
          <w:highlight w:val="none"/>
        </w:rPr>
      </w:pPr>
    </w:p>
    <w:p w14:paraId="7A3D926A">
      <w:pPr>
        <w:keepNext/>
        <w:keepLines/>
        <w:spacing w:line="360" w:lineRule="auto"/>
        <w:outlineLvl w:val="2"/>
        <w:rPr>
          <w:b/>
          <w:bCs/>
          <w:color w:val="auto"/>
          <w:sz w:val="32"/>
          <w:szCs w:val="32"/>
          <w:highlight w:val="none"/>
        </w:rPr>
      </w:pPr>
      <w:r>
        <w:rPr>
          <w:rFonts w:hint="eastAsia"/>
          <w:b/>
          <w:bCs/>
          <w:color w:val="auto"/>
          <w:sz w:val="32"/>
          <w:szCs w:val="32"/>
          <w:highlight w:val="none"/>
        </w:rPr>
        <w:t>15.变更</w:t>
      </w:r>
    </w:p>
    <w:p w14:paraId="06BE693A">
      <w:pPr>
        <w:keepNext/>
        <w:keepLines/>
        <w:spacing w:line="360" w:lineRule="auto"/>
        <w:outlineLvl w:val="3"/>
        <w:rPr>
          <w:rFonts w:ascii="Arial" w:hAnsi="Arial"/>
          <w:b/>
          <w:bCs/>
          <w:color w:val="auto"/>
          <w:sz w:val="28"/>
          <w:szCs w:val="28"/>
          <w:highlight w:val="none"/>
        </w:rPr>
      </w:pPr>
      <w:r>
        <w:rPr>
          <w:rFonts w:hint="eastAsia" w:ascii="Arial" w:hAnsi="Arial"/>
          <w:b/>
          <w:bCs/>
          <w:color w:val="auto"/>
          <w:sz w:val="28"/>
          <w:szCs w:val="28"/>
          <w:highlight w:val="none"/>
        </w:rPr>
        <w:t>15.1变更的范围和内容</w:t>
      </w:r>
    </w:p>
    <w:p w14:paraId="71056D93">
      <w:pPr>
        <w:keepNext/>
        <w:keepLines/>
        <w:spacing w:line="360" w:lineRule="auto"/>
        <w:ind w:firstLine="482"/>
        <w:outlineLvl w:val="4"/>
        <w:rPr>
          <w:b/>
          <w:bCs/>
          <w:color w:val="auto"/>
          <w:sz w:val="28"/>
          <w:szCs w:val="28"/>
          <w:highlight w:val="none"/>
        </w:rPr>
      </w:pPr>
      <w:r>
        <w:rPr>
          <w:rFonts w:hint="eastAsia"/>
          <w:b/>
          <w:bCs/>
          <w:color w:val="auto"/>
          <w:sz w:val="28"/>
          <w:szCs w:val="28"/>
          <w:highlight w:val="none"/>
        </w:rPr>
        <w:t>本款第（1）项细化为：</w:t>
      </w:r>
    </w:p>
    <w:p w14:paraId="2DFE18A4">
      <w:pPr>
        <w:spacing w:line="360" w:lineRule="auto"/>
        <w:ind w:firstLine="480"/>
        <w:rPr>
          <w:color w:val="auto"/>
          <w:highlight w:val="none"/>
        </w:rPr>
      </w:pPr>
      <w:r>
        <w:rPr>
          <w:rFonts w:hint="eastAsia"/>
          <w:color w:val="auto"/>
          <w:highlight w:val="none"/>
        </w:rPr>
        <w:t>（1）取消合同中任何一项工作，但被取消的工作不能转由发包人或其他人实施，由于承包人违约造成的情况除外；</w:t>
      </w:r>
    </w:p>
    <w:p w14:paraId="58866F63">
      <w:pPr>
        <w:keepNext/>
        <w:keepLines/>
        <w:spacing w:line="360" w:lineRule="auto"/>
        <w:outlineLvl w:val="3"/>
        <w:rPr>
          <w:rFonts w:ascii="Arial" w:hAnsi="Arial"/>
          <w:b/>
          <w:bCs/>
          <w:color w:val="auto"/>
          <w:sz w:val="28"/>
          <w:szCs w:val="28"/>
          <w:highlight w:val="none"/>
        </w:rPr>
      </w:pPr>
      <w:r>
        <w:rPr>
          <w:rFonts w:hint="eastAsia" w:ascii="Arial" w:hAnsi="Arial"/>
          <w:b/>
          <w:bCs/>
          <w:color w:val="auto"/>
          <w:sz w:val="28"/>
          <w:szCs w:val="28"/>
          <w:highlight w:val="none"/>
        </w:rPr>
        <w:t>15.3变更程序</w:t>
      </w:r>
    </w:p>
    <w:p w14:paraId="6DABB009">
      <w:pPr>
        <w:keepNext/>
        <w:keepLines/>
        <w:spacing w:line="360" w:lineRule="auto"/>
        <w:ind w:firstLine="482"/>
        <w:outlineLvl w:val="4"/>
        <w:rPr>
          <w:b/>
          <w:bCs/>
          <w:color w:val="auto"/>
          <w:sz w:val="28"/>
          <w:szCs w:val="28"/>
          <w:highlight w:val="none"/>
        </w:rPr>
      </w:pPr>
      <w:r>
        <w:rPr>
          <w:rFonts w:hint="eastAsia"/>
          <w:b/>
          <w:bCs/>
          <w:color w:val="auto"/>
          <w:sz w:val="28"/>
          <w:szCs w:val="28"/>
          <w:highlight w:val="none"/>
        </w:rPr>
        <w:t>本款补充第 15.3.4 项：</w:t>
      </w:r>
    </w:p>
    <w:p w14:paraId="5A80272F">
      <w:pPr>
        <w:spacing w:line="360" w:lineRule="auto"/>
        <w:ind w:firstLine="480"/>
        <w:rPr>
          <w:color w:val="auto"/>
          <w:highlight w:val="none"/>
        </w:rPr>
      </w:pPr>
      <w:r>
        <w:rPr>
          <w:rFonts w:hint="eastAsia"/>
          <w:color w:val="auto"/>
          <w:highlight w:val="none"/>
        </w:rPr>
        <w:t>15.3.4 设计变更程序应执行《公路工程设计变更管理办法》的相关规定。</w:t>
      </w:r>
    </w:p>
    <w:p w14:paraId="2016277D">
      <w:pPr>
        <w:keepNext/>
        <w:keepLines/>
        <w:spacing w:line="360" w:lineRule="auto"/>
        <w:outlineLvl w:val="3"/>
        <w:rPr>
          <w:rFonts w:ascii="Arial" w:hAnsi="Arial"/>
          <w:b/>
          <w:bCs/>
          <w:color w:val="auto"/>
          <w:sz w:val="28"/>
          <w:szCs w:val="28"/>
          <w:highlight w:val="none"/>
        </w:rPr>
      </w:pPr>
      <w:r>
        <w:rPr>
          <w:rFonts w:hint="eastAsia" w:ascii="Arial" w:hAnsi="Arial"/>
          <w:b/>
          <w:bCs/>
          <w:color w:val="auto"/>
          <w:sz w:val="28"/>
          <w:szCs w:val="28"/>
          <w:highlight w:val="none"/>
        </w:rPr>
        <w:t>15.4变更的估价原则</w:t>
      </w:r>
    </w:p>
    <w:p w14:paraId="30163BB7">
      <w:pPr>
        <w:spacing w:line="360" w:lineRule="auto"/>
        <w:ind w:firstLine="480"/>
        <w:rPr>
          <w:color w:val="auto"/>
          <w:highlight w:val="none"/>
        </w:rPr>
      </w:pPr>
      <w:r>
        <w:rPr>
          <w:rFonts w:hint="eastAsia"/>
          <w:color w:val="auto"/>
          <w:highlight w:val="none"/>
        </w:rPr>
        <w:t>本款细化为：</w:t>
      </w:r>
    </w:p>
    <w:p w14:paraId="037553DF">
      <w:pPr>
        <w:spacing w:line="360" w:lineRule="auto"/>
        <w:ind w:firstLine="480"/>
        <w:rPr>
          <w:color w:val="auto"/>
          <w:highlight w:val="none"/>
        </w:rPr>
      </w:pPr>
      <w:r>
        <w:rPr>
          <w:rFonts w:hint="eastAsia"/>
          <w:color w:val="auto"/>
          <w:highlight w:val="none"/>
        </w:rPr>
        <w:t>除项目专用合同条款另有约定外，因变更引起的价格调整按照本款约定处理。</w:t>
      </w:r>
    </w:p>
    <w:p w14:paraId="2AA88FA0">
      <w:pPr>
        <w:spacing w:line="360" w:lineRule="auto"/>
        <w:ind w:firstLine="480"/>
        <w:rPr>
          <w:color w:val="auto"/>
          <w:highlight w:val="none"/>
        </w:rPr>
      </w:pPr>
      <w:r>
        <w:rPr>
          <w:rFonts w:hint="eastAsia"/>
          <w:color w:val="auto"/>
          <w:highlight w:val="none"/>
        </w:rPr>
        <w:t>15.4.1如果取消某项工作，则该项工作的总额价不予支付。</w:t>
      </w:r>
    </w:p>
    <w:p w14:paraId="0D857C15">
      <w:pPr>
        <w:spacing w:line="360" w:lineRule="auto"/>
        <w:ind w:firstLine="480"/>
        <w:rPr>
          <w:color w:val="auto"/>
          <w:highlight w:val="none"/>
        </w:rPr>
      </w:pPr>
      <w:r>
        <w:rPr>
          <w:rFonts w:hint="eastAsia"/>
          <w:color w:val="auto"/>
          <w:highlight w:val="none"/>
        </w:rPr>
        <w:t>15.4.2已标价工程量清单中有适用于变更工作的子目的，采用该子目的单价。</w:t>
      </w:r>
    </w:p>
    <w:p w14:paraId="31D7BF2B">
      <w:pPr>
        <w:spacing w:line="360" w:lineRule="auto"/>
        <w:ind w:firstLine="480"/>
        <w:rPr>
          <w:color w:val="auto"/>
          <w:highlight w:val="none"/>
        </w:rPr>
      </w:pPr>
      <w:r>
        <w:rPr>
          <w:rFonts w:hint="eastAsia"/>
          <w:color w:val="auto"/>
          <w:highlight w:val="none"/>
        </w:rPr>
        <w:t>15.4.3已标价工程量清单中无适用于变更工作的子目，但有类似子目的，可在合理范围内参照类似子目的单价，由监理人按第 3.5 款商定或确定变更工作的单价。</w:t>
      </w:r>
    </w:p>
    <w:p w14:paraId="0A923379">
      <w:pPr>
        <w:spacing w:line="360" w:lineRule="auto"/>
        <w:ind w:firstLine="480"/>
        <w:rPr>
          <w:color w:val="auto"/>
          <w:highlight w:val="none"/>
        </w:rPr>
      </w:pPr>
      <w:r>
        <w:rPr>
          <w:rFonts w:hint="eastAsia"/>
          <w:color w:val="auto"/>
          <w:highlight w:val="none"/>
        </w:rPr>
        <w:t>15.4.4已标价工程量清单中无适用或类似子目的单价，可在综合考虑承包人在投标时所提供的单价分析表的基础上，由监理人按第 3.5 款商定或确定变更工作的单价。</w:t>
      </w:r>
    </w:p>
    <w:p w14:paraId="62435B97">
      <w:pPr>
        <w:spacing w:line="360" w:lineRule="auto"/>
        <w:ind w:firstLine="480"/>
        <w:rPr>
          <w:color w:val="auto"/>
          <w:highlight w:val="none"/>
        </w:rPr>
      </w:pPr>
      <w:r>
        <w:rPr>
          <w:rFonts w:hint="eastAsia"/>
          <w:color w:val="auto"/>
          <w:highlight w:val="none"/>
        </w:rPr>
        <w:t>15.4.5如果本工程的变更指示是因承包人过错、承包人违反合同或承包人责任造成的，则这种违约引起的任何额外费用应由承包人承担。</w:t>
      </w:r>
    </w:p>
    <w:p w14:paraId="269BFFFB">
      <w:pPr>
        <w:keepNext/>
        <w:keepLines/>
        <w:spacing w:line="360" w:lineRule="auto"/>
        <w:outlineLvl w:val="3"/>
        <w:rPr>
          <w:rFonts w:ascii="Arial" w:hAnsi="Arial"/>
          <w:b/>
          <w:bCs/>
          <w:color w:val="auto"/>
          <w:sz w:val="28"/>
          <w:szCs w:val="28"/>
          <w:highlight w:val="none"/>
        </w:rPr>
      </w:pPr>
      <w:r>
        <w:rPr>
          <w:rFonts w:hint="eastAsia" w:ascii="Arial" w:hAnsi="Arial"/>
          <w:b/>
          <w:bCs/>
          <w:color w:val="auto"/>
          <w:sz w:val="28"/>
          <w:szCs w:val="28"/>
          <w:highlight w:val="none"/>
        </w:rPr>
        <w:t>15.5承包人的合理化建议</w:t>
      </w:r>
    </w:p>
    <w:p w14:paraId="32BD6976">
      <w:pPr>
        <w:keepNext/>
        <w:keepLines/>
        <w:spacing w:line="360" w:lineRule="auto"/>
        <w:ind w:firstLine="482"/>
        <w:outlineLvl w:val="4"/>
        <w:rPr>
          <w:b/>
          <w:bCs/>
          <w:color w:val="auto"/>
          <w:sz w:val="28"/>
          <w:szCs w:val="28"/>
          <w:highlight w:val="none"/>
        </w:rPr>
      </w:pPr>
      <w:r>
        <w:rPr>
          <w:rFonts w:hint="eastAsia"/>
          <w:b/>
          <w:bCs/>
          <w:color w:val="auto"/>
          <w:sz w:val="28"/>
          <w:szCs w:val="28"/>
          <w:highlight w:val="none"/>
        </w:rPr>
        <w:t>第 15.5.2 项约定为：</w:t>
      </w:r>
    </w:p>
    <w:p w14:paraId="1016C840">
      <w:pPr>
        <w:spacing w:line="360" w:lineRule="auto"/>
        <w:ind w:firstLine="480"/>
        <w:rPr>
          <w:color w:val="auto"/>
          <w:highlight w:val="none"/>
        </w:rPr>
      </w:pPr>
      <w:r>
        <w:rPr>
          <w:rFonts w:hint="eastAsia"/>
          <w:color w:val="auto"/>
          <w:highlight w:val="none"/>
        </w:rPr>
        <w:t>承包人提出的合理化建议缩短了工期，发包人按第 11.6 款的规定给予奖励。承包人提出的合理化建议降低了合同价格或者提高了工程经济效益的，发包人按</w:t>
      </w:r>
    </w:p>
    <w:p w14:paraId="284350BA">
      <w:pPr>
        <w:spacing w:line="360" w:lineRule="auto"/>
        <w:ind w:firstLine="480"/>
        <w:rPr>
          <w:color w:val="auto"/>
          <w:highlight w:val="none"/>
        </w:rPr>
      </w:pPr>
      <w:r>
        <w:rPr>
          <w:rFonts w:hint="eastAsia"/>
          <w:color w:val="auto"/>
          <w:highlight w:val="none"/>
        </w:rPr>
        <w:t>项目专用合同条款数据表中规定的金额给予奖励。</w:t>
      </w:r>
    </w:p>
    <w:p w14:paraId="09A0E903">
      <w:pPr>
        <w:keepNext/>
        <w:keepLines/>
        <w:spacing w:line="360" w:lineRule="auto"/>
        <w:outlineLvl w:val="3"/>
        <w:rPr>
          <w:rFonts w:ascii="Arial" w:hAnsi="Arial"/>
          <w:b/>
          <w:bCs/>
          <w:color w:val="auto"/>
          <w:sz w:val="28"/>
          <w:szCs w:val="28"/>
          <w:highlight w:val="none"/>
        </w:rPr>
      </w:pPr>
      <w:r>
        <w:rPr>
          <w:rFonts w:hint="eastAsia" w:ascii="Arial" w:hAnsi="Arial"/>
          <w:b/>
          <w:bCs/>
          <w:color w:val="auto"/>
          <w:sz w:val="28"/>
          <w:szCs w:val="28"/>
          <w:highlight w:val="none"/>
        </w:rPr>
        <w:t>15.6暂列金额</w:t>
      </w:r>
    </w:p>
    <w:p w14:paraId="34DE2F70">
      <w:pPr>
        <w:spacing w:line="360" w:lineRule="auto"/>
        <w:ind w:firstLine="480"/>
        <w:rPr>
          <w:color w:val="auto"/>
          <w:highlight w:val="none"/>
        </w:rPr>
      </w:pPr>
      <w:r>
        <w:rPr>
          <w:rFonts w:hint="eastAsia"/>
          <w:color w:val="auto"/>
          <w:highlight w:val="none"/>
        </w:rPr>
        <w:t>本款细化为：</w:t>
      </w:r>
    </w:p>
    <w:p w14:paraId="63EBCD5F">
      <w:pPr>
        <w:spacing w:line="360" w:lineRule="auto"/>
        <w:ind w:firstLine="480"/>
        <w:rPr>
          <w:color w:val="auto"/>
          <w:highlight w:val="none"/>
        </w:rPr>
      </w:pPr>
      <w:r>
        <w:rPr>
          <w:rFonts w:hint="eastAsia"/>
          <w:color w:val="auto"/>
          <w:highlight w:val="none"/>
        </w:rPr>
        <w:t>15.6.1暂列金额应由监理人报发包人批准后指令全部或部分地使用，或者根本不予动用。</w:t>
      </w:r>
    </w:p>
    <w:p w14:paraId="5B289EB6">
      <w:pPr>
        <w:spacing w:line="360" w:lineRule="auto"/>
        <w:ind w:firstLine="480"/>
        <w:rPr>
          <w:color w:val="auto"/>
          <w:highlight w:val="none"/>
        </w:rPr>
      </w:pPr>
      <w:r>
        <w:rPr>
          <w:rFonts w:hint="eastAsia"/>
          <w:color w:val="auto"/>
          <w:highlight w:val="none"/>
        </w:rPr>
        <w:t>15.6.2对于经发包人批准的每一笔暂列金额，监理人有权向承包人发出实施工程或提供材料、工程设备或服务的指令。这些指令应由承包人完成，监理人应根据第15.4 款约定的变更估价原则和第 15.7 款的规定，对合同价格进行相应调整。</w:t>
      </w:r>
    </w:p>
    <w:p w14:paraId="460F00BF">
      <w:pPr>
        <w:spacing w:line="360" w:lineRule="auto"/>
        <w:ind w:firstLine="480"/>
        <w:rPr>
          <w:color w:val="auto"/>
          <w:highlight w:val="none"/>
        </w:rPr>
      </w:pPr>
      <w:r>
        <w:rPr>
          <w:rFonts w:hint="eastAsia"/>
          <w:color w:val="auto"/>
          <w:highlight w:val="none"/>
        </w:rPr>
        <w:t>15.6.3当监理人提出要求时，承包人应提供有关暂列金额支出的所有报价单、发票、凭证和账单或收据，除非该工作是根据已标价工程量清单列明的单价或总额价进行的估价。</w:t>
      </w:r>
    </w:p>
    <w:p w14:paraId="3022A252">
      <w:pPr>
        <w:keepNext/>
        <w:keepLines/>
        <w:spacing w:line="360" w:lineRule="auto"/>
        <w:outlineLvl w:val="2"/>
        <w:rPr>
          <w:b/>
          <w:bCs/>
          <w:color w:val="auto"/>
          <w:sz w:val="32"/>
          <w:szCs w:val="32"/>
          <w:highlight w:val="none"/>
        </w:rPr>
      </w:pPr>
      <w:r>
        <w:rPr>
          <w:rFonts w:hint="eastAsia"/>
          <w:b/>
          <w:bCs/>
          <w:color w:val="auto"/>
          <w:sz w:val="32"/>
          <w:szCs w:val="32"/>
          <w:highlight w:val="none"/>
        </w:rPr>
        <w:t>16.价格调整：固定单价合同，合同期内不调价。</w:t>
      </w:r>
    </w:p>
    <w:p w14:paraId="40B32701">
      <w:pPr>
        <w:keepNext/>
        <w:keepLines/>
        <w:spacing w:line="360" w:lineRule="auto"/>
        <w:outlineLvl w:val="3"/>
        <w:rPr>
          <w:rFonts w:ascii="Arial" w:hAnsi="Arial"/>
          <w:b/>
          <w:bCs/>
          <w:color w:val="auto"/>
          <w:sz w:val="28"/>
          <w:szCs w:val="28"/>
          <w:highlight w:val="none"/>
        </w:rPr>
      </w:pPr>
      <w:r>
        <w:rPr>
          <w:rFonts w:hint="eastAsia" w:ascii="Arial" w:hAnsi="Arial"/>
          <w:b/>
          <w:bCs/>
          <w:color w:val="auto"/>
          <w:sz w:val="28"/>
          <w:szCs w:val="28"/>
          <w:highlight w:val="none"/>
        </w:rPr>
        <w:t>16.1物价波动引起的价格调整</w:t>
      </w:r>
    </w:p>
    <w:p w14:paraId="1D11CD35">
      <w:pPr>
        <w:spacing w:line="360" w:lineRule="auto"/>
        <w:ind w:firstLine="480"/>
        <w:rPr>
          <w:color w:val="auto"/>
          <w:highlight w:val="none"/>
        </w:rPr>
      </w:pPr>
      <w:r>
        <w:rPr>
          <w:rFonts w:hint="eastAsia"/>
          <w:color w:val="auto"/>
          <w:highlight w:val="none"/>
        </w:rPr>
        <w:t>本款约定为：</w:t>
      </w:r>
    </w:p>
    <w:p w14:paraId="3389D639">
      <w:pPr>
        <w:spacing w:line="360" w:lineRule="auto"/>
        <w:ind w:firstLine="480"/>
        <w:rPr>
          <w:color w:val="auto"/>
          <w:highlight w:val="none"/>
        </w:rPr>
      </w:pPr>
      <w:r>
        <w:rPr>
          <w:rFonts w:hint="eastAsia"/>
          <w:color w:val="auto"/>
          <w:highlight w:val="none"/>
        </w:rPr>
        <w:t>（1）除项目专用合同条款另有约定外，因物价波动引起的价格调整应按项目专用合同条款数据表的规定，按照第 16.1.1 项或第 16.1.2 项约定的原则处理；</w:t>
      </w:r>
    </w:p>
    <w:p w14:paraId="5E2968E5">
      <w:pPr>
        <w:spacing w:line="360" w:lineRule="auto"/>
        <w:ind w:firstLine="480"/>
        <w:rPr>
          <w:color w:val="auto"/>
          <w:highlight w:val="none"/>
        </w:rPr>
      </w:pPr>
      <w:r>
        <w:rPr>
          <w:rFonts w:hint="eastAsia"/>
          <w:color w:val="auto"/>
          <w:highlight w:val="none"/>
        </w:rPr>
        <w:t>（2）在合同执行期间（包括工期拖延期间）由于人工、材料和设备价格的上涨而引起工程施工成本增加的风险由承包人自行承担，合同价格不会因此而调整。</w:t>
      </w:r>
    </w:p>
    <w:p w14:paraId="05893348">
      <w:pPr>
        <w:keepNext/>
        <w:keepLines/>
        <w:spacing w:line="360" w:lineRule="auto"/>
        <w:ind w:firstLine="482"/>
        <w:outlineLvl w:val="4"/>
        <w:rPr>
          <w:b/>
          <w:bCs/>
          <w:color w:val="auto"/>
          <w:sz w:val="28"/>
          <w:szCs w:val="28"/>
          <w:highlight w:val="none"/>
        </w:rPr>
      </w:pPr>
      <w:r>
        <w:rPr>
          <w:rFonts w:hint="eastAsia"/>
          <w:b/>
          <w:bCs/>
          <w:color w:val="auto"/>
          <w:sz w:val="28"/>
          <w:szCs w:val="28"/>
          <w:highlight w:val="none"/>
        </w:rPr>
        <w:t>16.1.1采用价格指数调整价格差额</w:t>
      </w:r>
    </w:p>
    <w:p w14:paraId="20B4D757">
      <w:pPr>
        <w:spacing w:line="360" w:lineRule="auto"/>
        <w:ind w:firstLine="480"/>
        <w:rPr>
          <w:color w:val="auto"/>
          <w:highlight w:val="none"/>
        </w:rPr>
      </w:pPr>
      <w:r>
        <w:rPr>
          <w:rFonts w:hint="eastAsia"/>
          <w:color w:val="auto"/>
          <w:highlight w:val="none"/>
        </w:rPr>
        <w:t>16.1.1.1价格调整公式</w:t>
      </w:r>
    </w:p>
    <w:p w14:paraId="766745EE">
      <w:pPr>
        <w:spacing w:line="360" w:lineRule="auto"/>
        <w:ind w:firstLine="480"/>
        <w:rPr>
          <w:color w:val="auto"/>
          <w:highlight w:val="none"/>
        </w:rPr>
      </w:pPr>
      <w:r>
        <w:rPr>
          <w:rFonts w:hint="eastAsia"/>
          <w:color w:val="auto"/>
          <w:highlight w:val="none"/>
        </w:rPr>
        <w:t>价格调整公式后增加备注如下：</w:t>
      </w:r>
    </w:p>
    <w:p w14:paraId="67CF29F2">
      <w:pPr>
        <w:spacing w:line="360" w:lineRule="auto"/>
        <w:ind w:firstLine="480"/>
        <w:rPr>
          <w:color w:val="auto"/>
          <w:highlight w:val="none"/>
        </w:rPr>
      </w:pPr>
      <w:r>
        <w:rPr>
          <w:rFonts w:hint="eastAsia"/>
          <w:color w:val="auto"/>
          <w:highlight w:val="none"/>
        </w:rPr>
        <w:t>式中，</w:t>
      </w:r>
      <w:r>
        <w:rPr>
          <w:rFonts w:hint="eastAsia"/>
          <w:b/>
          <w:bCs/>
          <w:color w:val="auto"/>
          <w:sz w:val="30"/>
          <w:szCs w:val="30"/>
          <w:highlight w:val="none"/>
        </w:rPr>
        <w:t>A=1－（B1＋B2＋B3＋……＋Bn）</w:t>
      </w:r>
      <w:r>
        <w:rPr>
          <w:rFonts w:hint="eastAsia"/>
          <w:color w:val="auto"/>
          <w:highlight w:val="none"/>
        </w:rPr>
        <w:t>。</w:t>
      </w:r>
    </w:p>
    <w:p w14:paraId="5CAB852F">
      <w:pPr>
        <w:spacing w:line="360" w:lineRule="auto"/>
        <w:ind w:firstLine="480"/>
        <w:rPr>
          <w:color w:val="auto"/>
          <w:highlight w:val="none"/>
        </w:rPr>
      </w:pPr>
      <w:r>
        <w:rPr>
          <w:rFonts w:hint="eastAsia"/>
          <w:color w:val="auto"/>
          <w:highlight w:val="none"/>
        </w:rPr>
        <w:t>本目最后一段文字细化为：</w:t>
      </w:r>
    </w:p>
    <w:p w14:paraId="6C339DCA">
      <w:pPr>
        <w:spacing w:line="360" w:lineRule="auto"/>
        <w:ind w:firstLine="480"/>
        <w:rPr>
          <w:color w:val="auto"/>
          <w:highlight w:val="none"/>
        </w:rPr>
      </w:pPr>
      <w:r>
        <w:rPr>
          <w:rFonts w:hint="eastAsia"/>
          <w:color w:val="auto"/>
          <w:highlight w:val="none"/>
        </w:rPr>
        <w:t>在采用价格调整公式进行调价时，还应遵守以下规定：</w:t>
      </w:r>
    </w:p>
    <w:p w14:paraId="1860F5BF">
      <w:pPr>
        <w:spacing w:line="360" w:lineRule="auto"/>
        <w:ind w:firstLine="480"/>
        <w:rPr>
          <w:color w:val="auto"/>
          <w:highlight w:val="none"/>
        </w:rPr>
      </w:pPr>
      <w:r>
        <w:rPr>
          <w:rFonts w:hint="eastAsia"/>
          <w:color w:val="auto"/>
          <w:highlight w:val="none"/>
        </w:rPr>
        <w:t>（1）以上价格调整公式中的各可调因子、定值权重，以及基本价格指数及其来源由发包人在投标函附录价格指数和权重表中约定。价格指数应首先采用国家或省、自治区、直辖市价格部门或统计部门提供的价格指数，缺乏上述价格指数时，可采用上述部门提供的价格代替。</w:t>
      </w:r>
    </w:p>
    <w:p w14:paraId="73E46140">
      <w:pPr>
        <w:spacing w:line="360" w:lineRule="auto"/>
        <w:ind w:firstLine="480"/>
        <w:rPr>
          <w:color w:val="auto"/>
          <w:highlight w:val="none"/>
        </w:rPr>
      </w:pPr>
      <w:r>
        <w:rPr>
          <w:rFonts w:hint="eastAsia"/>
          <w:color w:val="auto"/>
          <w:highlight w:val="none"/>
        </w:rPr>
        <w:t>（2）价格调整公式中的变值权重，由发包人根据项目实际情况测算确定范围， 并在投标函附录价格指数和权重表中约定范围；承包人在投标时在此范围内填写各可调因子的权重，合同实施期间将按此权重进行调价。</w:t>
      </w:r>
    </w:p>
    <w:p w14:paraId="14872A54">
      <w:pPr>
        <w:keepNext/>
        <w:keepLines/>
        <w:spacing w:line="360" w:lineRule="auto"/>
        <w:outlineLvl w:val="2"/>
        <w:rPr>
          <w:b/>
          <w:bCs/>
          <w:color w:val="auto"/>
          <w:sz w:val="32"/>
          <w:szCs w:val="32"/>
          <w:highlight w:val="none"/>
        </w:rPr>
      </w:pPr>
      <w:r>
        <w:rPr>
          <w:rFonts w:hint="eastAsia"/>
          <w:b/>
          <w:bCs/>
          <w:color w:val="auto"/>
          <w:sz w:val="32"/>
          <w:szCs w:val="32"/>
          <w:highlight w:val="none"/>
        </w:rPr>
        <w:t>17.计量与支付</w:t>
      </w:r>
    </w:p>
    <w:p w14:paraId="155D048D">
      <w:pPr>
        <w:keepNext/>
        <w:keepLines/>
        <w:spacing w:line="360" w:lineRule="auto"/>
        <w:outlineLvl w:val="3"/>
        <w:rPr>
          <w:rFonts w:ascii="Arial" w:hAnsi="Arial"/>
          <w:b/>
          <w:bCs/>
          <w:color w:val="auto"/>
          <w:sz w:val="28"/>
          <w:szCs w:val="28"/>
          <w:highlight w:val="none"/>
        </w:rPr>
      </w:pPr>
      <w:r>
        <w:rPr>
          <w:rFonts w:hint="eastAsia" w:ascii="Arial" w:hAnsi="Arial"/>
          <w:b/>
          <w:bCs/>
          <w:color w:val="auto"/>
          <w:sz w:val="28"/>
          <w:szCs w:val="28"/>
          <w:highlight w:val="none"/>
        </w:rPr>
        <w:t>17.1计量</w:t>
      </w:r>
    </w:p>
    <w:p w14:paraId="0B4E56F7">
      <w:pPr>
        <w:keepNext/>
        <w:keepLines/>
        <w:spacing w:line="360" w:lineRule="auto"/>
        <w:ind w:firstLine="482"/>
        <w:outlineLvl w:val="4"/>
        <w:rPr>
          <w:b/>
          <w:bCs/>
          <w:color w:val="auto"/>
          <w:sz w:val="28"/>
          <w:szCs w:val="28"/>
          <w:highlight w:val="none"/>
        </w:rPr>
      </w:pPr>
      <w:r>
        <w:rPr>
          <w:rFonts w:hint="eastAsia"/>
          <w:b/>
          <w:bCs/>
          <w:color w:val="auto"/>
          <w:sz w:val="28"/>
          <w:szCs w:val="28"/>
          <w:highlight w:val="none"/>
        </w:rPr>
        <w:t>17.1.2 计量方法</w:t>
      </w:r>
    </w:p>
    <w:p w14:paraId="0712B331">
      <w:pPr>
        <w:spacing w:line="360" w:lineRule="auto"/>
        <w:ind w:firstLine="480"/>
        <w:rPr>
          <w:color w:val="auto"/>
          <w:highlight w:val="none"/>
        </w:rPr>
      </w:pPr>
      <w:r>
        <w:rPr>
          <w:rFonts w:hint="eastAsia"/>
          <w:color w:val="auto"/>
          <w:highlight w:val="none"/>
        </w:rPr>
        <w:t>本项约定为：</w:t>
      </w:r>
    </w:p>
    <w:p w14:paraId="5D4270B2">
      <w:pPr>
        <w:spacing w:line="360" w:lineRule="auto"/>
        <w:ind w:firstLine="480"/>
        <w:rPr>
          <w:color w:val="auto"/>
          <w:highlight w:val="none"/>
        </w:rPr>
      </w:pPr>
      <w:r>
        <w:rPr>
          <w:rFonts w:hint="eastAsia"/>
          <w:color w:val="auto"/>
          <w:highlight w:val="none"/>
        </w:rPr>
        <w:t>工程的计量应以净值为准，除非项目专用合同条款另有约定。工程量清单中各个子目的具体计量方法按本合同文件工程量清单计量规则中的规定执行。</w:t>
      </w:r>
    </w:p>
    <w:p w14:paraId="4CDA7004">
      <w:pPr>
        <w:keepNext/>
        <w:keepLines/>
        <w:spacing w:line="360" w:lineRule="auto"/>
        <w:ind w:firstLine="482"/>
        <w:outlineLvl w:val="4"/>
        <w:rPr>
          <w:b/>
          <w:bCs/>
          <w:color w:val="auto"/>
          <w:sz w:val="28"/>
          <w:szCs w:val="28"/>
          <w:highlight w:val="none"/>
        </w:rPr>
      </w:pPr>
      <w:r>
        <w:rPr>
          <w:rFonts w:hint="eastAsia"/>
          <w:b/>
          <w:bCs/>
          <w:color w:val="auto"/>
          <w:sz w:val="28"/>
          <w:szCs w:val="28"/>
          <w:highlight w:val="none"/>
        </w:rPr>
        <w:t>17.1.4单价子目的计量</w:t>
      </w:r>
    </w:p>
    <w:p w14:paraId="2EEB0FE3">
      <w:pPr>
        <w:spacing w:line="360" w:lineRule="auto"/>
        <w:ind w:firstLine="480"/>
        <w:rPr>
          <w:color w:val="auto"/>
          <w:highlight w:val="none"/>
        </w:rPr>
      </w:pPr>
      <w:r>
        <w:rPr>
          <w:rFonts w:hint="eastAsia"/>
          <w:color w:val="auto"/>
          <w:highlight w:val="none"/>
        </w:rPr>
        <w:t>本项补充：</w:t>
      </w:r>
    </w:p>
    <w:p w14:paraId="3E53B169">
      <w:pPr>
        <w:spacing w:line="360" w:lineRule="auto"/>
        <w:ind w:firstLine="480"/>
        <w:rPr>
          <w:color w:val="auto"/>
          <w:highlight w:val="none"/>
        </w:rPr>
      </w:pPr>
      <w:r>
        <w:rPr>
          <w:rFonts w:hint="eastAsia"/>
          <w:color w:val="auto"/>
          <w:highlight w:val="none"/>
        </w:rPr>
        <w:t>（7）承包人未在已标价工程量清单中填入单价或总额价的工程子目，将被认为其已包含在本合同的其他子目的单价和总额价中，发包人将不另行支付。</w:t>
      </w:r>
    </w:p>
    <w:p w14:paraId="1DDB4AF3">
      <w:pPr>
        <w:keepNext/>
        <w:keepLines/>
        <w:spacing w:line="360" w:lineRule="auto"/>
        <w:ind w:firstLine="482"/>
        <w:outlineLvl w:val="4"/>
        <w:rPr>
          <w:b/>
          <w:bCs/>
          <w:color w:val="auto"/>
          <w:sz w:val="28"/>
          <w:szCs w:val="28"/>
          <w:highlight w:val="none"/>
        </w:rPr>
      </w:pPr>
      <w:r>
        <w:rPr>
          <w:rFonts w:hint="eastAsia"/>
          <w:b/>
          <w:bCs/>
          <w:color w:val="auto"/>
          <w:sz w:val="28"/>
          <w:szCs w:val="28"/>
          <w:highlight w:val="none"/>
        </w:rPr>
        <w:t>17.1.5总价子目的计量</w:t>
      </w:r>
    </w:p>
    <w:p w14:paraId="4B55614E">
      <w:pPr>
        <w:spacing w:line="360" w:lineRule="auto"/>
        <w:ind w:firstLine="480"/>
        <w:rPr>
          <w:color w:val="auto"/>
          <w:highlight w:val="none"/>
        </w:rPr>
      </w:pPr>
      <w:r>
        <w:rPr>
          <w:rFonts w:hint="eastAsia"/>
          <w:color w:val="auto"/>
          <w:highlight w:val="none"/>
        </w:rPr>
        <w:t>本项补充：</w:t>
      </w:r>
    </w:p>
    <w:p w14:paraId="21EDDF5C">
      <w:pPr>
        <w:spacing w:line="360" w:lineRule="auto"/>
        <w:ind w:firstLine="480"/>
        <w:rPr>
          <w:color w:val="auto"/>
          <w:highlight w:val="none"/>
        </w:rPr>
      </w:pPr>
      <w:r>
        <w:rPr>
          <w:rFonts w:hint="eastAsia"/>
          <w:color w:val="auto"/>
          <w:highlight w:val="none"/>
        </w:rPr>
        <w:t>本项目工程量清单中要求承包人以“总额”方式报价的子目，各子目的支付原则和支付进度按项目专用合同条款的规定执行。</w:t>
      </w:r>
    </w:p>
    <w:p w14:paraId="03892C18">
      <w:pPr>
        <w:keepNext/>
        <w:keepLines/>
        <w:spacing w:line="360" w:lineRule="auto"/>
        <w:outlineLvl w:val="3"/>
        <w:rPr>
          <w:rFonts w:ascii="Arial" w:hAnsi="Arial"/>
          <w:b/>
          <w:bCs/>
          <w:color w:val="auto"/>
          <w:sz w:val="28"/>
          <w:szCs w:val="28"/>
          <w:highlight w:val="none"/>
        </w:rPr>
      </w:pPr>
      <w:r>
        <w:rPr>
          <w:rFonts w:hint="eastAsia" w:ascii="Arial" w:hAnsi="Arial"/>
          <w:b/>
          <w:bCs/>
          <w:color w:val="auto"/>
          <w:sz w:val="28"/>
          <w:szCs w:val="28"/>
          <w:highlight w:val="none"/>
        </w:rPr>
        <w:t>17.2预付款</w:t>
      </w:r>
    </w:p>
    <w:p w14:paraId="50496736">
      <w:pPr>
        <w:keepNext/>
        <w:keepLines/>
        <w:spacing w:line="360" w:lineRule="auto"/>
        <w:ind w:firstLine="482"/>
        <w:outlineLvl w:val="4"/>
        <w:rPr>
          <w:b/>
          <w:bCs/>
          <w:color w:val="auto"/>
          <w:sz w:val="28"/>
          <w:szCs w:val="28"/>
          <w:highlight w:val="none"/>
        </w:rPr>
      </w:pPr>
      <w:r>
        <w:rPr>
          <w:rFonts w:hint="eastAsia"/>
          <w:b/>
          <w:bCs/>
          <w:color w:val="auto"/>
          <w:sz w:val="28"/>
          <w:szCs w:val="28"/>
          <w:highlight w:val="none"/>
        </w:rPr>
        <w:t>17.2.1预付款</w:t>
      </w:r>
    </w:p>
    <w:p w14:paraId="51F60865">
      <w:pPr>
        <w:spacing w:line="360" w:lineRule="auto"/>
        <w:ind w:firstLine="480"/>
        <w:rPr>
          <w:color w:val="auto"/>
          <w:highlight w:val="none"/>
        </w:rPr>
      </w:pPr>
      <w:r>
        <w:rPr>
          <w:rFonts w:hint="eastAsia"/>
          <w:color w:val="auto"/>
          <w:highlight w:val="none"/>
        </w:rPr>
        <w:t>本项约定为：</w:t>
      </w:r>
      <w:r>
        <w:rPr>
          <w:color w:val="auto"/>
          <w:highlight w:val="none"/>
        </w:rPr>
        <w:t>合同总额的10%</w:t>
      </w:r>
      <w:r>
        <w:rPr>
          <w:rFonts w:hint="eastAsia"/>
          <w:color w:val="auto"/>
          <w:highlight w:val="none"/>
        </w:rPr>
        <w:t>。</w:t>
      </w:r>
    </w:p>
    <w:p w14:paraId="613AC6D5">
      <w:pPr>
        <w:keepNext/>
        <w:keepLines/>
        <w:spacing w:line="360" w:lineRule="auto"/>
        <w:outlineLvl w:val="3"/>
        <w:rPr>
          <w:rFonts w:ascii="Arial" w:hAnsi="Arial"/>
          <w:b/>
          <w:bCs/>
          <w:color w:val="auto"/>
          <w:sz w:val="28"/>
          <w:szCs w:val="28"/>
          <w:highlight w:val="none"/>
        </w:rPr>
      </w:pPr>
      <w:r>
        <w:rPr>
          <w:rFonts w:hint="eastAsia" w:ascii="Arial" w:hAnsi="Arial"/>
          <w:b/>
          <w:bCs/>
          <w:color w:val="auto"/>
          <w:sz w:val="28"/>
          <w:szCs w:val="28"/>
          <w:highlight w:val="none"/>
        </w:rPr>
        <w:t>17.3工程进度付款</w:t>
      </w:r>
    </w:p>
    <w:p w14:paraId="4CA6B55F">
      <w:pPr>
        <w:keepNext/>
        <w:keepLines/>
        <w:spacing w:line="360" w:lineRule="auto"/>
        <w:ind w:firstLine="482"/>
        <w:outlineLvl w:val="4"/>
        <w:rPr>
          <w:b/>
          <w:bCs/>
          <w:color w:val="auto"/>
          <w:sz w:val="28"/>
          <w:szCs w:val="28"/>
          <w:highlight w:val="none"/>
        </w:rPr>
      </w:pPr>
      <w:r>
        <w:rPr>
          <w:rFonts w:hint="eastAsia"/>
          <w:b/>
          <w:bCs/>
          <w:color w:val="auto"/>
          <w:sz w:val="28"/>
          <w:szCs w:val="28"/>
          <w:highlight w:val="none"/>
        </w:rPr>
        <w:t>17.3.3 进度付款证书和支付时间</w:t>
      </w:r>
    </w:p>
    <w:p w14:paraId="03CE16BF">
      <w:pPr>
        <w:spacing w:line="360" w:lineRule="auto"/>
        <w:ind w:firstLine="480"/>
        <w:rPr>
          <w:color w:val="auto"/>
          <w:highlight w:val="none"/>
        </w:rPr>
      </w:pPr>
      <w:r>
        <w:rPr>
          <w:rFonts w:hint="eastAsia"/>
          <w:color w:val="auto"/>
          <w:highlight w:val="none"/>
        </w:rPr>
        <w:t>本项（1）目补充：</w:t>
      </w:r>
    </w:p>
    <w:p w14:paraId="3365C95A">
      <w:pPr>
        <w:spacing w:line="360" w:lineRule="auto"/>
        <w:ind w:firstLine="480"/>
        <w:rPr>
          <w:color w:val="auto"/>
          <w:highlight w:val="none"/>
        </w:rPr>
      </w:pPr>
      <w:r>
        <w:rPr>
          <w:rFonts w:hint="eastAsia"/>
          <w:color w:val="auto"/>
          <w:highlight w:val="none"/>
        </w:rPr>
        <w:t>如果该付款周期应结算的价款经扣留和扣回后的款额少于项目专用合同条款数据表中列明的进度付款证书的最低金额，则该付款周期监理人可不核证支付，上述款额将按付款周期结转，直至累计应支付的款额达到项目专用合同条款数据表中列明的进度付款证书的最低金额为止。</w:t>
      </w:r>
    </w:p>
    <w:p w14:paraId="4A78A87E">
      <w:pPr>
        <w:spacing w:line="360" w:lineRule="auto"/>
        <w:ind w:firstLine="480"/>
        <w:rPr>
          <w:color w:val="auto"/>
          <w:highlight w:val="none"/>
        </w:rPr>
      </w:pPr>
      <w:r>
        <w:rPr>
          <w:rFonts w:hint="eastAsia"/>
          <w:color w:val="auto"/>
          <w:highlight w:val="none"/>
        </w:rPr>
        <w:t>本项（2）目细化为：</w:t>
      </w:r>
    </w:p>
    <w:p w14:paraId="7368622C">
      <w:pPr>
        <w:spacing w:line="360" w:lineRule="auto"/>
        <w:ind w:firstLine="480"/>
        <w:rPr>
          <w:color w:val="auto"/>
          <w:highlight w:val="none"/>
        </w:rPr>
      </w:pPr>
      <w:r>
        <w:rPr>
          <w:rFonts w:hint="eastAsia"/>
          <w:color w:val="auto"/>
          <w:highlight w:val="none"/>
        </w:rPr>
        <w:t>发包人应在监理人收到进度付款申请单且承包人提交了合格的发票后的 28 天内，将进度应付款支付给承包人。</w:t>
      </w:r>
    </w:p>
    <w:p w14:paraId="5E0C4F6F">
      <w:pPr>
        <w:spacing w:line="360" w:lineRule="auto"/>
        <w:ind w:firstLine="480"/>
        <w:rPr>
          <w:color w:val="auto"/>
          <w:highlight w:val="none"/>
        </w:rPr>
      </w:pPr>
      <w:r>
        <w:rPr>
          <w:rFonts w:hint="eastAsia"/>
          <w:color w:val="auto"/>
          <w:highlight w:val="none"/>
        </w:rPr>
        <w:t>发包人不按期支付的，按项目专用合同条款数据表中约定的利率向承包人支付逾期付款违约金。违约金计算基数为发包人的全部未付款额，时间从应付而未付该款额之日算起（不计复利）。</w:t>
      </w:r>
    </w:p>
    <w:p w14:paraId="3B052758">
      <w:pPr>
        <w:spacing w:line="360" w:lineRule="auto"/>
        <w:ind w:firstLine="480"/>
        <w:rPr>
          <w:color w:val="auto"/>
          <w:highlight w:val="none"/>
        </w:rPr>
      </w:pPr>
      <w:r>
        <w:rPr>
          <w:rFonts w:hint="eastAsia"/>
          <w:color w:val="auto"/>
          <w:highlight w:val="none"/>
        </w:rPr>
        <w:t>本款补充第 17.3.5 项：</w:t>
      </w:r>
    </w:p>
    <w:p w14:paraId="0B29022F">
      <w:pPr>
        <w:keepNext/>
        <w:keepLines/>
        <w:spacing w:line="360" w:lineRule="auto"/>
        <w:ind w:firstLine="482"/>
        <w:outlineLvl w:val="4"/>
        <w:rPr>
          <w:b/>
          <w:bCs/>
          <w:color w:val="auto"/>
          <w:sz w:val="28"/>
          <w:szCs w:val="28"/>
          <w:highlight w:val="none"/>
        </w:rPr>
      </w:pPr>
      <w:r>
        <w:rPr>
          <w:rFonts w:hint="eastAsia"/>
          <w:b/>
          <w:bCs/>
          <w:color w:val="auto"/>
          <w:sz w:val="28"/>
          <w:szCs w:val="28"/>
          <w:highlight w:val="none"/>
        </w:rPr>
        <w:t>17.3.5 农民工工资保证金</w:t>
      </w:r>
    </w:p>
    <w:p w14:paraId="53FDEF5D">
      <w:pPr>
        <w:spacing w:line="360" w:lineRule="auto"/>
        <w:ind w:firstLine="480"/>
        <w:rPr>
          <w:color w:val="auto"/>
          <w:highlight w:val="none"/>
        </w:rPr>
      </w:pPr>
      <w:r>
        <w:rPr>
          <w:rFonts w:hint="eastAsia"/>
          <w:color w:val="auto"/>
          <w:highlight w:val="none"/>
        </w:rPr>
        <w:t>（1）为确保施工过程中农民工工资实时、足额发放到位，承包人应按照项目专用合同条款约定的时间和金额缴存农民工工资保证金。</w:t>
      </w:r>
    </w:p>
    <w:p w14:paraId="737AE77A">
      <w:pPr>
        <w:spacing w:line="360" w:lineRule="auto"/>
        <w:ind w:firstLine="480"/>
        <w:rPr>
          <w:color w:val="auto"/>
          <w:highlight w:val="none"/>
        </w:rPr>
      </w:pPr>
      <w:r>
        <w:rPr>
          <w:rFonts w:hint="eastAsia"/>
          <w:color w:val="auto"/>
          <w:highlight w:val="none"/>
        </w:rPr>
        <w:t>（2）农民工工资保证金可采用银行保函或现金、支票形式。采用银行保函时， 出具保函的银行须具有相应担保能力，且按照发包人批准的格式出具，所需费用由承包人承担。</w:t>
      </w:r>
    </w:p>
    <w:p w14:paraId="05DD0D3F">
      <w:pPr>
        <w:spacing w:line="360" w:lineRule="auto"/>
        <w:ind w:firstLine="480"/>
        <w:rPr>
          <w:color w:val="auto"/>
          <w:highlight w:val="none"/>
        </w:rPr>
      </w:pPr>
      <w:r>
        <w:rPr>
          <w:rFonts w:hint="eastAsia"/>
          <w:color w:val="auto"/>
          <w:highlight w:val="none"/>
        </w:rPr>
        <w:t>（3）农民工工资保证金的扣留条件、返还时间按照项目专用合同条款的约定执行。</w:t>
      </w:r>
    </w:p>
    <w:p w14:paraId="142BF84F">
      <w:pPr>
        <w:keepNext/>
        <w:keepLines/>
        <w:spacing w:line="360" w:lineRule="auto"/>
        <w:outlineLvl w:val="3"/>
        <w:rPr>
          <w:rFonts w:ascii="Arial" w:hAnsi="Arial"/>
          <w:b/>
          <w:bCs/>
          <w:color w:val="auto"/>
          <w:sz w:val="28"/>
          <w:szCs w:val="28"/>
          <w:highlight w:val="none"/>
        </w:rPr>
      </w:pPr>
      <w:r>
        <w:rPr>
          <w:rFonts w:hint="eastAsia" w:ascii="Arial" w:hAnsi="Arial"/>
          <w:b/>
          <w:bCs/>
          <w:color w:val="auto"/>
          <w:sz w:val="28"/>
          <w:szCs w:val="28"/>
          <w:highlight w:val="none"/>
        </w:rPr>
        <w:t>17.4质量保证金</w:t>
      </w:r>
    </w:p>
    <w:p w14:paraId="1AC52D11">
      <w:pPr>
        <w:keepNext/>
        <w:keepLines/>
        <w:spacing w:line="360" w:lineRule="auto"/>
        <w:ind w:firstLine="482"/>
        <w:outlineLvl w:val="4"/>
        <w:rPr>
          <w:b/>
          <w:bCs/>
          <w:color w:val="auto"/>
          <w:sz w:val="28"/>
          <w:szCs w:val="28"/>
          <w:highlight w:val="none"/>
        </w:rPr>
      </w:pPr>
      <w:r>
        <w:rPr>
          <w:rFonts w:hint="eastAsia"/>
          <w:b/>
          <w:bCs/>
          <w:color w:val="auto"/>
          <w:sz w:val="28"/>
          <w:szCs w:val="28"/>
          <w:highlight w:val="none"/>
        </w:rPr>
        <w:t>第 17.4.1 项、第 17.4.2 项细化为：</w:t>
      </w:r>
    </w:p>
    <w:p w14:paraId="48B9B9BD">
      <w:pPr>
        <w:spacing w:line="360" w:lineRule="auto"/>
        <w:ind w:firstLine="480"/>
        <w:rPr>
          <w:color w:val="auto"/>
          <w:highlight w:val="none"/>
        </w:rPr>
      </w:pPr>
      <w:r>
        <w:rPr>
          <w:rFonts w:hint="eastAsia"/>
          <w:color w:val="auto"/>
          <w:highlight w:val="none"/>
        </w:rPr>
        <w:t>17.4.1交工验收证书签发后 14 天内，承包人应向发包人缴纳质量保证金。质量保证金可采用银行保函或现金、支票形式，金额应符合项目专用合同条款数据表的规定。采用银行保函时，出具保函的银行须具有相应担保能力，且按照发包人批准的格式出具，所需费用由承包人承担。</w:t>
      </w:r>
    </w:p>
    <w:p w14:paraId="17473445">
      <w:pPr>
        <w:spacing w:line="360" w:lineRule="auto"/>
        <w:ind w:firstLine="480"/>
        <w:rPr>
          <w:color w:val="auto"/>
          <w:highlight w:val="none"/>
        </w:rPr>
      </w:pPr>
      <w:r>
        <w:rPr>
          <w:rFonts w:hint="eastAsia"/>
          <w:color w:val="auto"/>
          <w:highlight w:val="none"/>
        </w:rPr>
        <w:t xml:space="preserve">质量保证金采用现金、支票形式提交的，发包人应在项目专用合同条款数据表中明确是否计付利息以及利息的计算方式。 </w:t>
      </w:r>
    </w:p>
    <w:p w14:paraId="5CB1D3D1">
      <w:pPr>
        <w:spacing w:line="360" w:lineRule="auto"/>
        <w:ind w:firstLine="480"/>
        <w:rPr>
          <w:color w:val="auto"/>
          <w:highlight w:val="none"/>
        </w:rPr>
      </w:pPr>
      <w:r>
        <w:rPr>
          <w:rFonts w:hint="eastAsia"/>
          <w:color w:val="auto"/>
          <w:highlight w:val="none"/>
        </w:rPr>
        <w:t>17.4.2在第 1.1.4.5 目约定的缺陷责任期满，且质量监督机构已按规定对工程质量检测鉴定合格，承包人向发包人申请到期应返还承包人剩余的质量保证金金额， 发包人应在 14 天内会同承包人按照合同约定的内容核实承包人是否完成缺陷责任。如无异议，发包人应当在核实后将剩余保证金返还承包人。</w:t>
      </w:r>
    </w:p>
    <w:p w14:paraId="7731EB02">
      <w:pPr>
        <w:keepNext/>
        <w:keepLines/>
        <w:spacing w:line="360" w:lineRule="auto"/>
        <w:outlineLvl w:val="3"/>
        <w:rPr>
          <w:rFonts w:ascii="Arial" w:hAnsi="Arial"/>
          <w:b/>
          <w:bCs/>
          <w:color w:val="auto"/>
          <w:sz w:val="28"/>
          <w:szCs w:val="28"/>
          <w:highlight w:val="none"/>
        </w:rPr>
      </w:pPr>
      <w:r>
        <w:rPr>
          <w:rFonts w:hint="eastAsia" w:ascii="Arial" w:hAnsi="Arial"/>
          <w:b/>
          <w:bCs/>
          <w:color w:val="auto"/>
          <w:sz w:val="28"/>
          <w:szCs w:val="28"/>
          <w:highlight w:val="none"/>
        </w:rPr>
        <w:t>17.5交工结算</w:t>
      </w:r>
    </w:p>
    <w:p w14:paraId="009476C7">
      <w:pPr>
        <w:keepNext/>
        <w:keepLines/>
        <w:spacing w:line="360" w:lineRule="auto"/>
        <w:ind w:firstLine="482"/>
        <w:outlineLvl w:val="4"/>
        <w:rPr>
          <w:b/>
          <w:bCs/>
          <w:color w:val="auto"/>
          <w:sz w:val="28"/>
          <w:szCs w:val="28"/>
          <w:highlight w:val="none"/>
        </w:rPr>
      </w:pPr>
      <w:r>
        <w:rPr>
          <w:rFonts w:hint="eastAsia"/>
          <w:b/>
          <w:bCs/>
          <w:color w:val="auto"/>
          <w:sz w:val="28"/>
          <w:szCs w:val="28"/>
          <w:highlight w:val="none"/>
        </w:rPr>
        <w:t>17.5.1交工付款申请单</w:t>
      </w:r>
    </w:p>
    <w:p w14:paraId="30854ABC">
      <w:pPr>
        <w:spacing w:line="360" w:lineRule="auto"/>
        <w:ind w:firstLine="480"/>
        <w:rPr>
          <w:color w:val="auto"/>
          <w:highlight w:val="none"/>
        </w:rPr>
      </w:pPr>
      <w:r>
        <w:rPr>
          <w:rFonts w:hint="eastAsia"/>
          <w:color w:val="auto"/>
          <w:highlight w:val="none"/>
        </w:rPr>
        <w:t>本项（1）目约定为：</w:t>
      </w:r>
    </w:p>
    <w:p w14:paraId="42E924DD">
      <w:pPr>
        <w:spacing w:line="360" w:lineRule="auto"/>
        <w:ind w:firstLine="480"/>
        <w:rPr>
          <w:color w:val="auto"/>
          <w:highlight w:val="none"/>
        </w:rPr>
      </w:pPr>
      <w:r>
        <w:rPr>
          <w:rFonts w:hint="eastAsia"/>
          <w:color w:val="auto"/>
          <w:highlight w:val="none"/>
        </w:rPr>
        <w:t>承包人向监理人提交交工付款申请单（包括相关证明材料）的份数在项目专用合同条款数据表中约定；期限：交工验收证书签发后 42 天内。</w:t>
      </w:r>
    </w:p>
    <w:p w14:paraId="3135D1BD">
      <w:pPr>
        <w:keepNext/>
        <w:keepLines/>
        <w:spacing w:line="360" w:lineRule="auto"/>
        <w:ind w:firstLine="482"/>
        <w:outlineLvl w:val="4"/>
        <w:rPr>
          <w:b/>
          <w:bCs/>
          <w:color w:val="auto"/>
          <w:sz w:val="28"/>
          <w:szCs w:val="28"/>
          <w:highlight w:val="none"/>
        </w:rPr>
      </w:pPr>
      <w:r>
        <w:rPr>
          <w:rFonts w:hint="eastAsia"/>
          <w:b/>
          <w:bCs/>
          <w:color w:val="auto"/>
          <w:sz w:val="28"/>
          <w:szCs w:val="28"/>
          <w:highlight w:val="none"/>
        </w:rPr>
        <w:t>17.5.2交工付款证书及支付时间</w:t>
      </w:r>
    </w:p>
    <w:p w14:paraId="538CAC77">
      <w:pPr>
        <w:spacing w:line="360" w:lineRule="auto"/>
        <w:ind w:firstLine="480"/>
        <w:rPr>
          <w:color w:val="auto"/>
          <w:highlight w:val="none"/>
        </w:rPr>
      </w:pPr>
      <w:r>
        <w:rPr>
          <w:rFonts w:hint="eastAsia"/>
          <w:color w:val="auto"/>
          <w:highlight w:val="none"/>
        </w:rPr>
        <w:t>本项（2）目细化为：</w:t>
      </w:r>
    </w:p>
    <w:p w14:paraId="74E0F173">
      <w:pPr>
        <w:spacing w:line="360" w:lineRule="auto"/>
        <w:ind w:firstLine="480"/>
        <w:rPr>
          <w:color w:val="auto"/>
          <w:highlight w:val="none"/>
        </w:rPr>
      </w:pPr>
      <w:r>
        <w:rPr>
          <w:rFonts w:hint="eastAsia"/>
          <w:color w:val="auto"/>
          <w:highlight w:val="none"/>
        </w:rPr>
        <w:t>发包人应在监理人出具交工付款证书且承包人提交了合格的发票后的 14 天内，将应支付款支付给承包人。发包人不按期支付的，按第 17.3.3（2）目的约定，将逾期付款违约金支付给承包人。</w:t>
      </w:r>
    </w:p>
    <w:p w14:paraId="19B5878F">
      <w:pPr>
        <w:keepNext/>
        <w:keepLines/>
        <w:spacing w:line="360" w:lineRule="auto"/>
        <w:outlineLvl w:val="3"/>
        <w:rPr>
          <w:rFonts w:ascii="Arial" w:hAnsi="Arial"/>
          <w:b/>
          <w:bCs/>
          <w:color w:val="auto"/>
          <w:sz w:val="28"/>
          <w:szCs w:val="28"/>
          <w:highlight w:val="none"/>
        </w:rPr>
      </w:pPr>
      <w:r>
        <w:rPr>
          <w:rFonts w:hint="eastAsia" w:ascii="Arial" w:hAnsi="Arial"/>
          <w:b/>
          <w:bCs/>
          <w:color w:val="auto"/>
          <w:sz w:val="28"/>
          <w:szCs w:val="28"/>
          <w:highlight w:val="none"/>
        </w:rPr>
        <w:t>17.6最终结清</w:t>
      </w:r>
    </w:p>
    <w:p w14:paraId="641ECDB5">
      <w:pPr>
        <w:keepNext/>
        <w:keepLines/>
        <w:spacing w:line="360" w:lineRule="auto"/>
        <w:ind w:firstLine="482"/>
        <w:outlineLvl w:val="4"/>
        <w:rPr>
          <w:b/>
          <w:bCs/>
          <w:color w:val="auto"/>
          <w:sz w:val="28"/>
          <w:szCs w:val="28"/>
          <w:highlight w:val="none"/>
        </w:rPr>
      </w:pPr>
      <w:r>
        <w:rPr>
          <w:rFonts w:hint="eastAsia"/>
          <w:b/>
          <w:bCs/>
          <w:color w:val="auto"/>
          <w:sz w:val="28"/>
          <w:szCs w:val="28"/>
          <w:highlight w:val="none"/>
        </w:rPr>
        <w:t>17.6.1最终结清申请单</w:t>
      </w:r>
    </w:p>
    <w:p w14:paraId="2FBFC38A">
      <w:pPr>
        <w:spacing w:line="360" w:lineRule="auto"/>
        <w:ind w:firstLine="480"/>
        <w:rPr>
          <w:color w:val="auto"/>
          <w:highlight w:val="none"/>
        </w:rPr>
      </w:pPr>
      <w:r>
        <w:rPr>
          <w:rFonts w:hint="eastAsia"/>
          <w:color w:val="auto"/>
          <w:highlight w:val="none"/>
        </w:rPr>
        <w:t>本项（1）目约定为：</w:t>
      </w:r>
    </w:p>
    <w:p w14:paraId="0C8F59B8">
      <w:pPr>
        <w:spacing w:line="360" w:lineRule="auto"/>
        <w:ind w:firstLine="480"/>
        <w:rPr>
          <w:color w:val="auto"/>
          <w:highlight w:val="none"/>
        </w:rPr>
      </w:pPr>
      <w:r>
        <w:rPr>
          <w:rFonts w:hint="eastAsia"/>
          <w:color w:val="auto"/>
          <w:highlight w:val="none"/>
        </w:rPr>
        <w:t>承包人向监理人提交最终结清申请单（包括相关证明材料）的份数在项目专用合同条款数据表中约定；期限：缺陷责任期终止证书签发后 28 天内。</w:t>
      </w:r>
    </w:p>
    <w:p w14:paraId="5A56EEFA">
      <w:pPr>
        <w:spacing w:line="360" w:lineRule="auto"/>
        <w:ind w:firstLine="480"/>
        <w:rPr>
          <w:color w:val="auto"/>
          <w:highlight w:val="none"/>
        </w:rPr>
      </w:pPr>
      <w:r>
        <w:rPr>
          <w:rFonts w:hint="eastAsia"/>
          <w:color w:val="auto"/>
          <w:highlight w:val="none"/>
        </w:rPr>
        <w:t>最终结清申请单中的总金额应认为是代表了根据合同规定应付给承包人的全部款项的最后结算。</w:t>
      </w:r>
    </w:p>
    <w:p w14:paraId="007A05C0">
      <w:pPr>
        <w:keepNext/>
        <w:keepLines/>
        <w:spacing w:line="360" w:lineRule="auto"/>
        <w:ind w:firstLine="482"/>
        <w:outlineLvl w:val="4"/>
        <w:rPr>
          <w:b/>
          <w:bCs/>
          <w:color w:val="auto"/>
          <w:sz w:val="28"/>
          <w:szCs w:val="28"/>
          <w:highlight w:val="none"/>
        </w:rPr>
      </w:pPr>
      <w:r>
        <w:rPr>
          <w:rFonts w:hint="eastAsia"/>
          <w:b/>
          <w:bCs/>
          <w:color w:val="auto"/>
          <w:sz w:val="28"/>
          <w:szCs w:val="28"/>
          <w:highlight w:val="none"/>
        </w:rPr>
        <w:t>17.6.2最终结清证书和支付时间</w:t>
      </w:r>
    </w:p>
    <w:p w14:paraId="675BAEBB">
      <w:pPr>
        <w:spacing w:line="360" w:lineRule="auto"/>
        <w:ind w:firstLine="480"/>
        <w:rPr>
          <w:color w:val="auto"/>
          <w:highlight w:val="none"/>
        </w:rPr>
      </w:pPr>
      <w:r>
        <w:rPr>
          <w:rFonts w:hint="eastAsia"/>
          <w:color w:val="auto"/>
          <w:highlight w:val="none"/>
        </w:rPr>
        <w:t>本项（2）目细化为：</w:t>
      </w:r>
    </w:p>
    <w:p w14:paraId="43CA85F6">
      <w:pPr>
        <w:spacing w:line="360" w:lineRule="auto"/>
        <w:ind w:firstLine="480"/>
        <w:rPr>
          <w:color w:val="auto"/>
          <w:highlight w:val="none"/>
        </w:rPr>
      </w:pPr>
      <w:r>
        <w:rPr>
          <w:rFonts w:hint="eastAsia"/>
          <w:color w:val="auto"/>
          <w:highlight w:val="none"/>
        </w:rPr>
        <w:t>（2）发包人应在监理人出具最终结清证书且承包人提交了合格的发票后的 14 天内，将应支付款支付给承包人。发包人不按期支付的，按第 17.3.3（2） 目的约定，将逾期付款违约金支付给承包人。</w:t>
      </w:r>
    </w:p>
    <w:p w14:paraId="4A13E9A7">
      <w:pPr>
        <w:keepNext/>
        <w:keepLines/>
        <w:spacing w:line="360" w:lineRule="auto"/>
        <w:outlineLvl w:val="2"/>
        <w:rPr>
          <w:b/>
          <w:bCs/>
          <w:color w:val="auto"/>
          <w:sz w:val="32"/>
          <w:szCs w:val="32"/>
          <w:highlight w:val="none"/>
        </w:rPr>
      </w:pPr>
      <w:r>
        <w:rPr>
          <w:rFonts w:hint="eastAsia"/>
          <w:b/>
          <w:bCs/>
          <w:color w:val="auto"/>
          <w:sz w:val="32"/>
          <w:szCs w:val="32"/>
          <w:highlight w:val="none"/>
        </w:rPr>
        <w:t>18.交工验收</w:t>
      </w:r>
    </w:p>
    <w:p w14:paraId="7EE13358">
      <w:pPr>
        <w:keepNext/>
        <w:keepLines/>
        <w:spacing w:line="360" w:lineRule="auto"/>
        <w:outlineLvl w:val="3"/>
        <w:rPr>
          <w:rFonts w:ascii="Arial" w:hAnsi="Arial"/>
          <w:b/>
          <w:bCs/>
          <w:color w:val="auto"/>
          <w:sz w:val="28"/>
          <w:szCs w:val="28"/>
          <w:highlight w:val="none"/>
        </w:rPr>
      </w:pPr>
      <w:r>
        <w:rPr>
          <w:rFonts w:hint="eastAsia" w:ascii="Arial" w:hAnsi="Arial"/>
          <w:b/>
          <w:bCs/>
          <w:color w:val="auto"/>
          <w:sz w:val="28"/>
          <w:szCs w:val="28"/>
          <w:highlight w:val="none"/>
        </w:rPr>
        <w:t>18.2交工验收申请报告</w:t>
      </w:r>
    </w:p>
    <w:p w14:paraId="4857F63D">
      <w:pPr>
        <w:spacing w:line="360" w:lineRule="auto"/>
        <w:ind w:firstLine="480"/>
        <w:rPr>
          <w:color w:val="auto"/>
          <w:highlight w:val="none"/>
        </w:rPr>
      </w:pPr>
      <w:r>
        <w:rPr>
          <w:rFonts w:hint="eastAsia"/>
          <w:color w:val="auto"/>
          <w:highlight w:val="none"/>
        </w:rPr>
        <w:t>本款第（2）项约定为：</w:t>
      </w:r>
    </w:p>
    <w:p w14:paraId="1948B252">
      <w:pPr>
        <w:spacing w:line="360" w:lineRule="auto"/>
        <w:ind w:firstLine="480"/>
        <w:rPr>
          <w:color w:val="auto"/>
          <w:highlight w:val="none"/>
        </w:rPr>
      </w:pPr>
      <w:r>
        <w:rPr>
          <w:rFonts w:hint="eastAsia"/>
          <w:color w:val="auto"/>
          <w:highlight w:val="none"/>
        </w:rPr>
        <w:t>竣工资料的内容：承包人应按照《公路工程竣（交）工验收办法》和相关规定编制竣工资料。</w:t>
      </w:r>
    </w:p>
    <w:p w14:paraId="7C24F1ED">
      <w:pPr>
        <w:spacing w:line="360" w:lineRule="auto"/>
        <w:ind w:firstLine="480"/>
        <w:rPr>
          <w:color w:val="auto"/>
          <w:highlight w:val="none"/>
        </w:rPr>
      </w:pPr>
      <w:r>
        <w:rPr>
          <w:rFonts w:hint="eastAsia"/>
          <w:color w:val="auto"/>
          <w:highlight w:val="none"/>
        </w:rPr>
        <w:t>竣工资料的份数在项目专用合同条款数据表中约定。</w:t>
      </w:r>
    </w:p>
    <w:p w14:paraId="0BD634B8">
      <w:pPr>
        <w:keepNext/>
        <w:keepLines/>
        <w:spacing w:line="360" w:lineRule="auto"/>
        <w:outlineLvl w:val="3"/>
        <w:rPr>
          <w:rFonts w:ascii="Arial" w:hAnsi="Arial"/>
          <w:b/>
          <w:bCs/>
          <w:color w:val="auto"/>
          <w:sz w:val="28"/>
          <w:szCs w:val="28"/>
          <w:highlight w:val="none"/>
        </w:rPr>
      </w:pPr>
      <w:r>
        <w:rPr>
          <w:rFonts w:hint="eastAsia" w:ascii="Arial" w:hAnsi="Arial"/>
          <w:b/>
          <w:bCs/>
          <w:color w:val="auto"/>
          <w:sz w:val="28"/>
          <w:szCs w:val="28"/>
          <w:highlight w:val="none"/>
        </w:rPr>
        <w:t>18.3验收</w:t>
      </w:r>
    </w:p>
    <w:p w14:paraId="071EFCDD">
      <w:pPr>
        <w:keepNext/>
        <w:keepLines/>
        <w:spacing w:line="360" w:lineRule="auto"/>
        <w:ind w:firstLine="482"/>
        <w:outlineLvl w:val="4"/>
        <w:rPr>
          <w:b/>
          <w:bCs/>
          <w:color w:val="auto"/>
          <w:sz w:val="28"/>
          <w:szCs w:val="28"/>
          <w:highlight w:val="none"/>
        </w:rPr>
      </w:pPr>
      <w:r>
        <w:rPr>
          <w:rFonts w:hint="eastAsia"/>
          <w:b/>
          <w:bCs/>
          <w:color w:val="auto"/>
          <w:sz w:val="28"/>
          <w:szCs w:val="28"/>
          <w:highlight w:val="none"/>
        </w:rPr>
        <w:t>第 18.3.2 项补充：</w:t>
      </w:r>
    </w:p>
    <w:p w14:paraId="183C3B6C">
      <w:pPr>
        <w:spacing w:line="360" w:lineRule="auto"/>
        <w:ind w:firstLine="480"/>
        <w:rPr>
          <w:color w:val="auto"/>
          <w:highlight w:val="none"/>
        </w:rPr>
      </w:pPr>
      <w:r>
        <w:rPr>
          <w:rFonts w:hint="eastAsia"/>
          <w:color w:val="auto"/>
          <w:highlight w:val="none"/>
        </w:rPr>
        <w:t>交工验收由发包人主持，由发包人、监理人、质监、设计、施工、运营、管理养护等有关部门代表组成交工验收小组，对本项目的工程质量进行评定，并写出交工验收报告报交通运输主管部门备案。承包人应按发包人的要求提交竣工资料，完成交工验收准备工作。</w:t>
      </w:r>
    </w:p>
    <w:p w14:paraId="17A51F14">
      <w:pPr>
        <w:keepNext/>
        <w:keepLines/>
        <w:spacing w:line="360" w:lineRule="auto"/>
        <w:ind w:firstLine="482"/>
        <w:outlineLvl w:val="4"/>
        <w:rPr>
          <w:b/>
          <w:bCs/>
          <w:color w:val="auto"/>
          <w:sz w:val="28"/>
          <w:szCs w:val="28"/>
          <w:highlight w:val="none"/>
        </w:rPr>
      </w:pPr>
      <w:r>
        <w:rPr>
          <w:rFonts w:hint="eastAsia"/>
          <w:b/>
          <w:bCs/>
          <w:color w:val="auto"/>
          <w:sz w:val="28"/>
          <w:szCs w:val="28"/>
          <w:highlight w:val="none"/>
        </w:rPr>
        <w:t>第 18.3.5 项约定为：</w:t>
      </w:r>
    </w:p>
    <w:p w14:paraId="3854C918">
      <w:pPr>
        <w:spacing w:line="360" w:lineRule="auto"/>
        <w:ind w:firstLine="480"/>
        <w:rPr>
          <w:color w:val="auto"/>
          <w:highlight w:val="none"/>
        </w:rPr>
      </w:pPr>
      <w:r>
        <w:rPr>
          <w:rFonts w:hint="eastAsia"/>
          <w:color w:val="auto"/>
          <w:highlight w:val="none"/>
        </w:rPr>
        <w:t>经验收合格工程的实际交工日期，以最终提交交工验收申请报告的日期为准， 并在交工验收证书中写明。</w:t>
      </w:r>
    </w:p>
    <w:p w14:paraId="6FF6B164">
      <w:pPr>
        <w:keepNext/>
        <w:keepLines/>
        <w:spacing w:line="360" w:lineRule="auto"/>
        <w:ind w:firstLine="482"/>
        <w:outlineLvl w:val="4"/>
        <w:rPr>
          <w:b/>
          <w:bCs/>
          <w:color w:val="auto"/>
          <w:sz w:val="28"/>
          <w:szCs w:val="28"/>
          <w:highlight w:val="none"/>
        </w:rPr>
      </w:pPr>
      <w:r>
        <w:rPr>
          <w:rFonts w:hint="eastAsia"/>
          <w:b/>
          <w:bCs/>
          <w:color w:val="auto"/>
          <w:sz w:val="28"/>
          <w:szCs w:val="28"/>
          <w:highlight w:val="none"/>
        </w:rPr>
        <w:t>本款补充第 18.3.7 项：</w:t>
      </w:r>
    </w:p>
    <w:p w14:paraId="4E040801">
      <w:pPr>
        <w:spacing w:line="360" w:lineRule="auto"/>
        <w:ind w:firstLine="480"/>
        <w:rPr>
          <w:color w:val="auto"/>
          <w:highlight w:val="none"/>
        </w:rPr>
      </w:pPr>
      <w:r>
        <w:rPr>
          <w:rFonts w:hint="eastAsia"/>
          <w:color w:val="auto"/>
          <w:highlight w:val="none"/>
        </w:rPr>
        <w:t>组织办理交工验收和签发交工验收证书的费用由发包人承担。但按照第 18.3.4</w:t>
      </w:r>
    </w:p>
    <w:p w14:paraId="6D37096B">
      <w:pPr>
        <w:spacing w:line="360" w:lineRule="auto"/>
        <w:ind w:firstLine="480"/>
        <w:rPr>
          <w:color w:val="auto"/>
          <w:highlight w:val="none"/>
        </w:rPr>
      </w:pPr>
      <w:r>
        <w:rPr>
          <w:rFonts w:hint="eastAsia"/>
          <w:color w:val="auto"/>
          <w:highlight w:val="none"/>
        </w:rPr>
        <w:t>项规定达不到合格标准的交工验收费用由承包人承担。</w:t>
      </w:r>
    </w:p>
    <w:p w14:paraId="69589611">
      <w:pPr>
        <w:spacing w:line="360" w:lineRule="auto"/>
        <w:ind w:firstLine="480"/>
        <w:rPr>
          <w:color w:val="auto"/>
          <w:highlight w:val="none"/>
        </w:rPr>
      </w:pPr>
      <w:r>
        <w:rPr>
          <w:rFonts w:hint="eastAsia"/>
          <w:color w:val="auto"/>
          <w:highlight w:val="none"/>
        </w:rPr>
        <w:t>本条补充第 18.9 款：</w:t>
      </w:r>
    </w:p>
    <w:p w14:paraId="6ECE1EFD">
      <w:pPr>
        <w:keepNext/>
        <w:keepLines/>
        <w:spacing w:line="360" w:lineRule="auto"/>
        <w:outlineLvl w:val="3"/>
        <w:rPr>
          <w:rFonts w:ascii="Arial" w:hAnsi="Arial"/>
          <w:b/>
          <w:bCs/>
          <w:color w:val="auto"/>
          <w:sz w:val="28"/>
          <w:szCs w:val="28"/>
          <w:highlight w:val="none"/>
        </w:rPr>
      </w:pPr>
      <w:r>
        <w:rPr>
          <w:rFonts w:hint="eastAsia" w:ascii="Arial" w:hAnsi="Arial"/>
          <w:b/>
          <w:bCs/>
          <w:color w:val="auto"/>
          <w:sz w:val="28"/>
          <w:szCs w:val="28"/>
          <w:highlight w:val="none"/>
        </w:rPr>
        <w:t>18.9 竣工文件</w:t>
      </w:r>
    </w:p>
    <w:p w14:paraId="0C4F1B38">
      <w:pPr>
        <w:spacing w:line="360" w:lineRule="auto"/>
        <w:ind w:firstLine="480"/>
        <w:rPr>
          <w:color w:val="auto"/>
          <w:highlight w:val="none"/>
        </w:rPr>
      </w:pPr>
      <w:r>
        <w:rPr>
          <w:rFonts w:hint="eastAsia"/>
          <w:color w:val="auto"/>
          <w:highlight w:val="none"/>
        </w:rPr>
        <w:t>承包人应按照《公路工程竣（交）工验收办法》的相关规定，在缺陷责任期内为竣工验收补充竣工资料，并在签发缺陷责任期终止证书之前提交。</w:t>
      </w:r>
    </w:p>
    <w:p w14:paraId="45A32128">
      <w:pPr>
        <w:keepNext/>
        <w:keepLines/>
        <w:spacing w:line="360" w:lineRule="auto"/>
        <w:outlineLvl w:val="2"/>
        <w:rPr>
          <w:b/>
          <w:bCs/>
          <w:color w:val="auto"/>
          <w:sz w:val="32"/>
          <w:szCs w:val="32"/>
          <w:highlight w:val="none"/>
        </w:rPr>
      </w:pPr>
      <w:r>
        <w:rPr>
          <w:rFonts w:hint="eastAsia"/>
          <w:b/>
          <w:bCs/>
          <w:color w:val="auto"/>
          <w:sz w:val="32"/>
          <w:szCs w:val="32"/>
          <w:highlight w:val="none"/>
        </w:rPr>
        <w:t>19.缺陷责任与保修责任</w:t>
      </w:r>
    </w:p>
    <w:p w14:paraId="5064CA91">
      <w:pPr>
        <w:keepNext/>
        <w:keepLines/>
        <w:spacing w:line="360" w:lineRule="auto"/>
        <w:ind w:firstLine="482"/>
        <w:outlineLvl w:val="4"/>
        <w:rPr>
          <w:b/>
          <w:bCs/>
          <w:color w:val="auto"/>
          <w:sz w:val="28"/>
          <w:szCs w:val="28"/>
          <w:highlight w:val="none"/>
        </w:rPr>
      </w:pPr>
      <w:r>
        <w:rPr>
          <w:rFonts w:hint="eastAsia"/>
          <w:b/>
          <w:bCs/>
          <w:color w:val="auto"/>
          <w:sz w:val="28"/>
          <w:szCs w:val="28"/>
          <w:highlight w:val="none"/>
        </w:rPr>
        <w:t>第 19.2.2 项补充：</w:t>
      </w:r>
    </w:p>
    <w:p w14:paraId="03D21973">
      <w:pPr>
        <w:spacing w:line="360" w:lineRule="auto"/>
        <w:ind w:firstLine="480"/>
        <w:rPr>
          <w:color w:val="auto"/>
          <w:highlight w:val="none"/>
        </w:rPr>
      </w:pPr>
      <w:r>
        <w:rPr>
          <w:rFonts w:hint="eastAsia"/>
          <w:color w:val="auto"/>
          <w:highlight w:val="none"/>
        </w:rPr>
        <w:t>在缺陷责任期内，承包人应尽快完成在交工验收证书中写明的未完成工作，并完成对本工程缺陷的修复或监理人指令的修补工作。</w:t>
      </w:r>
    </w:p>
    <w:p w14:paraId="38AEF3AD">
      <w:pPr>
        <w:keepNext/>
        <w:keepLines/>
        <w:spacing w:line="360" w:lineRule="auto"/>
        <w:outlineLvl w:val="3"/>
        <w:rPr>
          <w:rFonts w:ascii="Arial" w:hAnsi="Arial"/>
          <w:b/>
          <w:bCs/>
          <w:color w:val="auto"/>
          <w:sz w:val="28"/>
          <w:szCs w:val="28"/>
          <w:highlight w:val="none"/>
        </w:rPr>
      </w:pPr>
      <w:r>
        <w:rPr>
          <w:rFonts w:hint="eastAsia" w:ascii="Arial" w:hAnsi="Arial"/>
          <w:b/>
          <w:bCs/>
          <w:color w:val="auto"/>
          <w:sz w:val="28"/>
          <w:szCs w:val="28"/>
          <w:highlight w:val="none"/>
        </w:rPr>
        <w:t>19.5 承包人的进入权</w:t>
      </w:r>
    </w:p>
    <w:p w14:paraId="199178E6">
      <w:pPr>
        <w:spacing w:line="360" w:lineRule="auto"/>
        <w:ind w:firstLine="480"/>
        <w:rPr>
          <w:color w:val="auto"/>
          <w:highlight w:val="none"/>
        </w:rPr>
      </w:pPr>
      <w:r>
        <w:rPr>
          <w:rFonts w:hint="eastAsia"/>
          <w:color w:val="auto"/>
          <w:highlight w:val="none"/>
        </w:rPr>
        <w:t>本款补充：</w:t>
      </w:r>
    </w:p>
    <w:p w14:paraId="22D4D2A0">
      <w:pPr>
        <w:spacing w:line="360" w:lineRule="auto"/>
        <w:ind w:firstLine="480"/>
        <w:rPr>
          <w:color w:val="auto"/>
          <w:highlight w:val="none"/>
        </w:rPr>
      </w:pPr>
      <w:r>
        <w:rPr>
          <w:rFonts w:hint="eastAsia"/>
          <w:color w:val="auto"/>
          <w:highlight w:val="none"/>
        </w:rPr>
        <w:t>承包人在缺陷修复施工过程中，应服从管养单位的有关安全管理规定，由于承包人自身原因造成的人员伤亡、设备和材料的损毁及罚款等责任由承包人自负。</w:t>
      </w:r>
    </w:p>
    <w:p w14:paraId="66DED9FA">
      <w:pPr>
        <w:keepNext/>
        <w:keepLines/>
        <w:spacing w:line="360" w:lineRule="auto"/>
        <w:outlineLvl w:val="3"/>
        <w:rPr>
          <w:rFonts w:ascii="Arial" w:hAnsi="Arial"/>
          <w:b/>
          <w:bCs/>
          <w:color w:val="auto"/>
          <w:sz w:val="28"/>
          <w:szCs w:val="28"/>
          <w:highlight w:val="none"/>
        </w:rPr>
      </w:pPr>
      <w:r>
        <w:rPr>
          <w:rFonts w:hint="eastAsia" w:ascii="Arial" w:hAnsi="Arial"/>
          <w:b/>
          <w:bCs/>
          <w:color w:val="auto"/>
          <w:sz w:val="28"/>
          <w:szCs w:val="28"/>
          <w:highlight w:val="none"/>
        </w:rPr>
        <w:t>19.7保修责任</w:t>
      </w:r>
    </w:p>
    <w:p w14:paraId="263B192D">
      <w:pPr>
        <w:spacing w:line="360" w:lineRule="auto"/>
        <w:ind w:firstLine="480"/>
        <w:rPr>
          <w:color w:val="auto"/>
          <w:highlight w:val="none"/>
        </w:rPr>
      </w:pPr>
      <w:r>
        <w:rPr>
          <w:rFonts w:hint="eastAsia"/>
          <w:color w:val="auto"/>
          <w:highlight w:val="none"/>
        </w:rPr>
        <w:t>本款细化为：</w:t>
      </w:r>
    </w:p>
    <w:p w14:paraId="42CAE158">
      <w:pPr>
        <w:spacing w:line="360" w:lineRule="auto"/>
        <w:ind w:firstLine="480"/>
        <w:rPr>
          <w:color w:val="auto"/>
          <w:highlight w:val="none"/>
        </w:rPr>
      </w:pPr>
      <w:r>
        <w:rPr>
          <w:rFonts w:hint="eastAsia"/>
          <w:color w:val="auto"/>
          <w:highlight w:val="none"/>
        </w:rPr>
        <w:t>（1）保修期自实际交工日期起计算，具体期限在项目专用合同条款数据表中约定。保修期与缺陷责任期重叠的期间内，承包人的保修责任同缺陷责任。在缺陷责任期满后的保修期内，承包人可不在工地留有办事人员和机械设备，但必须随时与发包人保持联系，在保修期内承包人应对由于施工质量原因造成的损坏自费进行修复。</w:t>
      </w:r>
    </w:p>
    <w:p w14:paraId="48A455E2">
      <w:pPr>
        <w:spacing w:line="360" w:lineRule="auto"/>
        <w:ind w:firstLine="480"/>
        <w:rPr>
          <w:color w:val="auto"/>
          <w:highlight w:val="none"/>
        </w:rPr>
      </w:pPr>
      <w:r>
        <w:rPr>
          <w:rFonts w:hint="eastAsia"/>
          <w:color w:val="auto"/>
          <w:highlight w:val="none"/>
        </w:rPr>
        <w:t>（2）在全部工程交工验收前，已经发包人提前验收的单位工程，其保修期的起算日期相应提前。</w:t>
      </w:r>
    </w:p>
    <w:p w14:paraId="1688C832">
      <w:pPr>
        <w:spacing w:line="360" w:lineRule="auto"/>
        <w:ind w:firstLine="480"/>
        <w:rPr>
          <w:color w:val="auto"/>
          <w:highlight w:val="none"/>
        </w:rPr>
      </w:pPr>
      <w:r>
        <w:rPr>
          <w:rFonts w:hint="eastAsia"/>
          <w:color w:val="auto"/>
          <w:highlight w:val="none"/>
        </w:rPr>
        <w:t>（3）工程保修期终止后 28 天内，监理人签发保修期终止证书。</w:t>
      </w:r>
    </w:p>
    <w:p w14:paraId="3E0A7456">
      <w:pPr>
        <w:spacing w:line="360" w:lineRule="auto"/>
        <w:ind w:firstLine="480"/>
        <w:rPr>
          <w:color w:val="auto"/>
          <w:highlight w:val="none"/>
        </w:rPr>
      </w:pPr>
      <w:r>
        <w:rPr>
          <w:rFonts w:hint="eastAsia"/>
          <w:color w:val="auto"/>
          <w:highlight w:val="none"/>
        </w:rPr>
        <w:t>（4）若承包人不履行保修义务和责任，则承包人应承担由于违约造成的法律后果，并由发包人将其违约行为上报省级交通运输主管部门，作为不良记录纳入公路建设市场信用信息管理系统。</w:t>
      </w:r>
    </w:p>
    <w:p w14:paraId="7CC17AFB">
      <w:pPr>
        <w:keepNext/>
        <w:keepLines/>
        <w:spacing w:line="360" w:lineRule="auto"/>
        <w:outlineLvl w:val="2"/>
        <w:rPr>
          <w:b/>
          <w:bCs/>
          <w:color w:val="auto"/>
          <w:sz w:val="32"/>
          <w:szCs w:val="32"/>
          <w:highlight w:val="none"/>
        </w:rPr>
      </w:pPr>
      <w:r>
        <w:rPr>
          <w:rFonts w:hint="eastAsia"/>
          <w:b/>
          <w:bCs/>
          <w:color w:val="auto"/>
          <w:sz w:val="32"/>
          <w:szCs w:val="32"/>
          <w:highlight w:val="none"/>
        </w:rPr>
        <w:t>20.保险</w:t>
      </w:r>
    </w:p>
    <w:p w14:paraId="3B3D2558">
      <w:pPr>
        <w:keepNext/>
        <w:keepLines/>
        <w:spacing w:line="360" w:lineRule="auto"/>
        <w:outlineLvl w:val="3"/>
        <w:rPr>
          <w:rFonts w:ascii="Arial" w:hAnsi="Arial"/>
          <w:b/>
          <w:bCs/>
          <w:color w:val="auto"/>
          <w:sz w:val="28"/>
          <w:szCs w:val="28"/>
          <w:highlight w:val="none"/>
        </w:rPr>
      </w:pPr>
      <w:r>
        <w:rPr>
          <w:rFonts w:hint="eastAsia" w:ascii="Arial" w:hAnsi="Arial"/>
          <w:b/>
          <w:bCs/>
          <w:color w:val="auto"/>
          <w:sz w:val="28"/>
          <w:szCs w:val="28"/>
          <w:highlight w:val="none"/>
        </w:rPr>
        <w:t>20.1工程保险</w:t>
      </w:r>
    </w:p>
    <w:p w14:paraId="26F1F612">
      <w:pPr>
        <w:spacing w:line="360" w:lineRule="auto"/>
        <w:ind w:firstLine="480"/>
        <w:rPr>
          <w:color w:val="auto"/>
          <w:highlight w:val="none"/>
        </w:rPr>
      </w:pPr>
      <w:r>
        <w:rPr>
          <w:rFonts w:hint="eastAsia"/>
          <w:color w:val="auto"/>
          <w:highlight w:val="none"/>
        </w:rPr>
        <w:t>本款约定为：</w:t>
      </w:r>
    </w:p>
    <w:p w14:paraId="7B910101">
      <w:pPr>
        <w:spacing w:line="360" w:lineRule="auto"/>
        <w:ind w:firstLine="480"/>
        <w:rPr>
          <w:color w:val="auto"/>
          <w:highlight w:val="none"/>
        </w:rPr>
      </w:pPr>
      <w:r>
        <w:rPr>
          <w:rFonts w:hint="eastAsia"/>
          <w:color w:val="auto"/>
          <w:highlight w:val="none"/>
        </w:rPr>
        <w:t>建筑工程一切险的投保内容：为本合同工程的永久工程、临时工程和设备及已运至施工工地用于永久工程的材料和设备所投的保险。</w:t>
      </w:r>
    </w:p>
    <w:p w14:paraId="3D75A6A8">
      <w:pPr>
        <w:spacing w:line="360" w:lineRule="auto"/>
        <w:ind w:firstLine="480"/>
        <w:rPr>
          <w:color w:val="auto"/>
          <w:highlight w:val="none"/>
        </w:rPr>
      </w:pPr>
      <w:r>
        <w:rPr>
          <w:rFonts w:hint="eastAsia"/>
          <w:color w:val="auto"/>
          <w:highlight w:val="none"/>
        </w:rPr>
        <w:t>保险金额：工程量清单第 100 章（不含建筑工程一切险及第三者责任险的保险费）至第 700 章的合计金额。</w:t>
      </w:r>
    </w:p>
    <w:p w14:paraId="5DFAF437">
      <w:pPr>
        <w:spacing w:line="360" w:lineRule="auto"/>
        <w:ind w:firstLine="480"/>
        <w:rPr>
          <w:color w:val="auto"/>
          <w:highlight w:val="none"/>
        </w:rPr>
      </w:pPr>
      <w:r>
        <w:rPr>
          <w:rFonts w:hint="eastAsia"/>
          <w:color w:val="auto"/>
          <w:highlight w:val="none"/>
        </w:rPr>
        <w:t>保险费率：在项目专用合同条款数据表中约定。</w:t>
      </w:r>
    </w:p>
    <w:p w14:paraId="1C15F59C">
      <w:pPr>
        <w:spacing w:line="360" w:lineRule="auto"/>
        <w:ind w:firstLine="480"/>
        <w:rPr>
          <w:color w:val="auto"/>
          <w:highlight w:val="none"/>
        </w:rPr>
      </w:pPr>
      <w:r>
        <w:rPr>
          <w:rFonts w:hint="eastAsia"/>
          <w:color w:val="auto"/>
          <w:highlight w:val="none"/>
        </w:rPr>
        <w:t>保险期限：开工日起直至本合同工程签发缺陷责任期终止证书止（即合同工期＋缺陷责任期）。</w:t>
      </w:r>
    </w:p>
    <w:p w14:paraId="4274B61D">
      <w:pPr>
        <w:spacing w:line="360" w:lineRule="auto"/>
        <w:ind w:firstLine="480"/>
        <w:rPr>
          <w:color w:val="auto"/>
          <w:highlight w:val="none"/>
        </w:rPr>
      </w:pPr>
      <w:r>
        <w:rPr>
          <w:rFonts w:hint="eastAsia"/>
          <w:color w:val="auto"/>
          <w:highlight w:val="none"/>
        </w:rPr>
        <w:t>承包人应以发包人和承包人的共同名义投保建筑工程一切险。建筑工程一切险的保险费由承包人报价时列入工程量清单第 100 章内。</w:t>
      </w:r>
    </w:p>
    <w:p w14:paraId="2619BC47">
      <w:pPr>
        <w:keepNext/>
        <w:keepLines/>
        <w:spacing w:line="360" w:lineRule="auto"/>
        <w:outlineLvl w:val="3"/>
        <w:rPr>
          <w:rFonts w:ascii="Arial" w:hAnsi="Arial"/>
          <w:b/>
          <w:bCs/>
          <w:color w:val="auto"/>
          <w:sz w:val="28"/>
          <w:szCs w:val="28"/>
          <w:highlight w:val="none"/>
        </w:rPr>
      </w:pPr>
      <w:r>
        <w:rPr>
          <w:rFonts w:hint="eastAsia" w:ascii="Arial" w:hAnsi="Arial"/>
          <w:b/>
          <w:bCs/>
          <w:color w:val="auto"/>
          <w:sz w:val="28"/>
          <w:szCs w:val="28"/>
          <w:highlight w:val="none"/>
        </w:rPr>
        <w:t>20.4第三者责任险</w:t>
      </w:r>
    </w:p>
    <w:p w14:paraId="328A5E43">
      <w:pPr>
        <w:keepNext/>
        <w:keepLines/>
        <w:spacing w:line="360" w:lineRule="auto"/>
        <w:ind w:firstLine="482"/>
        <w:outlineLvl w:val="4"/>
        <w:rPr>
          <w:b/>
          <w:bCs/>
          <w:color w:val="auto"/>
          <w:sz w:val="28"/>
          <w:szCs w:val="28"/>
          <w:highlight w:val="none"/>
        </w:rPr>
      </w:pPr>
      <w:r>
        <w:rPr>
          <w:rFonts w:hint="eastAsia"/>
          <w:b/>
          <w:bCs/>
          <w:color w:val="auto"/>
          <w:sz w:val="28"/>
          <w:szCs w:val="28"/>
          <w:highlight w:val="none"/>
        </w:rPr>
        <w:t>第 20.4.2 项补充：</w:t>
      </w:r>
    </w:p>
    <w:p w14:paraId="758157BC">
      <w:pPr>
        <w:spacing w:line="360" w:lineRule="auto"/>
        <w:ind w:firstLine="480"/>
        <w:rPr>
          <w:color w:val="auto"/>
          <w:highlight w:val="none"/>
        </w:rPr>
      </w:pPr>
      <w:r>
        <w:rPr>
          <w:rFonts w:hint="eastAsia"/>
          <w:color w:val="auto"/>
          <w:highlight w:val="none"/>
        </w:rPr>
        <w:t>第三者责任险的保险费由承包人报价时列入工程量清单第 100 章内。</w:t>
      </w:r>
    </w:p>
    <w:p w14:paraId="4E8D7847">
      <w:pPr>
        <w:pStyle w:val="235"/>
        <w:rPr>
          <w:color w:val="auto"/>
          <w:highlight w:val="none"/>
        </w:rPr>
      </w:pPr>
    </w:p>
    <w:p w14:paraId="424C19D3">
      <w:pPr>
        <w:keepNext/>
        <w:keepLines/>
        <w:spacing w:line="360" w:lineRule="auto"/>
        <w:outlineLvl w:val="3"/>
        <w:rPr>
          <w:rFonts w:ascii="Arial" w:hAnsi="Arial"/>
          <w:b/>
          <w:bCs/>
          <w:color w:val="auto"/>
          <w:sz w:val="28"/>
          <w:szCs w:val="28"/>
          <w:highlight w:val="none"/>
        </w:rPr>
      </w:pPr>
      <w:r>
        <w:rPr>
          <w:rFonts w:hint="eastAsia" w:ascii="Arial" w:hAnsi="Arial"/>
          <w:b/>
          <w:bCs/>
          <w:color w:val="auto"/>
          <w:sz w:val="28"/>
          <w:szCs w:val="28"/>
          <w:highlight w:val="none"/>
        </w:rPr>
        <w:t>20.5其他保险</w:t>
      </w:r>
    </w:p>
    <w:p w14:paraId="212C5B78">
      <w:pPr>
        <w:spacing w:line="360" w:lineRule="auto"/>
        <w:ind w:firstLine="480"/>
        <w:rPr>
          <w:color w:val="auto"/>
          <w:highlight w:val="none"/>
        </w:rPr>
      </w:pPr>
      <w:r>
        <w:rPr>
          <w:rFonts w:hint="eastAsia"/>
          <w:color w:val="auto"/>
          <w:highlight w:val="none"/>
        </w:rPr>
        <w:t>本款约定为：</w:t>
      </w:r>
    </w:p>
    <w:p w14:paraId="5E98E338">
      <w:pPr>
        <w:spacing w:line="360" w:lineRule="auto"/>
        <w:ind w:firstLine="480"/>
        <w:rPr>
          <w:color w:val="auto"/>
          <w:highlight w:val="none"/>
        </w:rPr>
      </w:pPr>
      <w:r>
        <w:rPr>
          <w:rFonts w:hint="eastAsia"/>
          <w:color w:val="auto"/>
          <w:highlight w:val="none"/>
        </w:rPr>
        <w:t>承包人应为其施工设备等办理保险，其投保金额应足以现场重置。办理本款保险的一切费用均由承包人承担，并包括在工程量清单的单价及总额价中，发包人不单独支付。</w:t>
      </w:r>
    </w:p>
    <w:p w14:paraId="691F1C31">
      <w:pPr>
        <w:keepNext/>
        <w:keepLines/>
        <w:spacing w:line="360" w:lineRule="auto"/>
        <w:outlineLvl w:val="3"/>
        <w:rPr>
          <w:rFonts w:ascii="Arial" w:hAnsi="Arial"/>
          <w:b/>
          <w:bCs/>
          <w:color w:val="auto"/>
          <w:sz w:val="28"/>
          <w:szCs w:val="28"/>
          <w:highlight w:val="none"/>
        </w:rPr>
      </w:pPr>
      <w:r>
        <w:rPr>
          <w:rFonts w:hint="eastAsia" w:ascii="Arial" w:hAnsi="Arial"/>
          <w:b/>
          <w:bCs/>
          <w:color w:val="auto"/>
          <w:sz w:val="28"/>
          <w:szCs w:val="28"/>
          <w:highlight w:val="none"/>
        </w:rPr>
        <w:t>20.6对各项保险的一般要求</w:t>
      </w:r>
    </w:p>
    <w:p w14:paraId="4C89F873">
      <w:pPr>
        <w:keepNext/>
        <w:keepLines/>
        <w:spacing w:line="360" w:lineRule="auto"/>
        <w:ind w:firstLine="482"/>
        <w:outlineLvl w:val="4"/>
        <w:rPr>
          <w:b/>
          <w:bCs/>
          <w:color w:val="auto"/>
          <w:sz w:val="28"/>
          <w:szCs w:val="28"/>
          <w:highlight w:val="none"/>
        </w:rPr>
      </w:pPr>
      <w:r>
        <w:rPr>
          <w:rFonts w:hint="eastAsia"/>
          <w:b/>
          <w:bCs/>
          <w:color w:val="auto"/>
          <w:sz w:val="28"/>
          <w:szCs w:val="28"/>
          <w:highlight w:val="none"/>
        </w:rPr>
        <w:t>20.6.1保险凭证</w:t>
      </w:r>
    </w:p>
    <w:p w14:paraId="06AE6F49">
      <w:pPr>
        <w:spacing w:line="360" w:lineRule="auto"/>
        <w:ind w:firstLine="480"/>
        <w:rPr>
          <w:color w:val="auto"/>
          <w:highlight w:val="none"/>
        </w:rPr>
      </w:pPr>
      <w:r>
        <w:rPr>
          <w:rFonts w:hint="eastAsia"/>
          <w:color w:val="auto"/>
          <w:highlight w:val="none"/>
        </w:rPr>
        <w:t>本项约定为：</w:t>
      </w:r>
    </w:p>
    <w:p w14:paraId="7C9E364F">
      <w:pPr>
        <w:spacing w:line="360" w:lineRule="auto"/>
        <w:ind w:firstLine="480"/>
        <w:rPr>
          <w:color w:val="auto"/>
          <w:highlight w:val="none"/>
        </w:rPr>
      </w:pPr>
      <w:r>
        <w:rPr>
          <w:rFonts w:hint="eastAsia"/>
          <w:color w:val="auto"/>
          <w:highlight w:val="none"/>
        </w:rPr>
        <w:t>承包人向发包人提交各项保险生效的证据和保险单副本的期限：开工后 56 天内。</w:t>
      </w:r>
    </w:p>
    <w:p w14:paraId="13FBA135">
      <w:pPr>
        <w:keepNext/>
        <w:keepLines/>
        <w:spacing w:line="360" w:lineRule="auto"/>
        <w:ind w:firstLine="482"/>
        <w:outlineLvl w:val="4"/>
        <w:rPr>
          <w:b/>
          <w:bCs/>
          <w:color w:val="auto"/>
          <w:sz w:val="28"/>
          <w:szCs w:val="28"/>
          <w:highlight w:val="none"/>
        </w:rPr>
      </w:pPr>
      <w:r>
        <w:rPr>
          <w:rFonts w:hint="eastAsia"/>
          <w:b/>
          <w:bCs/>
          <w:color w:val="auto"/>
          <w:sz w:val="28"/>
          <w:szCs w:val="28"/>
          <w:highlight w:val="none"/>
        </w:rPr>
        <w:t>20.6.3持续保险</w:t>
      </w:r>
    </w:p>
    <w:p w14:paraId="216D6133">
      <w:pPr>
        <w:spacing w:line="360" w:lineRule="auto"/>
        <w:ind w:firstLine="480"/>
        <w:rPr>
          <w:color w:val="auto"/>
          <w:highlight w:val="none"/>
        </w:rPr>
      </w:pPr>
      <w:r>
        <w:rPr>
          <w:rFonts w:hint="eastAsia"/>
          <w:color w:val="auto"/>
          <w:highlight w:val="none"/>
        </w:rPr>
        <w:t>本项补充：</w:t>
      </w:r>
    </w:p>
    <w:p w14:paraId="79430B8C">
      <w:pPr>
        <w:spacing w:line="360" w:lineRule="auto"/>
        <w:ind w:firstLine="480"/>
        <w:rPr>
          <w:color w:val="auto"/>
          <w:highlight w:val="none"/>
        </w:rPr>
      </w:pPr>
      <w:r>
        <w:rPr>
          <w:rFonts w:hint="eastAsia"/>
          <w:color w:val="auto"/>
          <w:highlight w:val="none"/>
        </w:rPr>
        <w:t>在整个合同期内，承包人应按合同条款规定保证足够的保险额。</w:t>
      </w:r>
    </w:p>
    <w:p w14:paraId="26480AC3">
      <w:pPr>
        <w:keepNext/>
        <w:keepLines/>
        <w:spacing w:line="360" w:lineRule="auto"/>
        <w:ind w:firstLine="482"/>
        <w:outlineLvl w:val="4"/>
        <w:rPr>
          <w:b/>
          <w:bCs/>
          <w:color w:val="auto"/>
          <w:sz w:val="28"/>
          <w:szCs w:val="28"/>
          <w:highlight w:val="none"/>
        </w:rPr>
      </w:pPr>
      <w:r>
        <w:rPr>
          <w:rFonts w:hint="eastAsia"/>
          <w:b/>
          <w:bCs/>
          <w:color w:val="auto"/>
          <w:sz w:val="28"/>
          <w:szCs w:val="28"/>
          <w:highlight w:val="none"/>
        </w:rPr>
        <w:t>20.6.4保险金不足的补偿</w:t>
      </w:r>
    </w:p>
    <w:p w14:paraId="35EF64EF">
      <w:pPr>
        <w:spacing w:line="360" w:lineRule="auto"/>
        <w:ind w:firstLine="480"/>
        <w:rPr>
          <w:color w:val="auto"/>
          <w:highlight w:val="none"/>
        </w:rPr>
      </w:pPr>
      <w:r>
        <w:rPr>
          <w:rFonts w:hint="eastAsia"/>
          <w:color w:val="auto"/>
          <w:highlight w:val="none"/>
        </w:rPr>
        <w:t>本项细化为：</w:t>
      </w:r>
    </w:p>
    <w:p w14:paraId="77539DDA">
      <w:pPr>
        <w:spacing w:line="360" w:lineRule="auto"/>
        <w:ind w:firstLine="480"/>
        <w:rPr>
          <w:color w:val="auto"/>
          <w:highlight w:val="none"/>
        </w:rPr>
      </w:pPr>
      <w:r>
        <w:rPr>
          <w:rFonts w:hint="eastAsia"/>
          <w:color w:val="auto"/>
          <w:highlight w:val="none"/>
        </w:rPr>
        <w:t>保险金不足以补偿损失的（包括免赔额和超过赔偿限额的部分），应由承包人和（或）发包人按合同约定负责补偿。</w:t>
      </w:r>
    </w:p>
    <w:p w14:paraId="41E74189">
      <w:pPr>
        <w:keepNext/>
        <w:keepLines/>
        <w:spacing w:line="360" w:lineRule="auto"/>
        <w:ind w:firstLine="482"/>
        <w:outlineLvl w:val="4"/>
        <w:rPr>
          <w:b/>
          <w:bCs/>
          <w:color w:val="auto"/>
          <w:sz w:val="28"/>
          <w:szCs w:val="28"/>
          <w:highlight w:val="none"/>
        </w:rPr>
      </w:pPr>
      <w:r>
        <w:rPr>
          <w:rFonts w:hint="eastAsia"/>
          <w:b/>
          <w:bCs/>
          <w:color w:val="auto"/>
          <w:sz w:val="28"/>
          <w:szCs w:val="28"/>
          <w:highlight w:val="none"/>
        </w:rPr>
        <w:t>20.6.5未按约定投保的补救</w:t>
      </w:r>
    </w:p>
    <w:p w14:paraId="789F36DE">
      <w:pPr>
        <w:spacing w:line="360" w:lineRule="auto"/>
        <w:ind w:firstLine="480"/>
        <w:rPr>
          <w:color w:val="auto"/>
          <w:highlight w:val="none"/>
        </w:rPr>
      </w:pPr>
      <w:r>
        <w:rPr>
          <w:rFonts w:hint="eastAsia"/>
          <w:color w:val="auto"/>
          <w:highlight w:val="none"/>
        </w:rPr>
        <w:t>本项（2）目细化为：</w:t>
      </w:r>
    </w:p>
    <w:p w14:paraId="0A2FF3EE">
      <w:pPr>
        <w:spacing w:line="360" w:lineRule="auto"/>
        <w:ind w:firstLine="480"/>
        <w:rPr>
          <w:color w:val="auto"/>
          <w:highlight w:val="none"/>
        </w:rPr>
      </w:pPr>
      <w:r>
        <w:rPr>
          <w:rFonts w:hint="eastAsia"/>
          <w:color w:val="auto"/>
          <w:highlight w:val="none"/>
        </w:rPr>
        <w:t>（2）由于负有投保义务的一方当事人未按合同约定办理某项保险，或未按保险单规定的条件和期限及时向保险人报告事故情况，或未按要求的保险期限进行投保， 或未按要求投保足够的保险金额，导致受益人未能或未能全部得到保险人的赔偿， 原应从该项保险得到的保险金应由负有投保义务的一方当事人支付。</w:t>
      </w:r>
    </w:p>
    <w:p w14:paraId="04657B40">
      <w:pPr>
        <w:keepNext/>
        <w:keepLines/>
        <w:spacing w:line="360" w:lineRule="auto"/>
        <w:outlineLvl w:val="2"/>
        <w:rPr>
          <w:b/>
          <w:bCs/>
          <w:color w:val="auto"/>
          <w:sz w:val="32"/>
          <w:szCs w:val="32"/>
          <w:highlight w:val="none"/>
        </w:rPr>
      </w:pPr>
      <w:r>
        <w:rPr>
          <w:rFonts w:hint="eastAsia"/>
          <w:b/>
          <w:bCs/>
          <w:color w:val="auto"/>
          <w:sz w:val="32"/>
          <w:szCs w:val="32"/>
          <w:highlight w:val="none"/>
        </w:rPr>
        <w:t>21.不可抗力</w:t>
      </w:r>
    </w:p>
    <w:p w14:paraId="7318D6A5">
      <w:pPr>
        <w:keepNext/>
        <w:keepLines/>
        <w:spacing w:line="360" w:lineRule="auto"/>
        <w:outlineLvl w:val="3"/>
        <w:rPr>
          <w:rFonts w:ascii="Arial" w:hAnsi="Arial"/>
          <w:b/>
          <w:bCs/>
          <w:color w:val="auto"/>
          <w:sz w:val="28"/>
          <w:szCs w:val="28"/>
          <w:highlight w:val="none"/>
        </w:rPr>
      </w:pPr>
      <w:r>
        <w:rPr>
          <w:rFonts w:hint="eastAsia" w:ascii="Arial" w:hAnsi="Arial"/>
          <w:b/>
          <w:bCs/>
          <w:color w:val="auto"/>
          <w:sz w:val="28"/>
          <w:szCs w:val="28"/>
          <w:highlight w:val="none"/>
        </w:rPr>
        <w:t>21.1不可抗力的确认</w:t>
      </w:r>
    </w:p>
    <w:p w14:paraId="50E79205">
      <w:pPr>
        <w:keepNext/>
        <w:keepLines/>
        <w:spacing w:line="360" w:lineRule="auto"/>
        <w:ind w:firstLine="482"/>
        <w:outlineLvl w:val="4"/>
        <w:rPr>
          <w:b/>
          <w:bCs/>
          <w:color w:val="auto"/>
          <w:sz w:val="28"/>
          <w:szCs w:val="28"/>
          <w:highlight w:val="none"/>
        </w:rPr>
      </w:pPr>
      <w:r>
        <w:rPr>
          <w:rFonts w:hint="eastAsia"/>
          <w:b/>
          <w:bCs/>
          <w:color w:val="auto"/>
          <w:sz w:val="28"/>
          <w:szCs w:val="28"/>
          <w:highlight w:val="none"/>
        </w:rPr>
        <w:t>第 21.1.1 项细化为：</w:t>
      </w:r>
    </w:p>
    <w:p w14:paraId="4FF86426">
      <w:pPr>
        <w:spacing w:line="360" w:lineRule="auto"/>
        <w:ind w:firstLine="480"/>
        <w:rPr>
          <w:color w:val="auto"/>
          <w:highlight w:val="none"/>
        </w:rPr>
      </w:pPr>
      <w:r>
        <w:rPr>
          <w:rFonts w:hint="eastAsia"/>
          <w:color w:val="auto"/>
          <w:highlight w:val="none"/>
        </w:rPr>
        <w:t>不可抗力是指承包人和发包人在订立合同时不可预见，在工程施工过程中不可避免发生并不能克服的自然灾害和社会性突发事件。包括但不限于：</w:t>
      </w:r>
    </w:p>
    <w:p w14:paraId="43A7C6B3">
      <w:pPr>
        <w:spacing w:line="360" w:lineRule="auto"/>
        <w:ind w:firstLine="480"/>
        <w:rPr>
          <w:color w:val="auto"/>
          <w:highlight w:val="none"/>
        </w:rPr>
      </w:pPr>
      <w:r>
        <w:rPr>
          <w:rFonts w:hint="eastAsia"/>
          <w:color w:val="auto"/>
          <w:highlight w:val="none"/>
        </w:rPr>
        <w:t>（1）地震、海啸、火山爆发、泥石流、暴雨（雪）、台风、龙卷风、水灾等自然灾害；</w:t>
      </w:r>
    </w:p>
    <w:p w14:paraId="62F3D394">
      <w:pPr>
        <w:spacing w:line="360" w:lineRule="auto"/>
        <w:ind w:firstLine="480"/>
        <w:rPr>
          <w:color w:val="auto"/>
          <w:highlight w:val="none"/>
        </w:rPr>
      </w:pPr>
      <w:r>
        <w:rPr>
          <w:rFonts w:hint="eastAsia"/>
          <w:color w:val="auto"/>
          <w:highlight w:val="none"/>
        </w:rPr>
        <w:t>（2）战争、骚乱、暴动，但纯属承包人或其分包人派遣与雇用的人员由于本 合同工程施工原因引起者除外；</w:t>
      </w:r>
    </w:p>
    <w:p w14:paraId="21D4AEE6">
      <w:pPr>
        <w:spacing w:line="360" w:lineRule="auto"/>
        <w:ind w:firstLine="480"/>
        <w:rPr>
          <w:color w:val="auto"/>
          <w:highlight w:val="none"/>
        </w:rPr>
      </w:pPr>
      <w:r>
        <w:rPr>
          <w:rFonts w:hint="eastAsia"/>
          <w:color w:val="auto"/>
          <w:highlight w:val="none"/>
        </w:rPr>
        <w:t>（3）核反应、辐射或放射性污染；</w:t>
      </w:r>
    </w:p>
    <w:p w14:paraId="53F383E6">
      <w:pPr>
        <w:spacing w:line="360" w:lineRule="auto"/>
        <w:ind w:firstLine="480"/>
        <w:rPr>
          <w:color w:val="auto"/>
          <w:highlight w:val="none"/>
        </w:rPr>
      </w:pPr>
      <w:r>
        <w:rPr>
          <w:rFonts w:hint="eastAsia"/>
          <w:color w:val="auto"/>
          <w:highlight w:val="none"/>
        </w:rPr>
        <w:t>（4）空中飞行物体坠落或非发包人或承包人责任造成的爆炸、火灾；</w:t>
      </w:r>
    </w:p>
    <w:p w14:paraId="68C4944B">
      <w:pPr>
        <w:spacing w:line="360" w:lineRule="auto"/>
        <w:ind w:firstLine="480"/>
        <w:rPr>
          <w:color w:val="auto"/>
          <w:highlight w:val="none"/>
        </w:rPr>
      </w:pPr>
      <w:r>
        <w:rPr>
          <w:rFonts w:hint="eastAsia"/>
          <w:color w:val="auto"/>
          <w:highlight w:val="none"/>
        </w:rPr>
        <w:t>（5）瘟疫；</w:t>
      </w:r>
    </w:p>
    <w:p w14:paraId="2EA182CB">
      <w:pPr>
        <w:spacing w:line="360" w:lineRule="auto"/>
        <w:ind w:firstLine="480"/>
        <w:rPr>
          <w:color w:val="auto"/>
          <w:highlight w:val="none"/>
        </w:rPr>
      </w:pPr>
      <w:r>
        <w:rPr>
          <w:rFonts w:hint="eastAsia"/>
          <w:color w:val="auto"/>
          <w:highlight w:val="none"/>
        </w:rPr>
        <w:t>（6）项目专用合同条款约定的其他情形。</w:t>
      </w:r>
    </w:p>
    <w:p w14:paraId="095DF804">
      <w:pPr>
        <w:keepNext/>
        <w:keepLines/>
        <w:spacing w:line="360" w:lineRule="auto"/>
        <w:outlineLvl w:val="3"/>
        <w:rPr>
          <w:rFonts w:ascii="Arial" w:hAnsi="Arial"/>
          <w:b/>
          <w:bCs/>
          <w:color w:val="auto"/>
          <w:sz w:val="28"/>
          <w:szCs w:val="28"/>
          <w:highlight w:val="none"/>
        </w:rPr>
      </w:pPr>
      <w:r>
        <w:rPr>
          <w:rFonts w:hint="eastAsia" w:ascii="Arial" w:hAnsi="Arial"/>
          <w:b/>
          <w:bCs/>
          <w:color w:val="auto"/>
          <w:sz w:val="28"/>
          <w:szCs w:val="28"/>
          <w:highlight w:val="none"/>
        </w:rPr>
        <w:t>21.3 不可抗力后果及其处理</w:t>
      </w:r>
    </w:p>
    <w:p w14:paraId="6E79837B">
      <w:pPr>
        <w:keepNext/>
        <w:keepLines/>
        <w:spacing w:line="360" w:lineRule="auto"/>
        <w:ind w:firstLine="482"/>
        <w:outlineLvl w:val="4"/>
        <w:rPr>
          <w:b/>
          <w:bCs/>
          <w:color w:val="auto"/>
          <w:sz w:val="28"/>
          <w:szCs w:val="28"/>
          <w:highlight w:val="none"/>
        </w:rPr>
      </w:pPr>
      <w:r>
        <w:rPr>
          <w:rFonts w:hint="eastAsia"/>
          <w:b/>
          <w:bCs/>
          <w:color w:val="auto"/>
          <w:sz w:val="28"/>
          <w:szCs w:val="28"/>
          <w:highlight w:val="none"/>
        </w:rPr>
        <w:t>21.3.4 因不可抗力解除合同</w:t>
      </w:r>
    </w:p>
    <w:p w14:paraId="6EB08CB1">
      <w:pPr>
        <w:spacing w:line="360" w:lineRule="auto"/>
        <w:ind w:firstLine="480"/>
        <w:rPr>
          <w:color w:val="auto"/>
          <w:highlight w:val="none"/>
        </w:rPr>
      </w:pPr>
      <w:r>
        <w:rPr>
          <w:rFonts w:hint="eastAsia"/>
          <w:color w:val="auto"/>
          <w:highlight w:val="none"/>
        </w:rPr>
        <w:t>本项细化为：</w:t>
      </w:r>
    </w:p>
    <w:p w14:paraId="638B2039">
      <w:pPr>
        <w:spacing w:line="360" w:lineRule="auto"/>
        <w:ind w:firstLine="480"/>
        <w:rPr>
          <w:color w:val="auto"/>
          <w:highlight w:val="none"/>
        </w:rPr>
      </w:pPr>
      <w:r>
        <w:rPr>
          <w:rFonts w:hint="eastAsia"/>
          <w:color w:val="auto"/>
          <w:highlight w:val="none"/>
        </w:rPr>
        <w:t>合同一方当事人因不可抗力不能履行合同的，应当及时通知对方解除合同。合同解除后，承包人应按照第 22.2.5 项约定撤离施工场地。已经订货的材料、设备由订货方负责退货或解除订货合同，不能退还的货款和因退货、解除订货合同发生的费用，由发包人承担，因未及时退货造成的损失由责任方承担。合同解除后的付款， 参照第 22.2.4 项约定，由监理人按第 3.5 款商定或确定，但由于解除合同应赔偿的承包人损失不予考虑。</w:t>
      </w:r>
    </w:p>
    <w:p w14:paraId="052B5B3E">
      <w:pPr>
        <w:keepNext/>
        <w:keepLines/>
        <w:spacing w:line="360" w:lineRule="auto"/>
        <w:outlineLvl w:val="2"/>
        <w:rPr>
          <w:b/>
          <w:bCs/>
          <w:color w:val="auto"/>
          <w:sz w:val="32"/>
          <w:szCs w:val="32"/>
          <w:highlight w:val="none"/>
        </w:rPr>
      </w:pPr>
      <w:r>
        <w:rPr>
          <w:rFonts w:hint="eastAsia"/>
          <w:b/>
          <w:bCs/>
          <w:color w:val="auto"/>
          <w:sz w:val="32"/>
          <w:szCs w:val="32"/>
          <w:highlight w:val="none"/>
        </w:rPr>
        <w:t>22.违约</w:t>
      </w:r>
    </w:p>
    <w:p w14:paraId="086DAF6B">
      <w:pPr>
        <w:keepNext/>
        <w:keepLines/>
        <w:spacing w:line="360" w:lineRule="auto"/>
        <w:outlineLvl w:val="3"/>
        <w:rPr>
          <w:rFonts w:ascii="Arial" w:hAnsi="Arial"/>
          <w:b/>
          <w:bCs/>
          <w:color w:val="auto"/>
          <w:sz w:val="28"/>
          <w:szCs w:val="28"/>
          <w:highlight w:val="none"/>
        </w:rPr>
      </w:pPr>
      <w:r>
        <w:rPr>
          <w:rFonts w:hint="eastAsia" w:ascii="Arial" w:hAnsi="Arial"/>
          <w:b/>
          <w:bCs/>
          <w:color w:val="auto"/>
          <w:sz w:val="28"/>
          <w:szCs w:val="28"/>
          <w:highlight w:val="none"/>
        </w:rPr>
        <w:t>22.1承包人违约</w:t>
      </w:r>
    </w:p>
    <w:p w14:paraId="6216BD88">
      <w:pPr>
        <w:keepNext/>
        <w:keepLines/>
        <w:spacing w:line="360" w:lineRule="auto"/>
        <w:ind w:firstLine="482"/>
        <w:outlineLvl w:val="4"/>
        <w:rPr>
          <w:b/>
          <w:bCs/>
          <w:color w:val="auto"/>
          <w:sz w:val="28"/>
          <w:szCs w:val="28"/>
          <w:highlight w:val="none"/>
        </w:rPr>
      </w:pPr>
      <w:r>
        <w:rPr>
          <w:rFonts w:hint="eastAsia"/>
          <w:b/>
          <w:bCs/>
          <w:color w:val="auto"/>
          <w:sz w:val="28"/>
          <w:szCs w:val="28"/>
          <w:highlight w:val="none"/>
        </w:rPr>
        <w:t>22.1.1承包人违约的情形</w:t>
      </w:r>
    </w:p>
    <w:p w14:paraId="652ED12F">
      <w:pPr>
        <w:spacing w:line="360" w:lineRule="auto"/>
        <w:ind w:firstLine="480"/>
        <w:rPr>
          <w:color w:val="auto"/>
          <w:highlight w:val="none"/>
        </w:rPr>
      </w:pPr>
      <w:r>
        <w:rPr>
          <w:rFonts w:hint="eastAsia"/>
          <w:color w:val="auto"/>
          <w:highlight w:val="none"/>
        </w:rPr>
        <w:t>本项（2）目细化为：</w:t>
      </w:r>
    </w:p>
    <w:p w14:paraId="7AF2C724">
      <w:pPr>
        <w:spacing w:line="360" w:lineRule="auto"/>
        <w:ind w:firstLine="480"/>
        <w:rPr>
          <w:color w:val="auto"/>
          <w:highlight w:val="none"/>
        </w:rPr>
      </w:pPr>
      <w:r>
        <w:rPr>
          <w:rFonts w:hint="eastAsia"/>
          <w:color w:val="auto"/>
          <w:highlight w:val="none"/>
        </w:rPr>
        <w:t>（2）承包人违反第 5.3 款或第 6.4 款的约定，未经监理人批准，私自将已按合同约定进入施工场地的施工设备、临时设施、材料或工程设备撤离施工场地；</w:t>
      </w:r>
    </w:p>
    <w:p w14:paraId="25362DBC">
      <w:pPr>
        <w:spacing w:line="360" w:lineRule="auto"/>
        <w:ind w:firstLine="480"/>
        <w:rPr>
          <w:color w:val="auto"/>
          <w:highlight w:val="none"/>
        </w:rPr>
      </w:pPr>
      <w:r>
        <w:rPr>
          <w:rFonts w:hint="eastAsia"/>
          <w:color w:val="auto"/>
          <w:highlight w:val="none"/>
        </w:rPr>
        <w:t>本项（7）目细化为：</w:t>
      </w:r>
    </w:p>
    <w:p w14:paraId="0E26D902">
      <w:pPr>
        <w:spacing w:line="360" w:lineRule="auto"/>
        <w:ind w:firstLine="480"/>
        <w:rPr>
          <w:color w:val="auto"/>
          <w:highlight w:val="none"/>
        </w:rPr>
      </w:pPr>
      <w:r>
        <w:rPr>
          <w:rFonts w:hint="eastAsia"/>
          <w:color w:val="auto"/>
          <w:highlight w:val="none"/>
        </w:rPr>
        <w:t>（7）承包人未能按期开工；</w:t>
      </w:r>
    </w:p>
    <w:p w14:paraId="607D1617">
      <w:pPr>
        <w:spacing w:line="360" w:lineRule="auto"/>
        <w:ind w:firstLine="480"/>
        <w:rPr>
          <w:color w:val="auto"/>
          <w:highlight w:val="none"/>
        </w:rPr>
      </w:pPr>
      <w:r>
        <w:rPr>
          <w:rFonts w:hint="eastAsia"/>
          <w:color w:val="auto"/>
          <w:highlight w:val="none"/>
        </w:rPr>
        <w:t>（8）承包人违反第 4.6 款或第 6.3 款的规定，未按承诺或未按监理人的要求及时配备称职的主要管理人员、技术骨干或关键施工设备；</w:t>
      </w:r>
    </w:p>
    <w:p w14:paraId="5CC85A5E">
      <w:pPr>
        <w:spacing w:line="360" w:lineRule="auto"/>
        <w:ind w:firstLine="480"/>
        <w:rPr>
          <w:color w:val="auto"/>
          <w:highlight w:val="none"/>
        </w:rPr>
      </w:pPr>
      <w:r>
        <w:rPr>
          <w:rFonts w:hint="eastAsia"/>
          <w:color w:val="auto"/>
          <w:highlight w:val="none"/>
        </w:rPr>
        <w:t>（9）经监理人和发包人检查，发现承包人有安全问题或有违反安全管理规章制度的情况；</w:t>
      </w:r>
    </w:p>
    <w:p w14:paraId="33CB69CD">
      <w:pPr>
        <w:spacing w:line="360" w:lineRule="auto"/>
        <w:ind w:firstLine="480"/>
        <w:rPr>
          <w:color w:val="auto"/>
          <w:highlight w:val="none"/>
        </w:rPr>
      </w:pPr>
      <w:r>
        <w:rPr>
          <w:rFonts w:hint="eastAsia"/>
          <w:color w:val="auto"/>
          <w:highlight w:val="none"/>
        </w:rPr>
        <w:t>（10）承包人不按合同约定履行义务的其他情况。</w:t>
      </w:r>
    </w:p>
    <w:p w14:paraId="7FB871A7">
      <w:pPr>
        <w:keepNext/>
        <w:keepLines/>
        <w:spacing w:line="360" w:lineRule="auto"/>
        <w:ind w:firstLine="482"/>
        <w:outlineLvl w:val="4"/>
        <w:rPr>
          <w:b/>
          <w:bCs/>
          <w:color w:val="auto"/>
          <w:sz w:val="28"/>
          <w:szCs w:val="28"/>
          <w:highlight w:val="none"/>
        </w:rPr>
      </w:pPr>
      <w:r>
        <w:rPr>
          <w:rFonts w:hint="eastAsia"/>
          <w:b/>
          <w:bCs/>
          <w:color w:val="auto"/>
          <w:sz w:val="28"/>
          <w:szCs w:val="28"/>
          <w:highlight w:val="none"/>
        </w:rPr>
        <w:t>22.1.2对承包人违约的处理</w:t>
      </w:r>
    </w:p>
    <w:p w14:paraId="7AFD092D">
      <w:pPr>
        <w:spacing w:line="360" w:lineRule="auto"/>
        <w:ind w:firstLine="480"/>
        <w:rPr>
          <w:color w:val="auto"/>
          <w:highlight w:val="none"/>
        </w:rPr>
      </w:pPr>
      <w:r>
        <w:rPr>
          <w:rFonts w:hint="eastAsia"/>
          <w:color w:val="auto"/>
          <w:highlight w:val="none"/>
        </w:rPr>
        <w:t>本项补充：</w:t>
      </w:r>
    </w:p>
    <w:p w14:paraId="7F69B76A">
      <w:pPr>
        <w:spacing w:line="360" w:lineRule="auto"/>
        <w:ind w:firstLine="480"/>
        <w:rPr>
          <w:color w:val="auto"/>
          <w:highlight w:val="none"/>
        </w:rPr>
      </w:pPr>
      <w:r>
        <w:rPr>
          <w:rFonts w:hint="eastAsia"/>
          <w:color w:val="auto"/>
          <w:highlight w:val="none"/>
        </w:rPr>
        <w:t>（4）承包人发生第 22.1.1 项约定的违约情况时，无论发包人是否解除合同， 发包人均有权向承包人课以项目专用合同条款中规定的违约金，并由发包人将其违约行为上报省级交通运输主管部门，作为不良记录纳入公路建设市场信用信息管理系统。</w:t>
      </w:r>
    </w:p>
    <w:p w14:paraId="702C6F7D">
      <w:pPr>
        <w:keepNext/>
        <w:keepLines/>
        <w:spacing w:line="360" w:lineRule="auto"/>
        <w:outlineLvl w:val="3"/>
        <w:rPr>
          <w:rFonts w:ascii="Arial" w:hAnsi="Arial"/>
          <w:b/>
          <w:bCs/>
          <w:color w:val="auto"/>
          <w:sz w:val="28"/>
          <w:szCs w:val="28"/>
          <w:highlight w:val="none"/>
        </w:rPr>
      </w:pPr>
      <w:r>
        <w:rPr>
          <w:rFonts w:hint="eastAsia" w:ascii="Arial" w:hAnsi="Arial"/>
          <w:b/>
          <w:bCs/>
          <w:color w:val="auto"/>
          <w:sz w:val="28"/>
          <w:szCs w:val="28"/>
          <w:highlight w:val="none"/>
        </w:rPr>
        <w:t>22.2发包人违约</w:t>
      </w:r>
    </w:p>
    <w:p w14:paraId="7A8A2EAB">
      <w:pPr>
        <w:keepNext/>
        <w:keepLines/>
        <w:spacing w:line="360" w:lineRule="auto"/>
        <w:ind w:firstLine="482"/>
        <w:outlineLvl w:val="4"/>
        <w:rPr>
          <w:b/>
          <w:bCs/>
          <w:color w:val="auto"/>
          <w:sz w:val="28"/>
          <w:szCs w:val="28"/>
          <w:highlight w:val="none"/>
        </w:rPr>
      </w:pPr>
      <w:r>
        <w:rPr>
          <w:rFonts w:hint="eastAsia"/>
          <w:b/>
          <w:bCs/>
          <w:color w:val="auto"/>
          <w:sz w:val="28"/>
          <w:szCs w:val="28"/>
          <w:highlight w:val="none"/>
        </w:rPr>
        <w:t>22.2.1发包人违约的情形</w:t>
      </w:r>
    </w:p>
    <w:p w14:paraId="5E0693F3">
      <w:pPr>
        <w:spacing w:line="360" w:lineRule="auto"/>
        <w:ind w:firstLine="480"/>
        <w:rPr>
          <w:color w:val="auto"/>
          <w:highlight w:val="none"/>
        </w:rPr>
      </w:pPr>
      <w:r>
        <w:rPr>
          <w:rFonts w:hint="eastAsia"/>
          <w:color w:val="auto"/>
          <w:highlight w:val="none"/>
        </w:rPr>
        <w:t>本项（5）目细化为：</w:t>
      </w:r>
    </w:p>
    <w:p w14:paraId="5F8DC35F">
      <w:pPr>
        <w:spacing w:line="360" w:lineRule="auto"/>
        <w:ind w:firstLine="480"/>
        <w:rPr>
          <w:color w:val="auto"/>
          <w:highlight w:val="none"/>
        </w:rPr>
      </w:pPr>
      <w:r>
        <w:rPr>
          <w:rFonts w:hint="eastAsia"/>
          <w:color w:val="auto"/>
          <w:highlight w:val="none"/>
        </w:rPr>
        <w:t>（5）发包人无正当理由不按时返还履约保证金、质量保证金或农民工工资保证金的；</w:t>
      </w:r>
    </w:p>
    <w:p w14:paraId="590BADEB">
      <w:pPr>
        <w:spacing w:line="360" w:lineRule="auto"/>
        <w:ind w:firstLine="480"/>
        <w:rPr>
          <w:color w:val="auto"/>
          <w:highlight w:val="none"/>
        </w:rPr>
      </w:pPr>
      <w:r>
        <w:rPr>
          <w:rFonts w:hint="eastAsia"/>
          <w:color w:val="auto"/>
          <w:highlight w:val="none"/>
        </w:rPr>
        <w:t>（6）发包人不履行合同约定其他义务的。</w:t>
      </w:r>
    </w:p>
    <w:p w14:paraId="59C2A17B">
      <w:pPr>
        <w:keepNext/>
        <w:keepLines/>
        <w:spacing w:line="360" w:lineRule="auto"/>
        <w:ind w:firstLine="482"/>
        <w:outlineLvl w:val="4"/>
        <w:rPr>
          <w:b/>
          <w:bCs/>
          <w:color w:val="auto"/>
          <w:sz w:val="28"/>
          <w:szCs w:val="28"/>
          <w:highlight w:val="none"/>
        </w:rPr>
      </w:pPr>
      <w:r>
        <w:rPr>
          <w:rFonts w:hint="eastAsia"/>
          <w:b/>
          <w:bCs/>
          <w:color w:val="auto"/>
          <w:sz w:val="28"/>
          <w:szCs w:val="28"/>
          <w:highlight w:val="none"/>
        </w:rPr>
        <w:t>22.2.2承包人有权暂停施工</w:t>
      </w:r>
    </w:p>
    <w:p w14:paraId="59203D94">
      <w:pPr>
        <w:spacing w:line="360" w:lineRule="auto"/>
        <w:ind w:firstLine="480"/>
        <w:rPr>
          <w:color w:val="auto"/>
          <w:highlight w:val="none"/>
        </w:rPr>
      </w:pPr>
      <w:r>
        <w:rPr>
          <w:rFonts w:hint="eastAsia"/>
          <w:color w:val="auto"/>
          <w:highlight w:val="none"/>
        </w:rPr>
        <w:t>本项细化为：</w:t>
      </w:r>
    </w:p>
    <w:p w14:paraId="6CB7780C">
      <w:pPr>
        <w:spacing w:line="360" w:lineRule="auto"/>
        <w:ind w:firstLine="480"/>
        <w:rPr>
          <w:color w:val="auto"/>
          <w:highlight w:val="none"/>
        </w:rPr>
      </w:pPr>
      <w:r>
        <w:rPr>
          <w:rFonts w:hint="eastAsia"/>
          <w:color w:val="auto"/>
          <w:highlight w:val="none"/>
        </w:rPr>
        <w:t>发包人发生除第 22.2.1（4）、（5）目以外的违约情况时，承包人可向发包人发出通知，要求发包人采取有效措施纠正违约行为。发包人收到承包人通知后的 28 天内仍不履行合同义务，承包人有权暂停施工，并通知监理人，发包人应承担由此增加的费用和（或）工期延误，并支付承包人合理利润。</w:t>
      </w:r>
    </w:p>
    <w:p w14:paraId="42E43E70">
      <w:pPr>
        <w:spacing w:line="360" w:lineRule="auto"/>
        <w:ind w:firstLine="480"/>
        <w:rPr>
          <w:color w:val="auto"/>
          <w:highlight w:val="none"/>
        </w:rPr>
      </w:pPr>
      <w:r>
        <w:rPr>
          <w:rFonts w:hint="eastAsia"/>
          <w:color w:val="auto"/>
          <w:highlight w:val="none"/>
        </w:rPr>
        <w:t>发包人发生第 22.2.1（5）目的违约情况时，承包人可向发包人发出通知，要求发包人采取有效措施纠正违约行为。发包人收到承包人通知后的 28 天内仍不返还履约保证金、质量保证金或农民工工资保证金的，发包人应按项目专用合同条款的约定向承包人支付逾期返还保证金的违约金。</w:t>
      </w:r>
    </w:p>
    <w:p w14:paraId="24795480">
      <w:pPr>
        <w:keepNext/>
        <w:keepLines/>
        <w:spacing w:line="360" w:lineRule="auto"/>
        <w:ind w:firstLine="482"/>
        <w:outlineLvl w:val="4"/>
        <w:rPr>
          <w:b/>
          <w:bCs/>
          <w:color w:val="auto"/>
          <w:sz w:val="28"/>
          <w:szCs w:val="28"/>
          <w:highlight w:val="none"/>
        </w:rPr>
      </w:pPr>
      <w:r>
        <w:rPr>
          <w:rFonts w:hint="eastAsia"/>
          <w:b/>
          <w:bCs/>
          <w:color w:val="auto"/>
          <w:sz w:val="28"/>
          <w:szCs w:val="28"/>
          <w:highlight w:val="none"/>
        </w:rPr>
        <w:t>22.2.4 解除合同后的付款</w:t>
      </w:r>
    </w:p>
    <w:p w14:paraId="7FA681FD">
      <w:pPr>
        <w:spacing w:line="360" w:lineRule="auto"/>
        <w:ind w:firstLine="480"/>
        <w:rPr>
          <w:color w:val="auto"/>
          <w:highlight w:val="none"/>
        </w:rPr>
      </w:pPr>
      <w:r>
        <w:rPr>
          <w:rFonts w:hint="eastAsia"/>
          <w:color w:val="auto"/>
          <w:highlight w:val="none"/>
        </w:rPr>
        <w:t>本项（2）目细化为：</w:t>
      </w:r>
    </w:p>
    <w:p w14:paraId="56B47971">
      <w:pPr>
        <w:spacing w:line="360" w:lineRule="auto"/>
        <w:ind w:firstLine="480"/>
        <w:rPr>
          <w:color w:val="auto"/>
          <w:highlight w:val="none"/>
        </w:rPr>
      </w:pPr>
      <w:r>
        <w:rPr>
          <w:rFonts w:hint="eastAsia"/>
          <w:color w:val="auto"/>
          <w:highlight w:val="none"/>
        </w:rPr>
        <w:t>（2）承包人为该工程施工订购并已付款的材料、工程设备和其他物品的金额。发包人付款后，该材料、工程设备和其他物品归发包人所有；</w:t>
      </w:r>
    </w:p>
    <w:p w14:paraId="0D51CF67">
      <w:pPr>
        <w:keepNext/>
        <w:keepLines/>
        <w:spacing w:line="360" w:lineRule="auto"/>
        <w:outlineLvl w:val="2"/>
        <w:rPr>
          <w:b/>
          <w:bCs/>
          <w:color w:val="auto"/>
          <w:sz w:val="32"/>
          <w:szCs w:val="32"/>
          <w:highlight w:val="none"/>
        </w:rPr>
      </w:pPr>
      <w:r>
        <w:rPr>
          <w:rFonts w:hint="eastAsia"/>
          <w:b/>
          <w:bCs/>
          <w:color w:val="auto"/>
          <w:sz w:val="32"/>
          <w:szCs w:val="32"/>
          <w:highlight w:val="none"/>
        </w:rPr>
        <w:t>23.索赔</w:t>
      </w:r>
    </w:p>
    <w:p w14:paraId="2FA3D072">
      <w:pPr>
        <w:keepNext/>
        <w:keepLines/>
        <w:spacing w:line="360" w:lineRule="auto"/>
        <w:outlineLvl w:val="3"/>
        <w:rPr>
          <w:rFonts w:ascii="Arial" w:hAnsi="Arial"/>
          <w:b/>
          <w:bCs/>
          <w:color w:val="auto"/>
          <w:sz w:val="28"/>
          <w:szCs w:val="28"/>
          <w:highlight w:val="none"/>
        </w:rPr>
      </w:pPr>
      <w:r>
        <w:rPr>
          <w:rFonts w:hint="eastAsia" w:ascii="Arial" w:hAnsi="Arial"/>
          <w:b/>
          <w:bCs/>
          <w:color w:val="auto"/>
          <w:sz w:val="28"/>
          <w:szCs w:val="28"/>
          <w:highlight w:val="none"/>
        </w:rPr>
        <w:t>23.1承包人索赔的提出</w:t>
      </w:r>
    </w:p>
    <w:p w14:paraId="4C32DD6C">
      <w:pPr>
        <w:spacing w:line="360" w:lineRule="auto"/>
        <w:ind w:firstLine="480"/>
        <w:rPr>
          <w:color w:val="auto"/>
          <w:highlight w:val="none"/>
        </w:rPr>
      </w:pPr>
      <w:r>
        <w:rPr>
          <w:rFonts w:hint="eastAsia"/>
          <w:color w:val="auto"/>
          <w:highlight w:val="none"/>
        </w:rPr>
        <w:t>本款第（4）项细化为：</w:t>
      </w:r>
    </w:p>
    <w:p w14:paraId="0BF509A8">
      <w:pPr>
        <w:spacing w:line="360" w:lineRule="auto"/>
        <w:ind w:firstLine="480"/>
        <w:rPr>
          <w:color w:val="auto"/>
          <w:highlight w:val="none"/>
        </w:rPr>
      </w:pPr>
      <w:r>
        <w:rPr>
          <w:rFonts w:hint="eastAsia"/>
          <w:color w:val="auto"/>
          <w:highlight w:val="none"/>
        </w:rPr>
        <w:t>（4）在索赔事件影响结束后的 28 天内，承包人应向监理人递交最终索赔通知书，说明最终要求索赔的追加付款金额和（或）延长的工期，并附必要的记录和证明材料。</w:t>
      </w:r>
    </w:p>
    <w:p w14:paraId="5159C01B">
      <w:pPr>
        <w:keepNext/>
        <w:keepLines/>
        <w:spacing w:line="360" w:lineRule="auto"/>
        <w:outlineLvl w:val="3"/>
        <w:rPr>
          <w:rFonts w:ascii="Arial" w:hAnsi="Arial"/>
          <w:b/>
          <w:bCs/>
          <w:color w:val="auto"/>
          <w:sz w:val="28"/>
          <w:szCs w:val="28"/>
          <w:highlight w:val="none"/>
        </w:rPr>
      </w:pPr>
      <w:r>
        <w:rPr>
          <w:rFonts w:hint="eastAsia" w:ascii="Arial" w:hAnsi="Arial"/>
          <w:b/>
          <w:bCs/>
          <w:color w:val="auto"/>
          <w:sz w:val="28"/>
          <w:szCs w:val="28"/>
          <w:highlight w:val="none"/>
        </w:rPr>
        <w:t>23.2承包人索赔处理程序</w:t>
      </w:r>
    </w:p>
    <w:p w14:paraId="2F96CB6D">
      <w:pPr>
        <w:spacing w:line="360" w:lineRule="auto"/>
        <w:ind w:firstLine="480"/>
        <w:rPr>
          <w:color w:val="auto"/>
          <w:highlight w:val="none"/>
        </w:rPr>
      </w:pPr>
      <w:r>
        <w:rPr>
          <w:rFonts w:hint="eastAsia"/>
          <w:color w:val="auto"/>
          <w:highlight w:val="none"/>
        </w:rPr>
        <w:t>本款第（2）项细化为：</w:t>
      </w:r>
    </w:p>
    <w:p w14:paraId="335FC58F">
      <w:pPr>
        <w:spacing w:line="360" w:lineRule="auto"/>
        <w:ind w:firstLine="480"/>
        <w:rPr>
          <w:color w:val="auto"/>
          <w:highlight w:val="none"/>
        </w:rPr>
      </w:pPr>
      <w:r>
        <w:rPr>
          <w:rFonts w:hint="eastAsia"/>
          <w:color w:val="auto"/>
          <w:highlight w:val="none"/>
        </w:rPr>
        <w:t>（2）监理人应按第 3.5 款商定或确定追加的付款和（或）延长的工期，并在收</w:t>
      </w:r>
    </w:p>
    <w:p w14:paraId="4A87B97D">
      <w:pPr>
        <w:spacing w:line="360" w:lineRule="auto"/>
        <w:ind w:firstLine="480"/>
        <w:rPr>
          <w:color w:val="auto"/>
          <w:highlight w:val="none"/>
        </w:rPr>
      </w:pPr>
      <w:r>
        <w:rPr>
          <w:rFonts w:hint="eastAsia"/>
          <w:color w:val="auto"/>
          <w:highlight w:val="none"/>
        </w:rPr>
        <w:t>到上述索赔通知书或有关索赔的进一步证明材料后的 42 天内，将索赔处理结果报发包人批准后答复承包人。如果承包人提出的索赔要求未能遵守第 23.1（2）~（4）项的规定，则承包人只限于索赔由监理人按当时记录予以核实的那部分款额和（或） 工期延长天数。</w:t>
      </w:r>
    </w:p>
    <w:p w14:paraId="06D95762">
      <w:pPr>
        <w:keepNext/>
        <w:keepLines/>
        <w:spacing w:line="360" w:lineRule="auto"/>
        <w:outlineLvl w:val="2"/>
        <w:rPr>
          <w:b/>
          <w:bCs/>
          <w:color w:val="auto"/>
          <w:sz w:val="32"/>
          <w:szCs w:val="32"/>
          <w:highlight w:val="none"/>
        </w:rPr>
      </w:pPr>
      <w:r>
        <w:rPr>
          <w:rFonts w:hint="eastAsia"/>
          <w:b/>
          <w:bCs/>
          <w:color w:val="auto"/>
          <w:sz w:val="32"/>
          <w:szCs w:val="32"/>
          <w:highlight w:val="none"/>
        </w:rPr>
        <w:t>24.争议的解决</w:t>
      </w:r>
    </w:p>
    <w:p w14:paraId="09A0B6BA">
      <w:pPr>
        <w:keepNext/>
        <w:keepLines/>
        <w:spacing w:line="360" w:lineRule="auto"/>
        <w:outlineLvl w:val="3"/>
        <w:rPr>
          <w:rFonts w:ascii="Arial" w:hAnsi="Arial"/>
          <w:b/>
          <w:bCs/>
          <w:color w:val="auto"/>
          <w:sz w:val="28"/>
          <w:szCs w:val="28"/>
          <w:highlight w:val="none"/>
        </w:rPr>
      </w:pPr>
      <w:r>
        <w:rPr>
          <w:rFonts w:hint="eastAsia" w:ascii="Arial" w:hAnsi="Arial"/>
          <w:b/>
          <w:bCs/>
          <w:color w:val="auto"/>
          <w:sz w:val="28"/>
          <w:szCs w:val="28"/>
          <w:highlight w:val="none"/>
        </w:rPr>
        <w:t>24.3争议评审</w:t>
      </w:r>
    </w:p>
    <w:p w14:paraId="6E2AF05D">
      <w:pPr>
        <w:keepNext/>
        <w:keepLines/>
        <w:spacing w:line="360" w:lineRule="auto"/>
        <w:ind w:firstLine="482"/>
        <w:outlineLvl w:val="4"/>
        <w:rPr>
          <w:b/>
          <w:bCs/>
          <w:color w:val="auto"/>
          <w:sz w:val="28"/>
          <w:szCs w:val="28"/>
          <w:highlight w:val="none"/>
        </w:rPr>
      </w:pPr>
      <w:r>
        <w:rPr>
          <w:rFonts w:hint="eastAsia"/>
          <w:b/>
          <w:bCs/>
          <w:color w:val="auto"/>
          <w:sz w:val="28"/>
          <w:szCs w:val="28"/>
          <w:highlight w:val="none"/>
        </w:rPr>
        <w:t>第 24.3.1 项补充：</w:t>
      </w:r>
    </w:p>
    <w:p w14:paraId="38021730">
      <w:pPr>
        <w:spacing w:line="360" w:lineRule="auto"/>
        <w:ind w:firstLine="480"/>
        <w:rPr>
          <w:color w:val="auto"/>
          <w:highlight w:val="none"/>
        </w:rPr>
      </w:pPr>
      <w:r>
        <w:rPr>
          <w:rFonts w:hint="eastAsia"/>
          <w:color w:val="auto"/>
          <w:highlight w:val="none"/>
        </w:rPr>
        <w:t>争议评审组由 3 人或 5 人组成，专家的聘请方法可由发包人和承包人共同协商确定，亦可请政府主管部门推荐或通过合同争议调解机构聘请，并经双方认同。争议评审组成员应与合同双方均无利害关系。争议评审组的各项费用由发包人和承包人平均分担。</w:t>
      </w:r>
    </w:p>
    <w:p w14:paraId="05FFCD80">
      <w:pPr>
        <w:spacing w:line="360" w:lineRule="auto"/>
        <w:ind w:firstLine="480"/>
        <w:rPr>
          <w:color w:val="auto"/>
          <w:highlight w:val="none"/>
        </w:rPr>
      </w:pPr>
      <w:r>
        <w:rPr>
          <w:rFonts w:hint="eastAsia"/>
          <w:color w:val="auto"/>
          <w:highlight w:val="none"/>
        </w:rPr>
        <w:t>本条补充第 24.4 款、第 24.5 款（适用于采用仲裁方式最终解决争议的项目）：</w:t>
      </w:r>
    </w:p>
    <w:p w14:paraId="13462E4B">
      <w:pPr>
        <w:keepNext/>
        <w:keepLines/>
        <w:spacing w:line="360" w:lineRule="auto"/>
        <w:outlineLvl w:val="3"/>
        <w:rPr>
          <w:rFonts w:ascii="Arial" w:hAnsi="Arial"/>
          <w:b/>
          <w:bCs/>
          <w:color w:val="auto"/>
          <w:sz w:val="28"/>
          <w:szCs w:val="28"/>
          <w:highlight w:val="none"/>
        </w:rPr>
      </w:pPr>
      <w:r>
        <w:rPr>
          <w:rFonts w:hint="eastAsia" w:ascii="Arial" w:hAnsi="Arial"/>
          <w:b/>
          <w:bCs/>
          <w:color w:val="auto"/>
          <w:sz w:val="28"/>
          <w:szCs w:val="28"/>
          <w:highlight w:val="none"/>
        </w:rPr>
        <w:t>24.4仲裁</w:t>
      </w:r>
    </w:p>
    <w:p w14:paraId="62CC9BE6">
      <w:pPr>
        <w:spacing w:line="360" w:lineRule="auto"/>
        <w:ind w:firstLine="480"/>
        <w:rPr>
          <w:color w:val="auto"/>
          <w:highlight w:val="none"/>
        </w:rPr>
      </w:pPr>
      <w:r>
        <w:rPr>
          <w:rFonts w:hint="eastAsia"/>
          <w:color w:val="auto"/>
          <w:highlight w:val="none"/>
        </w:rPr>
        <w:t>（1）对于未能友好解决或未能通过争议评审解决的争议，发包人或承包人任一方均有权提交给第 24.1 款约定的仲裁委员会仲裁。</w:t>
      </w:r>
    </w:p>
    <w:p w14:paraId="28A98671">
      <w:pPr>
        <w:spacing w:line="360" w:lineRule="auto"/>
        <w:ind w:firstLine="480"/>
        <w:rPr>
          <w:color w:val="auto"/>
          <w:highlight w:val="none"/>
        </w:rPr>
      </w:pPr>
      <w:r>
        <w:rPr>
          <w:rFonts w:hint="eastAsia"/>
          <w:color w:val="auto"/>
          <w:highlight w:val="none"/>
        </w:rPr>
        <w:t>（2）仲裁可在交工之前或之后进行，但发包人、监理人和承包人各自的义务不得因在工程实施期间进行仲裁而有所改变。如果仲裁是在终止合同的情况下进行，则对合同工程应采取保护措施，措施费由败诉方承担。</w:t>
      </w:r>
    </w:p>
    <w:p w14:paraId="7745FDF2">
      <w:pPr>
        <w:spacing w:line="360" w:lineRule="auto"/>
        <w:ind w:firstLine="480"/>
        <w:rPr>
          <w:color w:val="auto"/>
          <w:highlight w:val="none"/>
        </w:rPr>
      </w:pPr>
      <w:r>
        <w:rPr>
          <w:rFonts w:hint="eastAsia"/>
          <w:color w:val="auto"/>
          <w:highlight w:val="none"/>
        </w:rPr>
        <w:t>（3）仲裁裁决是终局性的并对发包人和承包人双方具有约束力。</w:t>
      </w:r>
    </w:p>
    <w:p w14:paraId="48FC4E9C">
      <w:pPr>
        <w:spacing w:line="360" w:lineRule="auto"/>
        <w:ind w:firstLine="480"/>
        <w:rPr>
          <w:color w:val="auto"/>
          <w:highlight w:val="none"/>
        </w:rPr>
      </w:pPr>
      <w:r>
        <w:rPr>
          <w:rFonts w:hint="eastAsia"/>
          <w:color w:val="auto"/>
          <w:highlight w:val="none"/>
        </w:rPr>
        <w:t>（4）全部仲裁费用应由败诉方承担；或按仲裁委员会裁决的比例分担。</w:t>
      </w:r>
    </w:p>
    <w:p w14:paraId="3405C052">
      <w:pPr>
        <w:keepNext/>
        <w:keepLines/>
        <w:spacing w:line="360" w:lineRule="auto"/>
        <w:outlineLvl w:val="3"/>
        <w:rPr>
          <w:rFonts w:ascii="Arial" w:hAnsi="Arial"/>
          <w:b/>
          <w:bCs/>
          <w:color w:val="auto"/>
          <w:sz w:val="28"/>
          <w:szCs w:val="28"/>
          <w:highlight w:val="none"/>
        </w:rPr>
      </w:pPr>
      <w:r>
        <w:rPr>
          <w:rFonts w:hint="eastAsia" w:ascii="Arial" w:hAnsi="Arial"/>
          <w:b/>
          <w:bCs/>
          <w:color w:val="auto"/>
          <w:sz w:val="28"/>
          <w:szCs w:val="28"/>
          <w:highlight w:val="none"/>
        </w:rPr>
        <w:t>24.5仲裁的执行</w:t>
      </w:r>
    </w:p>
    <w:p w14:paraId="2B85201A">
      <w:pPr>
        <w:spacing w:line="360" w:lineRule="auto"/>
        <w:ind w:firstLine="480"/>
        <w:rPr>
          <w:color w:val="auto"/>
          <w:highlight w:val="none"/>
        </w:rPr>
      </w:pPr>
      <w:r>
        <w:rPr>
          <w:rFonts w:hint="eastAsia"/>
          <w:color w:val="auto"/>
          <w:highlight w:val="none"/>
        </w:rPr>
        <w:t>（1）任何一方不履行仲裁机构的裁决的，对方可以向有管辖权的人民法院申请执行。</w:t>
      </w:r>
    </w:p>
    <w:p w14:paraId="5D367446">
      <w:pPr>
        <w:widowControl/>
        <w:spacing w:line="360" w:lineRule="auto"/>
        <w:jc w:val="left"/>
        <w:rPr>
          <w:rFonts w:cs="宋体"/>
          <w:color w:val="auto"/>
          <w:highlight w:val="none"/>
        </w:rPr>
      </w:pPr>
      <w:r>
        <w:rPr>
          <w:rFonts w:hint="eastAsia"/>
          <w:color w:val="auto"/>
          <w:highlight w:val="none"/>
        </w:rPr>
        <w:t>（2）任何一方提出证据证明裁决有《中华人民共和国仲裁法》第五十八条规定情形之一的，可以向仲裁委员会所在地的中级人民法院申请撤销裁决。人民法院认定执行该裁决违背社会公共利益的，裁定不予执行。仲裁裁决被人民法院裁定不予执行的，当事人可以根据双方达成的书面仲裁协议重新申请仲裁，也可以向人民法院起诉。</w:t>
      </w:r>
      <w:r>
        <w:rPr>
          <w:rFonts w:hint="eastAsia" w:cs="宋体"/>
          <w:color w:val="auto"/>
          <w:highlight w:val="none"/>
        </w:rPr>
        <w:t xml:space="preserve"> </w:t>
      </w:r>
    </w:p>
    <w:p w14:paraId="4CEC230A">
      <w:pPr>
        <w:pStyle w:val="235"/>
        <w:rPr>
          <w:color w:val="auto"/>
          <w:highlight w:val="none"/>
        </w:rPr>
      </w:pPr>
      <w:r>
        <w:rPr>
          <w:color w:val="auto"/>
          <w:highlight w:val="none"/>
        </w:rPr>
        <w:br w:type="page" w:clear="all"/>
      </w:r>
    </w:p>
    <w:p w14:paraId="7FF7F674">
      <w:pPr>
        <w:pStyle w:val="188"/>
        <w:spacing w:before="0" w:after="0" w:line="360" w:lineRule="auto"/>
        <w:jc w:val="center"/>
        <w:rPr>
          <w:color w:val="auto"/>
          <w:highlight w:val="none"/>
        </w:rPr>
      </w:pPr>
      <w:r>
        <w:rPr>
          <w:rFonts w:hint="eastAsia"/>
          <w:color w:val="auto"/>
          <w:highlight w:val="none"/>
        </w:rPr>
        <w:t>B.项目专用合同条款</w:t>
      </w:r>
    </w:p>
    <w:p w14:paraId="5D720802">
      <w:pPr>
        <w:spacing w:line="360" w:lineRule="auto"/>
        <w:ind w:firstLine="480"/>
        <w:rPr>
          <w:color w:val="auto"/>
          <w:highlight w:val="none"/>
        </w:rPr>
      </w:pPr>
      <w:r>
        <w:rPr>
          <w:rFonts w:hint="eastAsia"/>
          <w:color w:val="auto"/>
          <w:highlight w:val="none"/>
        </w:rPr>
        <w:t>说明：</w:t>
      </w:r>
    </w:p>
    <w:p w14:paraId="5C8EB5D5">
      <w:pPr>
        <w:spacing w:line="360" w:lineRule="auto"/>
        <w:ind w:firstLine="480"/>
        <w:rPr>
          <w:color w:val="auto"/>
          <w:highlight w:val="none"/>
        </w:rPr>
      </w:pPr>
      <w:r>
        <w:rPr>
          <w:rFonts w:hint="eastAsia"/>
          <w:color w:val="auto"/>
          <w:highlight w:val="none"/>
        </w:rPr>
        <w:t>1.采购人在编制项目磋商文件中的“项目专用合同条款”时，可根据招标项目的具体特点和实际需要，对“通用合同条款”及“公路工程专用合同条款”进行补充和细化，除“通用合同条款”明确“专用合同条款”可作出不同约定以及“公路工程专用合同条款”明确“项目专用合同条款”可作出不同约定外，补充和细化的内容不得与“通用合同条款”及“公路工程专用合同条款”强制性规定相抵触。同时，补充、细化或约定的内容，不得违反法律、行政法规的强制性规定和平等、自愿、公平和诚实信用原则。</w:t>
      </w:r>
    </w:p>
    <w:p w14:paraId="655A0CEF">
      <w:pPr>
        <w:spacing w:line="360" w:lineRule="auto"/>
        <w:ind w:firstLine="480"/>
        <w:rPr>
          <w:color w:val="auto"/>
          <w:highlight w:val="none"/>
        </w:rPr>
      </w:pPr>
      <w:r>
        <w:rPr>
          <w:rFonts w:hint="eastAsia"/>
          <w:color w:val="auto"/>
          <w:highlight w:val="none"/>
        </w:rPr>
        <w:t>2.项目专用合同条款的编号应与通用合同条款和公路工程专用合同条款一致。</w:t>
      </w:r>
    </w:p>
    <w:p w14:paraId="76F5AF42">
      <w:pPr>
        <w:spacing w:line="360" w:lineRule="auto"/>
        <w:ind w:firstLine="480"/>
        <w:rPr>
          <w:color w:val="auto"/>
          <w:highlight w:val="none"/>
        </w:rPr>
      </w:pPr>
      <w:r>
        <w:rPr>
          <w:rFonts w:hint="eastAsia"/>
          <w:color w:val="auto"/>
          <w:highlight w:val="none"/>
        </w:rPr>
        <w:t>3.项目专用合同条款可对下列内容进行补充和细化：</w:t>
      </w:r>
    </w:p>
    <w:p w14:paraId="73C939B5">
      <w:pPr>
        <w:spacing w:line="360" w:lineRule="auto"/>
        <w:ind w:firstLine="480"/>
        <w:rPr>
          <w:color w:val="auto"/>
          <w:highlight w:val="none"/>
        </w:rPr>
      </w:pPr>
      <w:r>
        <w:rPr>
          <w:rFonts w:hint="eastAsia"/>
          <w:color w:val="auto"/>
          <w:highlight w:val="none"/>
        </w:rPr>
        <w:t>（1）“通用合同条款”中明确指出“专用合同条款”可对“通用合同条款”进行修改</w:t>
      </w:r>
    </w:p>
    <w:p w14:paraId="412F6B90">
      <w:pPr>
        <w:spacing w:line="360" w:lineRule="auto"/>
        <w:ind w:firstLine="480"/>
        <w:rPr>
          <w:color w:val="auto"/>
          <w:highlight w:val="none"/>
        </w:rPr>
      </w:pPr>
      <w:r>
        <w:rPr>
          <w:rFonts w:hint="eastAsia"/>
          <w:color w:val="auto"/>
          <w:highlight w:val="none"/>
        </w:rPr>
        <w:t>的内容（在“通用合同条款”中用“应按合同约定”“应按专用合同条款约定”“除合同另有约定外”“除专用合同条款另有约定外”“在专用合同条款中约定”等多种文字形式表达）；</w:t>
      </w:r>
    </w:p>
    <w:p w14:paraId="667511CF">
      <w:pPr>
        <w:spacing w:line="360" w:lineRule="auto"/>
        <w:ind w:firstLine="480"/>
        <w:rPr>
          <w:color w:val="auto"/>
          <w:highlight w:val="none"/>
        </w:rPr>
      </w:pPr>
      <w:r>
        <w:rPr>
          <w:rFonts w:hint="eastAsia"/>
          <w:color w:val="auto"/>
          <w:highlight w:val="none"/>
        </w:rPr>
        <w:t>（2）“公路工程专用合同条款”中明确指出“项目专用合同条款”可对“公路工程专用合同条款”进行修改的内容（在“公路工程专用合同条款”中用“除项目专用合同条款另有约定外”“项目专用合同条款可能约定的”“项目专用合同条款约定的其他情形” 等多种文字形式表达）。</w:t>
      </w:r>
    </w:p>
    <w:p w14:paraId="23FF0189">
      <w:pPr>
        <w:widowControl/>
        <w:spacing w:line="360" w:lineRule="auto"/>
        <w:rPr>
          <w:color w:val="auto"/>
          <w:highlight w:val="none"/>
        </w:rPr>
      </w:pPr>
      <w:r>
        <w:rPr>
          <w:rFonts w:hint="eastAsia"/>
          <w:color w:val="auto"/>
          <w:highlight w:val="none"/>
        </w:rPr>
        <w:t>其他需要补充、细化的内容。</w:t>
      </w:r>
    </w:p>
    <w:p w14:paraId="25EAF5B9">
      <w:pPr>
        <w:pStyle w:val="189"/>
        <w:spacing w:before="0" w:after="0" w:line="360" w:lineRule="auto"/>
        <w:jc w:val="center"/>
        <w:rPr>
          <w:color w:val="auto"/>
          <w:highlight w:val="none"/>
        </w:rPr>
      </w:pPr>
      <w:r>
        <w:rPr>
          <w:color w:val="auto"/>
          <w:highlight w:val="none"/>
        </w:rPr>
        <w:br w:type="page" w:clear="all"/>
      </w:r>
      <w:r>
        <w:rPr>
          <w:rFonts w:hint="eastAsia"/>
          <w:color w:val="auto"/>
          <w:highlight w:val="none"/>
        </w:rPr>
        <w:t>项目专用合同条款数据表</w:t>
      </w:r>
    </w:p>
    <w:p w14:paraId="2A877A71">
      <w:pPr>
        <w:spacing w:line="360" w:lineRule="auto"/>
        <w:ind w:firstLine="480"/>
        <w:rPr>
          <w:color w:val="auto"/>
          <w:highlight w:val="none"/>
        </w:rPr>
      </w:pPr>
    </w:p>
    <w:p w14:paraId="5604A182">
      <w:pPr>
        <w:spacing w:line="360" w:lineRule="auto"/>
        <w:ind w:firstLine="480"/>
        <w:rPr>
          <w:color w:val="auto"/>
          <w:highlight w:val="none"/>
        </w:rPr>
      </w:pPr>
      <w:r>
        <w:rPr>
          <w:rFonts w:hint="eastAsia"/>
          <w:color w:val="auto"/>
          <w:highlight w:val="none"/>
        </w:rPr>
        <w:t>说明：本数据表是项目专用合同条款中适用于本项目的信息和数据的归纳与提示， 是项目专用合同条款的组成部分。编写磋商文件的单位应仔细校核，不使数据出现差错或不一致。</w:t>
      </w:r>
    </w:p>
    <w:p w14:paraId="42FA48AB">
      <w:pPr>
        <w:pStyle w:val="235"/>
        <w:rPr>
          <w:color w:val="auto"/>
          <w:highlight w:val="none"/>
        </w:rPr>
      </w:pPr>
    </w:p>
    <w:tbl>
      <w:tblPr>
        <w:tblStyle w:val="3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29"/>
        <w:gridCol w:w="1111"/>
        <w:gridCol w:w="7305"/>
      </w:tblGrid>
      <w:tr w14:paraId="6A1C91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jc w:val="center"/>
        </w:trPr>
        <w:tc>
          <w:tcPr>
            <w:tcW w:w="629" w:type="dxa"/>
            <w:tcBorders>
              <w:top w:val="single" w:color="000000" w:sz="4" w:space="0"/>
              <w:left w:val="single" w:color="000000" w:sz="4" w:space="0"/>
              <w:bottom w:val="single" w:color="000000" w:sz="4" w:space="0"/>
              <w:right w:val="single" w:color="000000" w:sz="4" w:space="0"/>
            </w:tcBorders>
            <w:vAlign w:val="center"/>
          </w:tcPr>
          <w:p w14:paraId="249DD54F">
            <w:pPr>
              <w:pStyle w:val="386"/>
              <w:spacing w:before="90" w:line="360" w:lineRule="auto"/>
              <w:ind w:left="83" w:right="74"/>
              <w:jc w:val="center"/>
              <w:rPr>
                <w:rFonts w:hint="eastAsia" w:ascii="宋体" w:hAnsi="宋体" w:cs="宋体"/>
                <w:b/>
                <w:color w:val="auto"/>
                <w:sz w:val="21"/>
                <w:highlight w:val="none"/>
              </w:rPr>
            </w:pPr>
            <w:r>
              <w:rPr>
                <w:rFonts w:hint="eastAsia" w:ascii="宋体" w:hAnsi="宋体" w:cs="宋体"/>
                <w:b/>
                <w:color w:val="auto"/>
                <w:sz w:val="21"/>
                <w:highlight w:val="none"/>
              </w:rPr>
              <w:t>序号</w:t>
            </w:r>
          </w:p>
        </w:tc>
        <w:tc>
          <w:tcPr>
            <w:tcW w:w="1111" w:type="dxa"/>
            <w:tcBorders>
              <w:top w:val="single" w:color="000000" w:sz="4" w:space="0"/>
              <w:left w:val="single" w:color="000000" w:sz="4" w:space="0"/>
              <w:bottom w:val="single" w:color="000000" w:sz="4" w:space="0"/>
              <w:right w:val="single" w:color="000000" w:sz="4" w:space="0"/>
            </w:tcBorders>
            <w:vAlign w:val="center"/>
          </w:tcPr>
          <w:p w14:paraId="283A3476">
            <w:pPr>
              <w:pStyle w:val="386"/>
              <w:spacing w:before="90" w:line="360" w:lineRule="auto"/>
              <w:ind w:left="84" w:right="78"/>
              <w:jc w:val="center"/>
              <w:rPr>
                <w:rFonts w:hint="eastAsia" w:ascii="宋体" w:hAnsi="宋体" w:cs="宋体"/>
                <w:b/>
                <w:color w:val="auto"/>
                <w:sz w:val="21"/>
                <w:highlight w:val="none"/>
              </w:rPr>
            </w:pPr>
            <w:r>
              <w:rPr>
                <w:rFonts w:hint="eastAsia" w:ascii="宋体" w:hAnsi="宋体" w:cs="宋体"/>
                <w:b/>
                <w:color w:val="auto"/>
                <w:sz w:val="21"/>
                <w:highlight w:val="none"/>
              </w:rPr>
              <w:t>条目号</w:t>
            </w:r>
          </w:p>
        </w:tc>
        <w:tc>
          <w:tcPr>
            <w:tcW w:w="7305" w:type="dxa"/>
            <w:tcBorders>
              <w:top w:val="single" w:color="000000" w:sz="4" w:space="0"/>
              <w:left w:val="single" w:color="000000" w:sz="4" w:space="0"/>
              <w:bottom w:val="single" w:color="000000" w:sz="4" w:space="0"/>
              <w:right w:val="single" w:color="000000" w:sz="4" w:space="0"/>
            </w:tcBorders>
            <w:vAlign w:val="center"/>
          </w:tcPr>
          <w:p w14:paraId="47517349">
            <w:pPr>
              <w:pStyle w:val="386"/>
              <w:spacing w:before="90" w:line="360" w:lineRule="auto"/>
              <w:ind w:left="3106" w:right="3094"/>
              <w:jc w:val="center"/>
              <w:rPr>
                <w:rFonts w:hint="eastAsia" w:ascii="宋体" w:hAnsi="宋体" w:cs="宋体"/>
                <w:b/>
                <w:color w:val="auto"/>
                <w:sz w:val="21"/>
                <w:highlight w:val="none"/>
              </w:rPr>
            </w:pPr>
            <w:r>
              <w:rPr>
                <w:rFonts w:hint="eastAsia" w:ascii="宋体" w:hAnsi="宋体" w:cs="宋体"/>
                <w:b/>
                <w:color w:val="auto"/>
                <w:sz w:val="21"/>
                <w:highlight w:val="none"/>
              </w:rPr>
              <w:t>信息或数据</w:t>
            </w:r>
          </w:p>
        </w:tc>
      </w:tr>
      <w:tr w14:paraId="4A1D45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7" w:hRule="atLeast"/>
          <w:jc w:val="center"/>
        </w:trPr>
        <w:tc>
          <w:tcPr>
            <w:tcW w:w="629" w:type="dxa"/>
            <w:tcBorders>
              <w:top w:val="single" w:color="000000" w:sz="4" w:space="0"/>
              <w:left w:val="single" w:color="000000" w:sz="4" w:space="0"/>
              <w:bottom w:val="single" w:color="000000" w:sz="4" w:space="0"/>
              <w:right w:val="single" w:color="000000" w:sz="4" w:space="0"/>
            </w:tcBorders>
            <w:vAlign w:val="center"/>
          </w:tcPr>
          <w:p w14:paraId="115378B9">
            <w:pPr>
              <w:pStyle w:val="386"/>
              <w:spacing w:before="11" w:line="360" w:lineRule="auto"/>
              <w:rPr>
                <w:rFonts w:hint="eastAsia" w:ascii="宋体" w:hAnsi="宋体" w:cs="宋体"/>
                <w:color w:val="auto"/>
                <w:highlight w:val="none"/>
              </w:rPr>
            </w:pPr>
          </w:p>
          <w:p w14:paraId="1640C32C">
            <w:pPr>
              <w:pStyle w:val="386"/>
              <w:spacing w:line="360" w:lineRule="auto"/>
              <w:ind w:left="9"/>
              <w:jc w:val="center"/>
              <w:rPr>
                <w:rFonts w:hint="eastAsia" w:ascii="宋体" w:hAnsi="宋体" w:cs="宋体"/>
                <w:color w:val="auto"/>
                <w:sz w:val="21"/>
                <w:highlight w:val="none"/>
              </w:rPr>
            </w:pPr>
            <w:r>
              <w:rPr>
                <w:rFonts w:hint="eastAsia" w:ascii="宋体" w:hAnsi="宋体" w:cs="宋体"/>
                <w:color w:val="auto"/>
                <w:sz w:val="21"/>
                <w:highlight w:val="none"/>
              </w:rPr>
              <w:t>1</w:t>
            </w:r>
          </w:p>
        </w:tc>
        <w:tc>
          <w:tcPr>
            <w:tcW w:w="1111" w:type="dxa"/>
            <w:tcBorders>
              <w:top w:val="single" w:color="000000" w:sz="4" w:space="0"/>
              <w:left w:val="single" w:color="000000" w:sz="4" w:space="0"/>
              <w:bottom w:val="single" w:color="000000" w:sz="4" w:space="0"/>
              <w:right w:val="single" w:color="000000" w:sz="4" w:space="0"/>
            </w:tcBorders>
            <w:vAlign w:val="center"/>
          </w:tcPr>
          <w:p w14:paraId="0B23B7FA">
            <w:pPr>
              <w:pStyle w:val="386"/>
              <w:spacing w:before="11" w:line="360" w:lineRule="auto"/>
              <w:rPr>
                <w:rFonts w:hint="eastAsia" w:ascii="宋体" w:hAnsi="宋体" w:cs="宋体"/>
                <w:color w:val="auto"/>
                <w:highlight w:val="none"/>
              </w:rPr>
            </w:pPr>
          </w:p>
          <w:p w14:paraId="2700A856">
            <w:pPr>
              <w:pStyle w:val="386"/>
              <w:spacing w:line="360" w:lineRule="auto"/>
              <w:ind w:left="89" w:right="78"/>
              <w:jc w:val="center"/>
              <w:rPr>
                <w:rFonts w:hint="eastAsia" w:ascii="宋体" w:hAnsi="宋体" w:cs="宋体"/>
                <w:color w:val="auto"/>
                <w:sz w:val="21"/>
                <w:highlight w:val="none"/>
              </w:rPr>
            </w:pPr>
            <w:r>
              <w:rPr>
                <w:rFonts w:hint="eastAsia" w:ascii="宋体" w:hAnsi="宋体" w:cs="宋体"/>
                <w:color w:val="auto"/>
                <w:sz w:val="21"/>
                <w:highlight w:val="none"/>
              </w:rPr>
              <w:t>1.1.2.2</w:t>
            </w:r>
          </w:p>
        </w:tc>
        <w:tc>
          <w:tcPr>
            <w:tcW w:w="7305" w:type="dxa"/>
            <w:tcBorders>
              <w:top w:val="single" w:color="000000" w:sz="4" w:space="0"/>
              <w:left w:val="single" w:color="000000" w:sz="4" w:space="0"/>
              <w:bottom w:val="single" w:color="000000" w:sz="4" w:space="0"/>
              <w:right w:val="single" w:color="000000" w:sz="4" w:space="0"/>
            </w:tcBorders>
            <w:vAlign w:val="center"/>
          </w:tcPr>
          <w:p w14:paraId="1B3FD689">
            <w:pPr>
              <w:pStyle w:val="386"/>
              <w:spacing w:before="89" w:line="360" w:lineRule="auto"/>
              <w:ind w:left="347"/>
              <w:rPr>
                <w:rFonts w:hint="eastAsia" w:ascii="宋体" w:hAnsi="宋体" w:cs="宋体"/>
                <w:color w:val="auto"/>
                <w:sz w:val="21"/>
                <w:highlight w:val="none"/>
                <w:u w:val="single"/>
                <w:lang w:eastAsia="zh-CN"/>
              </w:rPr>
            </w:pPr>
            <w:r>
              <w:rPr>
                <w:rFonts w:hint="eastAsia" w:ascii="宋体" w:hAnsi="宋体" w:cs="宋体"/>
                <w:color w:val="auto"/>
                <w:sz w:val="21"/>
                <w:highlight w:val="none"/>
                <w:lang w:eastAsia="zh-CN"/>
              </w:rPr>
              <w:t>发 包 人：</w:t>
            </w:r>
            <w:r>
              <w:rPr>
                <w:rFonts w:hint="eastAsia" w:ascii="宋体" w:hAnsi="宋体" w:cs="宋体"/>
                <w:color w:val="auto"/>
                <w:sz w:val="21"/>
                <w:highlight w:val="none"/>
                <w:u w:val="single"/>
                <w:lang w:eastAsia="zh-CN"/>
              </w:rPr>
              <w:t xml:space="preserve"> 岑溪市筋竹镇人民政府  </w:t>
            </w:r>
          </w:p>
          <w:p w14:paraId="37A1DC7C">
            <w:pPr>
              <w:pStyle w:val="386"/>
              <w:tabs>
                <w:tab w:val="left" w:pos="979"/>
                <w:tab w:val="left" w:pos="3394"/>
              </w:tabs>
              <w:spacing w:before="91" w:line="360" w:lineRule="auto"/>
              <w:ind w:left="347"/>
              <w:rPr>
                <w:rFonts w:hint="eastAsia" w:ascii="宋体" w:hAnsi="宋体" w:cs="宋体"/>
                <w:color w:val="auto"/>
                <w:sz w:val="21"/>
                <w:highlight w:val="none"/>
                <w:u w:val="single"/>
                <w:lang w:eastAsia="zh-CN"/>
              </w:rPr>
            </w:pPr>
            <w:r>
              <w:rPr>
                <w:rFonts w:hint="eastAsia" w:ascii="宋体" w:hAnsi="宋体" w:cs="宋体"/>
                <w:color w:val="auto"/>
                <w:sz w:val="21"/>
                <w:highlight w:val="none"/>
                <w:lang w:eastAsia="zh-CN"/>
              </w:rPr>
              <w:t>地</w:t>
            </w:r>
            <w:r>
              <w:rPr>
                <w:rFonts w:hint="eastAsia" w:ascii="宋体" w:hAnsi="宋体" w:cs="宋体"/>
                <w:color w:val="auto"/>
                <w:sz w:val="21"/>
                <w:highlight w:val="none"/>
                <w:lang w:eastAsia="zh-CN"/>
              </w:rPr>
              <w:tab/>
            </w:r>
            <w:r>
              <w:rPr>
                <w:rFonts w:hint="eastAsia" w:ascii="宋体" w:hAnsi="宋体" w:cs="宋体"/>
                <w:color w:val="auto"/>
                <w:sz w:val="21"/>
                <w:highlight w:val="none"/>
                <w:lang w:eastAsia="zh-CN"/>
              </w:rPr>
              <w:t>址：</w:t>
            </w:r>
            <w:r>
              <w:rPr>
                <w:rFonts w:hint="eastAsia" w:ascii="宋体" w:hAnsi="宋体" w:cs="宋体"/>
                <w:color w:val="auto"/>
                <w:sz w:val="21"/>
                <w:szCs w:val="21"/>
                <w:highlight w:val="none"/>
                <w:u w:val="single"/>
                <w:lang w:eastAsia="zh-CN"/>
              </w:rPr>
              <w:t xml:space="preserve">  </w:t>
            </w:r>
            <w:r>
              <w:rPr>
                <w:rFonts w:hint="eastAsia" w:ascii="宋体" w:hAnsi="宋体" w:cs="宋体"/>
                <w:color w:val="auto"/>
                <w:sz w:val="21"/>
                <w:highlight w:val="none"/>
                <w:u w:val="single"/>
                <w:lang w:eastAsia="zh-CN"/>
              </w:rPr>
              <w:tab/>
            </w:r>
            <w:r>
              <w:rPr>
                <w:rFonts w:hint="eastAsia" w:ascii="宋体" w:hAnsi="宋体" w:cs="宋体"/>
                <w:color w:val="auto"/>
                <w:sz w:val="21"/>
                <w:highlight w:val="none"/>
                <w:u w:val="single"/>
                <w:lang w:eastAsia="zh-CN"/>
              </w:rPr>
              <w:t xml:space="preserve"> </w:t>
            </w:r>
          </w:p>
          <w:p w14:paraId="391F7782">
            <w:pPr>
              <w:pStyle w:val="386"/>
              <w:tabs>
                <w:tab w:val="left" w:pos="979"/>
                <w:tab w:val="left" w:pos="3394"/>
              </w:tabs>
              <w:spacing w:before="91" w:line="360" w:lineRule="auto"/>
              <w:ind w:left="347"/>
              <w:rPr>
                <w:rFonts w:hint="eastAsia" w:ascii="宋体" w:hAnsi="宋体" w:cs="宋体"/>
                <w:color w:val="auto"/>
                <w:sz w:val="21"/>
                <w:highlight w:val="none"/>
                <w:u w:val="single"/>
              </w:rPr>
            </w:pPr>
            <w:r>
              <w:rPr>
                <w:rFonts w:hint="eastAsia" w:ascii="宋体" w:hAnsi="宋体" w:cs="宋体"/>
                <w:color w:val="auto"/>
                <w:sz w:val="21"/>
                <w:highlight w:val="none"/>
              </w:rPr>
              <w:t>邮</w:t>
            </w:r>
            <w:r>
              <w:rPr>
                <w:rFonts w:hint="eastAsia" w:ascii="宋体" w:hAnsi="宋体" w:cs="宋体"/>
                <w:color w:val="auto"/>
                <w:spacing w:val="-3"/>
                <w:sz w:val="21"/>
                <w:highlight w:val="none"/>
              </w:rPr>
              <w:t>政</w:t>
            </w:r>
            <w:r>
              <w:rPr>
                <w:rFonts w:hint="eastAsia" w:ascii="宋体" w:hAnsi="宋体" w:cs="宋体"/>
                <w:color w:val="auto"/>
                <w:sz w:val="21"/>
                <w:highlight w:val="none"/>
              </w:rPr>
              <w:t>编</w:t>
            </w:r>
            <w:r>
              <w:rPr>
                <w:rFonts w:hint="eastAsia" w:ascii="宋体" w:hAnsi="宋体" w:cs="宋体"/>
                <w:color w:val="auto"/>
                <w:spacing w:val="-3"/>
                <w:sz w:val="21"/>
                <w:highlight w:val="none"/>
              </w:rPr>
              <w:t>码</w:t>
            </w:r>
            <w:r>
              <w:rPr>
                <w:rFonts w:hint="eastAsia" w:ascii="宋体" w:hAnsi="宋体" w:cs="宋体"/>
                <w:color w:val="auto"/>
                <w:sz w:val="21"/>
                <w:highlight w:val="none"/>
              </w:rPr>
              <w:t>：</w:t>
            </w:r>
            <w:r>
              <w:rPr>
                <w:rFonts w:hint="eastAsia" w:ascii="宋体" w:hAnsi="宋体" w:cs="宋体"/>
                <w:color w:val="auto"/>
                <w:sz w:val="21"/>
                <w:highlight w:val="none"/>
                <w:u w:val="single"/>
                <w:lang w:eastAsia="zh-CN"/>
              </w:rPr>
              <w:t xml:space="preserve">           </w:t>
            </w:r>
            <w:r>
              <w:rPr>
                <w:rFonts w:hint="eastAsia" w:ascii="宋体" w:hAnsi="宋体" w:cs="宋体"/>
                <w:color w:val="auto"/>
                <w:sz w:val="21"/>
                <w:szCs w:val="21"/>
                <w:highlight w:val="none"/>
                <w:u w:val="single"/>
              </w:rPr>
              <w:t xml:space="preserve">         </w:t>
            </w:r>
          </w:p>
        </w:tc>
      </w:tr>
      <w:tr w14:paraId="390573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5" w:hRule="atLeast"/>
          <w:jc w:val="center"/>
        </w:trPr>
        <w:tc>
          <w:tcPr>
            <w:tcW w:w="629" w:type="dxa"/>
            <w:tcBorders>
              <w:top w:val="single" w:color="000000" w:sz="4" w:space="0"/>
              <w:left w:val="single" w:color="000000" w:sz="4" w:space="0"/>
              <w:bottom w:val="single" w:color="000000" w:sz="4" w:space="0"/>
              <w:right w:val="single" w:color="000000" w:sz="4" w:space="0"/>
            </w:tcBorders>
            <w:vAlign w:val="center"/>
          </w:tcPr>
          <w:p w14:paraId="0274DB2D">
            <w:pPr>
              <w:pStyle w:val="386"/>
              <w:spacing w:before="1" w:line="360" w:lineRule="auto"/>
              <w:rPr>
                <w:rFonts w:hint="eastAsia" w:ascii="宋体" w:hAnsi="宋体" w:cs="宋体"/>
                <w:color w:val="auto"/>
                <w:sz w:val="23"/>
                <w:highlight w:val="none"/>
              </w:rPr>
            </w:pPr>
          </w:p>
          <w:p w14:paraId="74F7A1D2">
            <w:pPr>
              <w:pStyle w:val="386"/>
              <w:spacing w:line="360" w:lineRule="auto"/>
              <w:ind w:left="9"/>
              <w:jc w:val="center"/>
              <w:rPr>
                <w:rFonts w:hint="eastAsia" w:ascii="宋体" w:hAnsi="宋体" w:cs="宋体"/>
                <w:color w:val="auto"/>
                <w:sz w:val="21"/>
                <w:highlight w:val="none"/>
              </w:rPr>
            </w:pPr>
            <w:r>
              <w:rPr>
                <w:rFonts w:hint="eastAsia" w:ascii="宋体" w:hAnsi="宋体" w:cs="宋体"/>
                <w:color w:val="auto"/>
                <w:sz w:val="21"/>
                <w:highlight w:val="none"/>
              </w:rPr>
              <w:t>2</w:t>
            </w:r>
          </w:p>
        </w:tc>
        <w:tc>
          <w:tcPr>
            <w:tcW w:w="1111" w:type="dxa"/>
            <w:tcBorders>
              <w:top w:val="single" w:color="000000" w:sz="4" w:space="0"/>
              <w:left w:val="single" w:color="000000" w:sz="4" w:space="0"/>
              <w:bottom w:val="single" w:color="000000" w:sz="4" w:space="0"/>
              <w:right w:val="single" w:color="000000" w:sz="4" w:space="0"/>
            </w:tcBorders>
            <w:vAlign w:val="center"/>
          </w:tcPr>
          <w:p w14:paraId="2FB89363">
            <w:pPr>
              <w:pStyle w:val="386"/>
              <w:spacing w:before="1" w:line="360" w:lineRule="auto"/>
              <w:rPr>
                <w:rFonts w:hint="eastAsia" w:ascii="宋体" w:hAnsi="宋体" w:cs="宋体"/>
                <w:color w:val="auto"/>
                <w:sz w:val="23"/>
                <w:highlight w:val="none"/>
              </w:rPr>
            </w:pPr>
          </w:p>
          <w:p w14:paraId="7F104CDD">
            <w:pPr>
              <w:pStyle w:val="386"/>
              <w:spacing w:line="360" w:lineRule="auto"/>
              <w:ind w:left="89" w:right="78"/>
              <w:jc w:val="center"/>
              <w:rPr>
                <w:rFonts w:hint="eastAsia" w:ascii="宋体" w:hAnsi="宋体" w:cs="宋体"/>
                <w:color w:val="auto"/>
                <w:sz w:val="21"/>
                <w:highlight w:val="none"/>
              </w:rPr>
            </w:pPr>
            <w:r>
              <w:rPr>
                <w:rFonts w:hint="eastAsia" w:ascii="宋体" w:hAnsi="宋体" w:cs="宋体"/>
                <w:color w:val="auto"/>
                <w:sz w:val="21"/>
                <w:highlight w:val="none"/>
              </w:rPr>
              <w:t>1.1.2.6</w:t>
            </w:r>
          </w:p>
        </w:tc>
        <w:tc>
          <w:tcPr>
            <w:tcW w:w="7305" w:type="dxa"/>
            <w:tcBorders>
              <w:top w:val="single" w:color="000000" w:sz="4" w:space="0"/>
              <w:left w:val="single" w:color="000000" w:sz="4" w:space="0"/>
              <w:bottom w:val="single" w:color="000000" w:sz="4" w:space="0"/>
              <w:right w:val="single" w:color="000000" w:sz="4" w:space="0"/>
            </w:tcBorders>
            <w:vAlign w:val="center"/>
          </w:tcPr>
          <w:p w14:paraId="3121E598">
            <w:pPr>
              <w:pStyle w:val="386"/>
              <w:spacing w:before="92" w:line="360" w:lineRule="auto"/>
              <w:ind w:left="347"/>
              <w:rPr>
                <w:rFonts w:hint="eastAsia" w:ascii="宋体" w:hAnsi="宋体" w:cs="宋体"/>
                <w:color w:val="auto"/>
                <w:sz w:val="21"/>
                <w:highlight w:val="none"/>
                <w:u w:val="single"/>
                <w:lang w:eastAsia="zh-CN"/>
              </w:rPr>
            </w:pPr>
            <w:r>
              <w:rPr>
                <w:rFonts w:hint="eastAsia" w:ascii="宋体" w:hAnsi="宋体" w:cs="宋体"/>
                <w:color w:val="auto"/>
                <w:sz w:val="21"/>
                <w:highlight w:val="none"/>
                <w:lang w:eastAsia="zh-CN"/>
              </w:rPr>
              <w:t>监 理 人：</w:t>
            </w:r>
            <w:r>
              <w:rPr>
                <w:rFonts w:hint="eastAsia" w:ascii="宋体" w:hAnsi="宋体" w:cs="宋体"/>
                <w:color w:val="auto"/>
                <w:sz w:val="21"/>
                <w:szCs w:val="21"/>
                <w:highlight w:val="none"/>
                <w:lang w:eastAsia="zh-CN"/>
              </w:rPr>
              <w:t>待定</w:t>
            </w:r>
          </w:p>
          <w:p w14:paraId="48B78884">
            <w:pPr>
              <w:pStyle w:val="386"/>
              <w:tabs>
                <w:tab w:val="left" w:pos="979"/>
                <w:tab w:val="left" w:pos="3394"/>
              </w:tabs>
              <w:spacing w:before="91" w:line="360" w:lineRule="auto"/>
              <w:ind w:left="347"/>
              <w:rPr>
                <w:rFonts w:hint="eastAsia" w:ascii="宋体" w:hAnsi="宋体" w:cs="宋体"/>
                <w:color w:val="auto"/>
                <w:sz w:val="21"/>
                <w:highlight w:val="none"/>
                <w:lang w:eastAsia="zh-CN"/>
              </w:rPr>
            </w:pPr>
            <w:r>
              <w:rPr>
                <w:rFonts w:hint="eastAsia" w:ascii="宋体" w:hAnsi="宋体" w:cs="宋体"/>
                <w:color w:val="auto"/>
                <w:sz w:val="21"/>
                <w:highlight w:val="none"/>
                <w:lang w:eastAsia="zh-CN"/>
              </w:rPr>
              <w:t>地</w:t>
            </w:r>
            <w:r>
              <w:rPr>
                <w:rFonts w:hint="eastAsia" w:ascii="宋体" w:hAnsi="宋体" w:cs="宋体"/>
                <w:color w:val="auto"/>
                <w:sz w:val="21"/>
                <w:highlight w:val="none"/>
                <w:lang w:eastAsia="zh-CN"/>
              </w:rPr>
              <w:tab/>
            </w:r>
            <w:r>
              <w:rPr>
                <w:rFonts w:hint="eastAsia" w:ascii="宋体" w:hAnsi="宋体" w:cs="宋体"/>
                <w:color w:val="auto"/>
                <w:sz w:val="21"/>
                <w:highlight w:val="none"/>
                <w:lang w:eastAsia="zh-CN"/>
              </w:rPr>
              <w:t>址：</w:t>
            </w:r>
            <w:r>
              <w:rPr>
                <w:rFonts w:hint="eastAsia" w:ascii="宋体" w:hAnsi="宋体" w:cs="宋体"/>
                <w:color w:val="auto"/>
                <w:highlight w:val="none"/>
                <w:u w:val="single"/>
                <w:lang w:eastAsia="zh-CN"/>
              </w:rPr>
              <w:t xml:space="preserve">                </w:t>
            </w:r>
            <w:r>
              <w:rPr>
                <w:rFonts w:hint="eastAsia" w:ascii="宋体" w:hAnsi="宋体" w:cs="宋体"/>
                <w:color w:val="auto"/>
                <w:sz w:val="21"/>
                <w:highlight w:val="none"/>
                <w:lang w:eastAsia="zh-CN"/>
              </w:rPr>
              <w:tab/>
            </w:r>
          </w:p>
          <w:p w14:paraId="34151579">
            <w:pPr>
              <w:pStyle w:val="386"/>
              <w:tabs>
                <w:tab w:val="left" w:pos="979"/>
                <w:tab w:val="left" w:pos="3394"/>
              </w:tabs>
              <w:spacing w:before="91" w:line="360" w:lineRule="auto"/>
              <w:ind w:left="347"/>
              <w:rPr>
                <w:rFonts w:hint="eastAsia" w:ascii="宋体" w:hAnsi="宋体" w:cs="宋体"/>
                <w:color w:val="auto"/>
                <w:sz w:val="21"/>
                <w:highlight w:val="none"/>
                <w:u w:val="single"/>
                <w:lang w:eastAsia="zh-CN"/>
              </w:rPr>
            </w:pPr>
            <w:r>
              <w:rPr>
                <w:rFonts w:hint="eastAsia" w:ascii="宋体" w:hAnsi="宋体" w:cs="宋体"/>
                <w:color w:val="auto"/>
                <w:sz w:val="21"/>
                <w:highlight w:val="none"/>
                <w:lang w:eastAsia="zh-CN"/>
              </w:rPr>
              <w:t>邮</w:t>
            </w:r>
            <w:r>
              <w:rPr>
                <w:rFonts w:hint="eastAsia" w:ascii="宋体" w:hAnsi="宋体" w:cs="宋体"/>
                <w:color w:val="auto"/>
                <w:spacing w:val="-3"/>
                <w:sz w:val="21"/>
                <w:highlight w:val="none"/>
                <w:lang w:eastAsia="zh-CN"/>
              </w:rPr>
              <w:t>政</w:t>
            </w:r>
            <w:r>
              <w:rPr>
                <w:rFonts w:hint="eastAsia" w:ascii="宋体" w:hAnsi="宋体" w:cs="宋体"/>
                <w:color w:val="auto"/>
                <w:sz w:val="21"/>
                <w:highlight w:val="none"/>
                <w:lang w:eastAsia="zh-CN"/>
              </w:rPr>
              <w:t>编</w:t>
            </w:r>
            <w:r>
              <w:rPr>
                <w:rFonts w:hint="eastAsia" w:ascii="宋体" w:hAnsi="宋体" w:cs="宋体"/>
                <w:color w:val="auto"/>
                <w:spacing w:val="-3"/>
                <w:sz w:val="21"/>
                <w:highlight w:val="none"/>
                <w:lang w:eastAsia="zh-CN"/>
              </w:rPr>
              <w:t>码</w:t>
            </w:r>
            <w:r>
              <w:rPr>
                <w:rFonts w:hint="eastAsia" w:ascii="宋体" w:hAnsi="宋体" w:cs="宋体"/>
                <w:color w:val="auto"/>
                <w:sz w:val="21"/>
                <w:highlight w:val="none"/>
                <w:lang w:eastAsia="zh-CN"/>
              </w:rPr>
              <w:t>：</w:t>
            </w:r>
            <w:r>
              <w:rPr>
                <w:rFonts w:hint="eastAsia" w:ascii="宋体" w:hAnsi="宋体" w:cs="宋体"/>
                <w:color w:val="auto"/>
                <w:highlight w:val="none"/>
                <w:u w:val="single"/>
                <w:lang w:eastAsia="zh-CN"/>
              </w:rPr>
              <w:t xml:space="preserve">                   </w:t>
            </w:r>
          </w:p>
        </w:tc>
      </w:tr>
      <w:tr w14:paraId="76B6C1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1" w:hRule="atLeast"/>
          <w:jc w:val="center"/>
        </w:trPr>
        <w:tc>
          <w:tcPr>
            <w:tcW w:w="629" w:type="dxa"/>
            <w:tcBorders>
              <w:top w:val="single" w:color="000000" w:sz="4" w:space="0"/>
              <w:left w:val="single" w:color="000000" w:sz="4" w:space="0"/>
              <w:bottom w:val="single" w:color="000000" w:sz="4" w:space="0"/>
              <w:right w:val="single" w:color="000000" w:sz="4" w:space="0"/>
            </w:tcBorders>
            <w:vAlign w:val="center"/>
          </w:tcPr>
          <w:p w14:paraId="3C17D926">
            <w:pPr>
              <w:pStyle w:val="386"/>
              <w:spacing w:before="113" w:line="360" w:lineRule="auto"/>
              <w:ind w:left="9"/>
              <w:jc w:val="center"/>
              <w:rPr>
                <w:rFonts w:hint="eastAsia" w:ascii="宋体" w:hAnsi="宋体" w:cs="宋体"/>
                <w:color w:val="auto"/>
                <w:sz w:val="21"/>
                <w:highlight w:val="none"/>
              </w:rPr>
            </w:pPr>
            <w:r>
              <w:rPr>
                <w:rFonts w:hint="eastAsia" w:ascii="宋体" w:hAnsi="宋体" w:cs="宋体"/>
                <w:color w:val="auto"/>
                <w:sz w:val="21"/>
                <w:highlight w:val="none"/>
              </w:rPr>
              <w:t>3</w:t>
            </w:r>
          </w:p>
        </w:tc>
        <w:tc>
          <w:tcPr>
            <w:tcW w:w="1111" w:type="dxa"/>
            <w:tcBorders>
              <w:top w:val="single" w:color="000000" w:sz="4" w:space="0"/>
              <w:left w:val="single" w:color="000000" w:sz="4" w:space="0"/>
              <w:bottom w:val="single" w:color="000000" w:sz="4" w:space="0"/>
              <w:right w:val="single" w:color="000000" w:sz="4" w:space="0"/>
            </w:tcBorders>
            <w:vAlign w:val="center"/>
          </w:tcPr>
          <w:p w14:paraId="58FFA05E">
            <w:pPr>
              <w:pStyle w:val="386"/>
              <w:spacing w:before="113" w:line="360" w:lineRule="auto"/>
              <w:ind w:left="89" w:right="78"/>
              <w:jc w:val="center"/>
              <w:rPr>
                <w:rFonts w:hint="eastAsia" w:ascii="宋体" w:hAnsi="宋体" w:cs="宋体"/>
                <w:color w:val="auto"/>
                <w:sz w:val="21"/>
                <w:highlight w:val="none"/>
              </w:rPr>
            </w:pPr>
            <w:r>
              <w:rPr>
                <w:rFonts w:hint="eastAsia" w:ascii="宋体" w:hAnsi="宋体" w:cs="宋体"/>
                <w:color w:val="auto"/>
                <w:sz w:val="21"/>
                <w:highlight w:val="none"/>
              </w:rPr>
              <w:t>1.1.4.5</w:t>
            </w:r>
          </w:p>
        </w:tc>
        <w:tc>
          <w:tcPr>
            <w:tcW w:w="7305" w:type="dxa"/>
            <w:tcBorders>
              <w:top w:val="single" w:color="000000" w:sz="4" w:space="0"/>
              <w:left w:val="single" w:color="000000" w:sz="4" w:space="0"/>
              <w:bottom w:val="single" w:color="000000" w:sz="4" w:space="0"/>
              <w:right w:val="single" w:color="000000" w:sz="4" w:space="0"/>
            </w:tcBorders>
            <w:vAlign w:val="center"/>
          </w:tcPr>
          <w:p w14:paraId="42B60B36">
            <w:pPr>
              <w:pStyle w:val="386"/>
              <w:tabs>
                <w:tab w:val="left" w:pos="4025"/>
              </w:tabs>
              <w:spacing w:before="89" w:line="360" w:lineRule="auto"/>
              <w:ind w:left="347"/>
              <w:rPr>
                <w:rFonts w:hint="eastAsia" w:ascii="宋体" w:hAnsi="宋体" w:cs="宋体"/>
                <w:color w:val="auto"/>
                <w:sz w:val="11"/>
                <w:highlight w:val="none"/>
                <w:lang w:eastAsia="zh-CN"/>
              </w:rPr>
            </w:pPr>
            <w:r>
              <w:rPr>
                <w:rFonts w:hint="eastAsia" w:ascii="宋体" w:hAnsi="宋体" w:cs="宋体"/>
                <w:color w:val="auto"/>
                <w:sz w:val="21"/>
                <w:highlight w:val="none"/>
                <w:lang w:eastAsia="zh-CN"/>
              </w:rPr>
              <w:t>缺陷</w:t>
            </w:r>
            <w:r>
              <w:rPr>
                <w:rFonts w:hint="eastAsia" w:ascii="宋体" w:hAnsi="宋体" w:cs="宋体"/>
                <w:color w:val="auto"/>
                <w:spacing w:val="-3"/>
                <w:sz w:val="21"/>
                <w:highlight w:val="none"/>
                <w:lang w:eastAsia="zh-CN"/>
              </w:rPr>
              <w:t>责</w:t>
            </w:r>
            <w:r>
              <w:rPr>
                <w:rFonts w:hint="eastAsia" w:ascii="宋体" w:hAnsi="宋体" w:cs="宋体"/>
                <w:color w:val="auto"/>
                <w:sz w:val="21"/>
                <w:highlight w:val="none"/>
                <w:lang w:eastAsia="zh-CN"/>
              </w:rPr>
              <w:t>任</w:t>
            </w:r>
            <w:r>
              <w:rPr>
                <w:rFonts w:hint="eastAsia" w:ascii="宋体" w:hAnsi="宋体" w:cs="宋体"/>
                <w:color w:val="auto"/>
                <w:spacing w:val="-3"/>
                <w:sz w:val="21"/>
                <w:highlight w:val="none"/>
                <w:lang w:eastAsia="zh-CN"/>
              </w:rPr>
              <w:t>期</w:t>
            </w:r>
            <w:r>
              <w:rPr>
                <w:rFonts w:hint="eastAsia" w:ascii="宋体" w:hAnsi="宋体" w:cs="宋体"/>
                <w:color w:val="auto"/>
                <w:sz w:val="21"/>
                <w:highlight w:val="none"/>
                <w:lang w:eastAsia="zh-CN"/>
              </w:rPr>
              <w:t>：</w:t>
            </w:r>
            <w:r>
              <w:rPr>
                <w:rFonts w:hint="eastAsia" w:ascii="宋体" w:hAnsi="宋体" w:cs="宋体"/>
                <w:color w:val="auto"/>
                <w:spacing w:val="-3"/>
                <w:sz w:val="21"/>
                <w:highlight w:val="none"/>
                <w:lang w:eastAsia="zh-CN"/>
              </w:rPr>
              <w:t>自</w:t>
            </w:r>
            <w:r>
              <w:rPr>
                <w:rFonts w:hint="eastAsia" w:ascii="宋体" w:hAnsi="宋体" w:cs="宋体"/>
                <w:color w:val="auto"/>
                <w:sz w:val="21"/>
                <w:highlight w:val="none"/>
                <w:lang w:eastAsia="zh-CN"/>
              </w:rPr>
              <w:t>实</w:t>
            </w:r>
            <w:r>
              <w:rPr>
                <w:rFonts w:hint="eastAsia" w:ascii="宋体" w:hAnsi="宋体" w:cs="宋体"/>
                <w:color w:val="auto"/>
                <w:spacing w:val="-3"/>
                <w:sz w:val="21"/>
                <w:highlight w:val="none"/>
                <w:lang w:eastAsia="zh-CN"/>
              </w:rPr>
              <w:t>际</w:t>
            </w:r>
            <w:r>
              <w:rPr>
                <w:rFonts w:hint="eastAsia" w:ascii="宋体" w:hAnsi="宋体" w:cs="宋体"/>
                <w:color w:val="auto"/>
                <w:sz w:val="21"/>
                <w:highlight w:val="none"/>
                <w:lang w:eastAsia="zh-CN"/>
              </w:rPr>
              <w:t>交</w:t>
            </w:r>
            <w:r>
              <w:rPr>
                <w:rFonts w:hint="eastAsia" w:ascii="宋体" w:hAnsi="宋体" w:cs="宋体"/>
                <w:color w:val="auto"/>
                <w:spacing w:val="-3"/>
                <w:sz w:val="21"/>
                <w:highlight w:val="none"/>
                <w:lang w:eastAsia="zh-CN"/>
              </w:rPr>
              <w:t>工</w:t>
            </w:r>
            <w:r>
              <w:rPr>
                <w:rFonts w:hint="eastAsia" w:ascii="宋体" w:hAnsi="宋体" w:cs="宋体"/>
                <w:color w:val="auto"/>
                <w:sz w:val="21"/>
                <w:highlight w:val="none"/>
                <w:lang w:eastAsia="zh-CN"/>
              </w:rPr>
              <w:t>日期</w:t>
            </w:r>
            <w:r>
              <w:rPr>
                <w:rFonts w:hint="eastAsia" w:ascii="宋体" w:hAnsi="宋体" w:cs="宋体"/>
                <w:color w:val="auto"/>
                <w:spacing w:val="-3"/>
                <w:sz w:val="21"/>
                <w:highlight w:val="none"/>
                <w:lang w:eastAsia="zh-CN"/>
              </w:rPr>
              <w:t>起</w:t>
            </w:r>
            <w:r>
              <w:rPr>
                <w:rFonts w:hint="eastAsia" w:ascii="宋体" w:hAnsi="宋体" w:cs="宋体"/>
                <w:color w:val="auto"/>
                <w:sz w:val="21"/>
                <w:highlight w:val="none"/>
                <w:lang w:eastAsia="zh-CN"/>
              </w:rPr>
              <w:t>计</w:t>
            </w:r>
            <w:r>
              <w:rPr>
                <w:rFonts w:hint="eastAsia" w:ascii="宋体" w:hAnsi="宋体" w:cs="宋体"/>
                <w:color w:val="auto"/>
                <w:spacing w:val="-3"/>
                <w:sz w:val="21"/>
                <w:highlight w:val="none"/>
                <w:lang w:eastAsia="zh-CN"/>
              </w:rPr>
              <w:t>算</w:t>
            </w:r>
            <w:r>
              <w:rPr>
                <w:rFonts w:hint="eastAsia" w:ascii="宋体" w:hAnsi="宋体" w:cs="宋体"/>
                <w:color w:val="auto"/>
                <w:spacing w:val="-3"/>
                <w:sz w:val="21"/>
                <w:highlight w:val="none"/>
                <w:u w:val="single"/>
                <w:lang w:eastAsia="zh-CN"/>
              </w:rPr>
              <w:t>1</w:t>
            </w:r>
            <w:r>
              <w:rPr>
                <w:rFonts w:hint="eastAsia" w:ascii="宋体" w:hAnsi="宋体" w:cs="宋体"/>
                <w:color w:val="auto"/>
                <w:spacing w:val="-3"/>
                <w:sz w:val="21"/>
                <w:highlight w:val="none"/>
                <w:lang w:eastAsia="zh-CN"/>
              </w:rPr>
              <w:t>年</w:t>
            </w:r>
          </w:p>
        </w:tc>
      </w:tr>
      <w:tr w14:paraId="6E65ED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8" w:hRule="atLeast"/>
          <w:jc w:val="center"/>
        </w:trPr>
        <w:tc>
          <w:tcPr>
            <w:tcW w:w="629" w:type="dxa"/>
            <w:tcBorders>
              <w:top w:val="single" w:color="000000" w:sz="4" w:space="0"/>
              <w:left w:val="single" w:color="000000" w:sz="4" w:space="0"/>
              <w:bottom w:val="single" w:color="000000" w:sz="4" w:space="0"/>
              <w:right w:val="single" w:color="000000" w:sz="4" w:space="0"/>
            </w:tcBorders>
            <w:vAlign w:val="center"/>
          </w:tcPr>
          <w:p w14:paraId="4357B52C">
            <w:pPr>
              <w:pStyle w:val="386"/>
              <w:spacing w:before="11" w:line="360" w:lineRule="auto"/>
              <w:rPr>
                <w:rFonts w:hint="eastAsia" w:ascii="宋体" w:hAnsi="宋体" w:cs="宋体"/>
                <w:color w:val="auto"/>
                <w:highlight w:val="none"/>
                <w:lang w:eastAsia="zh-CN"/>
              </w:rPr>
            </w:pPr>
          </w:p>
          <w:p w14:paraId="319A5451">
            <w:pPr>
              <w:pStyle w:val="386"/>
              <w:spacing w:line="360" w:lineRule="auto"/>
              <w:ind w:left="9"/>
              <w:jc w:val="center"/>
              <w:rPr>
                <w:rFonts w:hint="eastAsia" w:ascii="宋体" w:hAnsi="宋体" w:cs="宋体"/>
                <w:color w:val="auto"/>
                <w:sz w:val="21"/>
                <w:highlight w:val="none"/>
              </w:rPr>
            </w:pPr>
            <w:r>
              <w:rPr>
                <w:rFonts w:hint="eastAsia" w:ascii="宋体" w:hAnsi="宋体" w:cs="宋体"/>
                <w:color w:val="auto"/>
                <w:sz w:val="21"/>
                <w:highlight w:val="none"/>
              </w:rPr>
              <w:t>4</w:t>
            </w:r>
          </w:p>
        </w:tc>
        <w:tc>
          <w:tcPr>
            <w:tcW w:w="1111" w:type="dxa"/>
            <w:tcBorders>
              <w:top w:val="single" w:color="000000" w:sz="4" w:space="0"/>
              <w:left w:val="single" w:color="000000" w:sz="4" w:space="0"/>
              <w:bottom w:val="single" w:color="000000" w:sz="4" w:space="0"/>
              <w:right w:val="single" w:color="000000" w:sz="4" w:space="0"/>
            </w:tcBorders>
            <w:vAlign w:val="center"/>
          </w:tcPr>
          <w:p w14:paraId="0FACDCC8">
            <w:pPr>
              <w:pStyle w:val="386"/>
              <w:spacing w:before="11" w:line="360" w:lineRule="auto"/>
              <w:rPr>
                <w:rFonts w:hint="eastAsia" w:ascii="宋体" w:hAnsi="宋体" w:cs="宋体"/>
                <w:color w:val="auto"/>
                <w:highlight w:val="none"/>
              </w:rPr>
            </w:pPr>
          </w:p>
          <w:p w14:paraId="4E906DF3">
            <w:pPr>
              <w:pStyle w:val="386"/>
              <w:spacing w:line="360" w:lineRule="auto"/>
              <w:ind w:left="89" w:right="78"/>
              <w:jc w:val="center"/>
              <w:rPr>
                <w:rFonts w:hint="eastAsia" w:ascii="宋体" w:hAnsi="宋体" w:cs="宋体"/>
                <w:color w:val="auto"/>
                <w:sz w:val="21"/>
                <w:highlight w:val="none"/>
              </w:rPr>
            </w:pPr>
            <w:r>
              <w:rPr>
                <w:rFonts w:hint="eastAsia" w:ascii="宋体" w:hAnsi="宋体" w:cs="宋体"/>
                <w:color w:val="auto"/>
                <w:sz w:val="21"/>
                <w:highlight w:val="none"/>
              </w:rPr>
              <w:t>1.6.3</w:t>
            </w:r>
          </w:p>
        </w:tc>
        <w:tc>
          <w:tcPr>
            <w:tcW w:w="7305" w:type="dxa"/>
            <w:tcBorders>
              <w:top w:val="single" w:color="000000" w:sz="4" w:space="0"/>
              <w:left w:val="single" w:color="000000" w:sz="4" w:space="0"/>
              <w:bottom w:val="single" w:color="000000" w:sz="4" w:space="0"/>
              <w:right w:val="single" w:color="000000" w:sz="4" w:space="0"/>
            </w:tcBorders>
            <w:vAlign w:val="center"/>
          </w:tcPr>
          <w:p w14:paraId="29CB79EE">
            <w:pPr>
              <w:pStyle w:val="386"/>
              <w:tabs>
                <w:tab w:val="left" w:pos="1893"/>
              </w:tabs>
              <w:spacing w:before="12" w:line="360" w:lineRule="auto"/>
              <w:ind w:left="107" w:right="91" w:firstLine="240"/>
              <w:rPr>
                <w:rFonts w:hint="eastAsia" w:ascii="宋体" w:hAnsi="宋体" w:cs="宋体"/>
                <w:color w:val="auto"/>
                <w:sz w:val="21"/>
                <w:highlight w:val="none"/>
                <w:lang w:eastAsia="zh-CN"/>
              </w:rPr>
            </w:pPr>
            <w:r>
              <w:rPr>
                <w:rFonts w:hint="eastAsia" w:ascii="宋体" w:hAnsi="宋体" w:cs="宋体"/>
                <w:color w:val="auto"/>
                <w:sz w:val="21"/>
                <w:highlight w:val="none"/>
                <w:lang w:eastAsia="zh-CN"/>
              </w:rPr>
              <w:t>图纸</w:t>
            </w:r>
            <w:r>
              <w:rPr>
                <w:rFonts w:hint="eastAsia" w:ascii="宋体" w:hAnsi="宋体" w:cs="宋体"/>
                <w:color w:val="auto"/>
                <w:spacing w:val="-3"/>
                <w:sz w:val="21"/>
                <w:highlight w:val="none"/>
                <w:lang w:eastAsia="zh-CN"/>
              </w:rPr>
              <w:t>需</w:t>
            </w:r>
            <w:r>
              <w:rPr>
                <w:rFonts w:hint="eastAsia" w:ascii="宋体" w:hAnsi="宋体" w:cs="宋体"/>
                <w:color w:val="auto"/>
                <w:sz w:val="21"/>
                <w:highlight w:val="none"/>
                <w:lang w:eastAsia="zh-CN"/>
              </w:rPr>
              <w:t>要</w:t>
            </w:r>
            <w:r>
              <w:rPr>
                <w:rFonts w:hint="eastAsia" w:ascii="宋体" w:hAnsi="宋体" w:cs="宋体"/>
                <w:color w:val="auto"/>
                <w:spacing w:val="-3"/>
                <w:sz w:val="21"/>
                <w:highlight w:val="none"/>
                <w:lang w:eastAsia="zh-CN"/>
              </w:rPr>
              <w:t>修</w:t>
            </w:r>
            <w:r>
              <w:rPr>
                <w:rFonts w:hint="eastAsia" w:ascii="宋体" w:hAnsi="宋体" w:cs="宋体"/>
                <w:color w:val="auto"/>
                <w:sz w:val="21"/>
                <w:highlight w:val="none"/>
                <w:lang w:eastAsia="zh-CN"/>
              </w:rPr>
              <w:t>改</w:t>
            </w:r>
            <w:r>
              <w:rPr>
                <w:rFonts w:hint="eastAsia" w:ascii="宋体" w:hAnsi="宋体" w:cs="宋体"/>
                <w:color w:val="auto"/>
                <w:spacing w:val="-3"/>
                <w:sz w:val="21"/>
                <w:highlight w:val="none"/>
                <w:lang w:eastAsia="zh-CN"/>
              </w:rPr>
              <w:t>和</w:t>
            </w:r>
            <w:r>
              <w:rPr>
                <w:rFonts w:hint="eastAsia" w:ascii="宋体" w:hAnsi="宋体" w:cs="宋体"/>
                <w:color w:val="auto"/>
                <w:sz w:val="21"/>
                <w:highlight w:val="none"/>
                <w:lang w:eastAsia="zh-CN"/>
              </w:rPr>
              <w:t>补</w:t>
            </w:r>
            <w:r>
              <w:rPr>
                <w:rFonts w:hint="eastAsia" w:ascii="宋体" w:hAnsi="宋体" w:cs="宋体"/>
                <w:color w:val="auto"/>
                <w:spacing w:val="-3"/>
                <w:sz w:val="21"/>
                <w:highlight w:val="none"/>
                <w:lang w:eastAsia="zh-CN"/>
              </w:rPr>
              <w:t>充</w:t>
            </w:r>
            <w:r>
              <w:rPr>
                <w:rFonts w:hint="eastAsia" w:ascii="宋体" w:hAnsi="宋体" w:cs="宋体"/>
                <w:color w:val="auto"/>
                <w:sz w:val="21"/>
                <w:highlight w:val="none"/>
                <w:lang w:eastAsia="zh-CN"/>
              </w:rPr>
              <w:t>的</w:t>
            </w:r>
            <w:r>
              <w:rPr>
                <w:rFonts w:hint="eastAsia" w:ascii="宋体" w:hAnsi="宋体" w:cs="宋体"/>
                <w:color w:val="auto"/>
                <w:spacing w:val="-44"/>
                <w:sz w:val="21"/>
                <w:highlight w:val="none"/>
                <w:lang w:eastAsia="zh-CN"/>
              </w:rPr>
              <w:t>，</w:t>
            </w:r>
            <w:r>
              <w:rPr>
                <w:rFonts w:hint="eastAsia" w:ascii="宋体" w:hAnsi="宋体" w:cs="宋体"/>
                <w:color w:val="auto"/>
                <w:sz w:val="21"/>
                <w:highlight w:val="none"/>
                <w:lang w:eastAsia="zh-CN"/>
              </w:rPr>
              <w:t>应由</w:t>
            </w:r>
            <w:r>
              <w:rPr>
                <w:rFonts w:hint="eastAsia" w:ascii="宋体" w:hAnsi="宋体" w:cs="宋体"/>
                <w:color w:val="auto"/>
                <w:spacing w:val="-3"/>
                <w:sz w:val="21"/>
                <w:highlight w:val="none"/>
                <w:lang w:eastAsia="zh-CN"/>
              </w:rPr>
              <w:t>监</w:t>
            </w:r>
            <w:r>
              <w:rPr>
                <w:rFonts w:hint="eastAsia" w:ascii="宋体" w:hAnsi="宋体" w:cs="宋体"/>
                <w:color w:val="auto"/>
                <w:sz w:val="21"/>
                <w:highlight w:val="none"/>
                <w:lang w:eastAsia="zh-CN"/>
              </w:rPr>
              <w:t>理</w:t>
            </w:r>
            <w:r>
              <w:rPr>
                <w:rFonts w:hint="eastAsia" w:ascii="宋体" w:hAnsi="宋体" w:cs="宋体"/>
                <w:color w:val="auto"/>
                <w:spacing w:val="-3"/>
                <w:sz w:val="21"/>
                <w:highlight w:val="none"/>
                <w:lang w:eastAsia="zh-CN"/>
              </w:rPr>
              <w:t>人</w:t>
            </w:r>
            <w:r>
              <w:rPr>
                <w:rFonts w:hint="eastAsia" w:ascii="宋体" w:hAnsi="宋体" w:cs="宋体"/>
                <w:color w:val="auto"/>
                <w:sz w:val="21"/>
                <w:highlight w:val="none"/>
                <w:lang w:eastAsia="zh-CN"/>
              </w:rPr>
              <w:t>取</w:t>
            </w:r>
            <w:r>
              <w:rPr>
                <w:rFonts w:hint="eastAsia" w:ascii="宋体" w:hAnsi="宋体" w:cs="宋体"/>
                <w:color w:val="auto"/>
                <w:spacing w:val="-3"/>
                <w:sz w:val="21"/>
                <w:highlight w:val="none"/>
                <w:lang w:eastAsia="zh-CN"/>
              </w:rPr>
              <w:t>得</w:t>
            </w:r>
            <w:r>
              <w:rPr>
                <w:rFonts w:hint="eastAsia" w:ascii="宋体" w:hAnsi="宋体" w:cs="宋体"/>
                <w:color w:val="auto"/>
                <w:sz w:val="21"/>
                <w:highlight w:val="none"/>
                <w:lang w:eastAsia="zh-CN"/>
              </w:rPr>
              <w:t>发</w:t>
            </w:r>
            <w:r>
              <w:rPr>
                <w:rFonts w:hint="eastAsia" w:ascii="宋体" w:hAnsi="宋体" w:cs="宋体"/>
                <w:color w:val="auto"/>
                <w:spacing w:val="-3"/>
                <w:sz w:val="21"/>
                <w:highlight w:val="none"/>
                <w:lang w:eastAsia="zh-CN"/>
              </w:rPr>
              <w:t>包</w:t>
            </w:r>
            <w:r>
              <w:rPr>
                <w:rFonts w:hint="eastAsia" w:ascii="宋体" w:hAnsi="宋体" w:cs="宋体"/>
                <w:color w:val="auto"/>
                <w:sz w:val="21"/>
                <w:highlight w:val="none"/>
                <w:lang w:eastAsia="zh-CN"/>
              </w:rPr>
              <w:t>人</w:t>
            </w:r>
            <w:r>
              <w:rPr>
                <w:rFonts w:hint="eastAsia" w:ascii="宋体" w:hAnsi="宋体" w:cs="宋体"/>
                <w:color w:val="auto"/>
                <w:spacing w:val="-3"/>
                <w:sz w:val="21"/>
                <w:highlight w:val="none"/>
                <w:lang w:eastAsia="zh-CN"/>
              </w:rPr>
              <w:t>同</w:t>
            </w:r>
            <w:r>
              <w:rPr>
                <w:rFonts w:hint="eastAsia" w:ascii="宋体" w:hAnsi="宋体" w:cs="宋体"/>
                <w:color w:val="auto"/>
                <w:sz w:val="21"/>
                <w:highlight w:val="none"/>
                <w:lang w:eastAsia="zh-CN"/>
              </w:rPr>
              <w:t>意后</w:t>
            </w:r>
            <w:r>
              <w:rPr>
                <w:rFonts w:hint="eastAsia" w:ascii="宋体" w:hAnsi="宋体" w:cs="宋体"/>
                <w:color w:val="auto"/>
                <w:spacing w:val="-44"/>
                <w:sz w:val="21"/>
                <w:highlight w:val="none"/>
                <w:lang w:eastAsia="zh-CN"/>
              </w:rPr>
              <w:t>，</w:t>
            </w:r>
            <w:r>
              <w:rPr>
                <w:rFonts w:hint="eastAsia" w:ascii="宋体" w:hAnsi="宋体" w:cs="宋体"/>
                <w:color w:val="auto"/>
                <w:sz w:val="21"/>
                <w:highlight w:val="none"/>
                <w:lang w:eastAsia="zh-CN"/>
              </w:rPr>
              <w:t>在</w:t>
            </w:r>
            <w:r>
              <w:rPr>
                <w:rFonts w:hint="eastAsia" w:ascii="宋体" w:hAnsi="宋体" w:cs="宋体"/>
                <w:color w:val="auto"/>
                <w:spacing w:val="-3"/>
                <w:sz w:val="21"/>
                <w:highlight w:val="none"/>
                <w:lang w:eastAsia="zh-CN"/>
              </w:rPr>
              <w:t>该</w:t>
            </w:r>
            <w:r>
              <w:rPr>
                <w:rFonts w:hint="eastAsia" w:ascii="宋体" w:hAnsi="宋体" w:cs="宋体"/>
                <w:color w:val="auto"/>
                <w:sz w:val="21"/>
                <w:highlight w:val="none"/>
                <w:lang w:eastAsia="zh-CN"/>
              </w:rPr>
              <w:t>工</w:t>
            </w:r>
            <w:r>
              <w:rPr>
                <w:rFonts w:hint="eastAsia" w:ascii="宋体" w:hAnsi="宋体" w:cs="宋体"/>
                <w:color w:val="auto"/>
                <w:spacing w:val="-3"/>
                <w:sz w:val="21"/>
                <w:highlight w:val="none"/>
                <w:lang w:eastAsia="zh-CN"/>
              </w:rPr>
              <w:t>程</w:t>
            </w:r>
            <w:r>
              <w:rPr>
                <w:rFonts w:hint="eastAsia" w:ascii="宋体" w:hAnsi="宋体" w:cs="宋体"/>
                <w:color w:val="auto"/>
                <w:sz w:val="21"/>
                <w:highlight w:val="none"/>
                <w:lang w:eastAsia="zh-CN"/>
              </w:rPr>
              <w:t>或</w:t>
            </w:r>
            <w:r>
              <w:rPr>
                <w:rFonts w:hint="eastAsia" w:ascii="宋体" w:hAnsi="宋体" w:cs="宋体"/>
                <w:color w:val="auto"/>
                <w:spacing w:val="-3"/>
                <w:sz w:val="21"/>
                <w:highlight w:val="none"/>
                <w:lang w:eastAsia="zh-CN"/>
              </w:rPr>
              <w:t>工程</w:t>
            </w:r>
            <w:r>
              <w:rPr>
                <w:rFonts w:hint="eastAsia" w:ascii="宋体" w:hAnsi="宋体" w:cs="宋体"/>
                <w:color w:val="auto"/>
                <w:sz w:val="21"/>
                <w:highlight w:val="none"/>
                <w:lang w:eastAsia="zh-CN"/>
              </w:rPr>
              <w:t>相应部</w:t>
            </w:r>
            <w:r>
              <w:rPr>
                <w:rFonts w:hint="eastAsia" w:ascii="宋体" w:hAnsi="宋体" w:cs="宋体"/>
                <w:color w:val="auto"/>
                <w:spacing w:val="-3"/>
                <w:sz w:val="21"/>
                <w:highlight w:val="none"/>
                <w:lang w:eastAsia="zh-CN"/>
              </w:rPr>
              <w:t>位</w:t>
            </w:r>
            <w:r>
              <w:rPr>
                <w:rFonts w:hint="eastAsia" w:ascii="宋体" w:hAnsi="宋体" w:cs="宋体"/>
                <w:color w:val="auto"/>
                <w:sz w:val="21"/>
                <w:highlight w:val="none"/>
                <w:lang w:eastAsia="zh-CN"/>
              </w:rPr>
              <w:t>施</w:t>
            </w:r>
            <w:r>
              <w:rPr>
                <w:rFonts w:hint="eastAsia" w:ascii="宋体" w:hAnsi="宋体" w:cs="宋体"/>
                <w:color w:val="auto"/>
                <w:spacing w:val="-3"/>
                <w:sz w:val="21"/>
                <w:highlight w:val="none"/>
                <w:lang w:eastAsia="zh-CN"/>
              </w:rPr>
              <w:t>工</w:t>
            </w:r>
            <w:r>
              <w:rPr>
                <w:rFonts w:hint="eastAsia" w:ascii="宋体" w:hAnsi="宋体" w:cs="宋体"/>
                <w:color w:val="auto"/>
                <w:sz w:val="21"/>
                <w:highlight w:val="none"/>
                <w:lang w:eastAsia="zh-CN"/>
              </w:rPr>
              <w:t xml:space="preserve">前 </w:t>
            </w:r>
            <w:r>
              <w:rPr>
                <w:rFonts w:hint="eastAsia" w:ascii="宋体" w:hAnsi="宋体" w:cs="宋体"/>
                <w:color w:val="auto"/>
                <w:sz w:val="21"/>
                <w:highlight w:val="none"/>
                <w:u w:val="single"/>
                <w:lang w:eastAsia="zh-CN"/>
              </w:rPr>
              <w:t>14</w:t>
            </w:r>
            <w:r>
              <w:rPr>
                <w:rFonts w:hint="eastAsia" w:ascii="宋体" w:hAnsi="宋体" w:cs="宋体"/>
                <w:color w:val="auto"/>
                <w:sz w:val="21"/>
                <w:highlight w:val="none"/>
                <w:lang w:eastAsia="zh-CN"/>
              </w:rPr>
              <w:t>天</w:t>
            </w:r>
            <w:r>
              <w:rPr>
                <w:rFonts w:hint="eastAsia" w:ascii="宋体" w:hAnsi="宋体" w:cs="宋体"/>
                <w:color w:val="auto"/>
                <w:spacing w:val="-3"/>
                <w:sz w:val="21"/>
                <w:highlight w:val="none"/>
                <w:lang w:eastAsia="zh-CN"/>
              </w:rPr>
              <w:t>签发</w:t>
            </w:r>
            <w:r>
              <w:rPr>
                <w:rFonts w:hint="eastAsia" w:ascii="宋体" w:hAnsi="宋体" w:cs="宋体"/>
                <w:color w:val="auto"/>
                <w:sz w:val="21"/>
                <w:highlight w:val="none"/>
                <w:lang w:eastAsia="zh-CN"/>
              </w:rPr>
              <w:t>图纸修改图给承包人</w:t>
            </w:r>
          </w:p>
        </w:tc>
      </w:tr>
      <w:tr w14:paraId="74389B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9" w:hRule="atLeast"/>
          <w:jc w:val="center"/>
        </w:trPr>
        <w:tc>
          <w:tcPr>
            <w:tcW w:w="629" w:type="dxa"/>
            <w:tcBorders>
              <w:top w:val="single" w:color="000000" w:sz="4" w:space="0"/>
              <w:left w:val="single" w:color="000000" w:sz="4" w:space="0"/>
              <w:bottom w:val="single" w:color="000000" w:sz="4" w:space="0"/>
              <w:right w:val="single" w:color="000000" w:sz="4" w:space="0"/>
            </w:tcBorders>
            <w:vAlign w:val="center"/>
          </w:tcPr>
          <w:p w14:paraId="1F65E9B9">
            <w:pPr>
              <w:pStyle w:val="386"/>
              <w:spacing w:line="360" w:lineRule="auto"/>
              <w:rPr>
                <w:rFonts w:hint="eastAsia" w:ascii="宋体" w:hAnsi="宋体" w:cs="宋体"/>
                <w:color w:val="auto"/>
                <w:highlight w:val="none"/>
                <w:lang w:eastAsia="zh-CN"/>
              </w:rPr>
            </w:pPr>
          </w:p>
          <w:p w14:paraId="35691C57">
            <w:pPr>
              <w:pStyle w:val="386"/>
              <w:spacing w:before="179" w:line="360" w:lineRule="auto"/>
              <w:ind w:left="9"/>
              <w:jc w:val="center"/>
              <w:rPr>
                <w:rFonts w:hint="eastAsia" w:ascii="宋体" w:hAnsi="宋体" w:cs="宋体"/>
                <w:color w:val="auto"/>
                <w:sz w:val="21"/>
                <w:highlight w:val="none"/>
              </w:rPr>
            </w:pPr>
            <w:r>
              <w:rPr>
                <w:rFonts w:hint="eastAsia" w:ascii="宋体" w:hAnsi="宋体" w:cs="宋体"/>
                <w:color w:val="auto"/>
                <w:sz w:val="21"/>
                <w:highlight w:val="none"/>
              </w:rPr>
              <w:t>5</w:t>
            </w:r>
          </w:p>
        </w:tc>
        <w:tc>
          <w:tcPr>
            <w:tcW w:w="1111" w:type="dxa"/>
            <w:tcBorders>
              <w:top w:val="single" w:color="000000" w:sz="4" w:space="0"/>
              <w:left w:val="single" w:color="000000" w:sz="4" w:space="0"/>
              <w:bottom w:val="single" w:color="000000" w:sz="4" w:space="0"/>
              <w:right w:val="single" w:color="000000" w:sz="4" w:space="0"/>
            </w:tcBorders>
            <w:vAlign w:val="center"/>
          </w:tcPr>
          <w:p w14:paraId="783435F2">
            <w:pPr>
              <w:pStyle w:val="386"/>
              <w:spacing w:line="360" w:lineRule="auto"/>
              <w:rPr>
                <w:rFonts w:hint="eastAsia" w:ascii="宋体" w:hAnsi="宋体" w:cs="宋体"/>
                <w:color w:val="auto"/>
                <w:highlight w:val="none"/>
              </w:rPr>
            </w:pPr>
          </w:p>
          <w:p w14:paraId="644E5CD4">
            <w:pPr>
              <w:pStyle w:val="386"/>
              <w:spacing w:before="179" w:line="360" w:lineRule="auto"/>
              <w:ind w:left="89" w:right="78"/>
              <w:jc w:val="center"/>
              <w:rPr>
                <w:rFonts w:hint="eastAsia" w:ascii="宋体" w:hAnsi="宋体" w:cs="宋体"/>
                <w:color w:val="auto"/>
                <w:sz w:val="21"/>
                <w:highlight w:val="none"/>
              </w:rPr>
            </w:pPr>
            <w:r>
              <w:rPr>
                <w:rFonts w:hint="eastAsia" w:ascii="宋体" w:hAnsi="宋体" w:cs="宋体"/>
                <w:color w:val="auto"/>
                <w:sz w:val="21"/>
                <w:highlight w:val="none"/>
              </w:rPr>
              <w:t>3.1.1</w:t>
            </w:r>
          </w:p>
        </w:tc>
        <w:tc>
          <w:tcPr>
            <w:tcW w:w="7305" w:type="dxa"/>
            <w:tcBorders>
              <w:top w:val="single" w:color="000000" w:sz="4" w:space="0"/>
              <w:left w:val="single" w:color="000000" w:sz="4" w:space="0"/>
              <w:bottom w:val="single" w:color="000000" w:sz="4" w:space="0"/>
              <w:right w:val="single" w:color="000000" w:sz="4" w:space="0"/>
            </w:tcBorders>
            <w:vAlign w:val="center"/>
          </w:tcPr>
          <w:p w14:paraId="706190A3">
            <w:pPr>
              <w:pStyle w:val="386"/>
              <w:spacing w:before="77" w:line="360" w:lineRule="auto"/>
              <w:ind w:left="347"/>
              <w:rPr>
                <w:rFonts w:hint="eastAsia" w:ascii="宋体" w:hAnsi="宋体" w:cs="宋体"/>
                <w:color w:val="auto"/>
                <w:sz w:val="21"/>
                <w:highlight w:val="none"/>
                <w:lang w:eastAsia="zh-CN"/>
              </w:rPr>
            </w:pPr>
            <w:r>
              <w:rPr>
                <w:rFonts w:hint="eastAsia" w:ascii="宋体" w:hAnsi="宋体" w:cs="宋体"/>
                <w:color w:val="auto"/>
                <w:sz w:val="21"/>
                <w:highlight w:val="none"/>
                <w:lang w:eastAsia="zh-CN"/>
              </w:rPr>
              <w:t>监理人在行使下列权力前需要经发包人事先批准：</w:t>
            </w:r>
          </w:p>
          <w:p w14:paraId="5ECF21F5">
            <w:pPr>
              <w:pStyle w:val="386"/>
              <w:spacing w:before="1" w:line="360" w:lineRule="auto"/>
              <w:ind w:left="107" w:right="83" w:firstLine="225"/>
              <w:rPr>
                <w:rFonts w:hint="eastAsia" w:ascii="宋体" w:hAnsi="宋体" w:cs="宋体"/>
                <w:color w:val="auto"/>
                <w:sz w:val="21"/>
                <w:highlight w:val="none"/>
                <w:lang w:eastAsia="zh-CN"/>
              </w:rPr>
            </w:pPr>
            <w:r>
              <w:rPr>
                <w:rFonts w:hint="eastAsia" w:ascii="宋体" w:hAnsi="宋体" w:cs="宋体"/>
                <w:color w:val="auto"/>
                <w:spacing w:val="-14"/>
                <w:sz w:val="21"/>
                <w:highlight w:val="none"/>
                <w:lang w:eastAsia="zh-CN"/>
              </w:rPr>
              <w:t>（6）</w:t>
            </w:r>
            <w:r>
              <w:rPr>
                <w:rFonts w:hint="eastAsia" w:ascii="宋体" w:hAnsi="宋体" w:cs="宋体"/>
                <w:color w:val="auto"/>
                <w:sz w:val="21"/>
                <w:highlight w:val="none"/>
                <w:lang w:eastAsia="zh-CN"/>
              </w:rPr>
              <w:t>根据第15.3 款发出的变更指示，其单项工程变更涉及的金额超过了该单项工程签约时合同价的</w:t>
            </w:r>
            <w:r>
              <w:rPr>
                <w:rFonts w:hint="eastAsia" w:ascii="宋体" w:hAnsi="宋体" w:cs="宋体"/>
                <w:color w:val="auto"/>
                <w:sz w:val="21"/>
                <w:highlight w:val="none"/>
                <w:u w:val="single"/>
                <w:lang w:eastAsia="zh-CN"/>
              </w:rPr>
              <w:t>2</w:t>
            </w:r>
            <w:r>
              <w:rPr>
                <w:rFonts w:hint="eastAsia" w:ascii="宋体" w:hAnsi="宋体" w:cs="宋体"/>
                <w:color w:val="auto"/>
                <w:sz w:val="21"/>
                <w:highlight w:val="none"/>
                <w:lang w:eastAsia="zh-CN"/>
              </w:rPr>
              <w:t>%或累计变更超过了签约合同价的</w:t>
            </w:r>
            <w:r>
              <w:rPr>
                <w:rFonts w:hint="eastAsia" w:ascii="宋体" w:hAnsi="宋体" w:cs="宋体"/>
                <w:color w:val="auto"/>
                <w:sz w:val="21"/>
                <w:highlight w:val="none"/>
                <w:u w:val="single"/>
                <w:lang w:eastAsia="zh-CN"/>
              </w:rPr>
              <w:t>2</w:t>
            </w:r>
            <w:r>
              <w:rPr>
                <w:rFonts w:hint="eastAsia" w:ascii="宋体" w:hAnsi="宋体" w:cs="宋体"/>
                <w:color w:val="auto"/>
                <w:sz w:val="21"/>
                <w:highlight w:val="none"/>
                <w:lang w:eastAsia="zh-CN"/>
              </w:rPr>
              <w:t>%</w:t>
            </w:r>
          </w:p>
        </w:tc>
      </w:tr>
      <w:tr w14:paraId="268F1E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8" w:hRule="atLeast"/>
          <w:jc w:val="center"/>
        </w:trPr>
        <w:tc>
          <w:tcPr>
            <w:tcW w:w="629" w:type="dxa"/>
            <w:tcBorders>
              <w:top w:val="single" w:color="000000" w:sz="4" w:space="0"/>
              <w:left w:val="single" w:color="000000" w:sz="4" w:space="0"/>
              <w:bottom w:val="single" w:color="000000" w:sz="4" w:space="0"/>
              <w:right w:val="single" w:color="000000" w:sz="4" w:space="0"/>
            </w:tcBorders>
            <w:vAlign w:val="center"/>
          </w:tcPr>
          <w:p w14:paraId="48CB93BD">
            <w:pPr>
              <w:pStyle w:val="386"/>
              <w:spacing w:before="11" w:line="360" w:lineRule="auto"/>
              <w:rPr>
                <w:rFonts w:hint="eastAsia" w:ascii="宋体" w:hAnsi="宋体" w:cs="宋体"/>
                <w:color w:val="auto"/>
                <w:highlight w:val="none"/>
                <w:lang w:eastAsia="zh-CN"/>
              </w:rPr>
            </w:pPr>
          </w:p>
          <w:p w14:paraId="78C2C1E2">
            <w:pPr>
              <w:pStyle w:val="386"/>
              <w:spacing w:line="360" w:lineRule="auto"/>
              <w:ind w:left="9"/>
              <w:jc w:val="center"/>
              <w:rPr>
                <w:rFonts w:hint="eastAsia" w:ascii="宋体" w:hAnsi="宋体" w:cs="宋体"/>
                <w:color w:val="auto"/>
                <w:sz w:val="21"/>
                <w:highlight w:val="none"/>
              </w:rPr>
            </w:pPr>
            <w:r>
              <w:rPr>
                <w:rFonts w:hint="eastAsia" w:ascii="宋体" w:hAnsi="宋体" w:cs="宋体"/>
                <w:color w:val="auto"/>
                <w:sz w:val="21"/>
                <w:highlight w:val="none"/>
              </w:rPr>
              <w:t>6</w:t>
            </w:r>
          </w:p>
        </w:tc>
        <w:tc>
          <w:tcPr>
            <w:tcW w:w="1111" w:type="dxa"/>
            <w:tcBorders>
              <w:top w:val="single" w:color="000000" w:sz="4" w:space="0"/>
              <w:left w:val="single" w:color="000000" w:sz="4" w:space="0"/>
              <w:bottom w:val="single" w:color="000000" w:sz="4" w:space="0"/>
              <w:right w:val="single" w:color="000000" w:sz="4" w:space="0"/>
            </w:tcBorders>
            <w:vAlign w:val="center"/>
          </w:tcPr>
          <w:p w14:paraId="46E4252B">
            <w:pPr>
              <w:pStyle w:val="386"/>
              <w:spacing w:before="11" w:line="360" w:lineRule="auto"/>
              <w:rPr>
                <w:rFonts w:hint="eastAsia" w:ascii="宋体" w:hAnsi="宋体" w:cs="宋体"/>
                <w:color w:val="auto"/>
                <w:highlight w:val="none"/>
              </w:rPr>
            </w:pPr>
          </w:p>
          <w:p w14:paraId="5AEAE84B">
            <w:pPr>
              <w:pStyle w:val="386"/>
              <w:spacing w:line="360" w:lineRule="auto"/>
              <w:ind w:left="89" w:right="78"/>
              <w:jc w:val="center"/>
              <w:rPr>
                <w:rFonts w:hint="eastAsia" w:ascii="宋体" w:hAnsi="宋体" w:cs="宋体"/>
                <w:color w:val="auto"/>
                <w:sz w:val="21"/>
                <w:highlight w:val="none"/>
              </w:rPr>
            </w:pPr>
            <w:r>
              <w:rPr>
                <w:rFonts w:hint="eastAsia" w:ascii="宋体" w:hAnsi="宋体" w:cs="宋体"/>
                <w:color w:val="auto"/>
                <w:sz w:val="21"/>
                <w:highlight w:val="none"/>
              </w:rPr>
              <w:t>5.2.1</w:t>
            </w:r>
          </w:p>
        </w:tc>
        <w:tc>
          <w:tcPr>
            <w:tcW w:w="7305" w:type="dxa"/>
            <w:tcBorders>
              <w:top w:val="single" w:color="000000" w:sz="4" w:space="0"/>
              <w:left w:val="single" w:color="000000" w:sz="4" w:space="0"/>
              <w:bottom w:val="single" w:color="000000" w:sz="4" w:space="0"/>
              <w:right w:val="single" w:color="000000" w:sz="4" w:space="0"/>
            </w:tcBorders>
            <w:vAlign w:val="center"/>
          </w:tcPr>
          <w:p w14:paraId="5E84A450">
            <w:pPr>
              <w:pStyle w:val="386"/>
              <w:tabs>
                <w:tab w:val="left" w:pos="4445"/>
              </w:tabs>
              <w:spacing w:before="89" w:line="360" w:lineRule="auto"/>
              <w:ind w:left="347"/>
              <w:rPr>
                <w:rFonts w:hint="eastAsia" w:ascii="宋体" w:hAnsi="宋体" w:cs="宋体"/>
                <w:color w:val="auto"/>
                <w:sz w:val="21"/>
                <w:highlight w:val="none"/>
                <w:lang w:eastAsia="zh-CN"/>
              </w:rPr>
            </w:pPr>
            <w:r>
              <w:rPr>
                <w:rFonts w:hint="eastAsia" w:ascii="宋体" w:hAnsi="宋体" w:cs="宋体"/>
                <w:color w:val="auto"/>
                <w:sz w:val="21"/>
                <w:highlight w:val="none"/>
                <w:lang w:eastAsia="zh-CN"/>
              </w:rPr>
              <w:t>发包</w:t>
            </w:r>
            <w:r>
              <w:rPr>
                <w:rFonts w:hint="eastAsia" w:ascii="宋体" w:hAnsi="宋体" w:cs="宋体"/>
                <w:color w:val="auto"/>
                <w:spacing w:val="-3"/>
                <w:sz w:val="21"/>
                <w:highlight w:val="none"/>
                <w:lang w:eastAsia="zh-CN"/>
              </w:rPr>
              <w:t>人</w:t>
            </w:r>
            <w:r>
              <w:rPr>
                <w:rFonts w:hint="eastAsia" w:ascii="宋体" w:hAnsi="宋体" w:cs="宋体"/>
                <w:color w:val="auto"/>
                <w:sz w:val="21"/>
                <w:highlight w:val="none"/>
                <w:lang w:eastAsia="zh-CN"/>
              </w:rPr>
              <w:t>是</w:t>
            </w:r>
            <w:r>
              <w:rPr>
                <w:rFonts w:hint="eastAsia" w:ascii="宋体" w:hAnsi="宋体" w:cs="宋体"/>
                <w:color w:val="auto"/>
                <w:spacing w:val="-3"/>
                <w:sz w:val="21"/>
                <w:highlight w:val="none"/>
                <w:lang w:eastAsia="zh-CN"/>
              </w:rPr>
              <w:t>否</w:t>
            </w:r>
            <w:r>
              <w:rPr>
                <w:rFonts w:hint="eastAsia" w:ascii="宋体" w:hAnsi="宋体" w:cs="宋体"/>
                <w:color w:val="auto"/>
                <w:sz w:val="21"/>
                <w:highlight w:val="none"/>
                <w:lang w:eastAsia="zh-CN"/>
              </w:rPr>
              <w:t>提</w:t>
            </w:r>
            <w:r>
              <w:rPr>
                <w:rFonts w:hint="eastAsia" w:ascii="宋体" w:hAnsi="宋体" w:cs="宋体"/>
                <w:color w:val="auto"/>
                <w:spacing w:val="-3"/>
                <w:sz w:val="21"/>
                <w:highlight w:val="none"/>
                <w:lang w:eastAsia="zh-CN"/>
              </w:rPr>
              <w:t>供</w:t>
            </w:r>
            <w:r>
              <w:rPr>
                <w:rFonts w:hint="eastAsia" w:ascii="宋体" w:hAnsi="宋体" w:cs="宋体"/>
                <w:color w:val="auto"/>
                <w:sz w:val="21"/>
                <w:highlight w:val="none"/>
                <w:lang w:eastAsia="zh-CN"/>
              </w:rPr>
              <w:t>材</w:t>
            </w:r>
            <w:r>
              <w:rPr>
                <w:rFonts w:hint="eastAsia" w:ascii="宋体" w:hAnsi="宋体" w:cs="宋体"/>
                <w:color w:val="auto"/>
                <w:spacing w:val="-3"/>
                <w:sz w:val="21"/>
                <w:highlight w:val="none"/>
                <w:lang w:eastAsia="zh-CN"/>
              </w:rPr>
              <w:t>料</w:t>
            </w:r>
            <w:r>
              <w:rPr>
                <w:rFonts w:hint="eastAsia" w:ascii="宋体" w:hAnsi="宋体" w:cs="宋体"/>
                <w:color w:val="auto"/>
                <w:sz w:val="21"/>
                <w:highlight w:val="none"/>
                <w:lang w:eastAsia="zh-CN"/>
              </w:rPr>
              <w:t>或</w:t>
            </w:r>
            <w:r>
              <w:rPr>
                <w:rFonts w:hint="eastAsia" w:ascii="宋体" w:hAnsi="宋体" w:cs="宋体"/>
                <w:color w:val="auto"/>
                <w:spacing w:val="-3"/>
                <w:sz w:val="21"/>
                <w:highlight w:val="none"/>
                <w:lang w:eastAsia="zh-CN"/>
              </w:rPr>
              <w:t>工</w:t>
            </w:r>
            <w:r>
              <w:rPr>
                <w:rFonts w:hint="eastAsia" w:ascii="宋体" w:hAnsi="宋体" w:cs="宋体"/>
                <w:color w:val="auto"/>
                <w:sz w:val="21"/>
                <w:highlight w:val="none"/>
                <w:lang w:eastAsia="zh-CN"/>
              </w:rPr>
              <w:t>程设</w:t>
            </w:r>
            <w:r>
              <w:rPr>
                <w:rFonts w:hint="eastAsia" w:ascii="宋体" w:hAnsi="宋体" w:cs="宋体"/>
                <w:color w:val="auto"/>
                <w:spacing w:val="-3"/>
                <w:sz w:val="21"/>
                <w:highlight w:val="none"/>
                <w:lang w:eastAsia="zh-CN"/>
              </w:rPr>
              <w:t>备</w:t>
            </w:r>
            <w:r>
              <w:rPr>
                <w:rFonts w:hint="eastAsia" w:ascii="宋体" w:hAnsi="宋体" w:cs="宋体"/>
                <w:color w:val="auto"/>
                <w:sz w:val="21"/>
                <w:highlight w:val="none"/>
                <w:u w:val="single"/>
                <w:lang w:eastAsia="zh-CN"/>
              </w:rPr>
              <w:t>：</w:t>
            </w:r>
            <w:r>
              <w:rPr>
                <w:rFonts w:hint="eastAsia" w:ascii="宋体" w:hAnsi="宋体" w:cs="宋体"/>
                <w:color w:val="auto"/>
                <w:sz w:val="21"/>
                <w:szCs w:val="21"/>
                <w:highlight w:val="none"/>
                <w:u w:val="single"/>
                <w:lang w:eastAsia="zh-CN"/>
              </w:rPr>
              <w:t>否</w:t>
            </w:r>
            <w:r>
              <w:rPr>
                <w:rFonts w:hint="eastAsia" w:ascii="宋体" w:hAnsi="宋体" w:cs="宋体"/>
                <w:color w:val="auto"/>
                <w:spacing w:val="17"/>
                <w:sz w:val="21"/>
                <w:highlight w:val="none"/>
                <w:lang w:eastAsia="zh-CN"/>
              </w:rPr>
              <w:t>（</w:t>
            </w:r>
            <w:r>
              <w:rPr>
                <w:rFonts w:hint="eastAsia" w:ascii="宋体" w:hAnsi="宋体" w:cs="宋体"/>
                <w:color w:val="auto"/>
                <w:sz w:val="21"/>
                <w:highlight w:val="none"/>
                <w:lang w:eastAsia="zh-CN"/>
              </w:rPr>
              <w:t>是</w:t>
            </w:r>
            <w:r>
              <w:rPr>
                <w:rFonts w:hint="eastAsia" w:ascii="宋体" w:hAnsi="宋体" w:cs="宋体"/>
                <w:color w:val="auto"/>
                <w:spacing w:val="-3"/>
                <w:sz w:val="21"/>
                <w:highlight w:val="none"/>
                <w:lang w:eastAsia="zh-CN"/>
              </w:rPr>
              <w:t>或</w:t>
            </w:r>
            <w:r>
              <w:rPr>
                <w:rFonts w:hint="eastAsia" w:ascii="宋体" w:hAnsi="宋体" w:cs="宋体"/>
                <w:color w:val="auto"/>
                <w:sz w:val="21"/>
                <w:highlight w:val="none"/>
                <w:lang w:eastAsia="zh-CN"/>
              </w:rPr>
              <w:t>否</w:t>
            </w:r>
            <w:r>
              <w:rPr>
                <w:rFonts w:hint="eastAsia" w:ascii="宋体" w:hAnsi="宋体" w:cs="宋体"/>
                <w:color w:val="auto"/>
                <w:spacing w:val="17"/>
                <w:sz w:val="21"/>
                <w:highlight w:val="none"/>
                <w:lang w:eastAsia="zh-CN"/>
              </w:rPr>
              <w:t>）</w:t>
            </w:r>
          </w:p>
          <w:p w14:paraId="58316FA9">
            <w:pPr>
              <w:pStyle w:val="386"/>
              <w:tabs>
                <w:tab w:val="left" w:pos="7244"/>
              </w:tabs>
              <w:spacing w:before="91" w:line="360" w:lineRule="auto"/>
              <w:ind w:left="347"/>
              <w:rPr>
                <w:rFonts w:hint="eastAsia" w:ascii="宋体" w:hAnsi="宋体" w:cs="宋体"/>
                <w:color w:val="auto"/>
                <w:sz w:val="21"/>
                <w:highlight w:val="none"/>
                <w:lang w:eastAsia="zh-CN"/>
              </w:rPr>
            </w:pPr>
            <w:r>
              <w:rPr>
                <w:rFonts w:hint="eastAsia" w:ascii="宋体" w:hAnsi="宋体" w:cs="宋体"/>
                <w:color w:val="auto"/>
                <w:spacing w:val="-1"/>
                <w:sz w:val="21"/>
                <w:highlight w:val="none"/>
                <w:lang w:eastAsia="zh-CN"/>
              </w:rPr>
              <w:t>如发</w:t>
            </w:r>
            <w:r>
              <w:rPr>
                <w:rFonts w:hint="eastAsia" w:ascii="宋体" w:hAnsi="宋体" w:cs="宋体"/>
                <w:color w:val="auto"/>
                <w:spacing w:val="-3"/>
                <w:sz w:val="21"/>
                <w:highlight w:val="none"/>
                <w:lang w:eastAsia="zh-CN"/>
              </w:rPr>
              <w:t>包</w:t>
            </w:r>
            <w:r>
              <w:rPr>
                <w:rFonts w:hint="eastAsia" w:ascii="宋体" w:hAnsi="宋体" w:cs="宋体"/>
                <w:color w:val="auto"/>
                <w:sz w:val="21"/>
                <w:highlight w:val="none"/>
                <w:lang w:eastAsia="zh-CN"/>
              </w:rPr>
              <w:t>人</w:t>
            </w:r>
            <w:r>
              <w:rPr>
                <w:rFonts w:hint="eastAsia" w:ascii="宋体" w:hAnsi="宋体" w:cs="宋体"/>
                <w:color w:val="auto"/>
                <w:spacing w:val="-3"/>
                <w:sz w:val="21"/>
                <w:highlight w:val="none"/>
                <w:lang w:eastAsia="zh-CN"/>
              </w:rPr>
              <w:t>负</w:t>
            </w:r>
            <w:r>
              <w:rPr>
                <w:rFonts w:hint="eastAsia" w:ascii="宋体" w:hAnsi="宋体" w:cs="宋体"/>
                <w:color w:val="auto"/>
                <w:sz w:val="21"/>
                <w:highlight w:val="none"/>
                <w:lang w:eastAsia="zh-CN"/>
              </w:rPr>
              <w:t>责</w:t>
            </w:r>
            <w:r>
              <w:rPr>
                <w:rFonts w:hint="eastAsia" w:ascii="宋体" w:hAnsi="宋体" w:cs="宋体"/>
                <w:color w:val="auto"/>
                <w:spacing w:val="-3"/>
                <w:sz w:val="21"/>
                <w:highlight w:val="none"/>
                <w:lang w:eastAsia="zh-CN"/>
              </w:rPr>
              <w:t>提</w:t>
            </w:r>
            <w:r>
              <w:rPr>
                <w:rFonts w:hint="eastAsia" w:ascii="宋体" w:hAnsi="宋体" w:cs="宋体"/>
                <w:color w:val="auto"/>
                <w:sz w:val="21"/>
                <w:highlight w:val="none"/>
                <w:lang w:eastAsia="zh-CN"/>
              </w:rPr>
              <w:t>供</w:t>
            </w:r>
            <w:r>
              <w:rPr>
                <w:rFonts w:hint="eastAsia" w:ascii="宋体" w:hAnsi="宋体" w:cs="宋体"/>
                <w:color w:val="auto"/>
                <w:spacing w:val="-3"/>
                <w:sz w:val="21"/>
                <w:highlight w:val="none"/>
                <w:lang w:eastAsia="zh-CN"/>
              </w:rPr>
              <w:t>部</w:t>
            </w:r>
            <w:r>
              <w:rPr>
                <w:rFonts w:hint="eastAsia" w:ascii="宋体" w:hAnsi="宋体" w:cs="宋体"/>
                <w:color w:val="auto"/>
                <w:sz w:val="21"/>
                <w:highlight w:val="none"/>
                <w:lang w:eastAsia="zh-CN"/>
              </w:rPr>
              <w:t>分</w:t>
            </w:r>
            <w:r>
              <w:rPr>
                <w:rFonts w:hint="eastAsia" w:ascii="宋体" w:hAnsi="宋体" w:cs="宋体"/>
                <w:color w:val="auto"/>
                <w:spacing w:val="-3"/>
                <w:sz w:val="21"/>
                <w:highlight w:val="none"/>
                <w:lang w:eastAsia="zh-CN"/>
              </w:rPr>
              <w:t>材</w:t>
            </w:r>
            <w:r>
              <w:rPr>
                <w:rFonts w:hint="eastAsia" w:ascii="宋体" w:hAnsi="宋体" w:cs="宋体"/>
                <w:color w:val="auto"/>
                <w:sz w:val="21"/>
                <w:highlight w:val="none"/>
                <w:lang w:eastAsia="zh-CN"/>
              </w:rPr>
              <w:t>料或</w:t>
            </w:r>
            <w:r>
              <w:rPr>
                <w:rFonts w:hint="eastAsia" w:ascii="宋体" w:hAnsi="宋体" w:cs="宋体"/>
                <w:color w:val="auto"/>
                <w:spacing w:val="-3"/>
                <w:sz w:val="21"/>
                <w:highlight w:val="none"/>
                <w:lang w:eastAsia="zh-CN"/>
              </w:rPr>
              <w:t>工</w:t>
            </w:r>
            <w:r>
              <w:rPr>
                <w:rFonts w:hint="eastAsia" w:ascii="宋体" w:hAnsi="宋体" w:cs="宋体"/>
                <w:color w:val="auto"/>
                <w:sz w:val="21"/>
                <w:highlight w:val="none"/>
                <w:lang w:eastAsia="zh-CN"/>
              </w:rPr>
              <w:t>程</w:t>
            </w:r>
            <w:r>
              <w:rPr>
                <w:rFonts w:hint="eastAsia" w:ascii="宋体" w:hAnsi="宋体" w:cs="宋体"/>
                <w:color w:val="auto"/>
                <w:spacing w:val="-3"/>
                <w:sz w:val="21"/>
                <w:highlight w:val="none"/>
                <w:lang w:eastAsia="zh-CN"/>
              </w:rPr>
              <w:t>设</w:t>
            </w:r>
            <w:r>
              <w:rPr>
                <w:rFonts w:hint="eastAsia" w:ascii="宋体" w:hAnsi="宋体" w:cs="宋体"/>
                <w:color w:val="auto"/>
                <w:sz w:val="21"/>
                <w:highlight w:val="none"/>
                <w:lang w:eastAsia="zh-CN"/>
              </w:rPr>
              <w:t>备</w:t>
            </w:r>
            <w:r>
              <w:rPr>
                <w:rFonts w:hint="eastAsia" w:ascii="宋体" w:hAnsi="宋体" w:cs="宋体"/>
                <w:color w:val="auto"/>
                <w:spacing w:val="-3"/>
                <w:sz w:val="21"/>
                <w:highlight w:val="none"/>
                <w:lang w:eastAsia="zh-CN"/>
              </w:rPr>
              <w:t>，</w:t>
            </w:r>
            <w:r>
              <w:rPr>
                <w:rFonts w:hint="eastAsia" w:ascii="宋体" w:hAnsi="宋体" w:cs="宋体"/>
                <w:color w:val="auto"/>
                <w:sz w:val="21"/>
                <w:highlight w:val="none"/>
                <w:lang w:eastAsia="zh-CN"/>
              </w:rPr>
              <w:t>相</w:t>
            </w:r>
            <w:r>
              <w:rPr>
                <w:rFonts w:hint="eastAsia" w:ascii="宋体" w:hAnsi="宋体" w:cs="宋体"/>
                <w:color w:val="auto"/>
                <w:spacing w:val="-3"/>
                <w:sz w:val="21"/>
                <w:highlight w:val="none"/>
                <w:lang w:eastAsia="zh-CN"/>
              </w:rPr>
              <w:t>关</w:t>
            </w:r>
            <w:r>
              <w:rPr>
                <w:rFonts w:hint="eastAsia" w:ascii="宋体" w:hAnsi="宋体" w:cs="宋体"/>
                <w:color w:val="auto"/>
                <w:sz w:val="21"/>
                <w:highlight w:val="none"/>
                <w:lang w:eastAsia="zh-CN"/>
              </w:rPr>
              <w:t>规</w:t>
            </w:r>
            <w:r>
              <w:rPr>
                <w:rFonts w:hint="eastAsia" w:ascii="宋体" w:hAnsi="宋体" w:cs="宋体"/>
                <w:color w:val="auto"/>
                <w:spacing w:val="-3"/>
                <w:sz w:val="21"/>
                <w:highlight w:val="none"/>
                <w:lang w:eastAsia="zh-CN"/>
              </w:rPr>
              <w:t>定</w:t>
            </w:r>
            <w:r>
              <w:rPr>
                <w:rFonts w:hint="eastAsia" w:ascii="宋体" w:hAnsi="宋体" w:cs="宋体"/>
                <w:color w:val="auto"/>
                <w:sz w:val="21"/>
                <w:highlight w:val="none"/>
                <w:lang w:eastAsia="zh-CN"/>
              </w:rPr>
              <w:t>如下：</w:t>
            </w:r>
            <w:r>
              <w:rPr>
                <w:rFonts w:hint="eastAsia" w:ascii="宋体" w:hAnsi="宋体" w:cs="宋体"/>
                <w:color w:val="auto"/>
                <w:sz w:val="21"/>
                <w:highlight w:val="none"/>
                <w:u w:val="single"/>
                <w:lang w:eastAsia="zh-CN"/>
              </w:rPr>
              <w:tab/>
            </w:r>
          </w:p>
        </w:tc>
      </w:tr>
      <w:tr w14:paraId="60C39D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jc w:val="center"/>
        </w:trPr>
        <w:tc>
          <w:tcPr>
            <w:tcW w:w="629" w:type="dxa"/>
            <w:tcBorders>
              <w:top w:val="single" w:color="000000" w:sz="4" w:space="0"/>
              <w:left w:val="single" w:color="000000" w:sz="4" w:space="0"/>
              <w:bottom w:val="single" w:color="000000" w:sz="4" w:space="0"/>
              <w:right w:val="single" w:color="000000" w:sz="4" w:space="0"/>
            </w:tcBorders>
            <w:vAlign w:val="center"/>
          </w:tcPr>
          <w:p w14:paraId="5E97EB1F">
            <w:pPr>
              <w:pStyle w:val="386"/>
              <w:spacing w:before="11" w:line="360" w:lineRule="auto"/>
              <w:rPr>
                <w:rFonts w:hint="eastAsia" w:ascii="宋体" w:hAnsi="宋体" w:cs="宋体"/>
                <w:color w:val="auto"/>
                <w:highlight w:val="none"/>
                <w:lang w:eastAsia="zh-CN"/>
              </w:rPr>
            </w:pPr>
          </w:p>
          <w:p w14:paraId="6AAC9B5F">
            <w:pPr>
              <w:pStyle w:val="386"/>
              <w:spacing w:line="360" w:lineRule="auto"/>
              <w:ind w:left="9"/>
              <w:jc w:val="center"/>
              <w:rPr>
                <w:rFonts w:hint="eastAsia" w:ascii="宋体" w:hAnsi="宋体" w:cs="宋体"/>
                <w:color w:val="auto"/>
                <w:sz w:val="21"/>
                <w:highlight w:val="none"/>
              </w:rPr>
            </w:pPr>
            <w:r>
              <w:rPr>
                <w:rFonts w:hint="eastAsia" w:ascii="宋体" w:hAnsi="宋体" w:cs="宋体"/>
                <w:color w:val="auto"/>
                <w:sz w:val="21"/>
                <w:highlight w:val="none"/>
              </w:rPr>
              <w:t>7</w:t>
            </w:r>
          </w:p>
        </w:tc>
        <w:tc>
          <w:tcPr>
            <w:tcW w:w="1111" w:type="dxa"/>
            <w:tcBorders>
              <w:top w:val="single" w:color="000000" w:sz="4" w:space="0"/>
              <w:left w:val="single" w:color="000000" w:sz="4" w:space="0"/>
              <w:bottom w:val="single" w:color="000000" w:sz="4" w:space="0"/>
              <w:right w:val="single" w:color="000000" w:sz="4" w:space="0"/>
            </w:tcBorders>
            <w:vAlign w:val="center"/>
          </w:tcPr>
          <w:p w14:paraId="2350179F">
            <w:pPr>
              <w:pStyle w:val="386"/>
              <w:spacing w:before="11" w:line="360" w:lineRule="auto"/>
              <w:rPr>
                <w:rFonts w:hint="eastAsia" w:ascii="宋体" w:hAnsi="宋体" w:cs="宋体"/>
                <w:color w:val="auto"/>
                <w:highlight w:val="none"/>
              </w:rPr>
            </w:pPr>
          </w:p>
          <w:p w14:paraId="75BA4E9D">
            <w:pPr>
              <w:pStyle w:val="386"/>
              <w:spacing w:line="360" w:lineRule="auto"/>
              <w:ind w:left="89" w:right="78"/>
              <w:jc w:val="center"/>
              <w:rPr>
                <w:rFonts w:hint="eastAsia" w:ascii="宋体" w:hAnsi="宋体" w:cs="宋体"/>
                <w:color w:val="auto"/>
                <w:sz w:val="21"/>
                <w:highlight w:val="none"/>
              </w:rPr>
            </w:pPr>
            <w:r>
              <w:rPr>
                <w:rFonts w:hint="eastAsia" w:ascii="宋体" w:hAnsi="宋体" w:cs="宋体"/>
                <w:color w:val="auto"/>
                <w:sz w:val="21"/>
                <w:highlight w:val="none"/>
              </w:rPr>
              <w:t>6.2</w:t>
            </w:r>
          </w:p>
        </w:tc>
        <w:tc>
          <w:tcPr>
            <w:tcW w:w="7305" w:type="dxa"/>
            <w:tcBorders>
              <w:top w:val="single" w:color="000000" w:sz="4" w:space="0"/>
              <w:left w:val="single" w:color="000000" w:sz="4" w:space="0"/>
              <w:bottom w:val="single" w:color="000000" w:sz="4" w:space="0"/>
              <w:right w:val="single" w:color="000000" w:sz="4" w:space="0"/>
            </w:tcBorders>
            <w:vAlign w:val="center"/>
          </w:tcPr>
          <w:p w14:paraId="0C201706">
            <w:pPr>
              <w:pStyle w:val="386"/>
              <w:tabs>
                <w:tab w:val="left" w:pos="4865"/>
              </w:tabs>
              <w:spacing w:before="89" w:line="360" w:lineRule="auto"/>
              <w:ind w:left="347"/>
              <w:rPr>
                <w:rFonts w:hint="eastAsia" w:ascii="宋体" w:hAnsi="宋体" w:cs="宋体"/>
                <w:color w:val="auto"/>
                <w:sz w:val="21"/>
                <w:highlight w:val="none"/>
                <w:lang w:eastAsia="zh-CN"/>
              </w:rPr>
            </w:pPr>
            <w:r>
              <w:rPr>
                <w:rFonts w:hint="eastAsia" w:ascii="宋体" w:hAnsi="宋体" w:cs="宋体"/>
                <w:color w:val="auto"/>
                <w:sz w:val="21"/>
                <w:highlight w:val="none"/>
                <w:lang w:eastAsia="zh-CN"/>
              </w:rPr>
              <w:t>发包</w:t>
            </w:r>
            <w:r>
              <w:rPr>
                <w:rFonts w:hint="eastAsia" w:ascii="宋体" w:hAnsi="宋体" w:cs="宋体"/>
                <w:color w:val="auto"/>
                <w:spacing w:val="-3"/>
                <w:sz w:val="21"/>
                <w:highlight w:val="none"/>
                <w:lang w:eastAsia="zh-CN"/>
              </w:rPr>
              <w:t>人</w:t>
            </w:r>
            <w:r>
              <w:rPr>
                <w:rFonts w:hint="eastAsia" w:ascii="宋体" w:hAnsi="宋体" w:cs="宋体"/>
                <w:color w:val="auto"/>
                <w:sz w:val="21"/>
                <w:highlight w:val="none"/>
                <w:lang w:eastAsia="zh-CN"/>
              </w:rPr>
              <w:t>是</w:t>
            </w:r>
            <w:r>
              <w:rPr>
                <w:rFonts w:hint="eastAsia" w:ascii="宋体" w:hAnsi="宋体" w:cs="宋体"/>
                <w:color w:val="auto"/>
                <w:spacing w:val="-3"/>
                <w:sz w:val="21"/>
                <w:highlight w:val="none"/>
                <w:lang w:eastAsia="zh-CN"/>
              </w:rPr>
              <w:t>否</w:t>
            </w:r>
            <w:r>
              <w:rPr>
                <w:rFonts w:hint="eastAsia" w:ascii="宋体" w:hAnsi="宋体" w:cs="宋体"/>
                <w:color w:val="auto"/>
                <w:sz w:val="21"/>
                <w:highlight w:val="none"/>
                <w:lang w:eastAsia="zh-CN"/>
              </w:rPr>
              <w:t>提</w:t>
            </w:r>
            <w:r>
              <w:rPr>
                <w:rFonts w:hint="eastAsia" w:ascii="宋体" w:hAnsi="宋体" w:cs="宋体"/>
                <w:color w:val="auto"/>
                <w:spacing w:val="-3"/>
                <w:sz w:val="21"/>
                <w:highlight w:val="none"/>
                <w:lang w:eastAsia="zh-CN"/>
              </w:rPr>
              <w:t>供</w:t>
            </w:r>
            <w:r>
              <w:rPr>
                <w:rFonts w:hint="eastAsia" w:ascii="宋体" w:hAnsi="宋体" w:cs="宋体"/>
                <w:color w:val="auto"/>
                <w:sz w:val="21"/>
                <w:highlight w:val="none"/>
                <w:lang w:eastAsia="zh-CN"/>
              </w:rPr>
              <w:t>施</w:t>
            </w:r>
            <w:r>
              <w:rPr>
                <w:rFonts w:hint="eastAsia" w:ascii="宋体" w:hAnsi="宋体" w:cs="宋体"/>
                <w:color w:val="auto"/>
                <w:spacing w:val="-3"/>
                <w:sz w:val="21"/>
                <w:highlight w:val="none"/>
                <w:lang w:eastAsia="zh-CN"/>
              </w:rPr>
              <w:t>工</w:t>
            </w:r>
            <w:r>
              <w:rPr>
                <w:rFonts w:hint="eastAsia" w:ascii="宋体" w:hAnsi="宋体" w:cs="宋体"/>
                <w:color w:val="auto"/>
                <w:sz w:val="21"/>
                <w:highlight w:val="none"/>
                <w:lang w:eastAsia="zh-CN"/>
              </w:rPr>
              <w:t>设</w:t>
            </w:r>
            <w:r>
              <w:rPr>
                <w:rFonts w:hint="eastAsia" w:ascii="宋体" w:hAnsi="宋体" w:cs="宋体"/>
                <w:color w:val="auto"/>
                <w:spacing w:val="-3"/>
                <w:sz w:val="21"/>
                <w:highlight w:val="none"/>
                <w:lang w:eastAsia="zh-CN"/>
              </w:rPr>
              <w:t>备</w:t>
            </w:r>
            <w:r>
              <w:rPr>
                <w:rFonts w:hint="eastAsia" w:ascii="宋体" w:hAnsi="宋体" w:cs="宋体"/>
                <w:color w:val="auto"/>
                <w:sz w:val="21"/>
                <w:highlight w:val="none"/>
                <w:lang w:eastAsia="zh-CN"/>
              </w:rPr>
              <w:t>和临</w:t>
            </w:r>
            <w:r>
              <w:rPr>
                <w:rFonts w:hint="eastAsia" w:ascii="宋体" w:hAnsi="宋体" w:cs="宋体"/>
                <w:color w:val="auto"/>
                <w:spacing w:val="-3"/>
                <w:sz w:val="21"/>
                <w:highlight w:val="none"/>
                <w:lang w:eastAsia="zh-CN"/>
              </w:rPr>
              <w:t>时</w:t>
            </w:r>
            <w:r>
              <w:rPr>
                <w:rFonts w:hint="eastAsia" w:ascii="宋体" w:hAnsi="宋体" w:cs="宋体"/>
                <w:color w:val="auto"/>
                <w:sz w:val="21"/>
                <w:highlight w:val="none"/>
                <w:lang w:eastAsia="zh-CN"/>
              </w:rPr>
              <w:t>设</w:t>
            </w:r>
            <w:r>
              <w:rPr>
                <w:rFonts w:hint="eastAsia" w:ascii="宋体" w:hAnsi="宋体" w:cs="宋体"/>
                <w:color w:val="auto"/>
                <w:spacing w:val="-3"/>
                <w:sz w:val="21"/>
                <w:highlight w:val="none"/>
                <w:lang w:eastAsia="zh-CN"/>
              </w:rPr>
              <w:t>施</w:t>
            </w:r>
            <w:r>
              <w:rPr>
                <w:rFonts w:hint="eastAsia" w:ascii="宋体" w:hAnsi="宋体" w:cs="宋体"/>
                <w:color w:val="auto"/>
                <w:sz w:val="21"/>
                <w:highlight w:val="none"/>
                <w:u w:val="single"/>
                <w:lang w:eastAsia="zh-CN"/>
              </w:rPr>
              <w:t>：</w:t>
            </w:r>
            <w:r>
              <w:rPr>
                <w:rFonts w:hint="eastAsia" w:ascii="宋体" w:hAnsi="宋体" w:cs="宋体"/>
                <w:color w:val="auto"/>
                <w:sz w:val="21"/>
                <w:szCs w:val="21"/>
                <w:highlight w:val="none"/>
                <w:u w:val="single"/>
                <w:lang w:eastAsia="zh-CN"/>
              </w:rPr>
              <w:t>否</w:t>
            </w:r>
            <w:r>
              <w:rPr>
                <w:rFonts w:hint="eastAsia" w:ascii="宋体" w:hAnsi="宋体" w:cs="宋体"/>
                <w:color w:val="auto"/>
                <w:spacing w:val="17"/>
                <w:sz w:val="21"/>
                <w:highlight w:val="none"/>
                <w:lang w:eastAsia="zh-CN"/>
              </w:rPr>
              <w:t>（</w:t>
            </w:r>
            <w:r>
              <w:rPr>
                <w:rFonts w:hint="eastAsia" w:ascii="宋体" w:hAnsi="宋体" w:cs="宋体"/>
                <w:color w:val="auto"/>
                <w:sz w:val="21"/>
                <w:highlight w:val="none"/>
                <w:lang w:eastAsia="zh-CN"/>
              </w:rPr>
              <w:t>是</w:t>
            </w:r>
            <w:r>
              <w:rPr>
                <w:rFonts w:hint="eastAsia" w:ascii="宋体" w:hAnsi="宋体" w:cs="宋体"/>
                <w:color w:val="auto"/>
                <w:spacing w:val="-3"/>
                <w:sz w:val="21"/>
                <w:highlight w:val="none"/>
                <w:lang w:eastAsia="zh-CN"/>
              </w:rPr>
              <w:t>或</w:t>
            </w:r>
            <w:r>
              <w:rPr>
                <w:rFonts w:hint="eastAsia" w:ascii="宋体" w:hAnsi="宋体" w:cs="宋体"/>
                <w:color w:val="auto"/>
                <w:sz w:val="21"/>
                <w:highlight w:val="none"/>
                <w:lang w:eastAsia="zh-CN"/>
              </w:rPr>
              <w:t>否</w:t>
            </w:r>
            <w:r>
              <w:rPr>
                <w:rFonts w:hint="eastAsia" w:ascii="宋体" w:hAnsi="宋体" w:cs="宋体"/>
                <w:color w:val="auto"/>
                <w:spacing w:val="17"/>
                <w:sz w:val="21"/>
                <w:highlight w:val="none"/>
                <w:lang w:eastAsia="zh-CN"/>
              </w:rPr>
              <w:t>）</w:t>
            </w:r>
          </w:p>
          <w:p w14:paraId="7E9C2CE8">
            <w:pPr>
              <w:pStyle w:val="386"/>
              <w:tabs>
                <w:tab w:val="left" w:pos="7244"/>
              </w:tabs>
              <w:spacing w:before="91" w:line="360" w:lineRule="auto"/>
              <w:ind w:left="347"/>
              <w:rPr>
                <w:rFonts w:hint="eastAsia" w:ascii="宋体" w:hAnsi="宋体" w:cs="宋体"/>
                <w:color w:val="auto"/>
                <w:sz w:val="21"/>
                <w:highlight w:val="none"/>
                <w:lang w:eastAsia="zh-CN"/>
              </w:rPr>
            </w:pPr>
            <w:r>
              <w:rPr>
                <w:rFonts w:hint="eastAsia" w:ascii="宋体" w:hAnsi="宋体" w:cs="宋体"/>
                <w:color w:val="auto"/>
                <w:spacing w:val="-1"/>
                <w:sz w:val="21"/>
                <w:highlight w:val="none"/>
                <w:lang w:eastAsia="zh-CN"/>
              </w:rPr>
              <w:t>如发</w:t>
            </w:r>
            <w:r>
              <w:rPr>
                <w:rFonts w:hint="eastAsia" w:ascii="宋体" w:hAnsi="宋体" w:cs="宋体"/>
                <w:color w:val="auto"/>
                <w:spacing w:val="-3"/>
                <w:sz w:val="21"/>
                <w:highlight w:val="none"/>
                <w:lang w:eastAsia="zh-CN"/>
              </w:rPr>
              <w:t>包</w:t>
            </w:r>
            <w:r>
              <w:rPr>
                <w:rFonts w:hint="eastAsia" w:ascii="宋体" w:hAnsi="宋体" w:cs="宋体"/>
                <w:color w:val="auto"/>
                <w:sz w:val="21"/>
                <w:highlight w:val="none"/>
                <w:lang w:eastAsia="zh-CN"/>
              </w:rPr>
              <w:t>人</w:t>
            </w:r>
            <w:r>
              <w:rPr>
                <w:rFonts w:hint="eastAsia" w:ascii="宋体" w:hAnsi="宋体" w:cs="宋体"/>
                <w:color w:val="auto"/>
                <w:spacing w:val="-3"/>
                <w:sz w:val="21"/>
                <w:highlight w:val="none"/>
                <w:lang w:eastAsia="zh-CN"/>
              </w:rPr>
              <w:t>负</w:t>
            </w:r>
            <w:r>
              <w:rPr>
                <w:rFonts w:hint="eastAsia" w:ascii="宋体" w:hAnsi="宋体" w:cs="宋体"/>
                <w:color w:val="auto"/>
                <w:sz w:val="21"/>
                <w:highlight w:val="none"/>
                <w:lang w:eastAsia="zh-CN"/>
              </w:rPr>
              <w:t>责</w:t>
            </w:r>
            <w:r>
              <w:rPr>
                <w:rFonts w:hint="eastAsia" w:ascii="宋体" w:hAnsi="宋体" w:cs="宋体"/>
                <w:color w:val="auto"/>
                <w:spacing w:val="-3"/>
                <w:sz w:val="21"/>
                <w:highlight w:val="none"/>
                <w:lang w:eastAsia="zh-CN"/>
              </w:rPr>
              <w:t>提</w:t>
            </w:r>
            <w:r>
              <w:rPr>
                <w:rFonts w:hint="eastAsia" w:ascii="宋体" w:hAnsi="宋体" w:cs="宋体"/>
                <w:color w:val="auto"/>
                <w:sz w:val="21"/>
                <w:highlight w:val="none"/>
                <w:lang w:eastAsia="zh-CN"/>
              </w:rPr>
              <w:t>供</w:t>
            </w:r>
            <w:r>
              <w:rPr>
                <w:rFonts w:hint="eastAsia" w:ascii="宋体" w:hAnsi="宋体" w:cs="宋体"/>
                <w:color w:val="auto"/>
                <w:spacing w:val="-3"/>
                <w:sz w:val="21"/>
                <w:highlight w:val="none"/>
                <w:lang w:eastAsia="zh-CN"/>
              </w:rPr>
              <w:t>部</w:t>
            </w:r>
            <w:r>
              <w:rPr>
                <w:rFonts w:hint="eastAsia" w:ascii="宋体" w:hAnsi="宋体" w:cs="宋体"/>
                <w:color w:val="auto"/>
                <w:sz w:val="21"/>
                <w:highlight w:val="none"/>
                <w:lang w:eastAsia="zh-CN"/>
              </w:rPr>
              <w:t>分</w:t>
            </w:r>
            <w:r>
              <w:rPr>
                <w:rFonts w:hint="eastAsia" w:ascii="宋体" w:hAnsi="宋体" w:cs="宋体"/>
                <w:color w:val="auto"/>
                <w:spacing w:val="-3"/>
                <w:sz w:val="21"/>
                <w:highlight w:val="none"/>
                <w:lang w:eastAsia="zh-CN"/>
              </w:rPr>
              <w:t>施</w:t>
            </w:r>
            <w:r>
              <w:rPr>
                <w:rFonts w:hint="eastAsia" w:ascii="宋体" w:hAnsi="宋体" w:cs="宋体"/>
                <w:color w:val="auto"/>
                <w:sz w:val="21"/>
                <w:highlight w:val="none"/>
                <w:lang w:eastAsia="zh-CN"/>
              </w:rPr>
              <w:t>工设</w:t>
            </w:r>
            <w:r>
              <w:rPr>
                <w:rFonts w:hint="eastAsia" w:ascii="宋体" w:hAnsi="宋体" w:cs="宋体"/>
                <w:color w:val="auto"/>
                <w:spacing w:val="-3"/>
                <w:sz w:val="21"/>
                <w:highlight w:val="none"/>
                <w:lang w:eastAsia="zh-CN"/>
              </w:rPr>
              <w:t>备</w:t>
            </w:r>
            <w:r>
              <w:rPr>
                <w:rFonts w:hint="eastAsia" w:ascii="宋体" w:hAnsi="宋体" w:cs="宋体"/>
                <w:color w:val="auto"/>
                <w:sz w:val="21"/>
                <w:highlight w:val="none"/>
                <w:lang w:eastAsia="zh-CN"/>
              </w:rPr>
              <w:t>和</w:t>
            </w:r>
            <w:r>
              <w:rPr>
                <w:rFonts w:hint="eastAsia" w:ascii="宋体" w:hAnsi="宋体" w:cs="宋体"/>
                <w:color w:val="auto"/>
                <w:spacing w:val="-3"/>
                <w:sz w:val="21"/>
                <w:highlight w:val="none"/>
                <w:lang w:eastAsia="zh-CN"/>
              </w:rPr>
              <w:t>临</w:t>
            </w:r>
            <w:r>
              <w:rPr>
                <w:rFonts w:hint="eastAsia" w:ascii="宋体" w:hAnsi="宋体" w:cs="宋体"/>
                <w:color w:val="auto"/>
                <w:sz w:val="21"/>
                <w:highlight w:val="none"/>
                <w:lang w:eastAsia="zh-CN"/>
              </w:rPr>
              <w:t>时</w:t>
            </w:r>
            <w:r>
              <w:rPr>
                <w:rFonts w:hint="eastAsia" w:ascii="宋体" w:hAnsi="宋体" w:cs="宋体"/>
                <w:color w:val="auto"/>
                <w:spacing w:val="-3"/>
                <w:sz w:val="21"/>
                <w:highlight w:val="none"/>
                <w:lang w:eastAsia="zh-CN"/>
              </w:rPr>
              <w:t>设</w:t>
            </w:r>
            <w:r>
              <w:rPr>
                <w:rFonts w:hint="eastAsia" w:ascii="宋体" w:hAnsi="宋体" w:cs="宋体"/>
                <w:color w:val="auto"/>
                <w:sz w:val="21"/>
                <w:highlight w:val="none"/>
                <w:lang w:eastAsia="zh-CN"/>
              </w:rPr>
              <w:t>施</w:t>
            </w:r>
            <w:r>
              <w:rPr>
                <w:rFonts w:hint="eastAsia" w:ascii="宋体" w:hAnsi="宋体" w:cs="宋体"/>
                <w:color w:val="auto"/>
                <w:spacing w:val="-3"/>
                <w:sz w:val="21"/>
                <w:highlight w:val="none"/>
                <w:lang w:eastAsia="zh-CN"/>
              </w:rPr>
              <w:t>，</w:t>
            </w:r>
            <w:r>
              <w:rPr>
                <w:rFonts w:hint="eastAsia" w:ascii="宋体" w:hAnsi="宋体" w:cs="宋体"/>
                <w:color w:val="auto"/>
                <w:sz w:val="21"/>
                <w:highlight w:val="none"/>
                <w:lang w:eastAsia="zh-CN"/>
              </w:rPr>
              <w:t>相</w:t>
            </w:r>
            <w:r>
              <w:rPr>
                <w:rFonts w:hint="eastAsia" w:ascii="宋体" w:hAnsi="宋体" w:cs="宋体"/>
                <w:color w:val="auto"/>
                <w:spacing w:val="-3"/>
                <w:sz w:val="21"/>
                <w:highlight w:val="none"/>
                <w:lang w:eastAsia="zh-CN"/>
              </w:rPr>
              <w:t>关</w:t>
            </w:r>
            <w:r>
              <w:rPr>
                <w:rFonts w:hint="eastAsia" w:ascii="宋体" w:hAnsi="宋体" w:cs="宋体"/>
                <w:color w:val="auto"/>
                <w:sz w:val="21"/>
                <w:highlight w:val="none"/>
                <w:lang w:eastAsia="zh-CN"/>
              </w:rPr>
              <w:t>规定</w:t>
            </w:r>
            <w:r>
              <w:rPr>
                <w:rFonts w:hint="eastAsia" w:ascii="宋体" w:hAnsi="宋体" w:cs="宋体"/>
                <w:color w:val="auto"/>
                <w:spacing w:val="-3"/>
                <w:sz w:val="21"/>
                <w:highlight w:val="none"/>
                <w:lang w:eastAsia="zh-CN"/>
              </w:rPr>
              <w:t>如</w:t>
            </w:r>
            <w:r>
              <w:rPr>
                <w:rFonts w:hint="eastAsia" w:ascii="宋体" w:hAnsi="宋体" w:cs="宋体"/>
                <w:color w:val="auto"/>
                <w:sz w:val="21"/>
                <w:highlight w:val="none"/>
                <w:lang w:eastAsia="zh-CN"/>
              </w:rPr>
              <w:t>下：</w:t>
            </w:r>
            <w:r>
              <w:rPr>
                <w:rFonts w:hint="eastAsia" w:ascii="宋体" w:hAnsi="宋体" w:cs="宋体"/>
                <w:color w:val="auto"/>
                <w:sz w:val="21"/>
                <w:highlight w:val="none"/>
                <w:u w:val="single"/>
                <w:lang w:eastAsia="zh-CN"/>
              </w:rPr>
              <w:tab/>
            </w:r>
          </w:p>
        </w:tc>
      </w:tr>
      <w:tr w14:paraId="441B23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3" w:hRule="atLeast"/>
          <w:jc w:val="center"/>
        </w:trPr>
        <w:tc>
          <w:tcPr>
            <w:tcW w:w="629" w:type="dxa"/>
            <w:tcBorders>
              <w:top w:val="single" w:color="000000" w:sz="4" w:space="0"/>
              <w:left w:val="single" w:color="000000" w:sz="4" w:space="0"/>
              <w:bottom w:val="single" w:color="000000" w:sz="4" w:space="0"/>
              <w:right w:val="single" w:color="000000" w:sz="4" w:space="0"/>
            </w:tcBorders>
            <w:vAlign w:val="center"/>
          </w:tcPr>
          <w:p w14:paraId="2C6C127B">
            <w:pPr>
              <w:pStyle w:val="386"/>
              <w:spacing w:before="1" w:line="360" w:lineRule="auto"/>
              <w:rPr>
                <w:rFonts w:hint="eastAsia" w:ascii="宋体" w:hAnsi="宋体" w:cs="宋体"/>
                <w:color w:val="auto"/>
                <w:sz w:val="23"/>
                <w:highlight w:val="none"/>
                <w:lang w:eastAsia="zh-CN"/>
              </w:rPr>
            </w:pPr>
          </w:p>
          <w:p w14:paraId="3D3F6C41">
            <w:pPr>
              <w:pStyle w:val="386"/>
              <w:spacing w:line="360" w:lineRule="auto"/>
              <w:ind w:left="9"/>
              <w:jc w:val="center"/>
              <w:rPr>
                <w:rFonts w:hint="eastAsia" w:ascii="宋体" w:hAnsi="宋体" w:cs="宋体"/>
                <w:color w:val="auto"/>
                <w:sz w:val="21"/>
                <w:highlight w:val="none"/>
              </w:rPr>
            </w:pPr>
            <w:r>
              <w:rPr>
                <w:rFonts w:hint="eastAsia" w:ascii="宋体" w:hAnsi="宋体" w:cs="宋体"/>
                <w:color w:val="auto"/>
                <w:sz w:val="21"/>
                <w:highlight w:val="none"/>
              </w:rPr>
              <w:t>8</w:t>
            </w:r>
          </w:p>
        </w:tc>
        <w:tc>
          <w:tcPr>
            <w:tcW w:w="1111" w:type="dxa"/>
            <w:tcBorders>
              <w:top w:val="single" w:color="000000" w:sz="4" w:space="0"/>
              <w:left w:val="single" w:color="000000" w:sz="4" w:space="0"/>
              <w:bottom w:val="single" w:color="000000" w:sz="4" w:space="0"/>
              <w:right w:val="single" w:color="000000" w:sz="4" w:space="0"/>
            </w:tcBorders>
            <w:vAlign w:val="center"/>
          </w:tcPr>
          <w:p w14:paraId="20BE76DC">
            <w:pPr>
              <w:pStyle w:val="386"/>
              <w:spacing w:before="1" w:line="360" w:lineRule="auto"/>
              <w:rPr>
                <w:rFonts w:hint="eastAsia" w:ascii="宋体" w:hAnsi="宋体" w:cs="宋体"/>
                <w:color w:val="auto"/>
                <w:sz w:val="23"/>
                <w:highlight w:val="none"/>
              </w:rPr>
            </w:pPr>
          </w:p>
          <w:p w14:paraId="3F2D3A41">
            <w:pPr>
              <w:pStyle w:val="386"/>
              <w:spacing w:line="360" w:lineRule="auto"/>
              <w:ind w:left="89" w:right="78"/>
              <w:jc w:val="center"/>
              <w:rPr>
                <w:rFonts w:hint="eastAsia" w:ascii="宋体" w:hAnsi="宋体" w:cs="宋体"/>
                <w:color w:val="auto"/>
                <w:sz w:val="21"/>
                <w:highlight w:val="none"/>
              </w:rPr>
            </w:pPr>
            <w:r>
              <w:rPr>
                <w:rFonts w:hint="eastAsia" w:ascii="宋体" w:hAnsi="宋体" w:cs="宋体"/>
                <w:color w:val="auto"/>
                <w:sz w:val="21"/>
                <w:highlight w:val="none"/>
              </w:rPr>
              <w:t>8.1.1</w:t>
            </w:r>
          </w:p>
        </w:tc>
        <w:tc>
          <w:tcPr>
            <w:tcW w:w="7305" w:type="dxa"/>
            <w:tcBorders>
              <w:top w:val="single" w:color="000000" w:sz="4" w:space="0"/>
              <w:left w:val="single" w:color="000000" w:sz="4" w:space="0"/>
              <w:bottom w:val="single" w:color="000000" w:sz="4" w:space="0"/>
              <w:right w:val="single" w:color="000000" w:sz="4" w:space="0"/>
            </w:tcBorders>
            <w:vAlign w:val="center"/>
          </w:tcPr>
          <w:p w14:paraId="28D7ECA8">
            <w:pPr>
              <w:pStyle w:val="386"/>
              <w:tabs>
                <w:tab w:val="left" w:pos="6908"/>
                <w:tab w:val="left" w:pos="7244"/>
              </w:tabs>
              <w:spacing w:before="1" w:line="360" w:lineRule="auto"/>
              <w:ind w:left="347" w:right="48"/>
              <w:rPr>
                <w:rFonts w:hint="eastAsia" w:ascii="宋体" w:hAnsi="宋体" w:cs="宋体"/>
                <w:color w:val="auto"/>
                <w:sz w:val="21"/>
                <w:highlight w:val="none"/>
                <w:u w:val="single"/>
                <w:lang w:eastAsia="zh-CN"/>
              </w:rPr>
            </w:pPr>
            <w:r>
              <w:rPr>
                <w:rFonts w:hint="eastAsia" w:ascii="宋体" w:hAnsi="宋体" w:cs="宋体"/>
                <w:color w:val="auto"/>
                <w:sz w:val="21"/>
                <w:highlight w:val="none"/>
                <w:lang w:eastAsia="zh-CN"/>
              </w:rPr>
              <w:t>发包</w:t>
            </w:r>
            <w:r>
              <w:rPr>
                <w:rFonts w:hint="eastAsia" w:ascii="宋体" w:hAnsi="宋体" w:cs="宋体"/>
                <w:color w:val="auto"/>
                <w:spacing w:val="-3"/>
                <w:sz w:val="21"/>
                <w:highlight w:val="none"/>
                <w:lang w:eastAsia="zh-CN"/>
              </w:rPr>
              <w:t>人</w:t>
            </w:r>
            <w:r>
              <w:rPr>
                <w:rFonts w:hint="eastAsia" w:ascii="宋体" w:hAnsi="宋体" w:cs="宋体"/>
                <w:color w:val="auto"/>
                <w:sz w:val="21"/>
                <w:highlight w:val="none"/>
                <w:lang w:eastAsia="zh-CN"/>
              </w:rPr>
              <w:t>提</w:t>
            </w:r>
            <w:r>
              <w:rPr>
                <w:rFonts w:hint="eastAsia" w:ascii="宋体" w:hAnsi="宋体" w:cs="宋体"/>
                <w:color w:val="auto"/>
                <w:spacing w:val="-3"/>
                <w:sz w:val="21"/>
                <w:highlight w:val="none"/>
                <w:lang w:eastAsia="zh-CN"/>
              </w:rPr>
              <w:t>供</w:t>
            </w:r>
            <w:r>
              <w:rPr>
                <w:rFonts w:hint="eastAsia" w:ascii="宋体" w:hAnsi="宋体" w:cs="宋体"/>
                <w:color w:val="auto"/>
                <w:sz w:val="21"/>
                <w:highlight w:val="none"/>
                <w:lang w:eastAsia="zh-CN"/>
              </w:rPr>
              <w:t>测</w:t>
            </w:r>
            <w:r>
              <w:rPr>
                <w:rFonts w:hint="eastAsia" w:ascii="宋体" w:hAnsi="宋体" w:cs="宋体"/>
                <w:color w:val="auto"/>
                <w:spacing w:val="-3"/>
                <w:sz w:val="21"/>
                <w:highlight w:val="none"/>
                <w:lang w:eastAsia="zh-CN"/>
              </w:rPr>
              <w:t>量</w:t>
            </w:r>
            <w:r>
              <w:rPr>
                <w:rFonts w:hint="eastAsia" w:ascii="宋体" w:hAnsi="宋体" w:cs="宋体"/>
                <w:color w:val="auto"/>
                <w:sz w:val="21"/>
                <w:highlight w:val="none"/>
                <w:lang w:eastAsia="zh-CN"/>
              </w:rPr>
              <w:t>基</w:t>
            </w:r>
            <w:r>
              <w:rPr>
                <w:rFonts w:hint="eastAsia" w:ascii="宋体" w:hAnsi="宋体" w:cs="宋体"/>
                <w:color w:val="auto"/>
                <w:spacing w:val="-3"/>
                <w:sz w:val="21"/>
                <w:highlight w:val="none"/>
                <w:lang w:eastAsia="zh-CN"/>
              </w:rPr>
              <w:t>准</w:t>
            </w:r>
            <w:r>
              <w:rPr>
                <w:rFonts w:hint="eastAsia" w:ascii="宋体" w:hAnsi="宋体" w:cs="宋体"/>
                <w:color w:val="auto"/>
                <w:sz w:val="21"/>
                <w:highlight w:val="none"/>
                <w:lang w:eastAsia="zh-CN"/>
              </w:rPr>
              <w:t>点</w:t>
            </w:r>
            <w:r>
              <w:rPr>
                <w:rFonts w:hint="eastAsia" w:ascii="宋体" w:hAnsi="宋体" w:cs="宋体"/>
                <w:color w:val="auto"/>
                <w:spacing w:val="-3"/>
                <w:sz w:val="21"/>
                <w:highlight w:val="none"/>
                <w:lang w:eastAsia="zh-CN"/>
              </w:rPr>
              <w:t>、</w:t>
            </w:r>
            <w:r>
              <w:rPr>
                <w:rFonts w:hint="eastAsia" w:ascii="宋体" w:hAnsi="宋体" w:cs="宋体"/>
                <w:color w:val="auto"/>
                <w:sz w:val="21"/>
                <w:highlight w:val="none"/>
                <w:lang w:eastAsia="zh-CN"/>
              </w:rPr>
              <w:t>基准</w:t>
            </w:r>
            <w:r>
              <w:rPr>
                <w:rFonts w:hint="eastAsia" w:ascii="宋体" w:hAnsi="宋体" w:cs="宋体"/>
                <w:color w:val="auto"/>
                <w:spacing w:val="-3"/>
                <w:sz w:val="21"/>
                <w:highlight w:val="none"/>
                <w:lang w:eastAsia="zh-CN"/>
              </w:rPr>
              <w:t>线</w:t>
            </w:r>
            <w:r>
              <w:rPr>
                <w:rFonts w:hint="eastAsia" w:ascii="宋体" w:hAnsi="宋体" w:cs="宋体"/>
                <w:color w:val="auto"/>
                <w:sz w:val="21"/>
                <w:highlight w:val="none"/>
                <w:lang w:eastAsia="zh-CN"/>
              </w:rPr>
              <w:t>和</w:t>
            </w:r>
            <w:r>
              <w:rPr>
                <w:rFonts w:hint="eastAsia" w:ascii="宋体" w:hAnsi="宋体" w:cs="宋体"/>
                <w:color w:val="auto"/>
                <w:spacing w:val="-3"/>
                <w:sz w:val="21"/>
                <w:highlight w:val="none"/>
                <w:lang w:eastAsia="zh-CN"/>
              </w:rPr>
              <w:t>水</w:t>
            </w:r>
            <w:r>
              <w:rPr>
                <w:rFonts w:hint="eastAsia" w:ascii="宋体" w:hAnsi="宋体" w:cs="宋体"/>
                <w:color w:val="auto"/>
                <w:sz w:val="21"/>
                <w:highlight w:val="none"/>
                <w:lang w:eastAsia="zh-CN"/>
              </w:rPr>
              <w:t>准</w:t>
            </w:r>
            <w:r>
              <w:rPr>
                <w:rFonts w:hint="eastAsia" w:ascii="宋体" w:hAnsi="宋体" w:cs="宋体"/>
                <w:color w:val="auto"/>
                <w:spacing w:val="-3"/>
                <w:sz w:val="21"/>
                <w:highlight w:val="none"/>
                <w:lang w:eastAsia="zh-CN"/>
              </w:rPr>
              <w:t>点</w:t>
            </w:r>
            <w:r>
              <w:rPr>
                <w:rFonts w:hint="eastAsia" w:ascii="宋体" w:hAnsi="宋体" w:cs="宋体"/>
                <w:color w:val="auto"/>
                <w:sz w:val="21"/>
                <w:highlight w:val="none"/>
                <w:lang w:eastAsia="zh-CN"/>
              </w:rPr>
              <w:t>及</w:t>
            </w:r>
            <w:r>
              <w:rPr>
                <w:rFonts w:hint="eastAsia" w:ascii="宋体" w:hAnsi="宋体" w:cs="宋体"/>
                <w:color w:val="auto"/>
                <w:spacing w:val="-3"/>
                <w:sz w:val="21"/>
                <w:highlight w:val="none"/>
                <w:lang w:eastAsia="zh-CN"/>
              </w:rPr>
              <w:t>其</w:t>
            </w:r>
            <w:r>
              <w:rPr>
                <w:rFonts w:hint="eastAsia" w:ascii="宋体" w:hAnsi="宋体" w:cs="宋体"/>
                <w:color w:val="auto"/>
                <w:sz w:val="21"/>
                <w:highlight w:val="none"/>
                <w:lang w:eastAsia="zh-CN"/>
              </w:rPr>
              <w:t>书</w:t>
            </w:r>
            <w:r>
              <w:rPr>
                <w:rFonts w:hint="eastAsia" w:ascii="宋体" w:hAnsi="宋体" w:cs="宋体"/>
                <w:color w:val="auto"/>
                <w:spacing w:val="-3"/>
                <w:sz w:val="21"/>
                <w:highlight w:val="none"/>
                <w:lang w:eastAsia="zh-CN"/>
              </w:rPr>
              <w:t>面</w:t>
            </w:r>
            <w:r>
              <w:rPr>
                <w:rFonts w:hint="eastAsia" w:ascii="宋体" w:hAnsi="宋体" w:cs="宋体"/>
                <w:color w:val="auto"/>
                <w:sz w:val="21"/>
                <w:highlight w:val="none"/>
                <w:lang w:eastAsia="zh-CN"/>
              </w:rPr>
              <w:t>资料</w:t>
            </w:r>
            <w:r>
              <w:rPr>
                <w:rFonts w:hint="eastAsia" w:ascii="宋体" w:hAnsi="宋体" w:cs="宋体"/>
                <w:color w:val="auto"/>
                <w:spacing w:val="-3"/>
                <w:sz w:val="21"/>
                <w:highlight w:val="none"/>
                <w:lang w:eastAsia="zh-CN"/>
              </w:rPr>
              <w:t>的</w:t>
            </w:r>
            <w:r>
              <w:rPr>
                <w:rFonts w:hint="eastAsia" w:ascii="宋体" w:hAnsi="宋体" w:cs="宋体"/>
                <w:color w:val="auto"/>
                <w:sz w:val="21"/>
                <w:highlight w:val="none"/>
                <w:lang w:eastAsia="zh-CN"/>
              </w:rPr>
              <w:t>期</w:t>
            </w:r>
            <w:r>
              <w:rPr>
                <w:rFonts w:hint="eastAsia" w:ascii="宋体" w:hAnsi="宋体" w:cs="宋体"/>
                <w:color w:val="auto"/>
                <w:spacing w:val="-3"/>
                <w:sz w:val="21"/>
                <w:highlight w:val="none"/>
                <w:lang w:eastAsia="zh-CN"/>
              </w:rPr>
              <w:t>限</w:t>
            </w:r>
            <w:r>
              <w:rPr>
                <w:rFonts w:hint="eastAsia" w:ascii="宋体" w:hAnsi="宋体" w:cs="宋体"/>
                <w:color w:val="auto"/>
                <w:sz w:val="21"/>
                <w:highlight w:val="none"/>
                <w:lang w:eastAsia="zh-CN"/>
              </w:rPr>
              <w:t>：</w:t>
            </w:r>
            <w:r>
              <w:rPr>
                <w:rFonts w:hint="eastAsia" w:ascii="宋体" w:hAnsi="宋体" w:cs="宋体"/>
                <w:color w:val="auto"/>
                <w:spacing w:val="-1"/>
                <w:sz w:val="21"/>
                <w:szCs w:val="21"/>
                <w:highlight w:val="none"/>
                <w:u w:val="single"/>
                <w:lang w:eastAsia="zh-CN"/>
              </w:rPr>
              <w:t>进场7天</w:t>
            </w:r>
            <w:r>
              <w:rPr>
                <w:rFonts w:hint="eastAsia" w:ascii="宋体" w:hAnsi="宋体" w:cs="宋体"/>
                <w:color w:val="auto"/>
                <w:sz w:val="21"/>
                <w:szCs w:val="21"/>
                <w:highlight w:val="none"/>
                <w:u w:val="single"/>
                <w:lang w:eastAsia="zh-CN"/>
              </w:rPr>
              <w:t>内</w:t>
            </w:r>
            <w:r>
              <w:rPr>
                <w:rFonts w:hint="eastAsia" w:ascii="宋体" w:hAnsi="宋体" w:cs="宋体"/>
                <w:color w:val="auto"/>
                <w:sz w:val="21"/>
                <w:highlight w:val="none"/>
                <w:u w:val="single"/>
                <w:lang w:eastAsia="zh-CN"/>
              </w:rPr>
              <w:tab/>
            </w:r>
          </w:p>
          <w:p w14:paraId="12BD7B7A">
            <w:pPr>
              <w:pStyle w:val="386"/>
              <w:tabs>
                <w:tab w:val="left" w:pos="6908"/>
                <w:tab w:val="left" w:pos="7244"/>
              </w:tabs>
              <w:spacing w:before="1" w:line="360" w:lineRule="auto"/>
              <w:ind w:left="347" w:right="48"/>
              <w:rPr>
                <w:rFonts w:hint="eastAsia" w:ascii="宋体" w:hAnsi="宋体" w:cs="宋体"/>
                <w:color w:val="auto"/>
                <w:sz w:val="21"/>
                <w:highlight w:val="none"/>
                <w:lang w:eastAsia="zh-CN"/>
              </w:rPr>
            </w:pPr>
            <w:r>
              <w:rPr>
                <w:rFonts w:hint="eastAsia" w:ascii="宋体" w:hAnsi="宋体" w:cs="宋体"/>
                <w:color w:val="auto"/>
                <w:sz w:val="21"/>
                <w:highlight w:val="none"/>
                <w:lang w:eastAsia="zh-CN"/>
              </w:rPr>
              <w:t>承包</w:t>
            </w:r>
            <w:r>
              <w:rPr>
                <w:rFonts w:hint="eastAsia" w:ascii="宋体" w:hAnsi="宋体" w:cs="宋体"/>
                <w:color w:val="auto"/>
                <w:spacing w:val="-3"/>
                <w:sz w:val="21"/>
                <w:highlight w:val="none"/>
                <w:lang w:eastAsia="zh-CN"/>
              </w:rPr>
              <w:t>人</w:t>
            </w:r>
            <w:r>
              <w:rPr>
                <w:rFonts w:hint="eastAsia" w:ascii="宋体" w:hAnsi="宋体" w:cs="宋体"/>
                <w:color w:val="auto"/>
                <w:sz w:val="21"/>
                <w:highlight w:val="none"/>
                <w:lang w:eastAsia="zh-CN"/>
              </w:rPr>
              <w:t>将</w:t>
            </w:r>
            <w:r>
              <w:rPr>
                <w:rFonts w:hint="eastAsia" w:ascii="宋体" w:hAnsi="宋体" w:cs="宋体"/>
                <w:color w:val="auto"/>
                <w:spacing w:val="-3"/>
                <w:sz w:val="21"/>
                <w:highlight w:val="none"/>
                <w:lang w:eastAsia="zh-CN"/>
              </w:rPr>
              <w:t>施</w:t>
            </w:r>
            <w:r>
              <w:rPr>
                <w:rFonts w:hint="eastAsia" w:ascii="宋体" w:hAnsi="宋体" w:cs="宋体"/>
                <w:color w:val="auto"/>
                <w:sz w:val="21"/>
                <w:highlight w:val="none"/>
                <w:lang w:eastAsia="zh-CN"/>
              </w:rPr>
              <w:t>工</w:t>
            </w:r>
            <w:r>
              <w:rPr>
                <w:rFonts w:hint="eastAsia" w:ascii="宋体" w:hAnsi="宋体" w:cs="宋体"/>
                <w:color w:val="auto"/>
                <w:spacing w:val="-3"/>
                <w:sz w:val="21"/>
                <w:highlight w:val="none"/>
                <w:lang w:eastAsia="zh-CN"/>
              </w:rPr>
              <w:t>控</w:t>
            </w:r>
            <w:r>
              <w:rPr>
                <w:rFonts w:hint="eastAsia" w:ascii="宋体" w:hAnsi="宋体" w:cs="宋体"/>
                <w:color w:val="auto"/>
                <w:sz w:val="21"/>
                <w:highlight w:val="none"/>
                <w:lang w:eastAsia="zh-CN"/>
              </w:rPr>
              <w:t>制</w:t>
            </w:r>
            <w:r>
              <w:rPr>
                <w:rFonts w:hint="eastAsia" w:ascii="宋体" w:hAnsi="宋体" w:cs="宋体"/>
                <w:color w:val="auto"/>
                <w:spacing w:val="-3"/>
                <w:sz w:val="21"/>
                <w:highlight w:val="none"/>
                <w:lang w:eastAsia="zh-CN"/>
              </w:rPr>
              <w:t>网</w:t>
            </w:r>
            <w:r>
              <w:rPr>
                <w:rFonts w:hint="eastAsia" w:ascii="宋体" w:hAnsi="宋体" w:cs="宋体"/>
                <w:color w:val="auto"/>
                <w:sz w:val="21"/>
                <w:highlight w:val="none"/>
                <w:lang w:eastAsia="zh-CN"/>
              </w:rPr>
              <w:t>资</w:t>
            </w:r>
            <w:r>
              <w:rPr>
                <w:rFonts w:hint="eastAsia" w:ascii="宋体" w:hAnsi="宋体" w:cs="宋体"/>
                <w:color w:val="auto"/>
                <w:spacing w:val="-3"/>
                <w:sz w:val="21"/>
                <w:highlight w:val="none"/>
                <w:lang w:eastAsia="zh-CN"/>
              </w:rPr>
              <w:t>料</w:t>
            </w:r>
            <w:r>
              <w:rPr>
                <w:rFonts w:hint="eastAsia" w:ascii="宋体" w:hAnsi="宋体" w:cs="宋体"/>
                <w:color w:val="auto"/>
                <w:sz w:val="21"/>
                <w:highlight w:val="none"/>
                <w:lang w:eastAsia="zh-CN"/>
              </w:rPr>
              <w:t>报送</w:t>
            </w:r>
            <w:r>
              <w:rPr>
                <w:rFonts w:hint="eastAsia" w:ascii="宋体" w:hAnsi="宋体" w:cs="宋体"/>
                <w:color w:val="auto"/>
                <w:spacing w:val="-3"/>
                <w:sz w:val="21"/>
                <w:highlight w:val="none"/>
                <w:lang w:eastAsia="zh-CN"/>
              </w:rPr>
              <w:t>监</w:t>
            </w:r>
            <w:r>
              <w:rPr>
                <w:rFonts w:hint="eastAsia" w:ascii="宋体" w:hAnsi="宋体" w:cs="宋体"/>
                <w:color w:val="auto"/>
                <w:sz w:val="21"/>
                <w:highlight w:val="none"/>
                <w:lang w:eastAsia="zh-CN"/>
              </w:rPr>
              <w:t>理</w:t>
            </w:r>
            <w:r>
              <w:rPr>
                <w:rFonts w:hint="eastAsia" w:ascii="宋体" w:hAnsi="宋体" w:cs="宋体"/>
                <w:color w:val="auto"/>
                <w:spacing w:val="-3"/>
                <w:sz w:val="21"/>
                <w:highlight w:val="none"/>
                <w:lang w:eastAsia="zh-CN"/>
              </w:rPr>
              <w:t>人</w:t>
            </w:r>
            <w:r>
              <w:rPr>
                <w:rFonts w:hint="eastAsia" w:ascii="宋体" w:hAnsi="宋体" w:cs="宋体"/>
                <w:color w:val="auto"/>
                <w:sz w:val="21"/>
                <w:highlight w:val="none"/>
                <w:lang w:eastAsia="zh-CN"/>
              </w:rPr>
              <w:t>审</w:t>
            </w:r>
            <w:r>
              <w:rPr>
                <w:rFonts w:hint="eastAsia" w:ascii="宋体" w:hAnsi="宋体" w:cs="宋体"/>
                <w:color w:val="auto"/>
                <w:spacing w:val="-3"/>
                <w:sz w:val="21"/>
                <w:highlight w:val="none"/>
                <w:lang w:eastAsia="zh-CN"/>
              </w:rPr>
              <w:t>批</w:t>
            </w:r>
            <w:r>
              <w:rPr>
                <w:rFonts w:hint="eastAsia" w:ascii="宋体" w:hAnsi="宋体" w:cs="宋体"/>
                <w:color w:val="auto"/>
                <w:sz w:val="21"/>
                <w:highlight w:val="none"/>
                <w:lang w:eastAsia="zh-CN"/>
              </w:rPr>
              <w:t>的</w:t>
            </w:r>
            <w:r>
              <w:rPr>
                <w:rFonts w:hint="eastAsia" w:ascii="宋体" w:hAnsi="宋体" w:cs="宋体"/>
                <w:color w:val="auto"/>
                <w:spacing w:val="-3"/>
                <w:sz w:val="21"/>
                <w:highlight w:val="none"/>
                <w:lang w:eastAsia="zh-CN"/>
              </w:rPr>
              <w:t>期</w:t>
            </w:r>
            <w:r>
              <w:rPr>
                <w:rFonts w:hint="eastAsia" w:ascii="宋体" w:hAnsi="宋体" w:cs="宋体"/>
                <w:color w:val="auto"/>
                <w:sz w:val="21"/>
                <w:highlight w:val="none"/>
                <w:lang w:eastAsia="zh-CN"/>
              </w:rPr>
              <w:t>限</w:t>
            </w:r>
            <w:r>
              <w:rPr>
                <w:rFonts w:hint="eastAsia" w:ascii="宋体" w:hAnsi="宋体" w:cs="宋体"/>
                <w:color w:val="auto"/>
                <w:spacing w:val="-3"/>
                <w:sz w:val="21"/>
                <w:highlight w:val="none"/>
                <w:lang w:eastAsia="zh-CN"/>
              </w:rPr>
              <w:t>：</w:t>
            </w:r>
            <w:r>
              <w:rPr>
                <w:rFonts w:hint="eastAsia" w:ascii="宋体" w:hAnsi="宋体" w:cs="宋体"/>
                <w:color w:val="auto"/>
                <w:sz w:val="21"/>
                <w:szCs w:val="21"/>
                <w:highlight w:val="none"/>
                <w:u w:val="single"/>
                <w:lang w:eastAsia="zh-CN"/>
              </w:rPr>
              <w:t>发出开工通知后7天</w:t>
            </w:r>
            <w:r>
              <w:rPr>
                <w:rFonts w:hint="eastAsia" w:ascii="宋体" w:hAnsi="宋体" w:cs="宋体"/>
                <w:color w:val="auto"/>
                <w:sz w:val="21"/>
                <w:highlight w:val="none"/>
                <w:u w:val="single"/>
                <w:lang w:eastAsia="zh-CN"/>
              </w:rPr>
              <w:tab/>
            </w:r>
          </w:p>
        </w:tc>
      </w:tr>
      <w:tr w14:paraId="6CB9D9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0" w:hRule="atLeast"/>
          <w:jc w:val="center"/>
        </w:trPr>
        <w:tc>
          <w:tcPr>
            <w:tcW w:w="629" w:type="dxa"/>
            <w:tcBorders>
              <w:top w:val="single" w:color="000000" w:sz="4" w:space="0"/>
              <w:left w:val="single" w:color="000000" w:sz="4" w:space="0"/>
              <w:bottom w:val="single" w:color="000000" w:sz="4" w:space="0"/>
              <w:right w:val="single" w:color="000000" w:sz="4" w:space="0"/>
            </w:tcBorders>
            <w:vAlign w:val="center"/>
          </w:tcPr>
          <w:p w14:paraId="6C7EE121">
            <w:pPr>
              <w:pStyle w:val="386"/>
              <w:spacing w:line="360" w:lineRule="auto"/>
              <w:ind w:left="9"/>
              <w:jc w:val="center"/>
              <w:rPr>
                <w:rFonts w:hint="eastAsia" w:ascii="宋体" w:hAnsi="宋体" w:cs="宋体"/>
                <w:color w:val="auto"/>
                <w:sz w:val="21"/>
                <w:highlight w:val="none"/>
              </w:rPr>
            </w:pPr>
            <w:r>
              <w:rPr>
                <w:rFonts w:hint="eastAsia" w:ascii="宋体" w:hAnsi="宋体" w:cs="宋体"/>
                <w:color w:val="auto"/>
                <w:sz w:val="21"/>
                <w:highlight w:val="none"/>
              </w:rPr>
              <w:t>9</w:t>
            </w:r>
          </w:p>
        </w:tc>
        <w:tc>
          <w:tcPr>
            <w:tcW w:w="1111" w:type="dxa"/>
            <w:tcBorders>
              <w:top w:val="single" w:color="000000" w:sz="4" w:space="0"/>
              <w:left w:val="single" w:color="000000" w:sz="4" w:space="0"/>
              <w:bottom w:val="single" w:color="000000" w:sz="4" w:space="0"/>
              <w:right w:val="single" w:color="000000" w:sz="4" w:space="0"/>
            </w:tcBorders>
            <w:vAlign w:val="center"/>
          </w:tcPr>
          <w:p w14:paraId="3562A31A">
            <w:pPr>
              <w:pStyle w:val="386"/>
              <w:spacing w:line="360" w:lineRule="auto"/>
              <w:ind w:left="89" w:right="78"/>
              <w:jc w:val="center"/>
              <w:rPr>
                <w:rFonts w:hint="eastAsia" w:ascii="宋体" w:hAnsi="宋体" w:cs="宋体"/>
                <w:color w:val="auto"/>
                <w:sz w:val="21"/>
                <w:highlight w:val="none"/>
              </w:rPr>
            </w:pPr>
            <w:r>
              <w:rPr>
                <w:rFonts w:hint="eastAsia" w:ascii="宋体" w:hAnsi="宋体" w:cs="宋体"/>
                <w:color w:val="auto"/>
                <w:sz w:val="21"/>
                <w:highlight w:val="none"/>
              </w:rPr>
              <w:t>11.1</w:t>
            </w:r>
          </w:p>
        </w:tc>
        <w:tc>
          <w:tcPr>
            <w:tcW w:w="7305" w:type="dxa"/>
            <w:tcBorders>
              <w:top w:val="single" w:color="000000" w:sz="4" w:space="0"/>
              <w:left w:val="single" w:color="000000" w:sz="4" w:space="0"/>
              <w:bottom w:val="single" w:color="000000" w:sz="4" w:space="0"/>
              <w:right w:val="single" w:color="000000" w:sz="4" w:space="0"/>
            </w:tcBorders>
            <w:vAlign w:val="center"/>
          </w:tcPr>
          <w:p w14:paraId="38D6D7DA">
            <w:pPr>
              <w:pStyle w:val="386"/>
              <w:tabs>
                <w:tab w:val="left" w:pos="0"/>
                <w:tab w:val="left" w:pos="6908"/>
                <w:tab w:val="left" w:pos="7244"/>
              </w:tabs>
              <w:spacing w:before="1" w:line="360" w:lineRule="auto"/>
              <w:ind w:left="227" w:right="48" w:firstLine="119"/>
              <w:rPr>
                <w:rFonts w:hint="eastAsia" w:ascii="宋体" w:hAnsi="宋体" w:cs="宋体"/>
                <w:color w:val="auto"/>
                <w:sz w:val="21"/>
                <w:highlight w:val="none"/>
                <w:lang w:eastAsia="zh-CN"/>
              </w:rPr>
            </w:pPr>
            <w:r>
              <w:rPr>
                <w:rFonts w:hint="eastAsia" w:ascii="宋体" w:hAnsi="宋体" w:cs="宋体"/>
                <w:color w:val="auto"/>
                <w:sz w:val="21"/>
                <w:highlight w:val="none"/>
                <w:lang w:eastAsia="zh-CN"/>
              </w:rPr>
              <w:t>承包人应在签订施工承包合同协议书后的5个工作日内完成进场准备，包括主要管理人员、响应文件承诺进场的机械设备、试验检测设备、项目部的办公设备、项目部的选址及上墙图表等，并具备基本的工作条件；承包人完成进场准备后的7天内开展实质性的施工工作。</w:t>
            </w:r>
          </w:p>
          <w:p w14:paraId="4BE6C658">
            <w:pPr>
              <w:pStyle w:val="386"/>
              <w:tabs>
                <w:tab w:val="left" w:pos="6908"/>
                <w:tab w:val="left" w:pos="7244"/>
              </w:tabs>
              <w:spacing w:before="1" w:line="360" w:lineRule="auto"/>
              <w:ind w:left="347" w:right="48"/>
              <w:rPr>
                <w:rFonts w:hint="eastAsia" w:ascii="宋体" w:hAnsi="宋体" w:cs="宋体"/>
                <w:color w:val="auto"/>
                <w:sz w:val="21"/>
                <w:highlight w:val="none"/>
                <w:lang w:eastAsia="zh-CN"/>
              </w:rPr>
            </w:pPr>
            <w:r>
              <w:rPr>
                <w:rFonts w:hint="eastAsia" w:ascii="宋体" w:hAnsi="宋体" w:cs="宋体"/>
                <w:color w:val="auto"/>
                <w:sz w:val="21"/>
                <w:highlight w:val="none"/>
                <w:lang w:eastAsia="zh-CN"/>
              </w:rPr>
              <w:t>逾期开工违约金：</w:t>
            </w:r>
            <w:r>
              <w:rPr>
                <w:rFonts w:hint="eastAsia" w:ascii="宋体" w:hAnsi="宋体" w:cs="宋体"/>
                <w:color w:val="auto"/>
                <w:sz w:val="21"/>
                <w:highlight w:val="none"/>
                <w:u w:val="single"/>
                <w:lang w:eastAsia="zh-CN"/>
              </w:rPr>
              <w:t>2000元/天</w:t>
            </w:r>
            <w:r>
              <w:rPr>
                <w:rFonts w:hint="eastAsia" w:ascii="宋体" w:hAnsi="宋体" w:cs="宋体"/>
                <w:color w:val="auto"/>
                <w:sz w:val="21"/>
                <w:highlight w:val="none"/>
                <w:lang w:eastAsia="zh-CN"/>
              </w:rPr>
              <w:t>。</w:t>
            </w:r>
          </w:p>
        </w:tc>
      </w:tr>
      <w:tr w14:paraId="60B603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2" w:hRule="atLeast"/>
          <w:jc w:val="center"/>
        </w:trPr>
        <w:tc>
          <w:tcPr>
            <w:tcW w:w="629" w:type="dxa"/>
            <w:tcBorders>
              <w:top w:val="single" w:color="000000" w:sz="4" w:space="0"/>
              <w:left w:val="single" w:color="000000" w:sz="4" w:space="0"/>
              <w:bottom w:val="single" w:color="000000" w:sz="4" w:space="0"/>
              <w:right w:val="single" w:color="000000" w:sz="4" w:space="0"/>
            </w:tcBorders>
            <w:vAlign w:val="center"/>
          </w:tcPr>
          <w:p w14:paraId="0B0791B0">
            <w:pPr>
              <w:pStyle w:val="386"/>
              <w:spacing w:before="114" w:line="360" w:lineRule="auto"/>
              <w:ind w:left="9"/>
              <w:jc w:val="center"/>
              <w:rPr>
                <w:rFonts w:hint="eastAsia" w:ascii="宋体" w:hAnsi="宋体" w:cs="宋体"/>
                <w:color w:val="auto"/>
                <w:sz w:val="21"/>
                <w:highlight w:val="none"/>
              </w:rPr>
            </w:pPr>
            <w:r>
              <w:rPr>
                <w:rFonts w:hint="eastAsia" w:ascii="宋体" w:hAnsi="宋体" w:cs="宋体"/>
                <w:color w:val="auto"/>
                <w:sz w:val="21"/>
                <w:highlight w:val="none"/>
              </w:rPr>
              <w:t>10</w:t>
            </w:r>
          </w:p>
        </w:tc>
        <w:tc>
          <w:tcPr>
            <w:tcW w:w="1111" w:type="dxa"/>
            <w:tcBorders>
              <w:top w:val="single" w:color="000000" w:sz="4" w:space="0"/>
              <w:left w:val="single" w:color="000000" w:sz="4" w:space="0"/>
              <w:bottom w:val="single" w:color="000000" w:sz="4" w:space="0"/>
              <w:right w:val="single" w:color="000000" w:sz="4" w:space="0"/>
            </w:tcBorders>
            <w:vAlign w:val="center"/>
          </w:tcPr>
          <w:p w14:paraId="40F7B336">
            <w:pPr>
              <w:pStyle w:val="386"/>
              <w:spacing w:before="90" w:line="360" w:lineRule="auto"/>
              <w:ind w:left="89" w:right="78"/>
              <w:jc w:val="center"/>
              <w:rPr>
                <w:rFonts w:hint="eastAsia" w:ascii="宋体" w:hAnsi="宋体" w:cs="宋体"/>
                <w:color w:val="auto"/>
                <w:sz w:val="21"/>
                <w:highlight w:val="none"/>
              </w:rPr>
            </w:pPr>
            <w:r>
              <w:rPr>
                <w:rFonts w:hint="eastAsia" w:ascii="宋体" w:hAnsi="宋体" w:cs="宋体"/>
                <w:color w:val="auto"/>
                <w:sz w:val="21"/>
                <w:highlight w:val="none"/>
              </w:rPr>
              <w:t>11.5（3）</w:t>
            </w:r>
          </w:p>
        </w:tc>
        <w:tc>
          <w:tcPr>
            <w:tcW w:w="7305" w:type="dxa"/>
            <w:tcBorders>
              <w:top w:val="single" w:color="000000" w:sz="4" w:space="0"/>
              <w:left w:val="single" w:color="000000" w:sz="4" w:space="0"/>
              <w:bottom w:val="single" w:color="000000" w:sz="4" w:space="0"/>
              <w:right w:val="single" w:color="000000" w:sz="4" w:space="0"/>
            </w:tcBorders>
            <w:vAlign w:val="center"/>
          </w:tcPr>
          <w:p w14:paraId="5D66939E">
            <w:pPr>
              <w:pStyle w:val="386"/>
              <w:tabs>
                <w:tab w:val="left" w:pos="2450"/>
              </w:tabs>
              <w:spacing w:before="90" w:line="360" w:lineRule="auto"/>
              <w:ind w:left="347"/>
              <w:rPr>
                <w:rFonts w:hint="eastAsia" w:ascii="宋体" w:hAnsi="宋体" w:cs="宋体"/>
                <w:color w:val="auto"/>
                <w:sz w:val="21"/>
                <w:highlight w:val="none"/>
                <w:lang w:eastAsia="zh-CN"/>
              </w:rPr>
            </w:pPr>
            <w:r>
              <w:rPr>
                <w:rFonts w:hint="eastAsia" w:ascii="宋体" w:hAnsi="宋体" w:cs="宋体"/>
                <w:color w:val="auto"/>
                <w:sz w:val="21"/>
                <w:highlight w:val="none"/>
                <w:lang w:eastAsia="zh-CN"/>
              </w:rPr>
              <w:t>逾期</w:t>
            </w:r>
            <w:r>
              <w:rPr>
                <w:rFonts w:hint="eastAsia" w:ascii="宋体" w:hAnsi="宋体" w:cs="宋体"/>
                <w:color w:val="auto"/>
                <w:spacing w:val="-3"/>
                <w:sz w:val="21"/>
                <w:highlight w:val="none"/>
                <w:lang w:eastAsia="zh-CN"/>
              </w:rPr>
              <w:t>交</w:t>
            </w:r>
            <w:r>
              <w:rPr>
                <w:rFonts w:hint="eastAsia" w:ascii="宋体" w:hAnsi="宋体" w:cs="宋体"/>
                <w:color w:val="auto"/>
                <w:sz w:val="21"/>
                <w:highlight w:val="none"/>
                <w:lang w:eastAsia="zh-CN"/>
              </w:rPr>
              <w:t>工</w:t>
            </w:r>
            <w:r>
              <w:rPr>
                <w:rFonts w:hint="eastAsia" w:ascii="宋体" w:hAnsi="宋体" w:cs="宋体"/>
                <w:color w:val="auto"/>
                <w:spacing w:val="-3"/>
                <w:sz w:val="21"/>
                <w:highlight w:val="none"/>
                <w:lang w:eastAsia="zh-CN"/>
              </w:rPr>
              <w:t>违</w:t>
            </w:r>
            <w:r>
              <w:rPr>
                <w:rFonts w:hint="eastAsia" w:ascii="宋体" w:hAnsi="宋体" w:cs="宋体"/>
                <w:color w:val="auto"/>
                <w:sz w:val="21"/>
                <w:highlight w:val="none"/>
                <w:lang w:eastAsia="zh-CN"/>
              </w:rPr>
              <w:t>约</w:t>
            </w:r>
            <w:r>
              <w:rPr>
                <w:rFonts w:hint="eastAsia" w:ascii="宋体" w:hAnsi="宋体" w:cs="宋体"/>
                <w:color w:val="auto"/>
                <w:spacing w:val="-3"/>
                <w:sz w:val="21"/>
                <w:highlight w:val="none"/>
                <w:lang w:eastAsia="zh-CN"/>
              </w:rPr>
              <w:t>金</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u w:val="single"/>
                <w:lang w:eastAsia="zh-CN"/>
              </w:rPr>
              <w:t>2000元/天</w:t>
            </w:r>
          </w:p>
        </w:tc>
      </w:tr>
      <w:tr w14:paraId="314A4E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56" w:hRule="atLeast"/>
          <w:jc w:val="center"/>
        </w:trPr>
        <w:tc>
          <w:tcPr>
            <w:tcW w:w="629" w:type="dxa"/>
            <w:tcBorders>
              <w:top w:val="single" w:color="000000" w:sz="4" w:space="0"/>
              <w:left w:val="single" w:color="000000" w:sz="4" w:space="0"/>
              <w:bottom w:val="single" w:color="000000" w:sz="4" w:space="0"/>
              <w:right w:val="single" w:color="000000" w:sz="4" w:space="0"/>
            </w:tcBorders>
            <w:vAlign w:val="center"/>
          </w:tcPr>
          <w:p w14:paraId="2CA0F6A7">
            <w:pPr>
              <w:pStyle w:val="386"/>
              <w:spacing w:before="113" w:line="360" w:lineRule="auto"/>
              <w:ind w:left="83" w:right="74"/>
              <w:jc w:val="center"/>
              <w:rPr>
                <w:rFonts w:hint="eastAsia" w:ascii="宋体" w:hAnsi="宋体" w:cs="宋体"/>
                <w:color w:val="auto"/>
                <w:sz w:val="21"/>
                <w:highlight w:val="none"/>
              </w:rPr>
            </w:pPr>
            <w:r>
              <w:rPr>
                <w:rFonts w:hint="eastAsia" w:ascii="宋体" w:hAnsi="宋体" w:cs="宋体"/>
                <w:color w:val="auto"/>
                <w:sz w:val="21"/>
                <w:highlight w:val="none"/>
              </w:rPr>
              <w:t>11</w:t>
            </w:r>
          </w:p>
        </w:tc>
        <w:tc>
          <w:tcPr>
            <w:tcW w:w="1111" w:type="dxa"/>
            <w:tcBorders>
              <w:top w:val="single" w:color="000000" w:sz="4" w:space="0"/>
              <w:left w:val="single" w:color="000000" w:sz="4" w:space="0"/>
              <w:bottom w:val="single" w:color="000000" w:sz="4" w:space="0"/>
              <w:right w:val="single" w:color="000000" w:sz="4" w:space="0"/>
            </w:tcBorders>
            <w:vAlign w:val="center"/>
          </w:tcPr>
          <w:p w14:paraId="44C4F552">
            <w:pPr>
              <w:pStyle w:val="386"/>
              <w:spacing w:before="89" w:line="360" w:lineRule="auto"/>
              <w:ind w:left="89" w:right="78"/>
              <w:jc w:val="center"/>
              <w:rPr>
                <w:rFonts w:hint="eastAsia" w:ascii="宋体" w:hAnsi="宋体" w:cs="宋体"/>
                <w:color w:val="auto"/>
                <w:sz w:val="21"/>
                <w:highlight w:val="none"/>
              </w:rPr>
            </w:pPr>
            <w:r>
              <w:rPr>
                <w:rFonts w:hint="eastAsia" w:ascii="宋体" w:hAnsi="宋体" w:cs="宋体"/>
                <w:color w:val="auto"/>
                <w:sz w:val="21"/>
                <w:highlight w:val="none"/>
              </w:rPr>
              <w:t>11.5（3）</w:t>
            </w:r>
          </w:p>
        </w:tc>
        <w:tc>
          <w:tcPr>
            <w:tcW w:w="7305" w:type="dxa"/>
            <w:tcBorders>
              <w:top w:val="single" w:color="000000" w:sz="4" w:space="0"/>
              <w:left w:val="single" w:color="000000" w:sz="4" w:space="0"/>
              <w:bottom w:val="single" w:color="000000" w:sz="4" w:space="0"/>
              <w:right w:val="single" w:color="000000" w:sz="4" w:space="0"/>
            </w:tcBorders>
            <w:vAlign w:val="center"/>
          </w:tcPr>
          <w:p w14:paraId="72700964">
            <w:pPr>
              <w:pStyle w:val="386"/>
              <w:tabs>
                <w:tab w:val="left" w:pos="2868"/>
              </w:tabs>
              <w:spacing w:before="89" w:line="360" w:lineRule="auto"/>
              <w:ind w:left="347"/>
              <w:rPr>
                <w:rFonts w:hint="eastAsia" w:ascii="宋体" w:hAnsi="宋体" w:cs="宋体"/>
                <w:color w:val="auto"/>
                <w:sz w:val="11"/>
                <w:highlight w:val="none"/>
                <w:lang w:eastAsia="zh-CN"/>
              </w:rPr>
            </w:pPr>
            <w:r>
              <w:rPr>
                <w:rFonts w:hint="eastAsia" w:ascii="宋体" w:hAnsi="宋体" w:cs="宋体"/>
                <w:color w:val="auto"/>
                <w:sz w:val="21"/>
                <w:highlight w:val="none"/>
                <w:lang w:eastAsia="zh-CN"/>
              </w:rPr>
              <w:t>逾期</w:t>
            </w:r>
            <w:r>
              <w:rPr>
                <w:rFonts w:hint="eastAsia" w:ascii="宋体" w:hAnsi="宋体" w:cs="宋体"/>
                <w:color w:val="auto"/>
                <w:spacing w:val="-3"/>
                <w:sz w:val="21"/>
                <w:highlight w:val="none"/>
                <w:lang w:eastAsia="zh-CN"/>
              </w:rPr>
              <w:t>交</w:t>
            </w:r>
            <w:r>
              <w:rPr>
                <w:rFonts w:hint="eastAsia" w:ascii="宋体" w:hAnsi="宋体" w:cs="宋体"/>
                <w:color w:val="auto"/>
                <w:sz w:val="21"/>
                <w:highlight w:val="none"/>
                <w:lang w:eastAsia="zh-CN"/>
              </w:rPr>
              <w:t>工</w:t>
            </w:r>
            <w:r>
              <w:rPr>
                <w:rFonts w:hint="eastAsia" w:ascii="宋体" w:hAnsi="宋体" w:cs="宋体"/>
                <w:color w:val="auto"/>
                <w:spacing w:val="-3"/>
                <w:sz w:val="21"/>
                <w:highlight w:val="none"/>
                <w:lang w:eastAsia="zh-CN"/>
              </w:rPr>
              <w:t>违</w:t>
            </w:r>
            <w:r>
              <w:rPr>
                <w:rFonts w:hint="eastAsia" w:ascii="宋体" w:hAnsi="宋体" w:cs="宋体"/>
                <w:color w:val="auto"/>
                <w:sz w:val="21"/>
                <w:highlight w:val="none"/>
                <w:lang w:eastAsia="zh-CN"/>
              </w:rPr>
              <w:t>约</w:t>
            </w:r>
            <w:r>
              <w:rPr>
                <w:rFonts w:hint="eastAsia" w:ascii="宋体" w:hAnsi="宋体" w:cs="宋体"/>
                <w:color w:val="auto"/>
                <w:spacing w:val="-3"/>
                <w:sz w:val="21"/>
                <w:highlight w:val="none"/>
                <w:lang w:eastAsia="zh-CN"/>
              </w:rPr>
              <w:t>金</w:t>
            </w:r>
            <w:r>
              <w:rPr>
                <w:rFonts w:hint="eastAsia" w:ascii="宋体" w:hAnsi="宋体" w:cs="宋体"/>
                <w:color w:val="auto"/>
                <w:sz w:val="21"/>
                <w:highlight w:val="none"/>
                <w:lang w:eastAsia="zh-CN"/>
              </w:rPr>
              <w:t>限</w:t>
            </w:r>
            <w:r>
              <w:rPr>
                <w:rFonts w:hint="eastAsia" w:ascii="宋体" w:hAnsi="宋体" w:cs="宋体"/>
                <w:color w:val="auto"/>
                <w:spacing w:val="-3"/>
                <w:sz w:val="21"/>
                <w:highlight w:val="none"/>
                <w:lang w:eastAsia="zh-CN"/>
              </w:rPr>
              <w:t>额</w:t>
            </w:r>
            <w:r>
              <w:rPr>
                <w:rFonts w:hint="eastAsia" w:ascii="宋体" w:hAnsi="宋体" w:cs="宋体"/>
                <w:color w:val="auto"/>
                <w:sz w:val="21"/>
                <w:highlight w:val="none"/>
                <w:lang w:eastAsia="zh-CN"/>
              </w:rPr>
              <w:t>：</w:t>
            </w:r>
            <w:r>
              <w:rPr>
                <w:rFonts w:hint="eastAsia" w:ascii="宋体" w:hAnsi="宋体" w:cs="宋体"/>
                <w:color w:val="auto"/>
                <w:sz w:val="21"/>
                <w:highlight w:val="none"/>
                <w:u w:val="single"/>
                <w:lang w:eastAsia="zh-CN"/>
              </w:rPr>
              <w:t xml:space="preserve">10 </w:t>
            </w:r>
            <w:r>
              <w:rPr>
                <w:rFonts w:hint="eastAsia" w:ascii="宋体" w:hAnsi="宋体" w:cs="宋体"/>
                <w:color w:val="auto"/>
                <w:sz w:val="21"/>
                <w:highlight w:val="none"/>
                <w:lang w:eastAsia="zh-CN"/>
              </w:rPr>
              <w:t>%签</w:t>
            </w:r>
            <w:r>
              <w:rPr>
                <w:rFonts w:hint="eastAsia" w:ascii="宋体" w:hAnsi="宋体" w:cs="宋体"/>
                <w:color w:val="auto"/>
                <w:spacing w:val="-3"/>
                <w:sz w:val="21"/>
                <w:highlight w:val="none"/>
                <w:lang w:eastAsia="zh-CN"/>
              </w:rPr>
              <w:t>约</w:t>
            </w:r>
            <w:r>
              <w:rPr>
                <w:rFonts w:hint="eastAsia" w:ascii="宋体" w:hAnsi="宋体" w:cs="宋体"/>
                <w:color w:val="auto"/>
                <w:sz w:val="21"/>
                <w:highlight w:val="none"/>
                <w:lang w:eastAsia="zh-CN"/>
              </w:rPr>
              <w:t>合</w:t>
            </w:r>
            <w:r>
              <w:rPr>
                <w:rFonts w:hint="eastAsia" w:ascii="宋体" w:hAnsi="宋体" w:cs="宋体"/>
                <w:color w:val="auto"/>
                <w:spacing w:val="-3"/>
                <w:sz w:val="21"/>
                <w:highlight w:val="none"/>
                <w:lang w:eastAsia="zh-CN"/>
              </w:rPr>
              <w:t>同价</w:t>
            </w:r>
          </w:p>
        </w:tc>
      </w:tr>
      <w:tr w14:paraId="3BF09A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jc w:val="center"/>
        </w:trPr>
        <w:tc>
          <w:tcPr>
            <w:tcW w:w="629" w:type="dxa"/>
            <w:tcBorders>
              <w:top w:val="single" w:color="000000" w:sz="4" w:space="0"/>
              <w:left w:val="single" w:color="000000" w:sz="4" w:space="0"/>
              <w:bottom w:val="single" w:color="000000" w:sz="4" w:space="0"/>
              <w:right w:val="single" w:color="000000" w:sz="4" w:space="0"/>
            </w:tcBorders>
            <w:vAlign w:val="center"/>
          </w:tcPr>
          <w:p w14:paraId="1E3746EC">
            <w:pPr>
              <w:pStyle w:val="386"/>
              <w:spacing w:before="113" w:line="360" w:lineRule="auto"/>
              <w:ind w:left="78" w:right="74"/>
              <w:jc w:val="center"/>
              <w:rPr>
                <w:rFonts w:hint="eastAsia" w:ascii="宋体" w:hAnsi="宋体" w:cs="宋体"/>
                <w:color w:val="auto"/>
                <w:sz w:val="21"/>
                <w:highlight w:val="none"/>
              </w:rPr>
            </w:pPr>
            <w:r>
              <w:rPr>
                <w:rFonts w:hint="eastAsia" w:ascii="宋体" w:hAnsi="宋体" w:cs="宋体"/>
                <w:color w:val="auto"/>
                <w:sz w:val="21"/>
                <w:highlight w:val="none"/>
              </w:rPr>
              <w:t>12</w:t>
            </w:r>
          </w:p>
        </w:tc>
        <w:tc>
          <w:tcPr>
            <w:tcW w:w="1111" w:type="dxa"/>
            <w:tcBorders>
              <w:top w:val="single" w:color="000000" w:sz="4" w:space="0"/>
              <w:left w:val="single" w:color="000000" w:sz="4" w:space="0"/>
              <w:bottom w:val="single" w:color="000000" w:sz="4" w:space="0"/>
              <w:right w:val="single" w:color="000000" w:sz="4" w:space="0"/>
            </w:tcBorders>
            <w:vAlign w:val="center"/>
          </w:tcPr>
          <w:p w14:paraId="0DEA0E64">
            <w:pPr>
              <w:pStyle w:val="386"/>
              <w:spacing w:before="113" w:line="360" w:lineRule="auto"/>
              <w:ind w:left="87" w:right="78"/>
              <w:jc w:val="center"/>
              <w:rPr>
                <w:rFonts w:hint="eastAsia" w:ascii="宋体" w:hAnsi="宋体" w:cs="宋体"/>
                <w:color w:val="auto"/>
                <w:sz w:val="21"/>
                <w:highlight w:val="none"/>
              </w:rPr>
            </w:pPr>
            <w:r>
              <w:rPr>
                <w:rFonts w:hint="eastAsia" w:ascii="宋体" w:hAnsi="宋体" w:cs="宋体"/>
                <w:color w:val="auto"/>
                <w:sz w:val="21"/>
                <w:highlight w:val="none"/>
              </w:rPr>
              <w:t>11.6</w:t>
            </w:r>
          </w:p>
        </w:tc>
        <w:tc>
          <w:tcPr>
            <w:tcW w:w="7305" w:type="dxa"/>
            <w:tcBorders>
              <w:top w:val="single" w:color="000000" w:sz="4" w:space="0"/>
              <w:left w:val="single" w:color="000000" w:sz="4" w:space="0"/>
              <w:bottom w:val="single" w:color="000000" w:sz="4" w:space="0"/>
              <w:right w:val="single" w:color="000000" w:sz="4" w:space="0"/>
            </w:tcBorders>
            <w:vAlign w:val="center"/>
          </w:tcPr>
          <w:p w14:paraId="08159516">
            <w:pPr>
              <w:pStyle w:val="386"/>
              <w:tabs>
                <w:tab w:val="left" w:pos="2450"/>
              </w:tabs>
              <w:spacing w:before="90" w:line="360" w:lineRule="auto"/>
              <w:ind w:left="347"/>
              <w:rPr>
                <w:rFonts w:hint="eastAsia" w:ascii="宋体" w:hAnsi="宋体" w:cs="宋体"/>
                <w:color w:val="auto"/>
                <w:sz w:val="21"/>
                <w:highlight w:val="none"/>
              </w:rPr>
            </w:pPr>
            <w:r>
              <w:rPr>
                <w:rFonts w:hint="eastAsia" w:ascii="宋体" w:hAnsi="宋体" w:cs="宋体"/>
                <w:color w:val="auto"/>
                <w:sz w:val="21"/>
                <w:highlight w:val="none"/>
              </w:rPr>
              <w:t>提前</w:t>
            </w:r>
            <w:r>
              <w:rPr>
                <w:rFonts w:hint="eastAsia" w:ascii="宋体" w:hAnsi="宋体" w:cs="宋体"/>
                <w:color w:val="auto"/>
                <w:spacing w:val="-3"/>
                <w:sz w:val="21"/>
                <w:highlight w:val="none"/>
              </w:rPr>
              <w:t>交</w:t>
            </w:r>
            <w:r>
              <w:rPr>
                <w:rFonts w:hint="eastAsia" w:ascii="宋体" w:hAnsi="宋体" w:cs="宋体"/>
                <w:color w:val="auto"/>
                <w:sz w:val="21"/>
                <w:highlight w:val="none"/>
              </w:rPr>
              <w:t>工</w:t>
            </w:r>
            <w:r>
              <w:rPr>
                <w:rFonts w:hint="eastAsia" w:ascii="宋体" w:hAnsi="宋体" w:cs="宋体"/>
                <w:color w:val="auto"/>
                <w:spacing w:val="-3"/>
                <w:sz w:val="21"/>
                <w:highlight w:val="none"/>
              </w:rPr>
              <w:t>的</w:t>
            </w:r>
            <w:r>
              <w:rPr>
                <w:rFonts w:hint="eastAsia" w:ascii="宋体" w:hAnsi="宋体" w:cs="宋体"/>
                <w:color w:val="auto"/>
                <w:sz w:val="21"/>
                <w:highlight w:val="none"/>
              </w:rPr>
              <w:t>奖</w:t>
            </w:r>
            <w:r>
              <w:rPr>
                <w:rFonts w:hint="eastAsia" w:ascii="宋体" w:hAnsi="宋体" w:cs="宋体"/>
                <w:color w:val="auto"/>
                <w:spacing w:val="-3"/>
                <w:sz w:val="21"/>
                <w:highlight w:val="none"/>
              </w:rPr>
              <w:t>金</w:t>
            </w:r>
            <w:r>
              <w:rPr>
                <w:rFonts w:hint="eastAsia" w:ascii="宋体" w:hAnsi="宋体" w:cs="宋体"/>
                <w:color w:val="auto"/>
                <w:sz w:val="21"/>
                <w:highlight w:val="none"/>
              </w:rPr>
              <w:t>：</w:t>
            </w:r>
            <w:r>
              <w:rPr>
                <w:rFonts w:hint="eastAsia" w:ascii="宋体" w:hAnsi="宋体" w:cs="宋体"/>
                <w:color w:val="auto"/>
                <w:sz w:val="21"/>
                <w:highlight w:val="none"/>
                <w:u w:val="single"/>
              </w:rPr>
              <w:t>无</w:t>
            </w:r>
          </w:p>
        </w:tc>
      </w:tr>
      <w:tr w14:paraId="494D5A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1" w:hRule="atLeast"/>
          <w:jc w:val="center"/>
        </w:trPr>
        <w:tc>
          <w:tcPr>
            <w:tcW w:w="629" w:type="dxa"/>
            <w:tcBorders>
              <w:top w:val="single" w:color="000000" w:sz="4" w:space="0"/>
              <w:left w:val="single" w:color="000000" w:sz="4" w:space="0"/>
              <w:bottom w:val="single" w:color="000000" w:sz="4" w:space="0"/>
              <w:right w:val="single" w:color="000000" w:sz="4" w:space="0"/>
            </w:tcBorders>
            <w:vAlign w:val="center"/>
          </w:tcPr>
          <w:p w14:paraId="299D744B">
            <w:pPr>
              <w:pStyle w:val="386"/>
              <w:spacing w:before="113" w:line="360" w:lineRule="auto"/>
              <w:ind w:left="83" w:right="74"/>
              <w:jc w:val="center"/>
              <w:rPr>
                <w:rFonts w:hint="eastAsia" w:ascii="宋体" w:hAnsi="宋体" w:cs="宋体"/>
                <w:color w:val="auto"/>
                <w:sz w:val="21"/>
                <w:highlight w:val="none"/>
              </w:rPr>
            </w:pPr>
            <w:r>
              <w:rPr>
                <w:rFonts w:hint="eastAsia" w:ascii="宋体" w:hAnsi="宋体" w:cs="宋体"/>
                <w:color w:val="auto"/>
                <w:sz w:val="21"/>
                <w:highlight w:val="none"/>
              </w:rPr>
              <w:t>13</w:t>
            </w:r>
          </w:p>
        </w:tc>
        <w:tc>
          <w:tcPr>
            <w:tcW w:w="1111" w:type="dxa"/>
            <w:tcBorders>
              <w:top w:val="single" w:color="000000" w:sz="4" w:space="0"/>
              <w:left w:val="single" w:color="000000" w:sz="4" w:space="0"/>
              <w:bottom w:val="single" w:color="000000" w:sz="4" w:space="0"/>
              <w:right w:val="single" w:color="000000" w:sz="4" w:space="0"/>
            </w:tcBorders>
            <w:vAlign w:val="center"/>
          </w:tcPr>
          <w:p w14:paraId="12FCF7C1">
            <w:pPr>
              <w:pStyle w:val="386"/>
              <w:spacing w:before="113" w:line="360" w:lineRule="auto"/>
              <w:ind w:left="87" w:right="78"/>
              <w:jc w:val="center"/>
              <w:rPr>
                <w:rFonts w:hint="eastAsia" w:ascii="宋体" w:hAnsi="宋体" w:cs="宋体"/>
                <w:color w:val="auto"/>
                <w:sz w:val="21"/>
                <w:highlight w:val="none"/>
              </w:rPr>
            </w:pPr>
            <w:r>
              <w:rPr>
                <w:rFonts w:hint="eastAsia" w:ascii="宋体" w:hAnsi="宋体" w:cs="宋体"/>
                <w:color w:val="auto"/>
                <w:sz w:val="21"/>
                <w:highlight w:val="none"/>
              </w:rPr>
              <w:t>11.6</w:t>
            </w:r>
          </w:p>
        </w:tc>
        <w:tc>
          <w:tcPr>
            <w:tcW w:w="7305" w:type="dxa"/>
            <w:tcBorders>
              <w:top w:val="single" w:color="000000" w:sz="4" w:space="0"/>
              <w:left w:val="single" w:color="000000" w:sz="4" w:space="0"/>
              <w:bottom w:val="single" w:color="000000" w:sz="4" w:space="0"/>
              <w:right w:val="single" w:color="000000" w:sz="4" w:space="0"/>
            </w:tcBorders>
            <w:vAlign w:val="center"/>
          </w:tcPr>
          <w:p w14:paraId="22B4B1B8">
            <w:pPr>
              <w:pStyle w:val="386"/>
              <w:tabs>
                <w:tab w:val="left" w:pos="2868"/>
              </w:tabs>
              <w:spacing w:before="89" w:line="360" w:lineRule="auto"/>
              <w:ind w:left="347"/>
              <w:rPr>
                <w:rFonts w:hint="eastAsia" w:ascii="宋体" w:hAnsi="宋体" w:cs="宋体"/>
                <w:color w:val="auto"/>
                <w:sz w:val="21"/>
                <w:highlight w:val="none"/>
                <w:lang w:eastAsia="zh-CN"/>
              </w:rPr>
            </w:pPr>
            <w:r>
              <w:rPr>
                <w:rFonts w:hint="eastAsia" w:ascii="宋体" w:hAnsi="宋体" w:cs="宋体"/>
                <w:color w:val="auto"/>
                <w:sz w:val="21"/>
                <w:highlight w:val="none"/>
                <w:lang w:eastAsia="zh-CN"/>
              </w:rPr>
              <w:t>提前</w:t>
            </w:r>
            <w:r>
              <w:rPr>
                <w:rFonts w:hint="eastAsia" w:ascii="宋体" w:hAnsi="宋体" w:cs="宋体"/>
                <w:color w:val="auto"/>
                <w:spacing w:val="-3"/>
                <w:sz w:val="21"/>
                <w:highlight w:val="none"/>
                <w:lang w:eastAsia="zh-CN"/>
              </w:rPr>
              <w:t>交</w:t>
            </w:r>
            <w:r>
              <w:rPr>
                <w:rFonts w:hint="eastAsia" w:ascii="宋体" w:hAnsi="宋体" w:cs="宋体"/>
                <w:color w:val="auto"/>
                <w:sz w:val="21"/>
                <w:highlight w:val="none"/>
                <w:lang w:eastAsia="zh-CN"/>
              </w:rPr>
              <w:t>工</w:t>
            </w:r>
            <w:r>
              <w:rPr>
                <w:rFonts w:hint="eastAsia" w:ascii="宋体" w:hAnsi="宋体" w:cs="宋体"/>
                <w:color w:val="auto"/>
                <w:spacing w:val="-3"/>
                <w:sz w:val="21"/>
                <w:highlight w:val="none"/>
                <w:lang w:eastAsia="zh-CN"/>
              </w:rPr>
              <w:t>的</w:t>
            </w:r>
            <w:r>
              <w:rPr>
                <w:rFonts w:hint="eastAsia" w:ascii="宋体" w:hAnsi="宋体" w:cs="宋体"/>
                <w:color w:val="auto"/>
                <w:sz w:val="21"/>
                <w:highlight w:val="none"/>
                <w:lang w:eastAsia="zh-CN"/>
              </w:rPr>
              <w:t>奖</w:t>
            </w:r>
            <w:r>
              <w:rPr>
                <w:rFonts w:hint="eastAsia" w:ascii="宋体" w:hAnsi="宋体" w:cs="宋体"/>
                <w:color w:val="auto"/>
                <w:spacing w:val="-3"/>
                <w:sz w:val="21"/>
                <w:highlight w:val="none"/>
                <w:lang w:eastAsia="zh-CN"/>
              </w:rPr>
              <w:t>金</w:t>
            </w:r>
            <w:r>
              <w:rPr>
                <w:rFonts w:hint="eastAsia" w:ascii="宋体" w:hAnsi="宋体" w:cs="宋体"/>
                <w:color w:val="auto"/>
                <w:sz w:val="21"/>
                <w:highlight w:val="none"/>
                <w:lang w:eastAsia="zh-CN"/>
              </w:rPr>
              <w:t>限</w:t>
            </w:r>
            <w:r>
              <w:rPr>
                <w:rFonts w:hint="eastAsia" w:ascii="宋体" w:hAnsi="宋体" w:cs="宋体"/>
                <w:color w:val="auto"/>
                <w:spacing w:val="-3"/>
                <w:sz w:val="21"/>
                <w:highlight w:val="none"/>
                <w:lang w:eastAsia="zh-CN"/>
              </w:rPr>
              <w:t>额</w:t>
            </w:r>
            <w:r>
              <w:rPr>
                <w:rFonts w:hint="eastAsia" w:ascii="宋体" w:hAnsi="宋体" w:cs="宋体"/>
                <w:color w:val="auto"/>
                <w:sz w:val="21"/>
                <w:highlight w:val="none"/>
                <w:lang w:eastAsia="zh-CN"/>
              </w:rPr>
              <w:t>：</w:t>
            </w:r>
            <w:r>
              <w:rPr>
                <w:rFonts w:hint="eastAsia" w:ascii="宋体" w:hAnsi="宋体" w:cs="宋体"/>
                <w:color w:val="auto"/>
                <w:sz w:val="21"/>
                <w:highlight w:val="none"/>
                <w:u w:val="single"/>
                <w:lang w:eastAsia="zh-CN"/>
              </w:rPr>
              <w:t>无</w:t>
            </w:r>
          </w:p>
        </w:tc>
      </w:tr>
      <w:tr w14:paraId="376CBC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jc w:val="center"/>
        </w:trPr>
        <w:tc>
          <w:tcPr>
            <w:tcW w:w="629" w:type="dxa"/>
            <w:tcBorders>
              <w:top w:val="single" w:color="000000" w:sz="4" w:space="0"/>
              <w:left w:val="single" w:color="000000" w:sz="4" w:space="0"/>
              <w:bottom w:val="single" w:color="000000" w:sz="4" w:space="0"/>
              <w:right w:val="single" w:color="000000" w:sz="4" w:space="0"/>
            </w:tcBorders>
            <w:vAlign w:val="center"/>
          </w:tcPr>
          <w:p w14:paraId="0D112918">
            <w:pPr>
              <w:pStyle w:val="386"/>
              <w:spacing w:before="113" w:line="360" w:lineRule="auto"/>
              <w:ind w:left="83" w:right="74"/>
              <w:jc w:val="center"/>
              <w:rPr>
                <w:rFonts w:hint="eastAsia" w:ascii="宋体" w:hAnsi="宋体" w:cs="宋体"/>
                <w:color w:val="auto"/>
                <w:sz w:val="21"/>
                <w:highlight w:val="none"/>
                <w:lang w:eastAsia="zh-CN"/>
              </w:rPr>
            </w:pPr>
            <w:r>
              <w:rPr>
                <w:rFonts w:hint="eastAsia" w:ascii="宋体" w:hAnsi="宋体" w:cs="宋体"/>
                <w:color w:val="auto"/>
                <w:sz w:val="21"/>
                <w:highlight w:val="none"/>
                <w:lang w:eastAsia="zh-CN"/>
              </w:rPr>
              <w:t>14</w:t>
            </w:r>
          </w:p>
        </w:tc>
        <w:tc>
          <w:tcPr>
            <w:tcW w:w="1111" w:type="dxa"/>
            <w:tcBorders>
              <w:top w:val="single" w:color="000000" w:sz="4" w:space="0"/>
              <w:left w:val="single" w:color="000000" w:sz="4" w:space="0"/>
              <w:bottom w:val="single" w:color="000000" w:sz="4" w:space="0"/>
              <w:right w:val="single" w:color="000000" w:sz="4" w:space="0"/>
            </w:tcBorders>
            <w:vAlign w:val="center"/>
          </w:tcPr>
          <w:p w14:paraId="7BC3959A">
            <w:pPr>
              <w:pStyle w:val="386"/>
              <w:spacing w:before="113" w:line="360" w:lineRule="auto"/>
              <w:ind w:left="87" w:right="78"/>
              <w:jc w:val="center"/>
              <w:rPr>
                <w:rFonts w:hint="eastAsia" w:ascii="宋体" w:hAnsi="宋体" w:cs="宋体"/>
                <w:color w:val="auto"/>
                <w:sz w:val="21"/>
                <w:highlight w:val="none"/>
              </w:rPr>
            </w:pPr>
            <w:r>
              <w:rPr>
                <w:rFonts w:hint="eastAsia" w:ascii="宋体" w:hAnsi="宋体" w:cs="宋体"/>
                <w:color w:val="auto"/>
                <w:spacing w:val="-6"/>
                <w:sz w:val="21"/>
                <w:szCs w:val="21"/>
                <w:highlight w:val="none"/>
              </w:rPr>
              <w:t>1</w:t>
            </w:r>
            <w:r>
              <w:rPr>
                <w:rFonts w:hint="eastAsia" w:ascii="宋体" w:hAnsi="宋体" w:cs="宋体"/>
                <w:color w:val="auto"/>
                <w:spacing w:val="-4"/>
                <w:sz w:val="21"/>
                <w:szCs w:val="21"/>
                <w:highlight w:val="none"/>
              </w:rPr>
              <w:t>5.4</w:t>
            </w:r>
          </w:p>
        </w:tc>
        <w:tc>
          <w:tcPr>
            <w:tcW w:w="7305" w:type="dxa"/>
            <w:tcBorders>
              <w:top w:val="single" w:color="000000" w:sz="4" w:space="0"/>
              <w:left w:val="single" w:color="000000" w:sz="4" w:space="0"/>
              <w:bottom w:val="single" w:color="000000" w:sz="4" w:space="0"/>
              <w:right w:val="single" w:color="000000" w:sz="4" w:space="0"/>
            </w:tcBorders>
            <w:vAlign w:val="center"/>
          </w:tcPr>
          <w:p w14:paraId="2502BF72">
            <w:pPr>
              <w:spacing w:before="253" w:line="360" w:lineRule="auto"/>
              <w:ind w:firstLine="416"/>
              <w:rPr>
                <w:rFonts w:hint="eastAsia" w:ascii="宋体" w:hAnsi="宋体" w:cs="宋体"/>
                <w:color w:val="auto"/>
                <w:szCs w:val="21"/>
                <w:highlight w:val="none"/>
              </w:rPr>
            </w:pPr>
            <w:r>
              <w:rPr>
                <w:rFonts w:hint="eastAsia" w:ascii="宋体" w:hAnsi="宋体" w:cs="宋体"/>
                <w:color w:val="auto"/>
                <w:spacing w:val="-1"/>
                <w:szCs w:val="21"/>
                <w:highlight w:val="none"/>
              </w:rPr>
              <w:t>变更的估价原</w:t>
            </w:r>
            <w:r>
              <w:rPr>
                <w:rFonts w:hint="eastAsia" w:ascii="宋体" w:hAnsi="宋体" w:cs="宋体"/>
                <w:color w:val="auto"/>
                <w:szCs w:val="21"/>
                <w:highlight w:val="none"/>
              </w:rPr>
              <w:t>则：</w:t>
            </w:r>
          </w:p>
          <w:p w14:paraId="2BD9CD30">
            <w:pPr>
              <w:spacing w:before="103" w:line="360" w:lineRule="auto"/>
              <w:ind w:left="122" w:right="175" w:firstLine="416"/>
              <w:jc w:val="left"/>
              <w:rPr>
                <w:rFonts w:hint="eastAsia" w:ascii="宋体" w:hAnsi="宋体" w:cs="宋体"/>
                <w:color w:val="auto"/>
                <w:szCs w:val="21"/>
                <w:highlight w:val="none"/>
              </w:rPr>
            </w:pPr>
            <w:r>
              <w:rPr>
                <w:rFonts w:hint="eastAsia" w:ascii="宋体" w:hAnsi="宋体" w:cs="宋体"/>
                <w:color w:val="auto"/>
                <w:spacing w:val="-1"/>
                <w:szCs w:val="21"/>
                <w:highlight w:val="none"/>
              </w:rPr>
              <w:t>15.4.1 投标单价固定,以实际</w:t>
            </w:r>
            <w:r>
              <w:rPr>
                <w:rFonts w:hint="eastAsia" w:ascii="宋体" w:hAnsi="宋体" w:cs="宋体"/>
                <w:color w:val="auto"/>
                <w:szCs w:val="21"/>
                <w:highlight w:val="none"/>
              </w:rPr>
              <w:t xml:space="preserve">发生量计算。工程量清单中的子目工程 </w:t>
            </w:r>
            <w:r>
              <w:rPr>
                <w:rFonts w:hint="eastAsia" w:ascii="宋体" w:hAnsi="宋体" w:cs="宋体"/>
                <w:color w:val="auto"/>
                <w:spacing w:val="-4"/>
                <w:szCs w:val="21"/>
                <w:highlight w:val="none"/>
              </w:rPr>
              <w:t>量为施工图纸结算的最终工程量，承包人按照施工图纸完成全部</w:t>
            </w:r>
            <w:r>
              <w:rPr>
                <w:rFonts w:hint="eastAsia" w:ascii="宋体" w:hAnsi="宋体" w:cs="宋体"/>
                <w:color w:val="auto"/>
                <w:spacing w:val="-2"/>
                <w:szCs w:val="21"/>
                <w:highlight w:val="none"/>
              </w:rPr>
              <w:t>工</w:t>
            </w:r>
            <w:r>
              <w:rPr>
                <w:rFonts w:hint="eastAsia" w:ascii="宋体" w:hAnsi="宋体" w:cs="宋体"/>
                <w:color w:val="auto"/>
                <w:spacing w:val="-1"/>
                <w:szCs w:val="21"/>
                <w:highlight w:val="none"/>
              </w:rPr>
              <w:t>程，因工程设计修改</w:t>
            </w:r>
            <w:r>
              <w:rPr>
                <w:rFonts w:hint="eastAsia" w:ascii="宋体" w:hAnsi="宋体" w:cs="宋体"/>
                <w:color w:val="auto"/>
                <w:szCs w:val="21"/>
                <w:highlight w:val="none"/>
              </w:rPr>
              <w:t xml:space="preserve">变更或工程量变化而造成的增减工程量按合同约 </w:t>
            </w:r>
            <w:r>
              <w:rPr>
                <w:rFonts w:hint="eastAsia" w:ascii="宋体" w:hAnsi="宋体" w:cs="宋体"/>
                <w:color w:val="auto"/>
                <w:spacing w:val="-1"/>
                <w:szCs w:val="21"/>
                <w:highlight w:val="none"/>
              </w:rPr>
              <w:t>定的计量方法进行计量。</w:t>
            </w:r>
          </w:p>
          <w:p w14:paraId="4AD1E7E1">
            <w:pPr>
              <w:spacing w:before="120" w:line="360" w:lineRule="auto"/>
              <w:ind w:left="122" w:right="55" w:firstLine="439"/>
              <w:jc w:val="left"/>
              <w:rPr>
                <w:rFonts w:hint="eastAsia" w:ascii="宋体" w:hAnsi="宋体" w:cs="宋体"/>
                <w:color w:val="auto"/>
                <w:szCs w:val="21"/>
                <w:highlight w:val="none"/>
              </w:rPr>
            </w:pPr>
            <w:r>
              <w:rPr>
                <w:rFonts w:hint="eastAsia" w:ascii="宋体" w:hAnsi="宋体" w:cs="宋体"/>
                <w:color w:val="auto"/>
                <w:spacing w:val="-4"/>
                <w:szCs w:val="21"/>
                <w:highlight w:val="none"/>
              </w:rPr>
              <w:t>15.4.2 增减工程量时， 财政评审报告中有适用于变更工作的</w:t>
            </w:r>
            <w:r>
              <w:rPr>
                <w:rFonts w:hint="eastAsia" w:ascii="宋体" w:hAnsi="宋体" w:cs="宋体"/>
                <w:color w:val="auto"/>
                <w:spacing w:val="-3"/>
                <w:szCs w:val="21"/>
                <w:highlight w:val="none"/>
              </w:rPr>
              <w:t>子</w:t>
            </w:r>
            <w:r>
              <w:rPr>
                <w:rFonts w:hint="eastAsia" w:ascii="宋体" w:hAnsi="宋体" w:cs="宋体"/>
                <w:color w:val="auto"/>
                <w:szCs w:val="21"/>
                <w:highlight w:val="none"/>
              </w:rPr>
              <w:t>目</w:t>
            </w:r>
            <w:r>
              <w:rPr>
                <w:rFonts w:hint="eastAsia" w:ascii="宋体" w:hAnsi="宋体" w:cs="宋体"/>
                <w:color w:val="auto"/>
                <w:spacing w:val="-4"/>
                <w:szCs w:val="21"/>
                <w:highlight w:val="none"/>
              </w:rPr>
              <w:t>的</w:t>
            </w:r>
            <w:r>
              <w:rPr>
                <w:rFonts w:hint="eastAsia" w:ascii="宋体" w:hAnsi="宋体" w:cs="宋体"/>
                <w:color w:val="auto"/>
                <w:spacing w:val="-2"/>
                <w:szCs w:val="21"/>
                <w:highlight w:val="none"/>
              </w:rPr>
              <w:t>，按该子目的新增单价下浮系数进行结算。</w:t>
            </w:r>
          </w:p>
          <w:p w14:paraId="5A8A0EFC">
            <w:pPr>
              <w:spacing w:before="124" w:line="360" w:lineRule="auto"/>
              <w:ind w:left="156" w:right="175" w:firstLine="415"/>
              <w:jc w:val="left"/>
              <w:rPr>
                <w:rFonts w:hint="eastAsia" w:ascii="宋体" w:hAnsi="宋体" w:cs="宋体"/>
                <w:color w:val="auto"/>
                <w:szCs w:val="21"/>
                <w:highlight w:val="none"/>
              </w:rPr>
            </w:pPr>
            <w:r>
              <w:rPr>
                <w:rFonts w:hint="eastAsia" w:ascii="宋体" w:hAnsi="宋体" w:cs="宋体"/>
                <w:color w:val="auto"/>
                <w:spacing w:val="-8"/>
                <w:szCs w:val="21"/>
                <w:highlight w:val="none"/>
              </w:rPr>
              <w:t>1</w:t>
            </w:r>
            <w:r>
              <w:rPr>
                <w:rFonts w:hint="eastAsia" w:ascii="宋体" w:hAnsi="宋体" w:cs="宋体"/>
                <w:color w:val="auto"/>
                <w:spacing w:val="-4"/>
                <w:szCs w:val="21"/>
                <w:highlight w:val="none"/>
              </w:rPr>
              <w:t>5.4.3增减工程量时， 财政评审报告中无适用于变更工作的子</w:t>
            </w:r>
            <w:r>
              <w:rPr>
                <w:rFonts w:hint="eastAsia" w:ascii="宋体" w:hAnsi="宋体" w:cs="宋体"/>
                <w:color w:val="auto"/>
                <w:spacing w:val="-10"/>
                <w:szCs w:val="21"/>
                <w:highlight w:val="none"/>
              </w:rPr>
              <w:t>目</w:t>
            </w:r>
            <w:r>
              <w:rPr>
                <w:rFonts w:hint="eastAsia" w:ascii="宋体" w:hAnsi="宋体" w:cs="宋体"/>
                <w:color w:val="auto"/>
                <w:spacing w:val="-7"/>
                <w:szCs w:val="21"/>
                <w:highlight w:val="none"/>
              </w:rPr>
              <w:t>，</w:t>
            </w:r>
            <w:r>
              <w:rPr>
                <w:rFonts w:hint="eastAsia" w:ascii="宋体" w:hAnsi="宋体" w:cs="宋体"/>
                <w:color w:val="auto"/>
                <w:spacing w:val="-5"/>
                <w:szCs w:val="21"/>
                <w:highlight w:val="none"/>
              </w:rPr>
              <w:t>但有类似子目的， 可在合理范围内参照类似子目的单价，按该子目的新增单价下浮系数进行结算</w:t>
            </w:r>
            <w:r>
              <w:rPr>
                <w:rFonts w:hint="eastAsia" w:ascii="宋体" w:hAnsi="宋体" w:cs="宋体"/>
                <w:color w:val="auto"/>
                <w:spacing w:val="-4"/>
                <w:szCs w:val="21"/>
                <w:highlight w:val="none"/>
              </w:rPr>
              <w:t>。</w:t>
            </w:r>
          </w:p>
          <w:p w14:paraId="1195D41A">
            <w:pPr>
              <w:spacing w:before="120" w:line="360" w:lineRule="auto"/>
              <w:ind w:left="156" w:right="156" w:firstLine="467"/>
              <w:jc w:val="left"/>
              <w:rPr>
                <w:rFonts w:hint="eastAsia" w:ascii="宋体" w:hAnsi="宋体" w:cs="宋体"/>
                <w:color w:val="auto"/>
                <w:szCs w:val="21"/>
                <w:highlight w:val="none"/>
              </w:rPr>
            </w:pPr>
            <w:r>
              <w:rPr>
                <w:rFonts w:hint="eastAsia" w:ascii="宋体" w:hAnsi="宋体" w:cs="宋体"/>
                <w:color w:val="auto"/>
                <w:spacing w:val="-1"/>
                <w:szCs w:val="21"/>
                <w:highlight w:val="none"/>
              </w:rPr>
              <w:t>15.4.4已标价工程量清单中无适用</w:t>
            </w:r>
            <w:r>
              <w:rPr>
                <w:rFonts w:hint="eastAsia" w:ascii="宋体" w:hAnsi="宋体" w:cs="宋体"/>
                <w:color w:val="auto"/>
                <w:szCs w:val="21"/>
                <w:highlight w:val="none"/>
              </w:rPr>
              <w:t xml:space="preserve">或类似子目的单价，按预算定 </w:t>
            </w:r>
            <w:r>
              <w:rPr>
                <w:rFonts w:hint="eastAsia" w:ascii="宋体" w:hAnsi="宋体" w:cs="宋体"/>
                <w:color w:val="auto"/>
                <w:spacing w:val="-4"/>
                <w:szCs w:val="21"/>
                <w:highlight w:val="none"/>
              </w:rPr>
              <w:t>额计算出预算价，其中材料价格按信息价，无信息价时按市场价，</w:t>
            </w:r>
            <w:r>
              <w:rPr>
                <w:rFonts w:hint="eastAsia" w:ascii="宋体" w:hAnsi="宋体" w:cs="宋体"/>
                <w:color w:val="auto"/>
                <w:spacing w:val="-3"/>
                <w:szCs w:val="21"/>
                <w:highlight w:val="none"/>
              </w:rPr>
              <w:t xml:space="preserve"> </w:t>
            </w:r>
            <w:r>
              <w:rPr>
                <w:rFonts w:hint="eastAsia" w:ascii="宋体" w:hAnsi="宋体" w:cs="宋体"/>
                <w:color w:val="auto"/>
                <w:szCs w:val="21"/>
                <w:highlight w:val="none"/>
              </w:rPr>
              <w:t xml:space="preserve">并 </w:t>
            </w:r>
            <w:r>
              <w:rPr>
                <w:rFonts w:hint="eastAsia" w:ascii="宋体" w:hAnsi="宋体" w:cs="宋体"/>
                <w:color w:val="auto"/>
                <w:spacing w:val="-1"/>
                <w:szCs w:val="21"/>
                <w:highlight w:val="none"/>
              </w:rPr>
              <w:t>经苍梧县审计部</w:t>
            </w:r>
            <w:r>
              <w:rPr>
                <w:rFonts w:hint="eastAsia" w:ascii="宋体" w:hAnsi="宋体" w:cs="宋体"/>
                <w:color w:val="auto"/>
                <w:szCs w:val="21"/>
                <w:highlight w:val="none"/>
              </w:rPr>
              <w:t>门审核后下浮系数得出增减造价。</w:t>
            </w:r>
          </w:p>
          <w:p w14:paraId="41E7759A">
            <w:pPr>
              <w:pStyle w:val="386"/>
              <w:tabs>
                <w:tab w:val="left" w:pos="2868"/>
              </w:tabs>
              <w:spacing w:before="89" w:line="360" w:lineRule="auto"/>
              <w:ind w:left="347"/>
              <w:rPr>
                <w:rFonts w:hint="eastAsia" w:ascii="宋体" w:hAnsi="宋体" w:cs="宋体"/>
                <w:color w:val="auto"/>
                <w:spacing w:val="-2"/>
                <w:sz w:val="21"/>
                <w:szCs w:val="21"/>
                <w:highlight w:val="none"/>
                <w:lang w:eastAsia="zh-CN"/>
              </w:rPr>
            </w:pPr>
            <w:r>
              <w:rPr>
                <w:rFonts w:hint="eastAsia" w:ascii="宋体" w:hAnsi="宋体" w:cs="宋体"/>
                <w:color w:val="auto"/>
                <w:spacing w:val="-1"/>
                <w:sz w:val="21"/>
                <w:szCs w:val="21"/>
                <w:highlight w:val="none"/>
                <w:lang w:eastAsia="zh-CN"/>
              </w:rPr>
              <w:t>15.4.5 国家和自治区政策性调整</w:t>
            </w:r>
            <w:r>
              <w:rPr>
                <w:rFonts w:hint="eastAsia" w:ascii="宋体" w:hAnsi="宋体" w:cs="宋体"/>
                <w:color w:val="auto"/>
                <w:sz w:val="21"/>
                <w:szCs w:val="21"/>
                <w:highlight w:val="none"/>
                <w:lang w:eastAsia="zh-CN"/>
              </w:rPr>
              <w:t>有关费用标准，按文件规定执</w:t>
            </w:r>
            <w:r>
              <w:rPr>
                <w:rFonts w:hint="eastAsia" w:ascii="宋体" w:hAnsi="宋体" w:cs="宋体"/>
                <w:color w:val="auto"/>
                <w:spacing w:val="-12"/>
                <w:sz w:val="21"/>
                <w:szCs w:val="21"/>
                <w:highlight w:val="none"/>
                <w:lang w:eastAsia="zh-CN"/>
              </w:rPr>
              <w:t>行</w:t>
            </w:r>
            <w:r>
              <w:rPr>
                <w:rFonts w:hint="eastAsia" w:ascii="宋体" w:hAnsi="宋体" w:cs="宋体"/>
                <w:color w:val="auto"/>
                <w:spacing w:val="-10"/>
                <w:sz w:val="21"/>
                <w:szCs w:val="21"/>
                <w:highlight w:val="none"/>
                <w:lang w:eastAsia="zh-CN"/>
              </w:rPr>
              <w:t>。</w:t>
            </w:r>
          </w:p>
        </w:tc>
      </w:tr>
      <w:tr w14:paraId="6523F6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jc w:val="center"/>
        </w:trPr>
        <w:tc>
          <w:tcPr>
            <w:tcW w:w="629" w:type="dxa"/>
            <w:tcBorders>
              <w:top w:val="single" w:color="000000" w:sz="4" w:space="0"/>
              <w:left w:val="single" w:color="000000" w:sz="4" w:space="0"/>
              <w:bottom w:val="single" w:color="000000" w:sz="4" w:space="0"/>
              <w:right w:val="single" w:color="000000" w:sz="4" w:space="0"/>
            </w:tcBorders>
            <w:vAlign w:val="center"/>
          </w:tcPr>
          <w:p w14:paraId="432B5AD3">
            <w:pPr>
              <w:pStyle w:val="386"/>
              <w:spacing w:line="360" w:lineRule="auto"/>
              <w:jc w:val="center"/>
              <w:rPr>
                <w:rFonts w:hint="eastAsia" w:ascii="宋体" w:hAnsi="宋体" w:cs="宋体"/>
                <w:color w:val="auto"/>
                <w:highlight w:val="none"/>
                <w:lang w:eastAsia="zh-CN"/>
              </w:rPr>
            </w:pPr>
          </w:p>
          <w:p w14:paraId="6B55CD5D">
            <w:pPr>
              <w:pStyle w:val="386"/>
              <w:spacing w:line="360" w:lineRule="auto"/>
              <w:jc w:val="center"/>
              <w:rPr>
                <w:rFonts w:hint="eastAsia" w:ascii="宋体" w:hAnsi="宋体" w:cs="宋体"/>
                <w:color w:val="auto"/>
                <w:sz w:val="21"/>
                <w:highlight w:val="none"/>
              </w:rPr>
            </w:pPr>
            <w:r>
              <w:rPr>
                <w:rFonts w:hint="eastAsia" w:ascii="宋体" w:hAnsi="宋体" w:cs="宋体"/>
                <w:color w:val="auto"/>
                <w:sz w:val="21"/>
                <w:highlight w:val="none"/>
              </w:rPr>
              <w:t>15</w:t>
            </w:r>
          </w:p>
        </w:tc>
        <w:tc>
          <w:tcPr>
            <w:tcW w:w="1111" w:type="dxa"/>
            <w:tcBorders>
              <w:top w:val="single" w:color="000000" w:sz="4" w:space="0"/>
              <w:left w:val="single" w:color="000000" w:sz="4" w:space="0"/>
              <w:bottom w:val="single" w:color="000000" w:sz="4" w:space="0"/>
              <w:right w:val="single" w:color="000000" w:sz="4" w:space="0"/>
            </w:tcBorders>
            <w:vAlign w:val="center"/>
          </w:tcPr>
          <w:p w14:paraId="51280279">
            <w:pPr>
              <w:pStyle w:val="386"/>
              <w:spacing w:line="360" w:lineRule="auto"/>
              <w:jc w:val="center"/>
              <w:rPr>
                <w:rFonts w:hint="eastAsia" w:ascii="宋体" w:hAnsi="宋体" w:cs="宋体"/>
                <w:color w:val="auto"/>
                <w:highlight w:val="none"/>
              </w:rPr>
            </w:pPr>
          </w:p>
          <w:p w14:paraId="4BB039E5">
            <w:pPr>
              <w:pStyle w:val="386"/>
              <w:spacing w:line="360" w:lineRule="auto"/>
              <w:jc w:val="center"/>
              <w:rPr>
                <w:rFonts w:hint="eastAsia" w:ascii="宋体" w:hAnsi="宋体" w:cs="宋体"/>
                <w:color w:val="auto"/>
                <w:sz w:val="21"/>
                <w:highlight w:val="none"/>
              </w:rPr>
            </w:pPr>
            <w:r>
              <w:rPr>
                <w:rFonts w:hint="eastAsia" w:ascii="宋体" w:hAnsi="宋体" w:cs="宋体"/>
                <w:color w:val="auto"/>
                <w:sz w:val="21"/>
                <w:highlight w:val="none"/>
              </w:rPr>
              <w:t>16.1</w:t>
            </w:r>
          </w:p>
        </w:tc>
        <w:tc>
          <w:tcPr>
            <w:tcW w:w="7305" w:type="dxa"/>
            <w:tcBorders>
              <w:top w:val="single" w:color="000000" w:sz="4" w:space="0"/>
              <w:left w:val="single" w:color="000000" w:sz="4" w:space="0"/>
              <w:bottom w:val="single" w:color="000000" w:sz="4" w:space="0"/>
              <w:right w:val="single" w:color="000000" w:sz="4" w:space="0"/>
            </w:tcBorders>
            <w:vAlign w:val="center"/>
          </w:tcPr>
          <w:p w14:paraId="513EE5B8">
            <w:pPr>
              <w:pStyle w:val="386"/>
              <w:tabs>
                <w:tab w:val="left" w:pos="0"/>
                <w:tab w:val="left" w:pos="6908"/>
                <w:tab w:val="left" w:pos="7244"/>
              </w:tabs>
              <w:spacing w:before="1" w:line="360" w:lineRule="auto"/>
              <w:ind w:right="48" w:firstLine="420"/>
              <w:rPr>
                <w:rFonts w:hint="eastAsia" w:ascii="宋体" w:hAnsi="宋体" w:cs="宋体"/>
                <w:color w:val="auto"/>
                <w:sz w:val="21"/>
                <w:highlight w:val="none"/>
                <w:lang w:eastAsia="zh-CN"/>
              </w:rPr>
            </w:pPr>
            <w:r>
              <w:rPr>
                <w:rFonts w:hint="eastAsia" w:ascii="宋体" w:hAnsi="宋体" w:cs="宋体"/>
                <w:color w:val="auto"/>
                <w:sz w:val="21"/>
                <w:highlight w:val="none"/>
              </w:rPr>
              <w:t>合同期内不调价</w:t>
            </w:r>
            <w:r>
              <w:rPr>
                <w:rFonts w:hint="eastAsia" w:ascii="宋体" w:hAnsi="宋体" w:cs="宋体"/>
                <w:color w:val="auto"/>
                <w:sz w:val="21"/>
                <w:highlight w:val="none"/>
                <w:lang w:eastAsia="zh-CN"/>
              </w:rPr>
              <w:t>。</w:t>
            </w:r>
          </w:p>
        </w:tc>
      </w:tr>
      <w:tr w14:paraId="2AF8B6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6" w:hRule="atLeast"/>
          <w:jc w:val="center"/>
        </w:trPr>
        <w:tc>
          <w:tcPr>
            <w:tcW w:w="629" w:type="dxa"/>
            <w:tcBorders>
              <w:top w:val="single" w:color="000000" w:sz="4" w:space="0"/>
              <w:left w:val="single" w:color="000000" w:sz="4" w:space="0"/>
              <w:bottom w:val="single" w:color="000000" w:sz="4" w:space="0"/>
              <w:right w:val="single" w:color="000000" w:sz="4" w:space="0"/>
            </w:tcBorders>
          </w:tcPr>
          <w:p w14:paraId="64E143C2">
            <w:pPr>
              <w:pStyle w:val="386"/>
              <w:spacing w:before="113" w:line="360" w:lineRule="auto"/>
              <w:ind w:left="83" w:right="74"/>
              <w:jc w:val="center"/>
              <w:rPr>
                <w:rFonts w:hint="eastAsia" w:ascii="宋体" w:hAnsi="宋体" w:cs="宋体"/>
                <w:color w:val="auto"/>
                <w:sz w:val="21"/>
                <w:highlight w:val="none"/>
              </w:rPr>
            </w:pPr>
            <w:r>
              <w:rPr>
                <w:rFonts w:hint="eastAsia" w:ascii="宋体" w:hAnsi="宋体" w:cs="宋体"/>
                <w:color w:val="auto"/>
                <w:sz w:val="21"/>
                <w:highlight w:val="none"/>
              </w:rPr>
              <w:t>16</w:t>
            </w:r>
          </w:p>
        </w:tc>
        <w:tc>
          <w:tcPr>
            <w:tcW w:w="1111" w:type="dxa"/>
            <w:tcBorders>
              <w:top w:val="single" w:color="000000" w:sz="4" w:space="0"/>
              <w:left w:val="single" w:color="000000" w:sz="4" w:space="0"/>
              <w:bottom w:val="single" w:color="000000" w:sz="4" w:space="0"/>
              <w:right w:val="single" w:color="000000" w:sz="4" w:space="0"/>
            </w:tcBorders>
          </w:tcPr>
          <w:p w14:paraId="56D5AEAF">
            <w:pPr>
              <w:pStyle w:val="386"/>
              <w:spacing w:before="89" w:line="360" w:lineRule="auto"/>
              <w:ind w:left="107" w:right="-15"/>
              <w:rPr>
                <w:rFonts w:hint="eastAsia" w:ascii="宋体" w:hAnsi="宋体" w:cs="宋体"/>
                <w:color w:val="auto"/>
                <w:sz w:val="21"/>
                <w:highlight w:val="none"/>
              </w:rPr>
            </w:pPr>
            <w:r>
              <w:rPr>
                <w:rFonts w:hint="eastAsia" w:ascii="宋体" w:hAnsi="宋体" w:cs="宋体"/>
                <w:color w:val="auto"/>
                <w:spacing w:val="-6"/>
                <w:sz w:val="21"/>
                <w:highlight w:val="none"/>
              </w:rPr>
              <w:t>17.2.1（1）</w:t>
            </w:r>
          </w:p>
        </w:tc>
        <w:tc>
          <w:tcPr>
            <w:tcW w:w="7305" w:type="dxa"/>
            <w:tcBorders>
              <w:top w:val="single" w:color="000000" w:sz="4" w:space="0"/>
              <w:left w:val="single" w:color="000000" w:sz="4" w:space="0"/>
              <w:bottom w:val="single" w:color="000000" w:sz="4" w:space="0"/>
              <w:right w:val="single" w:color="000000" w:sz="4" w:space="0"/>
            </w:tcBorders>
          </w:tcPr>
          <w:p w14:paraId="56C6AEAA">
            <w:pPr>
              <w:pStyle w:val="386"/>
              <w:spacing w:before="89" w:line="360" w:lineRule="auto"/>
              <w:ind w:left="347"/>
              <w:rPr>
                <w:rFonts w:hint="eastAsia" w:ascii="宋体" w:hAnsi="宋体" w:cs="宋体"/>
                <w:color w:val="auto"/>
                <w:sz w:val="11"/>
                <w:highlight w:val="none"/>
                <w:lang w:eastAsia="zh-CN"/>
              </w:rPr>
            </w:pPr>
            <w:r>
              <w:rPr>
                <w:rFonts w:hint="eastAsia" w:ascii="宋体" w:hAnsi="宋体" w:cs="宋体"/>
                <w:color w:val="auto"/>
                <w:spacing w:val="-3"/>
                <w:sz w:val="21"/>
                <w:highlight w:val="none"/>
                <w:lang w:eastAsia="zh-CN"/>
              </w:rPr>
              <w:t>开工预付款金额：合同总额的10%。</w:t>
            </w:r>
          </w:p>
        </w:tc>
      </w:tr>
      <w:tr w14:paraId="2AEC95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jc w:val="center"/>
        </w:trPr>
        <w:tc>
          <w:tcPr>
            <w:tcW w:w="629" w:type="dxa"/>
            <w:tcBorders>
              <w:top w:val="single" w:color="000000" w:sz="4" w:space="0"/>
              <w:left w:val="single" w:color="000000" w:sz="4" w:space="0"/>
              <w:bottom w:val="single" w:color="000000" w:sz="4" w:space="0"/>
              <w:right w:val="single" w:color="000000" w:sz="4" w:space="0"/>
            </w:tcBorders>
          </w:tcPr>
          <w:p w14:paraId="6A1DC2EB">
            <w:pPr>
              <w:pStyle w:val="386"/>
              <w:spacing w:before="115" w:line="360" w:lineRule="auto"/>
              <w:ind w:left="83" w:right="74"/>
              <w:jc w:val="center"/>
              <w:rPr>
                <w:rFonts w:hint="eastAsia" w:ascii="宋体" w:hAnsi="宋体" w:cs="宋体"/>
                <w:color w:val="auto"/>
                <w:sz w:val="21"/>
                <w:highlight w:val="none"/>
              </w:rPr>
            </w:pPr>
            <w:r>
              <w:rPr>
                <w:rFonts w:hint="eastAsia" w:ascii="宋体" w:hAnsi="宋体" w:cs="宋体"/>
                <w:color w:val="auto"/>
                <w:sz w:val="21"/>
                <w:highlight w:val="none"/>
              </w:rPr>
              <w:t>17</w:t>
            </w:r>
          </w:p>
        </w:tc>
        <w:tc>
          <w:tcPr>
            <w:tcW w:w="1111" w:type="dxa"/>
            <w:tcBorders>
              <w:top w:val="single" w:color="000000" w:sz="4" w:space="0"/>
              <w:left w:val="single" w:color="000000" w:sz="4" w:space="0"/>
              <w:bottom w:val="single" w:color="000000" w:sz="4" w:space="0"/>
              <w:right w:val="single" w:color="000000" w:sz="4" w:space="0"/>
            </w:tcBorders>
          </w:tcPr>
          <w:p w14:paraId="5C9D08BC">
            <w:pPr>
              <w:pStyle w:val="386"/>
              <w:spacing w:before="92" w:line="360" w:lineRule="auto"/>
              <w:ind w:left="107" w:right="-15"/>
              <w:rPr>
                <w:rFonts w:hint="eastAsia" w:ascii="宋体" w:hAnsi="宋体" w:cs="宋体"/>
                <w:color w:val="auto"/>
                <w:sz w:val="21"/>
                <w:highlight w:val="none"/>
              </w:rPr>
            </w:pPr>
            <w:r>
              <w:rPr>
                <w:rFonts w:hint="eastAsia" w:ascii="宋体" w:hAnsi="宋体" w:cs="宋体"/>
                <w:color w:val="auto"/>
                <w:spacing w:val="-6"/>
                <w:sz w:val="21"/>
                <w:highlight w:val="none"/>
              </w:rPr>
              <w:t>17.2.1（2）</w:t>
            </w:r>
          </w:p>
        </w:tc>
        <w:tc>
          <w:tcPr>
            <w:tcW w:w="7305" w:type="dxa"/>
            <w:tcBorders>
              <w:top w:val="single" w:color="000000" w:sz="4" w:space="0"/>
              <w:left w:val="single" w:color="000000" w:sz="4" w:space="0"/>
              <w:bottom w:val="single" w:color="000000" w:sz="4" w:space="0"/>
              <w:right w:val="single" w:color="000000" w:sz="4" w:space="0"/>
            </w:tcBorders>
          </w:tcPr>
          <w:p w14:paraId="693403D0">
            <w:pPr>
              <w:pStyle w:val="386"/>
              <w:tabs>
                <w:tab w:val="left" w:pos="2973"/>
              </w:tabs>
              <w:spacing w:before="92" w:line="360" w:lineRule="auto"/>
              <w:ind w:left="347"/>
              <w:rPr>
                <w:rFonts w:hint="eastAsia" w:ascii="宋体" w:hAnsi="宋体" w:cs="宋体"/>
                <w:color w:val="auto"/>
                <w:sz w:val="11"/>
                <w:highlight w:val="none"/>
                <w:lang w:eastAsia="zh-CN"/>
              </w:rPr>
            </w:pPr>
            <w:r>
              <w:rPr>
                <w:rFonts w:hint="eastAsia" w:ascii="宋体" w:hAnsi="宋体" w:cs="宋体"/>
                <w:color w:val="auto"/>
                <w:sz w:val="21"/>
                <w:highlight w:val="none"/>
                <w:lang w:eastAsia="zh-CN"/>
              </w:rPr>
              <w:t>材料</w:t>
            </w:r>
            <w:r>
              <w:rPr>
                <w:rFonts w:hint="eastAsia" w:ascii="宋体" w:hAnsi="宋体" w:cs="宋体"/>
                <w:color w:val="auto"/>
                <w:spacing w:val="-3"/>
                <w:sz w:val="21"/>
                <w:highlight w:val="none"/>
                <w:lang w:eastAsia="zh-CN"/>
              </w:rPr>
              <w:t>、</w:t>
            </w:r>
            <w:r>
              <w:rPr>
                <w:rFonts w:hint="eastAsia" w:ascii="宋体" w:hAnsi="宋体" w:cs="宋体"/>
                <w:color w:val="auto"/>
                <w:sz w:val="21"/>
                <w:highlight w:val="none"/>
                <w:lang w:eastAsia="zh-CN"/>
              </w:rPr>
              <w:t>设</w:t>
            </w:r>
            <w:r>
              <w:rPr>
                <w:rFonts w:hint="eastAsia" w:ascii="宋体" w:hAnsi="宋体" w:cs="宋体"/>
                <w:color w:val="auto"/>
                <w:spacing w:val="-3"/>
                <w:sz w:val="21"/>
                <w:highlight w:val="none"/>
                <w:lang w:eastAsia="zh-CN"/>
              </w:rPr>
              <w:t>备</w:t>
            </w:r>
            <w:r>
              <w:rPr>
                <w:rFonts w:hint="eastAsia" w:ascii="宋体" w:hAnsi="宋体" w:cs="宋体"/>
                <w:color w:val="auto"/>
                <w:sz w:val="21"/>
                <w:highlight w:val="none"/>
                <w:lang w:eastAsia="zh-CN"/>
              </w:rPr>
              <w:t>预</w:t>
            </w:r>
            <w:r>
              <w:rPr>
                <w:rFonts w:hint="eastAsia" w:ascii="宋体" w:hAnsi="宋体" w:cs="宋体"/>
                <w:color w:val="auto"/>
                <w:spacing w:val="-3"/>
                <w:sz w:val="21"/>
                <w:highlight w:val="none"/>
                <w:lang w:eastAsia="zh-CN"/>
              </w:rPr>
              <w:t>付</w:t>
            </w:r>
            <w:r>
              <w:rPr>
                <w:rFonts w:hint="eastAsia" w:ascii="宋体" w:hAnsi="宋体" w:cs="宋体"/>
                <w:color w:val="auto"/>
                <w:sz w:val="21"/>
                <w:highlight w:val="none"/>
                <w:lang w:eastAsia="zh-CN"/>
              </w:rPr>
              <w:t>款</w:t>
            </w:r>
            <w:r>
              <w:rPr>
                <w:rFonts w:hint="eastAsia" w:ascii="宋体" w:hAnsi="宋体" w:cs="宋体"/>
                <w:color w:val="auto"/>
                <w:spacing w:val="-3"/>
                <w:sz w:val="21"/>
                <w:highlight w:val="none"/>
                <w:lang w:eastAsia="zh-CN"/>
              </w:rPr>
              <w:t>比</w:t>
            </w:r>
            <w:r>
              <w:rPr>
                <w:rFonts w:hint="eastAsia" w:ascii="宋体" w:hAnsi="宋体" w:cs="宋体"/>
                <w:color w:val="auto"/>
                <w:sz w:val="21"/>
                <w:highlight w:val="none"/>
                <w:lang w:eastAsia="zh-CN"/>
              </w:rPr>
              <w:t>例</w:t>
            </w:r>
            <w:r>
              <w:rPr>
                <w:rFonts w:hint="eastAsia" w:ascii="宋体" w:hAnsi="宋体" w:cs="宋体"/>
                <w:color w:val="auto"/>
                <w:spacing w:val="-3"/>
                <w:sz w:val="21"/>
                <w:highlight w:val="none"/>
                <w:lang w:eastAsia="zh-CN"/>
              </w:rPr>
              <w:t>：</w:t>
            </w:r>
            <w:r>
              <w:rPr>
                <w:rFonts w:hint="eastAsia" w:ascii="宋体" w:hAnsi="宋体" w:cs="宋体"/>
                <w:color w:val="auto"/>
                <w:spacing w:val="-3"/>
                <w:sz w:val="21"/>
                <w:highlight w:val="none"/>
                <w:u w:val="single"/>
                <w:lang w:eastAsia="zh-CN"/>
              </w:rPr>
              <w:t xml:space="preserve"> </w:t>
            </w:r>
            <w:r>
              <w:rPr>
                <w:rFonts w:hint="eastAsia" w:ascii="宋体" w:hAnsi="宋体" w:cs="宋体"/>
                <w:color w:val="auto"/>
                <w:sz w:val="21"/>
                <w:highlight w:val="none"/>
                <w:u w:val="single"/>
                <w:lang w:eastAsia="zh-CN"/>
              </w:rPr>
              <w:t xml:space="preserve">/ </w:t>
            </w:r>
            <w:r>
              <w:rPr>
                <w:rFonts w:hint="eastAsia" w:ascii="宋体" w:hAnsi="宋体" w:cs="宋体"/>
                <w:color w:val="auto"/>
                <w:sz w:val="21"/>
                <w:szCs w:val="21"/>
                <w:highlight w:val="none"/>
                <w:u w:val="single"/>
                <w:lang w:eastAsia="zh-CN"/>
              </w:rPr>
              <w:t xml:space="preserve"> </w:t>
            </w:r>
            <w:r>
              <w:rPr>
                <w:rFonts w:hint="eastAsia" w:ascii="宋体" w:hAnsi="宋体" w:cs="宋体"/>
                <w:color w:val="auto"/>
                <w:sz w:val="21"/>
                <w:highlight w:val="none"/>
                <w:lang w:eastAsia="zh-CN"/>
              </w:rPr>
              <w:t>等</w:t>
            </w:r>
            <w:r>
              <w:rPr>
                <w:rFonts w:hint="eastAsia" w:ascii="宋体" w:hAnsi="宋体" w:cs="宋体"/>
                <w:color w:val="auto"/>
                <w:spacing w:val="-3"/>
                <w:sz w:val="21"/>
                <w:highlight w:val="none"/>
                <w:lang w:eastAsia="zh-CN"/>
              </w:rPr>
              <w:t>主</w:t>
            </w:r>
            <w:r>
              <w:rPr>
                <w:rFonts w:hint="eastAsia" w:ascii="宋体" w:hAnsi="宋体" w:cs="宋体"/>
                <w:color w:val="auto"/>
                <w:sz w:val="21"/>
                <w:highlight w:val="none"/>
                <w:lang w:eastAsia="zh-CN"/>
              </w:rPr>
              <w:t>要</w:t>
            </w:r>
            <w:r>
              <w:rPr>
                <w:rFonts w:hint="eastAsia" w:ascii="宋体" w:hAnsi="宋体" w:cs="宋体"/>
                <w:color w:val="auto"/>
                <w:spacing w:val="-3"/>
                <w:sz w:val="21"/>
                <w:highlight w:val="none"/>
                <w:lang w:eastAsia="zh-CN"/>
              </w:rPr>
              <w:t>材</w:t>
            </w:r>
            <w:r>
              <w:rPr>
                <w:rFonts w:hint="eastAsia" w:ascii="宋体" w:hAnsi="宋体" w:cs="宋体"/>
                <w:color w:val="auto"/>
                <w:sz w:val="21"/>
                <w:highlight w:val="none"/>
                <w:lang w:eastAsia="zh-CN"/>
              </w:rPr>
              <w:t>料</w:t>
            </w:r>
            <w:r>
              <w:rPr>
                <w:rFonts w:hint="eastAsia" w:ascii="宋体" w:hAnsi="宋体" w:cs="宋体"/>
                <w:color w:val="auto"/>
                <w:spacing w:val="-3"/>
                <w:sz w:val="21"/>
                <w:highlight w:val="none"/>
                <w:lang w:eastAsia="zh-CN"/>
              </w:rPr>
              <w:t>、</w:t>
            </w:r>
            <w:r>
              <w:rPr>
                <w:rFonts w:hint="eastAsia" w:ascii="宋体" w:hAnsi="宋体" w:cs="宋体"/>
                <w:color w:val="auto"/>
                <w:sz w:val="21"/>
                <w:highlight w:val="none"/>
                <w:lang w:eastAsia="zh-CN"/>
              </w:rPr>
              <w:t>设</w:t>
            </w:r>
            <w:r>
              <w:rPr>
                <w:rFonts w:hint="eastAsia" w:ascii="宋体" w:hAnsi="宋体" w:cs="宋体"/>
                <w:color w:val="auto"/>
                <w:spacing w:val="-3"/>
                <w:sz w:val="21"/>
                <w:highlight w:val="none"/>
                <w:lang w:eastAsia="zh-CN"/>
              </w:rPr>
              <w:t>备</w:t>
            </w:r>
            <w:r>
              <w:rPr>
                <w:rFonts w:hint="eastAsia" w:ascii="宋体" w:hAnsi="宋体" w:cs="宋体"/>
                <w:color w:val="auto"/>
                <w:sz w:val="21"/>
                <w:highlight w:val="none"/>
                <w:lang w:eastAsia="zh-CN"/>
              </w:rPr>
              <w:t>单</w:t>
            </w:r>
            <w:r>
              <w:rPr>
                <w:rFonts w:hint="eastAsia" w:ascii="宋体" w:hAnsi="宋体" w:cs="宋体"/>
                <w:color w:val="auto"/>
                <w:spacing w:val="-3"/>
                <w:sz w:val="21"/>
                <w:highlight w:val="none"/>
                <w:lang w:eastAsia="zh-CN"/>
              </w:rPr>
              <w:t>据</w:t>
            </w:r>
            <w:r>
              <w:rPr>
                <w:rFonts w:hint="eastAsia" w:ascii="宋体" w:hAnsi="宋体" w:cs="宋体"/>
                <w:color w:val="auto"/>
                <w:sz w:val="21"/>
                <w:highlight w:val="none"/>
                <w:lang w:eastAsia="zh-CN"/>
              </w:rPr>
              <w:t>所列</w:t>
            </w:r>
            <w:r>
              <w:rPr>
                <w:rFonts w:hint="eastAsia" w:ascii="宋体" w:hAnsi="宋体" w:cs="宋体"/>
                <w:color w:val="auto"/>
                <w:spacing w:val="-3"/>
                <w:sz w:val="21"/>
                <w:highlight w:val="none"/>
                <w:lang w:eastAsia="zh-CN"/>
              </w:rPr>
              <w:t>费</w:t>
            </w:r>
            <w:r>
              <w:rPr>
                <w:rFonts w:hint="eastAsia" w:ascii="宋体" w:hAnsi="宋体" w:cs="宋体"/>
                <w:color w:val="auto"/>
                <w:sz w:val="21"/>
                <w:highlight w:val="none"/>
                <w:lang w:eastAsia="zh-CN"/>
              </w:rPr>
              <w:t>用的</w:t>
            </w:r>
            <w:r>
              <w:rPr>
                <w:rFonts w:hint="eastAsia" w:ascii="宋体" w:hAnsi="宋体" w:cs="宋体"/>
                <w:color w:val="auto"/>
                <w:sz w:val="21"/>
                <w:highlight w:val="none"/>
                <w:u w:val="single"/>
                <w:lang w:eastAsia="zh-CN"/>
              </w:rPr>
              <w:t xml:space="preserve"> 0 </w:t>
            </w:r>
            <w:r>
              <w:rPr>
                <w:rFonts w:hint="eastAsia" w:ascii="宋体" w:hAnsi="宋体" w:cs="宋体"/>
                <w:color w:val="auto"/>
                <w:sz w:val="21"/>
                <w:highlight w:val="none"/>
                <w:lang w:eastAsia="zh-CN"/>
              </w:rPr>
              <w:t>%</w:t>
            </w:r>
          </w:p>
        </w:tc>
      </w:tr>
      <w:tr w14:paraId="01271A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jc w:val="center"/>
        </w:trPr>
        <w:tc>
          <w:tcPr>
            <w:tcW w:w="629" w:type="dxa"/>
            <w:tcBorders>
              <w:top w:val="single" w:color="000000" w:sz="4" w:space="0"/>
              <w:left w:val="single" w:color="000000" w:sz="4" w:space="0"/>
              <w:bottom w:val="single" w:color="000000" w:sz="4" w:space="0"/>
              <w:right w:val="single" w:color="000000" w:sz="4" w:space="0"/>
            </w:tcBorders>
          </w:tcPr>
          <w:p w14:paraId="615BF17F">
            <w:pPr>
              <w:pStyle w:val="386"/>
              <w:spacing w:before="113" w:line="360" w:lineRule="auto"/>
              <w:ind w:left="83" w:right="74"/>
              <w:jc w:val="center"/>
              <w:rPr>
                <w:rFonts w:hint="eastAsia" w:ascii="宋体" w:hAnsi="宋体" w:cs="宋体"/>
                <w:color w:val="auto"/>
                <w:sz w:val="21"/>
                <w:highlight w:val="none"/>
              </w:rPr>
            </w:pPr>
            <w:r>
              <w:rPr>
                <w:rFonts w:hint="eastAsia" w:ascii="宋体" w:hAnsi="宋体" w:cs="宋体"/>
                <w:color w:val="auto"/>
                <w:sz w:val="21"/>
                <w:highlight w:val="none"/>
              </w:rPr>
              <w:t>18</w:t>
            </w:r>
          </w:p>
        </w:tc>
        <w:tc>
          <w:tcPr>
            <w:tcW w:w="1111" w:type="dxa"/>
            <w:tcBorders>
              <w:top w:val="single" w:color="000000" w:sz="4" w:space="0"/>
              <w:left w:val="single" w:color="000000" w:sz="4" w:space="0"/>
              <w:bottom w:val="single" w:color="000000" w:sz="4" w:space="0"/>
              <w:right w:val="single" w:color="000000" w:sz="4" w:space="0"/>
            </w:tcBorders>
          </w:tcPr>
          <w:p w14:paraId="7C033FE6">
            <w:pPr>
              <w:pStyle w:val="386"/>
              <w:spacing w:before="113" w:line="360" w:lineRule="auto"/>
              <w:ind w:left="292"/>
              <w:rPr>
                <w:rFonts w:hint="eastAsia" w:ascii="宋体" w:hAnsi="宋体" w:cs="宋体"/>
                <w:color w:val="auto"/>
                <w:sz w:val="21"/>
                <w:highlight w:val="none"/>
              </w:rPr>
            </w:pPr>
            <w:r>
              <w:rPr>
                <w:rFonts w:hint="eastAsia" w:ascii="宋体" w:hAnsi="宋体" w:cs="宋体"/>
                <w:color w:val="auto"/>
                <w:sz w:val="21"/>
                <w:highlight w:val="none"/>
              </w:rPr>
              <w:t>17.3.2</w:t>
            </w:r>
          </w:p>
        </w:tc>
        <w:tc>
          <w:tcPr>
            <w:tcW w:w="7305" w:type="dxa"/>
            <w:tcBorders>
              <w:top w:val="single" w:color="000000" w:sz="4" w:space="0"/>
              <w:left w:val="single" w:color="000000" w:sz="4" w:space="0"/>
              <w:bottom w:val="single" w:color="000000" w:sz="4" w:space="0"/>
              <w:right w:val="single" w:color="000000" w:sz="4" w:space="0"/>
            </w:tcBorders>
          </w:tcPr>
          <w:p w14:paraId="25CFDFC6">
            <w:pPr>
              <w:pStyle w:val="386"/>
              <w:spacing w:before="89" w:line="360" w:lineRule="auto"/>
              <w:ind w:left="342"/>
              <w:rPr>
                <w:rFonts w:hint="eastAsia" w:ascii="宋体" w:hAnsi="宋体" w:cs="宋体"/>
                <w:color w:val="auto"/>
                <w:sz w:val="21"/>
                <w:highlight w:val="none"/>
                <w:lang w:eastAsia="zh-CN"/>
              </w:rPr>
            </w:pPr>
            <w:r>
              <w:rPr>
                <w:rFonts w:hint="eastAsia" w:ascii="宋体" w:hAnsi="宋体" w:cs="宋体"/>
                <w:color w:val="auto"/>
                <w:sz w:val="21"/>
                <w:highlight w:val="none"/>
                <w:lang w:eastAsia="zh-CN"/>
              </w:rPr>
              <w:t>承包人在每个付款周期末向监理人提交进度付款申请单的份数：</w:t>
            </w:r>
            <w:r>
              <w:rPr>
                <w:rFonts w:hint="eastAsia" w:ascii="宋体" w:hAnsi="宋体" w:cs="宋体"/>
                <w:color w:val="auto"/>
                <w:sz w:val="21"/>
                <w:highlight w:val="none"/>
                <w:u w:val="single"/>
                <w:lang w:eastAsia="zh-CN"/>
              </w:rPr>
              <w:t>4</w:t>
            </w:r>
            <w:r>
              <w:rPr>
                <w:rFonts w:hint="eastAsia" w:ascii="宋体" w:hAnsi="宋体" w:cs="宋体"/>
                <w:color w:val="auto"/>
                <w:sz w:val="21"/>
                <w:highlight w:val="none"/>
                <w:lang w:eastAsia="zh-CN"/>
              </w:rPr>
              <w:t>份</w:t>
            </w:r>
          </w:p>
        </w:tc>
      </w:tr>
      <w:tr w14:paraId="2B2CB2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629" w:type="dxa"/>
            <w:tcBorders>
              <w:top w:val="single" w:color="000000" w:sz="4" w:space="0"/>
              <w:left w:val="single" w:color="000000" w:sz="4" w:space="0"/>
              <w:bottom w:val="single" w:color="000000" w:sz="4" w:space="0"/>
              <w:right w:val="single" w:color="000000" w:sz="4" w:space="0"/>
            </w:tcBorders>
          </w:tcPr>
          <w:p w14:paraId="73B94255">
            <w:pPr>
              <w:pStyle w:val="386"/>
              <w:spacing w:before="113" w:line="360" w:lineRule="auto"/>
              <w:ind w:left="83" w:right="74"/>
              <w:jc w:val="center"/>
              <w:rPr>
                <w:rFonts w:hint="eastAsia" w:ascii="宋体" w:hAnsi="宋体" w:cs="宋体"/>
                <w:color w:val="auto"/>
                <w:sz w:val="21"/>
                <w:highlight w:val="none"/>
              </w:rPr>
            </w:pPr>
            <w:r>
              <w:rPr>
                <w:rFonts w:hint="eastAsia" w:ascii="宋体" w:hAnsi="宋体" w:cs="宋体"/>
                <w:color w:val="auto"/>
                <w:sz w:val="21"/>
                <w:highlight w:val="none"/>
              </w:rPr>
              <w:t>19</w:t>
            </w:r>
          </w:p>
        </w:tc>
        <w:tc>
          <w:tcPr>
            <w:tcW w:w="1111" w:type="dxa"/>
            <w:tcBorders>
              <w:top w:val="single" w:color="000000" w:sz="4" w:space="0"/>
              <w:left w:val="single" w:color="000000" w:sz="4" w:space="0"/>
              <w:bottom w:val="single" w:color="000000" w:sz="4" w:space="0"/>
              <w:right w:val="single" w:color="000000" w:sz="4" w:space="0"/>
            </w:tcBorders>
          </w:tcPr>
          <w:p w14:paraId="4739F23A">
            <w:pPr>
              <w:pStyle w:val="386"/>
              <w:spacing w:before="90" w:line="360" w:lineRule="auto"/>
              <w:ind w:left="107" w:right="-15"/>
              <w:rPr>
                <w:rFonts w:hint="eastAsia" w:ascii="宋体" w:hAnsi="宋体" w:cs="宋体"/>
                <w:color w:val="auto"/>
                <w:sz w:val="21"/>
                <w:highlight w:val="none"/>
              </w:rPr>
            </w:pPr>
            <w:r>
              <w:rPr>
                <w:rFonts w:hint="eastAsia" w:ascii="宋体" w:hAnsi="宋体" w:cs="宋体"/>
                <w:color w:val="auto"/>
                <w:spacing w:val="-6"/>
                <w:sz w:val="21"/>
                <w:highlight w:val="none"/>
              </w:rPr>
              <w:t>17.3.3（1）</w:t>
            </w:r>
          </w:p>
        </w:tc>
        <w:tc>
          <w:tcPr>
            <w:tcW w:w="7305" w:type="dxa"/>
            <w:tcBorders>
              <w:top w:val="single" w:color="000000" w:sz="4" w:space="0"/>
              <w:left w:val="single" w:color="000000" w:sz="4" w:space="0"/>
              <w:bottom w:val="single" w:color="000000" w:sz="4" w:space="0"/>
              <w:right w:val="single" w:color="000000" w:sz="4" w:space="0"/>
            </w:tcBorders>
          </w:tcPr>
          <w:p w14:paraId="0A1075D0">
            <w:pPr>
              <w:pStyle w:val="386"/>
              <w:tabs>
                <w:tab w:val="left" w:pos="3079"/>
                <w:tab w:val="left" w:pos="4935"/>
              </w:tabs>
              <w:spacing w:before="90" w:line="360" w:lineRule="auto"/>
              <w:ind w:left="347"/>
              <w:rPr>
                <w:rFonts w:hint="eastAsia" w:ascii="宋体" w:hAnsi="宋体" w:cs="宋体"/>
                <w:color w:val="auto"/>
                <w:sz w:val="11"/>
                <w:highlight w:val="none"/>
                <w:lang w:eastAsia="zh-CN"/>
              </w:rPr>
            </w:pPr>
            <w:r>
              <w:rPr>
                <w:rFonts w:hint="eastAsia" w:ascii="宋体" w:hAnsi="宋体" w:cs="宋体"/>
                <w:color w:val="auto"/>
                <w:sz w:val="21"/>
                <w:highlight w:val="none"/>
                <w:lang w:eastAsia="zh-CN"/>
              </w:rPr>
              <w:t>进度</w:t>
            </w:r>
            <w:r>
              <w:rPr>
                <w:rFonts w:hint="eastAsia" w:ascii="宋体" w:hAnsi="宋体" w:cs="宋体"/>
                <w:color w:val="auto"/>
                <w:spacing w:val="-3"/>
                <w:sz w:val="21"/>
                <w:highlight w:val="none"/>
                <w:lang w:eastAsia="zh-CN"/>
              </w:rPr>
              <w:t>付</w:t>
            </w:r>
            <w:r>
              <w:rPr>
                <w:rFonts w:hint="eastAsia" w:ascii="宋体" w:hAnsi="宋体" w:cs="宋体"/>
                <w:color w:val="auto"/>
                <w:sz w:val="21"/>
                <w:highlight w:val="none"/>
                <w:lang w:eastAsia="zh-CN"/>
              </w:rPr>
              <w:t>款</w:t>
            </w:r>
            <w:r>
              <w:rPr>
                <w:rFonts w:hint="eastAsia" w:ascii="宋体" w:hAnsi="宋体" w:cs="宋体"/>
                <w:color w:val="auto"/>
                <w:spacing w:val="-3"/>
                <w:sz w:val="21"/>
                <w:highlight w:val="none"/>
                <w:lang w:eastAsia="zh-CN"/>
              </w:rPr>
              <w:t>证</w:t>
            </w:r>
            <w:r>
              <w:rPr>
                <w:rFonts w:hint="eastAsia" w:ascii="宋体" w:hAnsi="宋体" w:cs="宋体"/>
                <w:color w:val="auto"/>
                <w:sz w:val="21"/>
                <w:highlight w:val="none"/>
                <w:lang w:eastAsia="zh-CN"/>
              </w:rPr>
              <w:t>书</w:t>
            </w:r>
            <w:r>
              <w:rPr>
                <w:rFonts w:hint="eastAsia" w:ascii="宋体" w:hAnsi="宋体" w:cs="宋体"/>
                <w:color w:val="auto"/>
                <w:spacing w:val="-3"/>
                <w:sz w:val="21"/>
                <w:highlight w:val="none"/>
                <w:lang w:eastAsia="zh-CN"/>
              </w:rPr>
              <w:t>最</w:t>
            </w:r>
            <w:r>
              <w:rPr>
                <w:rFonts w:hint="eastAsia" w:ascii="宋体" w:hAnsi="宋体" w:cs="宋体"/>
                <w:color w:val="auto"/>
                <w:sz w:val="21"/>
                <w:highlight w:val="none"/>
                <w:lang w:eastAsia="zh-CN"/>
              </w:rPr>
              <w:t>低</w:t>
            </w:r>
            <w:r>
              <w:rPr>
                <w:rFonts w:hint="eastAsia" w:ascii="宋体" w:hAnsi="宋体" w:cs="宋体"/>
                <w:color w:val="auto"/>
                <w:spacing w:val="-3"/>
                <w:sz w:val="21"/>
                <w:highlight w:val="none"/>
                <w:lang w:eastAsia="zh-CN"/>
              </w:rPr>
              <w:t>限</w:t>
            </w:r>
            <w:r>
              <w:rPr>
                <w:rFonts w:hint="eastAsia" w:ascii="宋体" w:hAnsi="宋体" w:cs="宋体"/>
                <w:color w:val="auto"/>
                <w:sz w:val="21"/>
                <w:highlight w:val="none"/>
                <w:lang w:eastAsia="zh-CN"/>
              </w:rPr>
              <w:t>额</w:t>
            </w:r>
            <w:r>
              <w:rPr>
                <w:rFonts w:hint="eastAsia" w:ascii="宋体" w:hAnsi="宋体" w:cs="宋体"/>
                <w:color w:val="auto"/>
                <w:spacing w:val="-3"/>
                <w:sz w:val="21"/>
                <w:highlight w:val="none"/>
                <w:lang w:eastAsia="zh-CN"/>
              </w:rPr>
              <w:t>：</w:t>
            </w:r>
            <w:r>
              <w:rPr>
                <w:rFonts w:hint="eastAsia" w:ascii="宋体" w:hAnsi="宋体" w:cs="宋体"/>
                <w:color w:val="auto"/>
                <w:spacing w:val="-3"/>
                <w:sz w:val="21"/>
                <w:highlight w:val="none"/>
                <w:u w:val="single"/>
                <w:lang w:eastAsia="zh-CN"/>
              </w:rPr>
              <w:t>80</w:t>
            </w:r>
            <w:r>
              <w:rPr>
                <w:rFonts w:hint="eastAsia" w:ascii="宋体" w:hAnsi="宋体" w:cs="宋体"/>
                <w:color w:val="auto"/>
                <w:sz w:val="21"/>
                <w:highlight w:val="none"/>
                <w:lang w:eastAsia="zh-CN"/>
              </w:rPr>
              <w:t>%</w:t>
            </w:r>
            <w:r>
              <w:rPr>
                <w:rFonts w:hint="eastAsia" w:ascii="宋体" w:hAnsi="宋体" w:cs="宋体"/>
                <w:color w:val="auto"/>
                <w:spacing w:val="-3"/>
                <w:sz w:val="21"/>
                <w:highlight w:val="none"/>
                <w:lang w:eastAsia="zh-CN"/>
              </w:rPr>
              <w:t>签</w:t>
            </w:r>
            <w:r>
              <w:rPr>
                <w:rFonts w:hint="eastAsia" w:ascii="宋体" w:hAnsi="宋体" w:cs="宋体"/>
                <w:color w:val="auto"/>
                <w:sz w:val="21"/>
                <w:highlight w:val="none"/>
                <w:lang w:eastAsia="zh-CN"/>
              </w:rPr>
              <w:t>约</w:t>
            </w:r>
            <w:r>
              <w:rPr>
                <w:rFonts w:hint="eastAsia" w:ascii="宋体" w:hAnsi="宋体" w:cs="宋体"/>
                <w:color w:val="auto"/>
                <w:spacing w:val="-3"/>
                <w:sz w:val="21"/>
                <w:highlight w:val="none"/>
                <w:lang w:eastAsia="zh-CN"/>
              </w:rPr>
              <w:t>合</w:t>
            </w:r>
            <w:r>
              <w:rPr>
                <w:rFonts w:hint="eastAsia" w:ascii="宋体" w:hAnsi="宋体" w:cs="宋体"/>
                <w:color w:val="auto"/>
                <w:sz w:val="21"/>
                <w:highlight w:val="none"/>
                <w:lang w:eastAsia="zh-CN"/>
              </w:rPr>
              <w:t>同</w:t>
            </w:r>
            <w:r>
              <w:rPr>
                <w:rFonts w:hint="eastAsia" w:ascii="宋体" w:hAnsi="宋体" w:cs="宋体"/>
                <w:color w:val="auto"/>
                <w:spacing w:val="-3"/>
                <w:sz w:val="21"/>
                <w:highlight w:val="none"/>
                <w:lang w:eastAsia="zh-CN"/>
              </w:rPr>
              <w:t>价</w:t>
            </w:r>
            <w:r>
              <w:rPr>
                <w:rFonts w:hint="eastAsia" w:ascii="宋体" w:hAnsi="宋体" w:cs="宋体"/>
                <w:color w:val="auto"/>
                <w:sz w:val="21"/>
                <w:highlight w:val="none"/>
                <w:lang w:eastAsia="zh-CN"/>
              </w:rPr>
              <w:t>或</w:t>
            </w:r>
            <w:r>
              <w:rPr>
                <w:rFonts w:hint="eastAsia" w:ascii="宋体" w:hAnsi="宋体" w:cs="宋体"/>
                <w:color w:val="auto"/>
                <w:sz w:val="21"/>
                <w:highlight w:val="none"/>
                <w:u w:val="single"/>
                <w:lang w:eastAsia="zh-CN"/>
              </w:rPr>
              <w:t xml:space="preserve"> / </w:t>
            </w:r>
            <w:r>
              <w:rPr>
                <w:rFonts w:hint="eastAsia" w:ascii="宋体" w:hAnsi="宋体" w:cs="宋体"/>
                <w:color w:val="auto"/>
                <w:spacing w:val="-3"/>
                <w:sz w:val="21"/>
                <w:highlight w:val="none"/>
                <w:lang w:eastAsia="zh-CN"/>
              </w:rPr>
              <w:t>万</w:t>
            </w:r>
            <w:r>
              <w:rPr>
                <w:rFonts w:hint="eastAsia" w:ascii="宋体" w:hAnsi="宋体" w:cs="宋体"/>
                <w:color w:val="auto"/>
                <w:sz w:val="21"/>
                <w:highlight w:val="none"/>
                <w:lang w:eastAsia="zh-CN"/>
              </w:rPr>
              <w:t>元</w:t>
            </w:r>
          </w:p>
        </w:tc>
      </w:tr>
      <w:tr w14:paraId="396C43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1" w:hRule="atLeast"/>
          <w:jc w:val="center"/>
        </w:trPr>
        <w:tc>
          <w:tcPr>
            <w:tcW w:w="629" w:type="dxa"/>
            <w:tcBorders>
              <w:top w:val="single" w:color="000000" w:sz="4" w:space="0"/>
              <w:left w:val="single" w:color="000000" w:sz="4" w:space="0"/>
              <w:bottom w:val="single" w:color="000000" w:sz="4" w:space="0"/>
              <w:right w:val="single" w:color="000000" w:sz="4" w:space="0"/>
            </w:tcBorders>
          </w:tcPr>
          <w:p w14:paraId="76F2E034">
            <w:pPr>
              <w:pStyle w:val="386"/>
              <w:spacing w:before="113" w:line="360" w:lineRule="auto"/>
              <w:ind w:left="83" w:right="74"/>
              <w:jc w:val="center"/>
              <w:rPr>
                <w:rFonts w:hint="eastAsia" w:ascii="宋体" w:hAnsi="宋体" w:cs="宋体"/>
                <w:color w:val="auto"/>
                <w:sz w:val="21"/>
                <w:highlight w:val="none"/>
              </w:rPr>
            </w:pPr>
            <w:r>
              <w:rPr>
                <w:rFonts w:hint="eastAsia" w:ascii="宋体" w:hAnsi="宋体" w:cs="宋体"/>
                <w:color w:val="auto"/>
                <w:sz w:val="21"/>
                <w:highlight w:val="none"/>
              </w:rPr>
              <w:t>20</w:t>
            </w:r>
          </w:p>
        </w:tc>
        <w:tc>
          <w:tcPr>
            <w:tcW w:w="1111" w:type="dxa"/>
            <w:tcBorders>
              <w:top w:val="single" w:color="000000" w:sz="4" w:space="0"/>
              <w:left w:val="single" w:color="000000" w:sz="4" w:space="0"/>
              <w:bottom w:val="single" w:color="000000" w:sz="4" w:space="0"/>
              <w:right w:val="single" w:color="000000" w:sz="4" w:space="0"/>
            </w:tcBorders>
          </w:tcPr>
          <w:p w14:paraId="4D061CC7">
            <w:pPr>
              <w:pStyle w:val="386"/>
              <w:spacing w:before="90" w:line="360" w:lineRule="auto"/>
              <w:ind w:left="107" w:right="-15"/>
              <w:rPr>
                <w:rFonts w:hint="eastAsia" w:ascii="宋体" w:hAnsi="宋体" w:cs="宋体"/>
                <w:color w:val="auto"/>
                <w:sz w:val="21"/>
                <w:highlight w:val="none"/>
              </w:rPr>
            </w:pPr>
            <w:r>
              <w:rPr>
                <w:rFonts w:hint="eastAsia" w:ascii="宋体" w:hAnsi="宋体" w:cs="宋体"/>
                <w:color w:val="auto"/>
                <w:spacing w:val="-6"/>
                <w:sz w:val="21"/>
                <w:highlight w:val="none"/>
              </w:rPr>
              <w:t>17.3.3（2）</w:t>
            </w:r>
          </w:p>
        </w:tc>
        <w:tc>
          <w:tcPr>
            <w:tcW w:w="7305" w:type="dxa"/>
            <w:tcBorders>
              <w:top w:val="single" w:color="000000" w:sz="4" w:space="0"/>
              <w:left w:val="single" w:color="000000" w:sz="4" w:space="0"/>
              <w:bottom w:val="single" w:color="000000" w:sz="4" w:space="0"/>
              <w:right w:val="single" w:color="000000" w:sz="4" w:space="0"/>
            </w:tcBorders>
          </w:tcPr>
          <w:p w14:paraId="5A5A2C51">
            <w:pPr>
              <w:pStyle w:val="386"/>
              <w:tabs>
                <w:tab w:val="left" w:pos="3185"/>
              </w:tabs>
              <w:spacing w:before="90" w:line="360" w:lineRule="auto"/>
              <w:ind w:left="347"/>
              <w:rPr>
                <w:rFonts w:hint="eastAsia" w:ascii="宋体" w:hAnsi="宋体" w:cs="宋体"/>
                <w:color w:val="auto"/>
                <w:sz w:val="11"/>
                <w:highlight w:val="none"/>
                <w:lang w:eastAsia="zh-CN"/>
              </w:rPr>
            </w:pPr>
            <w:r>
              <w:rPr>
                <w:rFonts w:hint="eastAsia" w:ascii="宋体" w:hAnsi="宋体" w:cs="宋体"/>
                <w:color w:val="auto"/>
                <w:sz w:val="21"/>
                <w:highlight w:val="none"/>
                <w:lang w:eastAsia="zh-CN"/>
              </w:rPr>
              <w:t>逾期</w:t>
            </w:r>
            <w:r>
              <w:rPr>
                <w:rFonts w:hint="eastAsia" w:ascii="宋体" w:hAnsi="宋体" w:cs="宋体"/>
                <w:color w:val="auto"/>
                <w:spacing w:val="-3"/>
                <w:sz w:val="21"/>
                <w:highlight w:val="none"/>
                <w:lang w:eastAsia="zh-CN"/>
              </w:rPr>
              <w:t>付</w:t>
            </w:r>
            <w:r>
              <w:rPr>
                <w:rFonts w:hint="eastAsia" w:ascii="宋体" w:hAnsi="宋体" w:cs="宋体"/>
                <w:color w:val="auto"/>
                <w:sz w:val="21"/>
                <w:highlight w:val="none"/>
                <w:lang w:eastAsia="zh-CN"/>
              </w:rPr>
              <w:t>款</w:t>
            </w:r>
            <w:r>
              <w:rPr>
                <w:rFonts w:hint="eastAsia" w:ascii="宋体" w:hAnsi="宋体" w:cs="宋体"/>
                <w:color w:val="auto"/>
                <w:spacing w:val="-3"/>
                <w:sz w:val="21"/>
                <w:highlight w:val="none"/>
                <w:lang w:eastAsia="zh-CN"/>
              </w:rPr>
              <w:t>违</w:t>
            </w:r>
            <w:r>
              <w:rPr>
                <w:rFonts w:hint="eastAsia" w:ascii="宋体" w:hAnsi="宋体" w:cs="宋体"/>
                <w:color w:val="auto"/>
                <w:sz w:val="21"/>
                <w:highlight w:val="none"/>
                <w:lang w:eastAsia="zh-CN"/>
              </w:rPr>
              <w:t>约</w:t>
            </w:r>
            <w:r>
              <w:rPr>
                <w:rFonts w:hint="eastAsia" w:ascii="宋体" w:hAnsi="宋体" w:cs="宋体"/>
                <w:color w:val="auto"/>
                <w:spacing w:val="-3"/>
                <w:sz w:val="21"/>
                <w:highlight w:val="none"/>
                <w:lang w:eastAsia="zh-CN"/>
              </w:rPr>
              <w:t>金</w:t>
            </w:r>
            <w:r>
              <w:rPr>
                <w:rFonts w:hint="eastAsia" w:ascii="宋体" w:hAnsi="宋体" w:cs="宋体"/>
                <w:color w:val="auto"/>
                <w:sz w:val="21"/>
                <w:highlight w:val="none"/>
                <w:lang w:eastAsia="zh-CN"/>
              </w:rPr>
              <w:t>的</w:t>
            </w:r>
            <w:r>
              <w:rPr>
                <w:rFonts w:hint="eastAsia" w:ascii="宋体" w:hAnsi="宋体" w:cs="宋体"/>
                <w:color w:val="auto"/>
                <w:spacing w:val="-3"/>
                <w:sz w:val="21"/>
                <w:highlight w:val="none"/>
                <w:lang w:eastAsia="zh-CN"/>
              </w:rPr>
              <w:t>利</w:t>
            </w:r>
            <w:r>
              <w:rPr>
                <w:rFonts w:hint="eastAsia" w:ascii="宋体" w:hAnsi="宋体" w:cs="宋体"/>
                <w:color w:val="auto"/>
                <w:sz w:val="21"/>
                <w:highlight w:val="none"/>
                <w:lang w:eastAsia="zh-CN"/>
              </w:rPr>
              <w:t>率</w:t>
            </w:r>
            <w:r>
              <w:rPr>
                <w:rFonts w:hint="eastAsia" w:ascii="宋体" w:hAnsi="宋体" w:cs="宋体"/>
                <w:color w:val="auto"/>
                <w:spacing w:val="-3"/>
                <w:sz w:val="21"/>
                <w:highlight w:val="none"/>
                <w:lang w:eastAsia="zh-CN"/>
              </w:rPr>
              <w:t>：</w:t>
            </w:r>
            <w:r>
              <w:rPr>
                <w:rFonts w:hint="eastAsia" w:ascii="宋体" w:hAnsi="宋体" w:cs="宋体"/>
                <w:color w:val="auto"/>
                <w:spacing w:val="-3"/>
                <w:sz w:val="21"/>
                <w:highlight w:val="none"/>
                <w:u w:val="single"/>
                <w:lang w:eastAsia="zh-CN"/>
              </w:rPr>
              <w:t xml:space="preserve">0.15 </w:t>
            </w:r>
            <w:r>
              <w:rPr>
                <w:rFonts w:hint="eastAsia" w:ascii="宋体" w:hAnsi="宋体" w:cs="宋体"/>
                <w:color w:val="auto"/>
                <w:sz w:val="21"/>
                <w:highlight w:val="none"/>
                <w:lang w:eastAsia="zh-CN"/>
              </w:rPr>
              <w:t>‰/</w:t>
            </w:r>
            <w:r>
              <w:rPr>
                <w:rFonts w:hint="eastAsia" w:ascii="宋体" w:hAnsi="宋体" w:cs="宋体"/>
                <w:color w:val="auto"/>
                <w:spacing w:val="-3"/>
                <w:sz w:val="21"/>
                <w:highlight w:val="none"/>
                <w:lang w:eastAsia="zh-CN"/>
              </w:rPr>
              <w:t>天</w:t>
            </w:r>
          </w:p>
        </w:tc>
      </w:tr>
      <w:tr w14:paraId="3D0410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jc w:val="center"/>
        </w:trPr>
        <w:tc>
          <w:tcPr>
            <w:tcW w:w="629" w:type="dxa"/>
            <w:tcBorders>
              <w:top w:val="single" w:color="000000" w:sz="4" w:space="0"/>
              <w:left w:val="single" w:color="000000" w:sz="4" w:space="0"/>
              <w:bottom w:val="single" w:color="000000" w:sz="4" w:space="0"/>
              <w:right w:val="single" w:color="000000" w:sz="4" w:space="0"/>
            </w:tcBorders>
          </w:tcPr>
          <w:p w14:paraId="01E6237A">
            <w:pPr>
              <w:pStyle w:val="386"/>
              <w:spacing w:before="113" w:line="360" w:lineRule="auto"/>
              <w:ind w:left="83" w:right="74"/>
              <w:jc w:val="center"/>
              <w:rPr>
                <w:rFonts w:hint="eastAsia" w:ascii="宋体" w:hAnsi="宋体" w:cs="宋体"/>
                <w:color w:val="auto"/>
                <w:sz w:val="21"/>
                <w:highlight w:val="none"/>
                <w:lang w:eastAsia="zh-CN"/>
              </w:rPr>
            </w:pPr>
          </w:p>
          <w:p w14:paraId="17FE255E">
            <w:pPr>
              <w:pStyle w:val="386"/>
              <w:spacing w:before="113" w:line="360" w:lineRule="auto"/>
              <w:ind w:left="83" w:right="74"/>
              <w:jc w:val="center"/>
              <w:rPr>
                <w:rFonts w:hint="eastAsia" w:ascii="宋体" w:hAnsi="宋体" w:cs="宋体"/>
                <w:color w:val="auto"/>
                <w:sz w:val="21"/>
                <w:highlight w:val="none"/>
                <w:lang w:eastAsia="zh-CN"/>
              </w:rPr>
            </w:pPr>
          </w:p>
          <w:p w14:paraId="3E0F64FD">
            <w:pPr>
              <w:pStyle w:val="386"/>
              <w:spacing w:before="113" w:line="360" w:lineRule="auto"/>
              <w:ind w:left="83" w:right="74"/>
              <w:jc w:val="center"/>
              <w:rPr>
                <w:rFonts w:hint="eastAsia" w:ascii="宋体" w:hAnsi="宋体" w:cs="宋体"/>
                <w:color w:val="auto"/>
                <w:sz w:val="21"/>
                <w:highlight w:val="none"/>
                <w:lang w:eastAsia="zh-CN"/>
              </w:rPr>
            </w:pPr>
          </w:p>
          <w:p w14:paraId="71175546">
            <w:pPr>
              <w:pStyle w:val="386"/>
              <w:spacing w:before="113" w:line="360" w:lineRule="auto"/>
              <w:ind w:left="83" w:right="74"/>
              <w:jc w:val="center"/>
              <w:rPr>
                <w:rFonts w:hint="eastAsia" w:ascii="宋体" w:hAnsi="宋体" w:cs="宋体"/>
                <w:color w:val="auto"/>
                <w:sz w:val="21"/>
                <w:highlight w:val="none"/>
              </w:rPr>
            </w:pPr>
            <w:r>
              <w:rPr>
                <w:rFonts w:hint="eastAsia" w:ascii="宋体" w:hAnsi="宋体" w:cs="宋体"/>
                <w:color w:val="auto"/>
                <w:sz w:val="21"/>
                <w:highlight w:val="none"/>
              </w:rPr>
              <w:t>21</w:t>
            </w:r>
          </w:p>
        </w:tc>
        <w:tc>
          <w:tcPr>
            <w:tcW w:w="1111" w:type="dxa"/>
            <w:tcBorders>
              <w:top w:val="single" w:color="000000" w:sz="4" w:space="0"/>
              <w:left w:val="single" w:color="000000" w:sz="4" w:space="0"/>
              <w:bottom w:val="single" w:color="000000" w:sz="4" w:space="0"/>
              <w:right w:val="single" w:color="000000" w:sz="4" w:space="0"/>
            </w:tcBorders>
            <w:vAlign w:val="center"/>
          </w:tcPr>
          <w:p w14:paraId="0409C9DC">
            <w:pPr>
              <w:spacing w:line="360" w:lineRule="auto"/>
              <w:jc w:val="center"/>
              <w:rPr>
                <w:rFonts w:hint="eastAsia" w:ascii="宋体" w:hAnsi="宋体" w:cs="宋体"/>
                <w:color w:val="auto"/>
                <w:spacing w:val="-6"/>
                <w:highlight w:val="none"/>
              </w:rPr>
            </w:pPr>
            <w:r>
              <w:rPr>
                <w:rFonts w:hint="eastAsia" w:ascii="宋体" w:hAnsi="宋体" w:cs="宋体"/>
                <w:color w:val="auto"/>
                <w:szCs w:val="21"/>
                <w:highlight w:val="none"/>
              </w:rPr>
              <w:t>17.3.3(4)</w:t>
            </w:r>
          </w:p>
        </w:tc>
        <w:tc>
          <w:tcPr>
            <w:tcW w:w="7305" w:type="dxa"/>
            <w:tcBorders>
              <w:top w:val="single" w:color="000000" w:sz="4" w:space="0"/>
              <w:left w:val="single" w:color="000000" w:sz="4" w:space="0"/>
              <w:bottom w:val="single" w:color="000000" w:sz="4" w:space="0"/>
              <w:right w:val="single" w:color="000000" w:sz="4" w:space="0"/>
            </w:tcBorders>
          </w:tcPr>
          <w:p w14:paraId="03045C92">
            <w:pPr>
              <w:spacing w:line="360" w:lineRule="auto"/>
              <w:ind w:firstLine="420"/>
              <w:rPr>
                <w:rFonts w:hint="eastAsia" w:ascii="宋体" w:hAnsi="宋体" w:cs="宋体"/>
                <w:color w:val="auto"/>
                <w:highlight w:val="none"/>
              </w:rPr>
            </w:pPr>
            <w:r>
              <w:rPr>
                <w:rFonts w:hint="eastAsia" w:ascii="宋体" w:hAnsi="宋体" w:cs="宋体"/>
                <w:color w:val="auto"/>
                <w:highlight w:val="none"/>
              </w:rPr>
              <w:t>工程款按工程进度支付：</w:t>
            </w:r>
          </w:p>
          <w:p w14:paraId="50733C4A">
            <w:pPr>
              <w:spacing w:line="360" w:lineRule="auto"/>
              <w:ind w:firstLine="420"/>
              <w:rPr>
                <w:rFonts w:hint="eastAsia" w:ascii="宋体" w:hAnsi="宋体" w:cs="宋体"/>
                <w:color w:val="auto"/>
                <w:highlight w:val="none"/>
              </w:rPr>
            </w:pPr>
            <w:r>
              <w:rPr>
                <w:rFonts w:hint="eastAsia" w:ascii="宋体" w:hAnsi="宋体" w:cs="宋体"/>
                <w:color w:val="auto"/>
                <w:highlight w:val="none"/>
              </w:rPr>
              <w:t>1.合同签订后，凭承包人提供的等额正式发票，发包人10个工作日之内支付10%预付款。</w:t>
            </w:r>
          </w:p>
          <w:p w14:paraId="1CB92545">
            <w:pPr>
              <w:spacing w:line="360" w:lineRule="auto"/>
              <w:ind w:firstLine="420"/>
              <w:rPr>
                <w:rFonts w:hint="eastAsia" w:ascii="宋体" w:hAnsi="宋体" w:cs="宋体"/>
                <w:color w:val="auto"/>
                <w:highlight w:val="none"/>
              </w:rPr>
            </w:pPr>
            <w:r>
              <w:rPr>
                <w:rFonts w:hint="eastAsia" w:ascii="宋体" w:hAnsi="宋体" w:cs="宋体"/>
                <w:color w:val="auto"/>
                <w:highlight w:val="none"/>
              </w:rPr>
              <w:t>2.工程进度完成工程量的50%时，工程款支付的限额标准为已完成工作量的80%。</w:t>
            </w:r>
          </w:p>
          <w:p w14:paraId="2AB24213">
            <w:pPr>
              <w:spacing w:line="360" w:lineRule="auto"/>
              <w:ind w:firstLine="420"/>
              <w:rPr>
                <w:rFonts w:hint="eastAsia" w:ascii="宋体" w:hAnsi="宋体" w:cs="宋体"/>
                <w:color w:val="auto"/>
                <w:highlight w:val="none"/>
              </w:rPr>
            </w:pPr>
            <w:r>
              <w:rPr>
                <w:rFonts w:hint="eastAsia" w:ascii="宋体" w:hAnsi="宋体" w:cs="宋体"/>
                <w:color w:val="auto"/>
                <w:highlight w:val="none"/>
              </w:rPr>
              <w:t>3.施工完成并经验收合格结算后支付到结算价款的97%，余3%用作工程质量保证金，待缺陷责任期满后15日内退还。</w:t>
            </w:r>
          </w:p>
        </w:tc>
      </w:tr>
      <w:tr w14:paraId="789573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5" w:hRule="atLeast"/>
          <w:jc w:val="center"/>
        </w:trPr>
        <w:tc>
          <w:tcPr>
            <w:tcW w:w="629" w:type="dxa"/>
            <w:tcBorders>
              <w:top w:val="single" w:color="000000" w:sz="4" w:space="0"/>
              <w:left w:val="single" w:color="000000" w:sz="4" w:space="0"/>
              <w:bottom w:val="single" w:color="000000" w:sz="4" w:space="0"/>
              <w:right w:val="single" w:color="000000" w:sz="4" w:space="0"/>
            </w:tcBorders>
            <w:vAlign w:val="center"/>
          </w:tcPr>
          <w:p w14:paraId="1563B69D">
            <w:pPr>
              <w:pStyle w:val="386"/>
              <w:spacing w:before="178" w:line="360" w:lineRule="auto"/>
              <w:ind w:left="83" w:right="74"/>
              <w:jc w:val="center"/>
              <w:rPr>
                <w:rFonts w:hint="eastAsia" w:ascii="宋体" w:hAnsi="宋体" w:cs="宋体"/>
                <w:color w:val="auto"/>
                <w:sz w:val="21"/>
                <w:highlight w:val="none"/>
              </w:rPr>
            </w:pPr>
            <w:r>
              <w:rPr>
                <w:rFonts w:hint="eastAsia" w:ascii="宋体" w:hAnsi="宋体" w:cs="宋体"/>
                <w:color w:val="auto"/>
                <w:sz w:val="21"/>
                <w:highlight w:val="none"/>
              </w:rPr>
              <w:t>22</w:t>
            </w:r>
          </w:p>
        </w:tc>
        <w:tc>
          <w:tcPr>
            <w:tcW w:w="1111" w:type="dxa"/>
            <w:tcBorders>
              <w:top w:val="single" w:color="000000" w:sz="4" w:space="0"/>
              <w:left w:val="single" w:color="000000" w:sz="4" w:space="0"/>
              <w:bottom w:val="single" w:color="000000" w:sz="4" w:space="0"/>
              <w:right w:val="single" w:color="000000" w:sz="4" w:space="0"/>
            </w:tcBorders>
            <w:vAlign w:val="center"/>
          </w:tcPr>
          <w:p w14:paraId="7339121F">
            <w:pPr>
              <w:pStyle w:val="386"/>
              <w:spacing w:before="178" w:line="360" w:lineRule="auto"/>
              <w:ind w:left="292"/>
              <w:jc w:val="center"/>
              <w:rPr>
                <w:rFonts w:hint="eastAsia" w:ascii="宋体" w:hAnsi="宋体" w:cs="宋体"/>
                <w:color w:val="auto"/>
                <w:sz w:val="21"/>
                <w:highlight w:val="none"/>
              </w:rPr>
            </w:pPr>
            <w:r>
              <w:rPr>
                <w:rFonts w:hint="eastAsia" w:ascii="宋体" w:hAnsi="宋体" w:cs="宋体"/>
                <w:color w:val="auto"/>
                <w:sz w:val="21"/>
                <w:highlight w:val="none"/>
              </w:rPr>
              <w:t>17.4.1</w:t>
            </w:r>
          </w:p>
        </w:tc>
        <w:tc>
          <w:tcPr>
            <w:tcW w:w="7305" w:type="dxa"/>
            <w:tcBorders>
              <w:top w:val="single" w:color="000000" w:sz="4" w:space="0"/>
              <w:left w:val="single" w:color="000000" w:sz="4" w:space="0"/>
              <w:bottom w:val="single" w:color="000000" w:sz="4" w:space="0"/>
              <w:right w:val="single" w:color="000000" w:sz="4" w:space="0"/>
            </w:tcBorders>
          </w:tcPr>
          <w:p w14:paraId="05B4EBC0">
            <w:pPr>
              <w:pStyle w:val="386"/>
              <w:spacing w:before="2" w:line="360" w:lineRule="auto"/>
              <w:ind w:firstLine="210"/>
              <w:rPr>
                <w:rFonts w:hint="eastAsia" w:ascii="宋体" w:hAnsi="宋体" w:cs="宋体"/>
                <w:color w:val="auto"/>
                <w:sz w:val="21"/>
                <w:highlight w:val="none"/>
                <w:lang w:eastAsia="zh-CN"/>
              </w:rPr>
            </w:pPr>
            <w:r>
              <w:rPr>
                <w:rFonts w:hint="eastAsia" w:ascii="宋体" w:hAnsi="宋体" w:cs="宋体"/>
                <w:color w:val="auto"/>
                <w:sz w:val="21"/>
                <w:highlight w:val="none"/>
                <w:lang w:eastAsia="zh-CN"/>
              </w:rPr>
              <w:t>质量保证金限额：</w:t>
            </w:r>
            <w:r>
              <w:rPr>
                <w:rFonts w:ascii="Helvetica" w:hAnsi="Helvetica" w:eastAsia="Helvetica" w:cs="Helvetica"/>
                <w:color w:val="auto"/>
                <w:sz w:val="21"/>
                <w:szCs w:val="21"/>
                <w:highlight w:val="none"/>
                <w:shd w:val="clear" w:color="auto" w:fill="FFFFFF"/>
                <w:lang w:eastAsia="zh-CN"/>
              </w:rPr>
              <w:t>工程价款结</w:t>
            </w:r>
            <w:r>
              <w:rPr>
                <w:rFonts w:hint="eastAsia" w:ascii="宋体" w:hAnsi="宋体" w:cs="宋体"/>
                <w:color w:val="auto"/>
                <w:sz w:val="21"/>
                <w:szCs w:val="24"/>
                <w:highlight w:val="none"/>
                <w:lang w:eastAsia="zh-CN"/>
              </w:rPr>
              <w:t>算总额的3%。</w:t>
            </w:r>
          </w:p>
          <w:p w14:paraId="50CD1A6C">
            <w:pPr>
              <w:spacing w:before="107" w:line="360" w:lineRule="auto"/>
              <w:ind w:firstLine="208"/>
              <w:rPr>
                <w:rFonts w:hint="eastAsia" w:ascii="宋体" w:hAnsi="宋体" w:cs="宋体"/>
                <w:color w:val="auto"/>
                <w:szCs w:val="21"/>
                <w:highlight w:val="none"/>
              </w:rPr>
            </w:pPr>
            <w:r>
              <w:rPr>
                <w:rFonts w:hint="eastAsia" w:ascii="宋体" w:hAnsi="宋体" w:cs="宋体"/>
                <w:color w:val="auto"/>
                <w:spacing w:val="-1"/>
                <w:szCs w:val="21"/>
                <w:highlight w:val="none"/>
              </w:rPr>
              <w:t>质量保证金是否计</w:t>
            </w:r>
            <w:r>
              <w:rPr>
                <w:rFonts w:hint="eastAsia" w:ascii="宋体" w:hAnsi="宋体" w:cs="宋体"/>
                <w:color w:val="auto"/>
                <w:szCs w:val="21"/>
                <w:highlight w:val="none"/>
              </w:rPr>
              <w:t>付利息：</w:t>
            </w:r>
          </w:p>
          <w:p w14:paraId="1DA7CDBD">
            <w:pPr>
              <w:spacing w:before="49" w:line="360" w:lineRule="auto"/>
              <w:ind w:firstLine="206"/>
              <w:rPr>
                <w:rFonts w:hint="eastAsia" w:ascii="宋体" w:hAnsi="宋体" w:cs="宋体"/>
                <w:color w:val="auto"/>
                <w:szCs w:val="21"/>
                <w:highlight w:val="none"/>
              </w:rPr>
            </w:pPr>
            <w:r>
              <w:rPr>
                <w:rFonts w:hint="eastAsia" w:ascii="宋体" w:hAnsi="宋体" w:cs="宋体"/>
                <w:color w:val="auto"/>
                <w:spacing w:val="-2"/>
                <w:szCs w:val="21"/>
                <w:highlight w:val="none"/>
              </w:rPr>
              <w:t xml:space="preserve">□ </w:t>
            </w:r>
            <w:r>
              <w:rPr>
                <w:rFonts w:hint="eastAsia" w:ascii="宋体" w:hAnsi="宋体" w:cs="宋体"/>
                <w:color w:val="auto"/>
                <w:spacing w:val="-1"/>
                <w:szCs w:val="21"/>
                <w:highlight w:val="none"/>
              </w:rPr>
              <w:t>是，利息的计算方式：</w:t>
            </w:r>
            <w:r>
              <w:rPr>
                <w:rFonts w:hint="eastAsia" w:ascii="宋体" w:hAnsi="宋体" w:cs="宋体"/>
                <w:color w:val="auto"/>
                <w:szCs w:val="21"/>
                <w:highlight w:val="none"/>
                <w:u w:val="single"/>
              </w:rPr>
              <w:t xml:space="preserve">               </w:t>
            </w:r>
          </w:p>
          <w:p w14:paraId="5200605B">
            <w:pPr>
              <w:pStyle w:val="386"/>
              <w:spacing w:before="2" w:line="360" w:lineRule="auto"/>
              <w:ind w:firstLine="206"/>
              <w:rPr>
                <w:rFonts w:hint="eastAsia" w:ascii="宋体" w:hAnsi="宋体" w:cs="宋体"/>
                <w:color w:val="auto"/>
                <w:sz w:val="21"/>
                <w:highlight w:val="none"/>
                <w:lang w:eastAsia="zh-CN"/>
              </w:rPr>
            </w:pPr>
            <w:r>
              <w:rPr>
                <w:rFonts w:hint="eastAsia" w:ascii="宋体" w:hAnsi="宋体" w:cs="宋体"/>
                <w:color w:val="auto"/>
                <w:spacing w:val="-2"/>
                <w:sz w:val="21"/>
                <w:szCs w:val="21"/>
                <w:highlight w:val="none"/>
                <w:lang w:eastAsia="zh-CN"/>
              </w:rPr>
              <w:t>☑</w:t>
            </w:r>
            <w:r>
              <w:rPr>
                <w:rFonts w:hint="eastAsia" w:ascii="宋体" w:hAnsi="宋体" w:cs="宋体"/>
                <w:color w:val="auto"/>
                <w:spacing w:val="-2"/>
                <w:sz w:val="21"/>
                <w:szCs w:val="21"/>
                <w:highlight w:val="none"/>
              </w:rPr>
              <w:t xml:space="preserve"> </w:t>
            </w:r>
            <w:r>
              <w:rPr>
                <w:rFonts w:hint="eastAsia" w:ascii="宋体" w:hAnsi="宋体" w:cs="宋体"/>
                <w:color w:val="auto"/>
                <w:spacing w:val="-5"/>
                <w:sz w:val="21"/>
                <w:szCs w:val="21"/>
                <w:highlight w:val="none"/>
              </w:rPr>
              <w:t>否</w:t>
            </w:r>
          </w:p>
        </w:tc>
      </w:tr>
      <w:tr w14:paraId="416BAA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jc w:val="center"/>
        </w:trPr>
        <w:tc>
          <w:tcPr>
            <w:tcW w:w="629" w:type="dxa"/>
            <w:tcBorders>
              <w:top w:val="single" w:color="000000" w:sz="4" w:space="0"/>
              <w:left w:val="single" w:color="000000" w:sz="4" w:space="0"/>
              <w:bottom w:val="single" w:color="000000" w:sz="4" w:space="0"/>
              <w:right w:val="single" w:color="000000" w:sz="4" w:space="0"/>
            </w:tcBorders>
          </w:tcPr>
          <w:p w14:paraId="72A5030C">
            <w:pPr>
              <w:pStyle w:val="386"/>
              <w:spacing w:before="11" w:line="360" w:lineRule="auto"/>
              <w:rPr>
                <w:rFonts w:hint="eastAsia" w:ascii="宋体" w:hAnsi="宋体" w:cs="宋体"/>
                <w:color w:val="auto"/>
                <w:highlight w:val="none"/>
                <w:lang w:eastAsia="zh-CN"/>
              </w:rPr>
            </w:pPr>
          </w:p>
          <w:p w14:paraId="0FCB20C9">
            <w:pPr>
              <w:pStyle w:val="386"/>
              <w:spacing w:line="360" w:lineRule="auto"/>
              <w:ind w:left="83" w:right="74"/>
              <w:jc w:val="center"/>
              <w:rPr>
                <w:rFonts w:hint="eastAsia" w:ascii="宋体" w:hAnsi="宋体" w:cs="宋体"/>
                <w:color w:val="auto"/>
                <w:sz w:val="21"/>
                <w:highlight w:val="none"/>
              </w:rPr>
            </w:pPr>
            <w:r>
              <w:rPr>
                <w:rFonts w:hint="eastAsia" w:ascii="宋体" w:hAnsi="宋体" w:cs="宋体"/>
                <w:color w:val="auto"/>
                <w:sz w:val="21"/>
                <w:highlight w:val="none"/>
              </w:rPr>
              <w:t>23</w:t>
            </w:r>
          </w:p>
        </w:tc>
        <w:tc>
          <w:tcPr>
            <w:tcW w:w="1111" w:type="dxa"/>
            <w:tcBorders>
              <w:top w:val="single" w:color="000000" w:sz="4" w:space="0"/>
              <w:left w:val="single" w:color="000000" w:sz="4" w:space="0"/>
              <w:bottom w:val="single" w:color="000000" w:sz="4" w:space="0"/>
              <w:right w:val="single" w:color="000000" w:sz="4" w:space="0"/>
            </w:tcBorders>
          </w:tcPr>
          <w:p w14:paraId="7F3AF521">
            <w:pPr>
              <w:pStyle w:val="386"/>
              <w:spacing w:line="360" w:lineRule="auto"/>
              <w:rPr>
                <w:rFonts w:hint="eastAsia" w:ascii="宋体" w:hAnsi="宋体" w:cs="宋体"/>
                <w:color w:val="auto"/>
                <w:sz w:val="21"/>
                <w:highlight w:val="none"/>
              </w:rPr>
            </w:pPr>
          </w:p>
          <w:p w14:paraId="02B1FE13">
            <w:pPr>
              <w:pStyle w:val="386"/>
              <w:spacing w:line="360" w:lineRule="auto"/>
              <w:ind w:left="107" w:right="-15"/>
              <w:rPr>
                <w:rFonts w:hint="eastAsia" w:ascii="宋体" w:hAnsi="宋体" w:cs="宋体"/>
                <w:color w:val="auto"/>
                <w:sz w:val="21"/>
                <w:highlight w:val="none"/>
              </w:rPr>
            </w:pPr>
            <w:r>
              <w:rPr>
                <w:rFonts w:hint="eastAsia" w:ascii="宋体" w:hAnsi="宋体" w:cs="宋体"/>
                <w:color w:val="auto"/>
                <w:spacing w:val="-6"/>
                <w:sz w:val="21"/>
                <w:highlight w:val="none"/>
              </w:rPr>
              <w:t>17.5.1（1）</w:t>
            </w:r>
          </w:p>
        </w:tc>
        <w:tc>
          <w:tcPr>
            <w:tcW w:w="7305" w:type="dxa"/>
            <w:tcBorders>
              <w:top w:val="single" w:color="000000" w:sz="4" w:space="0"/>
              <w:left w:val="single" w:color="000000" w:sz="4" w:space="0"/>
              <w:bottom w:val="single" w:color="000000" w:sz="4" w:space="0"/>
              <w:right w:val="single" w:color="000000" w:sz="4" w:space="0"/>
            </w:tcBorders>
          </w:tcPr>
          <w:p w14:paraId="3508C40A">
            <w:pPr>
              <w:pStyle w:val="386"/>
              <w:spacing w:before="89" w:line="360" w:lineRule="auto"/>
              <w:ind w:left="347"/>
              <w:rPr>
                <w:rFonts w:hint="eastAsia" w:ascii="宋体" w:hAnsi="宋体" w:cs="宋体"/>
                <w:color w:val="auto"/>
                <w:sz w:val="21"/>
                <w:highlight w:val="none"/>
                <w:lang w:eastAsia="zh-CN"/>
              </w:rPr>
            </w:pPr>
            <w:r>
              <w:rPr>
                <w:rFonts w:hint="eastAsia" w:ascii="宋体" w:hAnsi="宋体" w:cs="宋体"/>
                <w:color w:val="auto"/>
                <w:sz w:val="21"/>
                <w:highlight w:val="none"/>
                <w:lang w:eastAsia="zh-CN"/>
              </w:rPr>
              <w:t>承包人向监理人提交交工付款申请单（包括相关证明材料）的份数：</w:t>
            </w:r>
          </w:p>
          <w:p w14:paraId="7BA1E388">
            <w:pPr>
              <w:pStyle w:val="386"/>
              <w:tabs>
                <w:tab w:val="left" w:pos="770"/>
              </w:tabs>
              <w:spacing w:before="91" w:line="360" w:lineRule="auto"/>
              <w:ind w:left="347"/>
              <w:rPr>
                <w:rFonts w:hint="eastAsia" w:ascii="宋体" w:hAnsi="宋体" w:cs="宋体"/>
                <w:color w:val="auto"/>
                <w:sz w:val="21"/>
                <w:highlight w:val="none"/>
              </w:rPr>
            </w:pPr>
            <w:r>
              <w:rPr>
                <w:rFonts w:hint="eastAsia" w:ascii="宋体" w:hAnsi="宋体" w:cs="宋体"/>
                <w:color w:val="auto"/>
                <w:sz w:val="21"/>
                <w:highlight w:val="none"/>
                <w:u w:val="single"/>
              </w:rPr>
              <w:t>5</w:t>
            </w:r>
            <w:r>
              <w:rPr>
                <w:rFonts w:hint="eastAsia" w:ascii="宋体" w:hAnsi="宋体" w:cs="宋体"/>
                <w:color w:val="auto"/>
                <w:sz w:val="21"/>
                <w:highlight w:val="none"/>
                <w:u w:val="single"/>
              </w:rPr>
              <w:tab/>
            </w:r>
            <w:r>
              <w:rPr>
                <w:rFonts w:hint="eastAsia" w:ascii="宋体" w:hAnsi="宋体" w:cs="宋体"/>
                <w:color w:val="auto"/>
                <w:sz w:val="21"/>
                <w:highlight w:val="none"/>
              </w:rPr>
              <w:t>份</w:t>
            </w:r>
          </w:p>
        </w:tc>
      </w:tr>
      <w:tr w14:paraId="65B234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jc w:val="center"/>
        </w:trPr>
        <w:tc>
          <w:tcPr>
            <w:tcW w:w="629" w:type="dxa"/>
            <w:tcBorders>
              <w:top w:val="single" w:color="000000" w:sz="4" w:space="0"/>
              <w:left w:val="single" w:color="000000" w:sz="4" w:space="0"/>
              <w:bottom w:val="single" w:color="000000" w:sz="4" w:space="0"/>
              <w:right w:val="single" w:color="000000" w:sz="4" w:space="0"/>
            </w:tcBorders>
          </w:tcPr>
          <w:p w14:paraId="0B22BD31">
            <w:pPr>
              <w:pStyle w:val="386"/>
              <w:spacing w:before="11" w:line="360" w:lineRule="auto"/>
              <w:rPr>
                <w:rFonts w:hint="eastAsia" w:ascii="宋体" w:hAnsi="宋体" w:cs="宋体"/>
                <w:color w:val="auto"/>
                <w:highlight w:val="none"/>
              </w:rPr>
            </w:pPr>
          </w:p>
          <w:p w14:paraId="30CDCF1B">
            <w:pPr>
              <w:pStyle w:val="386"/>
              <w:spacing w:line="360" w:lineRule="auto"/>
              <w:ind w:left="83" w:right="74"/>
              <w:jc w:val="center"/>
              <w:rPr>
                <w:rFonts w:hint="eastAsia" w:ascii="宋体" w:hAnsi="宋体" w:cs="宋体"/>
                <w:color w:val="auto"/>
                <w:sz w:val="21"/>
                <w:highlight w:val="none"/>
              </w:rPr>
            </w:pPr>
            <w:r>
              <w:rPr>
                <w:rFonts w:hint="eastAsia" w:ascii="宋体" w:hAnsi="宋体" w:cs="宋体"/>
                <w:color w:val="auto"/>
                <w:sz w:val="21"/>
                <w:highlight w:val="none"/>
              </w:rPr>
              <w:t>24</w:t>
            </w:r>
          </w:p>
        </w:tc>
        <w:tc>
          <w:tcPr>
            <w:tcW w:w="1111" w:type="dxa"/>
            <w:tcBorders>
              <w:top w:val="single" w:color="000000" w:sz="4" w:space="0"/>
              <w:left w:val="single" w:color="000000" w:sz="4" w:space="0"/>
              <w:bottom w:val="single" w:color="000000" w:sz="4" w:space="0"/>
              <w:right w:val="single" w:color="000000" w:sz="4" w:space="0"/>
            </w:tcBorders>
          </w:tcPr>
          <w:p w14:paraId="3B8DF46E">
            <w:pPr>
              <w:pStyle w:val="386"/>
              <w:spacing w:line="360" w:lineRule="auto"/>
              <w:rPr>
                <w:rFonts w:hint="eastAsia" w:ascii="宋体" w:hAnsi="宋体" w:cs="宋体"/>
                <w:color w:val="auto"/>
                <w:sz w:val="21"/>
                <w:highlight w:val="none"/>
              </w:rPr>
            </w:pPr>
          </w:p>
          <w:p w14:paraId="32CED4CF">
            <w:pPr>
              <w:pStyle w:val="386"/>
              <w:spacing w:line="360" w:lineRule="auto"/>
              <w:ind w:left="107" w:right="-15"/>
              <w:rPr>
                <w:rFonts w:hint="eastAsia" w:ascii="宋体" w:hAnsi="宋体" w:cs="宋体"/>
                <w:color w:val="auto"/>
                <w:sz w:val="21"/>
                <w:highlight w:val="none"/>
              </w:rPr>
            </w:pPr>
            <w:r>
              <w:rPr>
                <w:rFonts w:hint="eastAsia" w:ascii="宋体" w:hAnsi="宋体" w:cs="宋体"/>
                <w:color w:val="auto"/>
                <w:spacing w:val="-6"/>
                <w:sz w:val="21"/>
                <w:highlight w:val="none"/>
              </w:rPr>
              <w:t>17.6.1（1）</w:t>
            </w:r>
          </w:p>
        </w:tc>
        <w:tc>
          <w:tcPr>
            <w:tcW w:w="7305" w:type="dxa"/>
            <w:tcBorders>
              <w:top w:val="single" w:color="000000" w:sz="4" w:space="0"/>
              <w:left w:val="single" w:color="000000" w:sz="4" w:space="0"/>
              <w:bottom w:val="single" w:color="000000" w:sz="4" w:space="0"/>
              <w:right w:val="single" w:color="000000" w:sz="4" w:space="0"/>
            </w:tcBorders>
          </w:tcPr>
          <w:p w14:paraId="3637E837">
            <w:pPr>
              <w:pStyle w:val="386"/>
              <w:spacing w:before="90" w:line="360" w:lineRule="auto"/>
              <w:ind w:left="347"/>
              <w:rPr>
                <w:rFonts w:hint="eastAsia" w:ascii="宋体" w:hAnsi="宋体" w:cs="宋体"/>
                <w:color w:val="auto"/>
                <w:sz w:val="21"/>
                <w:highlight w:val="none"/>
                <w:lang w:eastAsia="zh-CN"/>
              </w:rPr>
            </w:pPr>
            <w:r>
              <w:rPr>
                <w:rFonts w:hint="eastAsia" w:ascii="宋体" w:hAnsi="宋体" w:cs="宋体"/>
                <w:color w:val="auto"/>
                <w:sz w:val="21"/>
                <w:highlight w:val="none"/>
                <w:lang w:eastAsia="zh-CN"/>
              </w:rPr>
              <w:t>承包人向监理人提交最终结清申请单（包括相关证明材料）的份数：</w:t>
            </w:r>
          </w:p>
          <w:p w14:paraId="1B9A4073">
            <w:pPr>
              <w:pStyle w:val="386"/>
              <w:tabs>
                <w:tab w:val="left" w:pos="979"/>
              </w:tabs>
              <w:spacing w:before="91" w:line="360" w:lineRule="auto"/>
              <w:ind w:left="347"/>
              <w:rPr>
                <w:rFonts w:hint="eastAsia" w:ascii="宋体" w:hAnsi="宋体" w:cs="宋体"/>
                <w:color w:val="auto"/>
                <w:sz w:val="21"/>
                <w:highlight w:val="none"/>
              </w:rPr>
            </w:pPr>
            <w:r>
              <w:rPr>
                <w:rFonts w:hint="eastAsia" w:ascii="宋体" w:hAnsi="宋体" w:cs="宋体"/>
                <w:color w:val="auto"/>
                <w:sz w:val="21"/>
                <w:highlight w:val="none"/>
                <w:u w:val="single"/>
              </w:rPr>
              <w:t>5</w:t>
            </w:r>
            <w:r>
              <w:rPr>
                <w:rFonts w:hint="eastAsia" w:ascii="宋体" w:hAnsi="宋体" w:cs="宋体"/>
                <w:color w:val="auto"/>
                <w:sz w:val="21"/>
                <w:highlight w:val="none"/>
              </w:rPr>
              <w:t>份</w:t>
            </w:r>
          </w:p>
        </w:tc>
      </w:tr>
      <w:tr w14:paraId="04915D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jc w:val="center"/>
        </w:trPr>
        <w:tc>
          <w:tcPr>
            <w:tcW w:w="629" w:type="dxa"/>
            <w:tcBorders>
              <w:top w:val="single" w:color="000000" w:sz="4" w:space="0"/>
              <w:left w:val="single" w:color="000000" w:sz="4" w:space="0"/>
              <w:bottom w:val="single" w:color="000000" w:sz="4" w:space="0"/>
              <w:right w:val="single" w:color="000000" w:sz="4" w:space="0"/>
            </w:tcBorders>
          </w:tcPr>
          <w:p w14:paraId="5A86BB4F">
            <w:pPr>
              <w:pStyle w:val="386"/>
              <w:spacing w:before="113" w:line="360" w:lineRule="auto"/>
              <w:ind w:left="83" w:right="74"/>
              <w:jc w:val="center"/>
              <w:rPr>
                <w:rFonts w:hint="eastAsia" w:ascii="宋体" w:hAnsi="宋体" w:cs="宋体"/>
                <w:color w:val="auto"/>
                <w:sz w:val="21"/>
                <w:highlight w:val="none"/>
              </w:rPr>
            </w:pPr>
            <w:r>
              <w:rPr>
                <w:rFonts w:hint="eastAsia" w:ascii="宋体" w:hAnsi="宋体" w:cs="宋体"/>
                <w:color w:val="auto"/>
                <w:sz w:val="21"/>
                <w:highlight w:val="none"/>
              </w:rPr>
              <w:t>25</w:t>
            </w:r>
          </w:p>
        </w:tc>
        <w:tc>
          <w:tcPr>
            <w:tcW w:w="1111" w:type="dxa"/>
            <w:tcBorders>
              <w:top w:val="single" w:color="000000" w:sz="4" w:space="0"/>
              <w:left w:val="single" w:color="000000" w:sz="4" w:space="0"/>
              <w:bottom w:val="single" w:color="000000" w:sz="4" w:space="0"/>
              <w:right w:val="single" w:color="000000" w:sz="4" w:space="0"/>
            </w:tcBorders>
          </w:tcPr>
          <w:p w14:paraId="4A3065FA">
            <w:pPr>
              <w:pStyle w:val="386"/>
              <w:spacing w:before="90" w:line="360" w:lineRule="auto"/>
              <w:ind w:left="107"/>
              <w:rPr>
                <w:rFonts w:hint="eastAsia" w:ascii="宋体" w:hAnsi="宋体" w:cs="宋体"/>
                <w:color w:val="auto"/>
                <w:sz w:val="21"/>
                <w:highlight w:val="none"/>
              </w:rPr>
            </w:pPr>
            <w:r>
              <w:rPr>
                <w:rFonts w:hint="eastAsia" w:ascii="宋体" w:hAnsi="宋体" w:cs="宋体"/>
                <w:color w:val="auto"/>
                <w:sz w:val="21"/>
                <w:highlight w:val="none"/>
              </w:rPr>
              <w:t>18.2（2）</w:t>
            </w:r>
          </w:p>
        </w:tc>
        <w:tc>
          <w:tcPr>
            <w:tcW w:w="7305" w:type="dxa"/>
            <w:tcBorders>
              <w:top w:val="single" w:color="000000" w:sz="4" w:space="0"/>
              <w:left w:val="single" w:color="000000" w:sz="4" w:space="0"/>
              <w:bottom w:val="single" w:color="000000" w:sz="4" w:space="0"/>
              <w:right w:val="single" w:color="000000" w:sz="4" w:space="0"/>
            </w:tcBorders>
          </w:tcPr>
          <w:p w14:paraId="4FE40DA8">
            <w:pPr>
              <w:pStyle w:val="386"/>
              <w:tabs>
                <w:tab w:val="left" w:pos="2659"/>
              </w:tabs>
              <w:spacing w:before="90" w:line="360" w:lineRule="auto"/>
              <w:ind w:left="347"/>
              <w:rPr>
                <w:rFonts w:hint="eastAsia" w:ascii="宋体" w:hAnsi="宋体" w:cs="宋体"/>
                <w:color w:val="auto"/>
                <w:sz w:val="21"/>
                <w:highlight w:val="none"/>
              </w:rPr>
            </w:pPr>
            <w:r>
              <w:rPr>
                <w:rFonts w:hint="eastAsia" w:ascii="宋体" w:hAnsi="宋体" w:cs="宋体"/>
                <w:color w:val="auto"/>
                <w:sz w:val="21"/>
                <w:highlight w:val="none"/>
              </w:rPr>
              <w:t>竣工</w:t>
            </w:r>
            <w:r>
              <w:rPr>
                <w:rFonts w:hint="eastAsia" w:ascii="宋体" w:hAnsi="宋体" w:cs="宋体"/>
                <w:color w:val="auto"/>
                <w:spacing w:val="-3"/>
                <w:sz w:val="21"/>
                <w:highlight w:val="none"/>
              </w:rPr>
              <w:t>资</w:t>
            </w:r>
            <w:r>
              <w:rPr>
                <w:rFonts w:hint="eastAsia" w:ascii="宋体" w:hAnsi="宋体" w:cs="宋体"/>
                <w:color w:val="auto"/>
                <w:sz w:val="21"/>
                <w:highlight w:val="none"/>
              </w:rPr>
              <w:t>料</w:t>
            </w:r>
            <w:r>
              <w:rPr>
                <w:rFonts w:hint="eastAsia" w:ascii="宋体" w:hAnsi="宋体" w:cs="宋体"/>
                <w:color w:val="auto"/>
                <w:spacing w:val="-3"/>
                <w:sz w:val="21"/>
                <w:highlight w:val="none"/>
              </w:rPr>
              <w:t>的</w:t>
            </w:r>
            <w:r>
              <w:rPr>
                <w:rFonts w:hint="eastAsia" w:ascii="宋体" w:hAnsi="宋体" w:cs="宋体"/>
                <w:color w:val="auto"/>
                <w:sz w:val="21"/>
                <w:highlight w:val="none"/>
              </w:rPr>
              <w:t>份</w:t>
            </w:r>
            <w:r>
              <w:rPr>
                <w:rFonts w:hint="eastAsia" w:ascii="宋体" w:hAnsi="宋体" w:cs="宋体"/>
                <w:color w:val="auto"/>
                <w:spacing w:val="-3"/>
                <w:sz w:val="21"/>
                <w:highlight w:val="none"/>
              </w:rPr>
              <w:t>数</w:t>
            </w:r>
            <w:r>
              <w:rPr>
                <w:rFonts w:hint="eastAsia" w:ascii="宋体" w:hAnsi="宋体" w:cs="宋体"/>
                <w:color w:val="auto"/>
                <w:sz w:val="21"/>
                <w:highlight w:val="none"/>
                <w:u w:val="single"/>
              </w:rPr>
              <w:t>：4</w:t>
            </w:r>
            <w:r>
              <w:rPr>
                <w:rFonts w:hint="eastAsia" w:ascii="宋体" w:hAnsi="宋体" w:cs="宋体"/>
                <w:color w:val="auto"/>
                <w:sz w:val="21"/>
                <w:highlight w:val="none"/>
              </w:rPr>
              <w:t>份</w:t>
            </w:r>
          </w:p>
        </w:tc>
      </w:tr>
      <w:tr w14:paraId="7E74E5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jc w:val="center"/>
        </w:trPr>
        <w:tc>
          <w:tcPr>
            <w:tcW w:w="629" w:type="dxa"/>
            <w:tcBorders>
              <w:top w:val="single" w:color="000000" w:sz="4" w:space="0"/>
              <w:left w:val="single" w:color="000000" w:sz="4" w:space="0"/>
              <w:bottom w:val="single" w:color="000000" w:sz="4" w:space="0"/>
              <w:right w:val="single" w:color="000000" w:sz="4" w:space="0"/>
            </w:tcBorders>
          </w:tcPr>
          <w:p w14:paraId="49819A6B">
            <w:pPr>
              <w:pStyle w:val="386"/>
              <w:spacing w:before="194" w:line="360" w:lineRule="auto"/>
              <w:ind w:left="83" w:right="74"/>
              <w:jc w:val="center"/>
              <w:rPr>
                <w:rFonts w:hint="eastAsia" w:ascii="宋体" w:hAnsi="宋体" w:cs="宋体"/>
                <w:color w:val="auto"/>
                <w:sz w:val="21"/>
                <w:highlight w:val="none"/>
              </w:rPr>
            </w:pPr>
            <w:r>
              <w:rPr>
                <w:rFonts w:hint="eastAsia" w:ascii="宋体" w:hAnsi="宋体" w:cs="宋体"/>
                <w:color w:val="auto"/>
                <w:sz w:val="21"/>
                <w:highlight w:val="none"/>
              </w:rPr>
              <w:t>26</w:t>
            </w:r>
          </w:p>
        </w:tc>
        <w:tc>
          <w:tcPr>
            <w:tcW w:w="1111" w:type="dxa"/>
            <w:tcBorders>
              <w:top w:val="single" w:color="000000" w:sz="4" w:space="0"/>
              <w:left w:val="single" w:color="000000" w:sz="4" w:space="0"/>
              <w:bottom w:val="single" w:color="000000" w:sz="4" w:space="0"/>
              <w:right w:val="single" w:color="000000" w:sz="4" w:space="0"/>
            </w:tcBorders>
          </w:tcPr>
          <w:p w14:paraId="6E1AE8A4">
            <w:pPr>
              <w:pStyle w:val="386"/>
              <w:spacing w:before="194" w:line="360" w:lineRule="auto"/>
              <w:ind w:left="292"/>
              <w:rPr>
                <w:rFonts w:hint="eastAsia" w:ascii="宋体" w:hAnsi="宋体" w:cs="宋体"/>
                <w:color w:val="auto"/>
                <w:sz w:val="21"/>
                <w:highlight w:val="none"/>
              </w:rPr>
            </w:pPr>
            <w:r>
              <w:rPr>
                <w:rFonts w:hint="eastAsia" w:ascii="宋体" w:hAnsi="宋体" w:cs="宋体"/>
                <w:color w:val="auto"/>
                <w:sz w:val="21"/>
                <w:highlight w:val="none"/>
              </w:rPr>
              <w:t>18.5.1</w:t>
            </w:r>
          </w:p>
        </w:tc>
        <w:tc>
          <w:tcPr>
            <w:tcW w:w="7305" w:type="dxa"/>
            <w:tcBorders>
              <w:top w:val="single" w:color="000000" w:sz="4" w:space="0"/>
              <w:left w:val="single" w:color="000000" w:sz="4" w:space="0"/>
              <w:bottom w:val="single" w:color="000000" w:sz="4" w:space="0"/>
              <w:right w:val="single" w:color="000000" w:sz="4" w:space="0"/>
            </w:tcBorders>
          </w:tcPr>
          <w:p w14:paraId="10229AD0">
            <w:pPr>
              <w:pStyle w:val="386"/>
              <w:spacing w:before="92" w:line="360" w:lineRule="auto"/>
              <w:ind w:left="347"/>
              <w:rPr>
                <w:rFonts w:hint="eastAsia" w:ascii="宋体" w:hAnsi="宋体" w:cs="宋体"/>
                <w:color w:val="auto"/>
                <w:sz w:val="21"/>
                <w:highlight w:val="none"/>
                <w:lang w:eastAsia="zh-CN"/>
              </w:rPr>
            </w:pPr>
            <w:r>
              <w:rPr>
                <w:rFonts w:hint="eastAsia" w:ascii="宋体" w:hAnsi="宋体" w:cs="宋体"/>
                <w:color w:val="auto"/>
                <w:sz w:val="21"/>
                <w:highlight w:val="none"/>
                <w:lang w:eastAsia="zh-CN"/>
              </w:rPr>
              <w:t>单位工程或工程设备是否需投入施工期运行：否</w:t>
            </w:r>
            <w:r>
              <w:rPr>
                <w:rFonts w:hint="eastAsia" w:ascii="宋体" w:hAnsi="宋体" w:cs="宋体"/>
                <w:color w:val="auto"/>
                <w:spacing w:val="17"/>
                <w:sz w:val="21"/>
                <w:highlight w:val="none"/>
                <w:lang w:eastAsia="zh-CN"/>
              </w:rPr>
              <w:t>（</w:t>
            </w:r>
            <w:r>
              <w:rPr>
                <w:rFonts w:hint="eastAsia" w:ascii="宋体" w:hAnsi="宋体" w:cs="宋体"/>
                <w:color w:val="auto"/>
                <w:sz w:val="21"/>
                <w:highlight w:val="none"/>
                <w:lang w:eastAsia="zh-CN"/>
              </w:rPr>
              <w:t>是</w:t>
            </w:r>
            <w:r>
              <w:rPr>
                <w:rFonts w:hint="eastAsia" w:ascii="宋体" w:hAnsi="宋体" w:cs="宋体"/>
                <w:color w:val="auto"/>
                <w:spacing w:val="-3"/>
                <w:sz w:val="21"/>
                <w:highlight w:val="none"/>
                <w:lang w:eastAsia="zh-CN"/>
              </w:rPr>
              <w:t>或</w:t>
            </w:r>
            <w:r>
              <w:rPr>
                <w:rFonts w:hint="eastAsia" w:ascii="宋体" w:hAnsi="宋体" w:cs="宋体"/>
                <w:color w:val="auto"/>
                <w:sz w:val="21"/>
                <w:highlight w:val="none"/>
                <w:lang w:eastAsia="zh-CN"/>
              </w:rPr>
              <w:t>否</w:t>
            </w:r>
            <w:r>
              <w:rPr>
                <w:rFonts w:hint="eastAsia" w:ascii="宋体" w:hAnsi="宋体" w:cs="宋体"/>
                <w:color w:val="auto"/>
                <w:spacing w:val="17"/>
                <w:sz w:val="21"/>
                <w:highlight w:val="none"/>
                <w:lang w:eastAsia="zh-CN"/>
              </w:rPr>
              <w:t>）</w:t>
            </w:r>
          </w:p>
        </w:tc>
      </w:tr>
      <w:tr w14:paraId="2158BE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4" w:hRule="atLeast"/>
          <w:jc w:val="center"/>
        </w:trPr>
        <w:tc>
          <w:tcPr>
            <w:tcW w:w="629" w:type="dxa"/>
            <w:tcBorders>
              <w:top w:val="single" w:color="000000" w:sz="4" w:space="0"/>
              <w:left w:val="single" w:color="000000" w:sz="4" w:space="0"/>
              <w:bottom w:val="single" w:color="000000" w:sz="4" w:space="0"/>
              <w:right w:val="single" w:color="000000" w:sz="4" w:space="0"/>
            </w:tcBorders>
          </w:tcPr>
          <w:p w14:paraId="56AB902E">
            <w:pPr>
              <w:pStyle w:val="386"/>
              <w:spacing w:before="11" w:line="360" w:lineRule="auto"/>
              <w:rPr>
                <w:rFonts w:hint="eastAsia" w:ascii="宋体" w:hAnsi="宋体" w:cs="宋体"/>
                <w:color w:val="auto"/>
                <w:highlight w:val="none"/>
                <w:lang w:eastAsia="zh-CN"/>
              </w:rPr>
            </w:pPr>
          </w:p>
          <w:p w14:paraId="63649853">
            <w:pPr>
              <w:pStyle w:val="386"/>
              <w:spacing w:line="360" w:lineRule="auto"/>
              <w:ind w:left="83" w:right="74"/>
              <w:jc w:val="center"/>
              <w:rPr>
                <w:rFonts w:hint="eastAsia" w:ascii="宋体" w:hAnsi="宋体" w:cs="宋体"/>
                <w:color w:val="auto"/>
                <w:sz w:val="21"/>
                <w:highlight w:val="none"/>
              </w:rPr>
            </w:pPr>
            <w:r>
              <w:rPr>
                <w:rFonts w:hint="eastAsia" w:ascii="宋体" w:hAnsi="宋体" w:cs="宋体"/>
                <w:color w:val="auto"/>
                <w:sz w:val="21"/>
                <w:highlight w:val="none"/>
              </w:rPr>
              <w:t>27</w:t>
            </w:r>
          </w:p>
        </w:tc>
        <w:tc>
          <w:tcPr>
            <w:tcW w:w="1111" w:type="dxa"/>
            <w:tcBorders>
              <w:top w:val="single" w:color="000000" w:sz="4" w:space="0"/>
              <w:left w:val="single" w:color="000000" w:sz="4" w:space="0"/>
              <w:bottom w:val="single" w:color="000000" w:sz="4" w:space="0"/>
              <w:right w:val="single" w:color="000000" w:sz="4" w:space="0"/>
            </w:tcBorders>
          </w:tcPr>
          <w:p w14:paraId="3C3F2ADF">
            <w:pPr>
              <w:pStyle w:val="386"/>
              <w:spacing w:before="11" w:line="360" w:lineRule="auto"/>
              <w:rPr>
                <w:rFonts w:hint="eastAsia" w:ascii="宋体" w:hAnsi="宋体" w:cs="宋体"/>
                <w:color w:val="auto"/>
                <w:highlight w:val="none"/>
              </w:rPr>
            </w:pPr>
          </w:p>
          <w:p w14:paraId="61CB5551">
            <w:pPr>
              <w:pStyle w:val="386"/>
              <w:spacing w:line="360" w:lineRule="auto"/>
              <w:ind w:left="292"/>
              <w:rPr>
                <w:rFonts w:hint="eastAsia" w:ascii="宋体" w:hAnsi="宋体" w:cs="宋体"/>
                <w:color w:val="auto"/>
                <w:sz w:val="21"/>
                <w:highlight w:val="none"/>
              </w:rPr>
            </w:pPr>
            <w:r>
              <w:rPr>
                <w:rFonts w:hint="eastAsia" w:ascii="宋体" w:hAnsi="宋体" w:cs="宋体"/>
                <w:color w:val="auto"/>
                <w:sz w:val="21"/>
                <w:highlight w:val="none"/>
              </w:rPr>
              <w:t>18.6.1</w:t>
            </w:r>
          </w:p>
        </w:tc>
        <w:tc>
          <w:tcPr>
            <w:tcW w:w="7305" w:type="dxa"/>
            <w:tcBorders>
              <w:top w:val="single" w:color="000000" w:sz="4" w:space="0"/>
              <w:left w:val="single" w:color="000000" w:sz="4" w:space="0"/>
              <w:bottom w:val="single" w:color="000000" w:sz="4" w:space="0"/>
              <w:right w:val="single" w:color="000000" w:sz="4" w:space="0"/>
            </w:tcBorders>
          </w:tcPr>
          <w:p w14:paraId="6C56EBCC">
            <w:pPr>
              <w:pStyle w:val="386"/>
              <w:spacing w:before="89" w:line="360" w:lineRule="auto"/>
              <w:ind w:left="347"/>
              <w:rPr>
                <w:rFonts w:hint="eastAsia" w:ascii="宋体" w:hAnsi="宋体" w:cs="宋体"/>
                <w:color w:val="auto"/>
                <w:sz w:val="21"/>
                <w:highlight w:val="none"/>
                <w:lang w:eastAsia="zh-CN"/>
              </w:rPr>
            </w:pPr>
            <w:r>
              <w:rPr>
                <w:rFonts w:hint="eastAsia" w:ascii="宋体" w:hAnsi="宋体" w:cs="宋体"/>
                <w:color w:val="auto"/>
                <w:sz w:val="21"/>
                <w:highlight w:val="none"/>
                <w:lang w:eastAsia="zh-CN"/>
              </w:rPr>
              <w:t>本工程及工程设备是否进行试运行：</w:t>
            </w:r>
            <w:r>
              <w:rPr>
                <w:rFonts w:hint="eastAsia" w:ascii="宋体" w:hAnsi="宋体" w:cs="宋体"/>
                <w:color w:val="auto"/>
                <w:sz w:val="21"/>
                <w:highlight w:val="none"/>
                <w:u w:val="single"/>
                <w:lang w:eastAsia="zh-CN"/>
              </w:rPr>
              <w:t>否</w:t>
            </w:r>
            <w:r>
              <w:rPr>
                <w:rFonts w:hint="eastAsia" w:ascii="宋体" w:hAnsi="宋体" w:cs="宋体"/>
                <w:color w:val="auto"/>
                <w:spacing w:val="17"/>
                <w:sz w:val="21"/>
                <w:highlight w:val="none"/>
                <w:lang w:eastAsia="zh-CN"/>
              </w:rPr>
              <w:t>（</w:t>
            </w:r>
            <w:r>
              <w:rPr>
                <w:rFonts w:hint="eastAsia" w:ascii="宋体" w:hAnsi="宋体" w:cs="宋体"/>
                <w:color w:val="auto"/>
                <w:sz w:val="21"/>
                <w:highlight w:val="none"/>
                <w:lang w:eastAsia="zh-CN"/>
              </w:rPr>
              <w:t>是</w:t>
            </w:r>
            <w:r>
              <w:rPr>
                <w:rFonts w:hint="eastAsia" w:ascii="宋体" w:hAnsi="宋体" w:cs="宋体"/>
                <w:color w:val="auto"/>
                <w:spacing w:val="-3"/>
                <w:sz w:val="21"/>
                <w:highlight w:val="none"/>
                <w:lang w:eastAsia="zh-CN"/>
              </w:rPr>
              <w:t>或</w:t>
            </w:r>
            <w:r>
              <w:rPr>
                <w:rFonts w:hint="eastAsia" w:ascii="宋体" w:hAnsi="宋体" w:cs="宋体"/>
                <w:color w:val="auto"/>
                <w:sz w:val="21"/>
                <w:highlight w:val="none"/>
                <w:lang w:eastAsia="zh-CN"/>
              </w:rPr>
              <w:t>否</w:t>
            </w:r>
            <w:r>
              <w:rPr>
                <w:rFonts w:hint="eastAsia" w:ascii="宋体" w:hAnsi="宋体" w:cs="宋体"/>
                <w:color w:val="auto"/>
                <w:spacing w:val="17"/>
                <w:sz w:val="21"/>
                <w:highlight w:val="none"/>
                <w:lang w:eastAsia="zh-CN"/>
              </w:rPr>
              <w:t>）</w:t>
            </w:r>
          </w:p>
          <w:p w14:paraId="4D5C6F15">
            <w:pPr>
              <w:pStyle w:val="386"/>
              <w:tabs>
                <w:tab w:val="left" w:pos="7244"/>
              </w:tabs>
              <w:spacing w:before="91" w:line="360" w:lineRule="auto"/>
              <w:ind w:left="347"/>
              <w:rPr>
                <w:rFonts w:hint="eastAsia" w:ascii="宋体" w:hAnsi="宋体" w:cs="宋体"/>
                <w:color w:val="auto"/>
                <w:sz w:val="21"/>
                <w:highlight w:val="none"/>
                <w:lang w:eastAsia="zh-CN"/>
              </w:rPr>
            </w:pPr>
            <w:r>
              <w:rPr>
                <w:rFonts w:hint="eastAsia" w:ascii="宋体" w:hAnsi="宋体" w:cs="宋体"/>
                <w:color w:val="auto"/>
                <w:sz w:val="21"/>
                <w:highlight w:val="none"/>
                <w:lang w:eastAsia="zh-CN"/>
              </w:rPr>
              <w:t>如本</w:t>
            </w:r>
            <w:r>
              <w:rPr>
                <w:rFonts w:hint="eastAsia" w:ascii="宋体" w:hAnsi="宋体" w:cs="宋体"/>
                <w:color w:val="auto"/>
                <w:spacing w:val="-3"/>
                <w:sz w:val="21"/>
                <w:highlight w:val="none"/>
                <w:lang w:eastAsia="zh-CN"/>
              </w:rPr>
              <w:t>工</w:t>
            </w:r>
            <w:r>
              <w:rPr>
                <w:rFonts w:hint="eastAsia" w:ascii="宋体" w:hAnsi="宋体" w:cs="宋体"/>
                <w:color w:val="auto"/>
                <w:sz w:val="21"/>
                <w:highlight w:val="none"/>
                <w:lang w:eastAsia="zh-CN"/>
              </w:rPr>
              <w:t>程</w:t>
            </w:r>
            <w:r>
              <w:rPr>
                <w:rFonts w:hint="eastAsia" w:ascii="宋体" w:hAnsi="宋体" w:cs="宋体"/>
                <w:color w:val="auto"/>
                <w:spacing w:val="-3"/>
                <w:sz w:val="21"/>
                <w:highlight w:val="none"/>
                <w:lang w:eastAsia="zh-CN"/>
              </w:rPr>
              <w:t>及</w:t>
            </w:r>
            <w:r>
              <w:rPr>
                <w:rFonts w:hint="eastAsia" w:ascii="宋体" w:hAnsi="宋体" w:cs="宋体"/>
                <w:color w:val="auto"/>
                <w:sz w:val="21"/>
                <w:highlight w:val="none"/>
                <w:lang w:eastAsia="zh-CN"/>
              </w:rPr>
              <w:t>工</w:t>
            </w:r>
            <w:r>
              <w:rPr>
                <w:rFonts w:hint="eastAsia" w:ascii="宋体" w:hAnsi="宋体" w:cs="宋体"/>
                <w:color w:val="auto"/>
                <w:spacing w:val="-3"/>
                <w:sz w:val="21"/>
                <w:highlight w:val="none"/>
                <w:lang w:eastAsia="zh-CN"/>
              </w:rPr>
              <w:t>程</w:t>
            </w:r>
            <w:r>
              <w:rPr>
                <w:rFonts w:hint="eastAsia" w:ascii="宋体" w:hAnsi="宋体" w:cs="宋体"/>
                <w:color w:val="auto"/>
                <w:sz w:val="21"/>
                <w:highlight w:val="none"/>
                <w:lang w:eastAsia="zh-CN"/>
              </w:rPr>
              <w:t>设</w:t>
            </w:r>
            <w:r>
              <w:rPr>
                <w:rFonts w:hint="eastAsia" w:ascii="宋体" w:hAnsi="宋体" w:cs="宋体"/>
                <w:color w:val="auto"/>
                <w:spacing w:val="-3"/>
                <w:sz w:val="21"/>
                <w:highlight w:val="none"/>
                <w:lang w:eastAsia="zh-CN"/>
              </w:rPr>
              <w:t>备</w:t>
            </w:r>
            <w:r>
              <w:rPr>
                <w:rFonts w:hint="eastAsia" w:ascii="宋体" w:hAnsi="宋体" w:cs="宋体"/>
                <w:color w:val="auto"/>
                <w:sz w:val="21"/>
                <w:highlight w:val="none"/>
                <w:lang w:eastAsia="zh-CN"/>
              </w:rPr>
              <w:t>需</w:t>
            </w:r>
            <w:r>
              <w:rPr>
                <w:rFonts w:hint="eastAsia" w:ascii="宋体" w:hAnsi="宋体" w:cs="宋体"/>
                <w:color w:val="auto"/>
                <w:spacing w:val="-3"/>
                <w:sz w:val="21"/>
                <w:highlight w:val="none"/>
                <w:lang w:eastAsia="zh-CN"/>
              </w:rPr>
              <w:t>要</w:t>
            </w:r>
            <w:r>
              <w:rPr>
                <w:rFonts w:hint="eastAsia" w:ascii="宋体" w:hAnsi="宋体" w:cs="宋体"/>
                <w:color w:val="auto"/>
                <w:sz w:val="21"/>
                <w:highlight w:val="none"/>
                <w:lang w:eastAsia="zh-CN"/>
              </w:rPr>
              <w:t>进行</w:t>
            </w:r>
            <w:r>
              <w:rPr>
                <w:rFonts w:hint="eastAsia" w:ascii="宋体" w:hAnsi="宋体" w:cs="宋体"/>
                <w:color w:val="auto"/>
                <w:spacing w:val="-3"/>
                <w:sz w:val="21"/>
                <w:highlight w:val="none"/>
                <w:lang w:eastAsia="zh-CN"/>
              </w:rPr>
              <w:t>试</w:t>
            </w:r>
            <w:r>
              <w:rPr>
                <w:rFonts w:hint="eastAsia" w:ascii="宋体" w:hAnsi="宋体" w:cs="宋体"/>
                <w:color w:val="auto"/>
                <w:sz w:val="21"/>
                <w:highlight w:val="none"/>
                <w:lang w:eastAsia="zh-CN"/>
              </w:rPr>
              <w:t>运</w:t>
            </w:r>
            <w:r>
              <w:rPr>
                <w:rFonts w:hint="eastAsia" w:ascii="宋体" w:hAnsi="宋体" w:cs="宋体"/>
                <w:color w:val="auto"/>
                <w:spacing w:val="-3"/>
                <w:sz w:val="21"/>
                <w:highlight w:val="none"/>
                <w:lang w:eastAsia="zh-CN"/>
              </w:rPr>
              <w:t>行</w:t>
            </w:r>
            <w:r>
              <w:rPr>
                <w:rFonts w:hint="eastAsia" w:ascii="宋体" w:hAnsi="宋体" w:cs="宋体"/>
                <w:color w:val="auto"/>
                <w:sz w:val="21"/>
                <w:highlight w:val="none"/>
                <w:lang w:eastAsia="zh-CN"/>
              </w:rPr>
              <w:t>，</w:t>
            </w:r>
            <w:r>
              <w:rPr>
                <w:rFonts w:hint="eastAsia" w:ascii="宋体" w:hAnsi="宋体" w:cs="宋体"/>
                <w:color w:val="auto"/>
                <w:spacing w:val="-3"/>
                <w:sz w:val="21"/>
                <w:highlight w:val="none"/>
                <w:lang w:eastAsia="zh-CN"/>
              </w:rPr>
              <w:t>试</w:t>
            </w:r>
            <w:r>
              <w:rPr>
                <w:rFonts w:hint="eastAsia" w:ascii="宋体" w:hAnsi="宋体" w:cs="宋体"/>
                <w:color w:val="auto"/>
                <w:sz w:val="21"/>
                <w:highlight w:val="none"/>
                <w:lang w:eastAsia="zh-CN"/>
              </w:rPr>
              <w:t>运</w:t>
            </w:r>
            <w:r>
              <w:rPr>
                <w:rFonts w:hint="eastAsia" w:ascii="宋体" w:hAnsi="宋体" w:cs="宋体"/>
                <w:color w:val="auto"/>
                <w:spacing w:val="-3"/>
                <w:sz w:val="21"/>
                <w:highlight w:val="none"/>
                <w:lang w:eastAsia="zh-CN"/>
              </w:rPr>
              <w:t>行</w:t>
            </w:r>
            <w:r>
              <w:rPr>
                <w:rFonts w:hint="eastAsia" w:ascii="宋体" w:hAnsi="宋体" w:cs="宋体"/>
                <w:color w:val="auto"/>
                <w:sz w:val="21"/>
                <w:highlight w:val="none"/>
                <w:lang w:eastAsia="zh-CN"/>
              </w:rPr>
              <w:t>的</w:t>
            </w:r>
            <w:r>
              <w:rPr>
                <w:rFonts w:hint="eastAsia" w:ascii="宋体" w:hAnsi="宋体" w:cs="宋体"/>
                <w:color w:val="auto"/>
                <w:spacing w:val="-3"/>
                <w:sz w:val="21"/>
                <w:highlight w:val="none"/>
                <w:lang w:eastAsia="zh-CN"/>
              </w:rPr>
              <w:t>具</w:t>
            </w:r>
            <w:r>
              <w:rPr>
                <w:rFonts w:hint="eastAsia" w:ascii="宋体" w:hAnsi="宋体" w:cs="宋体"/>
                <w:color w:val="auto"/>
                <w:sz w:val="21"/>
                <w:highlight w:val="none"/>
                <w:lang w:eastAsia="zh-CN"/>
              </w:rPr>
              <w:t>体规</w:t>
            </w:r>
            <w:r>
              <w:rPr>
                <w:rFonts w:hint="eastAsia" w:ascii="宋体" w:hAnsi="宋体" w:cs="宋体"/>
                <w:color w:val="auto"/>
                <w:spacing w:val="-3"/>
                <w:sz w:val="21"/>
                <w:highlight w:val="none"/>
                <w:lang w:eastAsia="zh-CN"/>
              </w:rPr>
              <w:t>定</w:t>
            </w:r>
            <w:r>
              <w:rPr>
                <w:rFonts w:hint="eastAsia" w:ascii="宋体" w:hAnsi="宋体" w:cs="宋体"/>
                <w:color w:val="auto"/>
                <w:sz w:val="21"/>
                <w:highlight w:val="none"/>
                <w:lang w:eastAsia="zh-CN"/>
              </w:rPr>
              <w:t>如</w:t>
            </w:r>
            <w:r>
              <w:rPr>
                <w:rFonts w:hint="eastAsia" w:ascii="宋体" w:hAnsi="宋体" w:cs="宋体"/>
                <w:color w:val="auto"/>
                <w:spacing w:val="-3"/>
                <w:sz w:val="21"/>
                <w:highlight w:val="none"/>
                <w:lang w:eastAsia="zh-CN"/>
              </w:rPr>
              <w:t>下</w:t>
            </w:r>
            <w:r>
              <w:rPr>
                <w:rFonts w:hint="eastAsia" w:ascii="宋体" w:hAnsi="宋体" w:cs="宋体"/>
                <w:color w:val="auto"/>
                <w:sz w:val="21"/>
                <w:highlight w:val="none"/>
                <w:lang w:eastAsia="zh-CN"/>
              </w:rPr>
              <w:t>：</w:t>
            </w:r>
            <w:r>
              <w:rPr>
                <w:rFonts w:hint="eastAsia" w:ascii="宋体" w:hAnsi="宋体" w:cs="宋体"/>
                <w:color w:val="auto"/>
                <w:sz w:val="21"/>
                <w:highlight w:val="none"/>
                <w:u w:val="single"/>
                <w:lang w:eastAsia="zh-CN"/>
              </w:rPr>
              <w:tab/>
            </w:r>
          </w:p>
        </w:tc>
      </w:tr>
      <w:tr w14:paraId="093762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jc w:val="center"/>
        </w:trPr>
        <w:tc>
          <w:tcPr>
            <w:tcW w:w="629" w:type="dxa"/>
            <w:tcBorders>
              <w:top w:val="single" w:color="000000" w:sz="4" w:space="0"/>
              <w:left w:val="single" w:color="000000" w:sz="4" w:space="0"/>
              <w:bottom w:val="single" w:color="000000" w:sz="4" w:space="0"/>
              <w:right w:val="single" w:color="000000" w:sz="4" w:space="0"/>
            </w:tcBorders>
          </w:tcPr>
          <w:p w14:paraId="72BE9441">
            <w:pPr>
              <w:pStyle w:val="386"/>
              <w:spacing w:before="113" w:line="360" w:lineRule="auto"/>
              <w:ind w:left="83" w:right="74"/>
              <w:jc w:val="center"/>
              <w:rPr>
                <w:rFonts w:hint="eastAsia" w:ascii="宋体" w:hAnsi="宋体" w:cs="宋体"/>
                <w:color w:val="auto"/>
                <w:sz w:val="21"/>
                <w:highlight w:val="none"/>
              </w:rPr>
            </w:pPr>
            <w:r>
              <w:rPr>
                <w:rFonts w:hint="eastAsia" w:ascii="宋体" w:hAnsi="宋体" w:cs="宋体"/>
                <w:color w:val="auto"/>
                <w:sz w:val="21"/>
                <w:highlight w:val="none"/>
              </w:rPr>
              <w:t>28</w:t>
            </w:r>
          </w:p>
        </w:tc>
        <w:tc>
          <w:tcPr>
            <w:tcW w:w="1111" w:type="dxa"/>
            <w:tcBorders>
              <w:top w:val="single" w:color="000000" w:sz="4" w:space="0"/>
              <w:left w:val="single" w:color="000000" w:sz="4" w:space="0"/>
              <w:bottom w:val="single" w:color="000000" w:sz="4" w:space="0"/>
              <w:right w:val="single" w:color="000000" w:sz="4" w:space="0"/>
            </w:tcBorders>
          </w:tcPr>
          <w:p w14:paraId="648FF81E">
            <w:pPr>
              <w:pStyle w:val="386"/>
              <w:spacing w:before="89" w:line="360" w:lineRule="auto"/>
              <w:ind w:left="107"/>
              <w:rPr>
                <w:rFonts w:hint="eastAsia" w:ascii="宋体" w:hAnsi="宋体" w:cs="宋体"/>
                <w:color w:val="auto"/>
                <w:sz w:val="21"/>
                <w:highlight w:val="none"/>
              </w:rPr>
            </w:pPr>
            <w:r>
              <w:rPr>
                <w:rFonts w:hint="eastAsia" w:ascii="宋体" w:hAnsi="宋体" w:cs="宋体"/>
                <w:color w:val="auto"/>
                <w:sz w:val="21"/>
                <w:highlight w:val="none"/>
              </w:rPr>
              <w:t>19.7（1）</w:t>
            </w:r>
          </w:p>
        </w:tc>
        <w:tc>
          <w:tcPr>
            <w:tcW w:w="7305" w:type="dxa"/>
            <w:tcBorders>
              <w:top w:val="single" w:color="000000" w:sz="4" w:space="0"/>
              <w:left w:val="single" w:color="000000" w:sz="4" w:space="0"/>
              <w:bottom w:val="single" w:color="000000" w:sz="4" w:space="0"/>
              <w:right w:val="single" w:color="000000" w:sz="4" w:space="0"/>
            </w:tcBorders>
          </w:tcPr>
          <w:p w14:paraId="2D74BB13">
            <w:pPr>
              <w:pStyle w:val="386"/>
              <w:tabs>
                <w:tab w:val="left" w:pos="3816"/>
              </w:tabs>
              <w:spacing w:before="89" w:line="360" w:lineRule="auto"/>
              <w:ind w:left="347"/>
              <w:rPr>
                <w:rFonts w:hint="eastAsia" w:ascii="宋体" w:hAnsi="宋体" w:cs="宋体"/>
                <w:color w:val="auto"/>
                <w:sz w:val="11"/>
                <w:highlight w:val="none"/>
                <w:lang w:eastAsia="zh-CN"/>
              </w:rPr>
            </w:pPr>
            <w:r>
              <w:rPr>
                <w:rFonts w:hint="eastAsia" w:ascii="宋体" w:hAnsi="宋体" w:cs="宋体"/>
                <w:color w:val="auto"/>
                <w:sz w:val="21"/>
                <w:highlight w:val="none"/>
                <w:lang w:eastAsia="zh-CN"/>
              </w:rPr>
              <w:t>保修</w:t>
            </w:r>
            <w:r>
              <w:rPr>
                <w:rFonts w:hint="eastAsia" w:ascii="宋体" w:hAnsi="宋体" w:cs="宋体"/>
                <w:color w:val="auto"/>
                <w:spacing w:val="-3"/>
                <w:sz w:val="21"/>
                <w:highlight w:val="none"/>
                <w:lang w:eastAsia="zh-CN"/>
              </w:rPr>
              <w:t>期</w:t>
            </w:r>
            <w:r>
              <w:rPr>
                <w:rFonts w:hint="eastAsia" w:ascii="宋体" w:hAnsi="宋体" w:cs="宋体"/>
                <w:color w:val="auto"/>
                <w:sz w:val="21"/>
                <w:highlight w:val="none"/>
                <w:lang w:eastAsia="zh-CN"/>
              </w:rPr>
              <w:t>：</w:t>
            </w:r>
            <w:r>
              <w:rPr>
                <w:rFonts w:hint="eastAsia" w:ascii="宋体" w:hAnsi="宋体" w:cs="宋体"/>
                <w:color w:val="auto"/>
                <w:spacing w:val="-3"/>
                <w:sz w:val="21"/>
                <w:highlight w:val="none"/>
                <w:lang w:eastAsia="zh-CN"/>
              </w:rPr>
              <w:t>自</w:t>
            </w:r>
            <w:r>
              <w:rPr>
                <w:rFonts w:hint="eastAsia" w:ascii="宋体" w:hAnsi="宋体" w:cs="宋体"/>
                <w:color w:val="auto"/>
                <w:sz w:val="21"/>
                <w:highlight w:val="none"/>
                <w:lang w:eastAsia="zh-CN"/>
              </w:rPr>
              <w:t>实</w:t>
            </w:r>
            <w:r>
              <w:rPr>
                <w:rFonts w:hint="eastAsia" w:ascii="宋体" w:hAnsi="宋体" w:cs="宋体"/>
                <w:color w:val="auto"/>
                <w:spacing w:val="-3"/>
                <w:sz w:val="21"/>
                <w:highlight w:val="none"/>
                <w:lang w:eastAsia="zh-CN"/>
              </w:rPr>
              <w:t>际</w:t>
            </w:r>
            <w:r>
              <w:rPr>
                <w:rFonts w:hint="eastAsia" w:ascii="宋体" w:hAnsi="宋体" w:cs="宋体"/>
                <w:color w:val="auto"/>
                <w:sz w:val="21"/>
                <w:highlight w:val="none"/>
                <w:lang w:eastAsia="zh-CN"/>
              </w:rPr>
              <w:t>交</w:t>
            </w:r>
            <w:r>
              <w:rPr>
                <w:rFonts w:hint="eastAsia" w:ascii="宋体" w:hAnsi="宋体" w:cs="宋体"/>
                <w:color w:val="auto"/>
                <w:spacing w:val="-3"/>
                <w:sz w:val="21"/>
                <w:highlight w:val="none"/>
                <w:lang w:eastAsia="zh-CN"/>
              </w:rPr>
              <w:t>工</w:t>
            </w:r>
            <w:r>
              <w:rPr>
                <w:rFonts w:hint="eastAsia" w:ascii="宋体" w:hAnsi="宋体" w:cs="宋体"/>
                <w:color w:val="auto"/>
                <w:sz w:val="21"/>
                <w:highlight w:val="none"/>
                <w:lang w:eastAsia="zh-CN"/>
              </w:rPr>
              <w:t>日</w:t>
            </w:r>
            <w:r>
              <w:rPr>
                <w:rFonts w:hint="eastAsia" w:ascii="宋体" w:hAnsi="宋体" w:cs="宋体"/>
                <w:color w:val="auto"/>
                <w:spacing w:val="-3"/>
                <w:sz w:val="21"/>
                <w:highlight w:val="none"/>
                <w:lang w:eastAsia="zh-CN"/>
              </w:rPr>
              <w:t>期</w:t>
            </w:r>
            <w:r>
              <w:rPr>
                <w:rFonts w:hint="eastAsia" w:ascii="宋体" w:hAnsi="宋体" w:cs="宋体"/>
                <w:color w:val="auto"/>
                <w:sz w:val="21"/>
                <w:highlight w:val="none"/>
                <w:lang w:eastAsia="zh-CN"/>
              </w:rPr>
              <w:t>起计算</w:t>
            </w:r>
            <w:r>
              <w:rPr>
                <w:rFonts w:hint="eastAsia" w:ascii="宋体" w:hAnsi="宋体" w:cs="宋体"/>
                <w:color w:val="auto"/>
                <w:sz w:val="21"/>
                <w:highlight w:val="none"/>
                <w:u w:val="single"/>
                <w:lang w:eastAsia="zh-CN"/>
              </w:rPr>
              <w:t xml:space="preserve"> 1  </w:t>
            </w:r>
            <w:r>
              <w:rPr>
                <w:rFonts w:hint="eastAsia" w:ascii="宋体" w:hAnsi="宋体" w:cs="宋体"/>
                <w:color w:val="auto"/>
                <w:spacing w:val="-3"/>
                <w:sz w:val="21"/>
                <w:highlight w:val="none"/>
                <w:lang w:eastAsia="zh-CN"/>
              </w:rPr>
              <w:t>年</w:t>
            </w:r>
          </w:p>
        </w:tc>
      </w:tr>
      <w:tr w14:paraId="046D13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jc w:val="center"/>
        </w:trPr>
        <w:tc>
          <w:tcPr>
            <w:tcW w:w="629" w:type="dxa"/>
            <w:tcBorders>
              <w:top w:val="single" w:color="000000" w:sz="4" w:space="0"/>
              <w:left w:val="single" w:color="000000" w:sz="4" w:space="0"/>
              <w:bottom w:val="single" w:color="000000" w:sz="4" w:space="0"/>
              <w:right w:val="single" w:color="000000" w:sz="4" w:space="0"/>
            </w:tcBorders>
          </w:tcPr>
          <w:p w14:paraId="33495AC4">
            <w:pPr>
              <w:pStyle w:val="386"/>
              <w:spacing w:before="113" w:line="360" w:lineRule="auto"/>
              <w:ind w:left="83" w:right="74"/>
              <w:jc w:val="center"/>
              <w:rPr>
                <w:rFonts w:hint="eastAsia" w:ascii="宋体" w:hAnsi="宋体" w:cs="宋体"/>
                <w:color w:val="auto"/>
                <w:sz w:val="21"/>
                <w:highlight w:val="none"/>
              </w:rPr>
            </w:pPr>
            <w:r>
              <w:rPr>
                <w:rFonts w:hint="eastAsia" w:ascii="宋体" w:hAnsi="宋体" w:cs="宋体"/>
                <w:color w:val="auto"/>
                <w:sz w:val="21"/>
                <w:highlight w:val="none"/>
              </w:rPr>
              <w:t>29</w:t>
            </w:r>
          </w:p>
        </w:tc>
        <w:tc>
          <w:tcPr>
            <w:tcW w:w="1111" w:type="dxa"/>
            <w:tcBorders>
              <w:top w:val="single" w:color="000000" w:sz="4" w:space="0"/>
              <w:left w:val="single" w:color="000000" w:sz="4" w:space="0"/>
              <w:bottom w:val="single" w:color="000000" w:sz="4" w:space="0"/>
              <w:right w:val="single" w:color="000000" w:sz="4" w:space="0"/>
            </w:tcBorders>
          </w:tcPr>
          <w:p w14:paraId="59CEB28B">
            <w:pPr>
              <w:pStyle w:val="386"/>
              <w:spacing w:before="113" w:line="360" w:lineRule="auto"/>
              <w:ind w:left="371"/>
              <w:rPr>
                <w:rFonts w:hint="eastAsia" w:ascii="宋体" w:hAnsi="宋体" w:cs="宋体"/>
                <w:color w:val="auto"/>
                <w:sz w:val="21"/>
                <w:highlight w:val="none"/>
              </w:rPr>
            </w:pPr>
            <w:r>
              <w:rPr>
                <w:rFonts w:hint="eastAsia" w:ascii="宋体" w:hAnsi="宋体" w:cs="宋体"/>
                <w:color w:val="auto"/>
                <w:sz w:val="21"/>
                <w:highlight w:val="none"/>
              </w:rPr>
              <w:t>20.1</w:t>
            </w:r>
          </w:p>
        </w:tc>
        <w:tc>
          <w:tcPr>
            <w:tcW w:w="7305" w:type="dxa"/>
            <w:tcBorders>
              <w:top w:val="single" w:color="000000" w:sz="4" w:space="0"/>
              <w:left w:val="single" w:color="000000" w:sz="4" w:space="0"/>
              <w:bottom w:val="single" w:color="000000" w:sz="4" w:space="0"/>
              <w:right w:val="single" w:color="000000" w:sz="4" w:space="0"/>
            </w:tcBorders>
          </w:tcPr>
          <w:p w14:paraId="60DEBA69">
            <w:pPr>
              <w:pStyle w:val="386"/>
              <w:tabs>
                <w:tab w:val="left" w:pos="3502"/>
              </w:tabs>
              <w:spacing w:before="89" w:line="360" w:lineRule="auto"/>
              <w:ind w:left="347"/>
              <w:rPr>
                <w:rFonts w:hint="eastAsia" w:ascii="宋体" w:hAnsi="宋体" w:cs="宋体"/>
                <w:color w:val="auto"/>
                <w:sz w:val="21"/>
                <w:highlight w:val="none"/>
                <w:lang w:eastAsia="zh-CN"/>
              </w:rPr>
            </w:pPr>
            <w:r>
              <w:rPr>
                <w:rFonts w:hint="eastAsia" w:ascii="宋体" w:hAnsi="宋体" w:cs="宋体"/>
                <w:color w:val="auto"/>
                <w:spacing w:val="-5"/>
                <w:sz w:val="21"/>
                <w:szCs w:val="21"/>
                <w:highlight w:val="none"/>
                <w:lang w:eastAsia="zh-CN"/>
              </w:rPr>
              <w:t>建筑工程一切险的保险费率： 按工程建设地相关规定执行</w:t>
            </w:r>
          </w:p>
        </w:tc>
      </w:tr>
      <w:tr w14:paraId="13A04A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jc w:val="center"/>
        </w:trPr>
        <w:tc>
          <w:tcPr>
            <w:tcW w:w="629" w:type="dxa"/>
            <w:tcBorders>
              <w:top w:val="single" w:color="000000" w:sz="4" w:space="0"/>
              <w:left w:val="single" w:color="000000" w:sz="4" w:space="0"/>
              <w:bottom w:val="single" w:color="000000" w:sz="4" w:space="0"/>
              <w:right w:val="single" w:color="000000" w:sz="4" w:space="0"/>
            </w:tcBorders>
          </w:tcPr>
          <w:p w14:paraId="2E03D08B">
            <w:pPr>
              <w:pStyle w:val="386"/>
              <w:spacing w:before="12" w:line="360" w:lineRule="auto"/>
              <w:rPr>
                <w:rFonts w:hint="eastAsia" w:ascii="宋体" w:hAnsi="宋体" w:cs="宋体"/>
                <w:color w:val="auto"/>
                <w:highlight w:val="none"/>
                <w:lang w:eastAsia="zh-CN"/>
              </w:rPr>
            </w:pPr>
          </w:p>
          <w:p w14:paraId="5179E582">
            <w:pPr>
              <w:pStyle w:val="386"/>
              <w:spacing w:line="360" w:lineRule="auto"/>
              <w:ind w:left="83" w:right="74"/>
              <w:jc w:val="center"/>
              <w:rPr>
                <w:rFonts w:hint="eastAsia" w:ascii="宋体" w:hAnsi="宋体" w:cs="宋体"/>
                <w:color w:val="auto"/>
                <w:sz w:val="21"/>
                <w:highlight w:val="none"/>
              </w:rPr>
            </w:pPr>
            <w:r>
              <w:rPr>
                <w:rFonts w:hint="eastAsia" w:ascii="宋体" w:hAnsi="宋体" w:cs="宋体"/>
                <w:color w:val="auto"/>
                <w:sz w:val="21"/>
                <w:highlight w:val="none"/>
              </w:rPr>
              <w:t>30</w:t>
            </w:r>
          </w:p>
        </w:tc>
        <w:tc>
          <w:tcPr>
            <w:tcW w:w="1111" w:type="dxa"/>
            <w:tcBorders>
              <w:top w:val="single" w:color="000000" w:sz="4" w:space="0"/>
              <w:left w:val="single" w:color="000000" w:sz="4" w:space="0"/>
              <w:bottom w:val="single" w:color="000000" w:sz="4" w:space="0"/>
              <w:right w:val="single" w:color="000000" w:sz="4" w:space="0"/>
            </w:tcBorders>
          </w:tcPr>
          <w:p w14:paraId="2A3B4AA5">
            <w:pPr>
              <w:pStyle w:val="386"/>
              <w:spacing w:before="12" w:line="360" w:lineRule="auto"/>
              <w:rPr>
                <w:rFonts w:hint="eastAsia" w:ascii="宋体" w:hAnsi="宋体" w:cs="宋体"/>
                <w:color w:val="auto"/>
                <w:highlight w:val="none"/>
              </w:rPr>
            </w:pPr>
          </w:p>
          <w:p w14:paraId="54DFA307">
            <w:pPr>
              <w:pStyle w:val="386"/>
              <w:spacing w:line="360" w:lineRule="auto"/>
              <w:ind w:left="292"/>
              <w:rPr>
                <w:rFonts w:hint="eastAsia" w:ascii="宋体" w:hAnsi="宋体" w:cs="宋体"/>
                <w:color w:val="auto"/>
                <w:sz w:val="21"/>
                <w:highlight w:val="none"/>
              </w:rPr>
            </w:pPr>
            <w:r>
              <w:rPr>
                <w:rFonts w:hint="eastAsia" w:ascii="宋体" w:hAnsi="宋体" w:cs="宋体"/>
                <w:color w:val="auto"/>
                <w:sz w:val="21"/>
                <w:highlight w:val="none"/>
              </w:rPr>
              <w:t>20.4.2</w:t>
            </w:r>
          </w:p>
        </w:tc>
        <w:tc>
          <w:tcPr>
            <w:tcW w:w="7305" w:type="dxa"/>
            <w:tcBorders>
              <w:top w:val="single" w:color="000000" w:sz="4" w:space="0"/>
              <w:left w:val="single" w:color="000000" w:sz="4" w:space="0"/>
              <w:bottom w:val="single" w:color="000000" w:sz="4" w:space="0"/>
              <w:right w:val="single" w:color="000000" w:sz="4" w:space="0"/>
            </w:tcBorders>
          </w:tcPr>
          <w:p w14:paraId="751E6659">
            <w:pPr>
              <w:pStyle w:val="386"/>
              <w:tabs>
                <w:tab w:val="left" w:pos="1817"/>
                <w:tab w:val="left" w:pos="3814"/>
              </w:tabs>
              <w:spacing w:before="12" w:line="360" w:lineRule="auto"/>
              <w:ind w:left="5" w:right="118" w:firstLine="338"/>
              <w:rPr>
                <w:rFonts w:hint="eastAsia" w:ascii="宋体" w:hAnsi="宋体" w:cs="宋体"/>
                <w:color w:val="auto"/>
                <w:sz w:val="21"/>
                <w:highlight w:val="none"/>
                <w:lang w:eastAsia="zh-CN"/>
              </w:rPr>
            </w:pPr>
            <w:r>
              <w:rPr>
                <w:rFonts w:hint="eastAsia" w:ascii="宋体" w:hAnsi="宋体" w:cs="宋体"/>
                <w:color w:val="auto"/>
                <w:sz w:val="21"/>
                <w:highlight w:val="none"/>
                <w:lang w:eastAsia="zh-CN"/>
              </w:rPr>
              <w:t>安全生产责任险及第三者责任险由承包人以承包人与项目法人的名义联名投保，保险费由承包人承担并支付，供应商应在所报的单价或总额价中对该保险费予以考虑，项目法人不单独进行计量与支付。</w:t>
            </w:r>
          </w:p>
          <w:p w14:paraId="332AEB9A">
            <w:pPr>
              <w:pStyle w:val="386"/>
              <w:tabs>
                <w:tab w:val="left" w:pos="1817"/>
                <w:tab w:val="left" w:pos="3814"/>
              </w:tabs>
              <w:spacing w:before="12" w:line="360" w:lineRule="auto"/>
              <w:ind w:left="5" w:right="118" w:firstLine="338"/>
              <w:rPr>
                <w:rFonts w:hint="eastAsia" w:ascii="宋体" w:hAnsi="宋体" w:cs="宋体"/>
                <w:color w:val="auto"/>
                <w:sz w:val="21"/>
                <w:highlight w:val="none"/>
                <w:lang w:eastAsia="zh-CN"/>
              </w:rPr>
            </w:pPr>
            <w:r>
              <w:rPr>
                <w:rFonts w:hint="eastAsia" w:ascii="宋体" w:hAnsi="宋体" w:cs="宋体"/>
                <w:color w:val="auto"/>
                <w:sz w:val="21"/>
                <w:highlight w:val="none"/>
                <w:lang w:eastAsia="zh-CN"/>
              </w:rPr>
              <w:t>安全生产责任险及第三者责任险的最低投保金额：按工程建设地相关规定执行</w:t>
            </w:r>
          </w:p>
        </w:tc>
      </w:tr>
      <w:tr w14:paraId="02878E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jc w:val="center"/>
        </w:trPr>
        <w:tc>
          <w:tcPr>
            <w:tcW w:w="629" w:type="dxa"/>
            <w:tcBorders>
              <w:top w:val="single" w:color="000000" w:sz="4" w:space="0"/>
              <w:left w:val="single" w:color="000000" w:sz="4" w:space="0"/>
              <w:bottom w:val="single" w:color="000000" w:sz="4" w:space="0"/>
              <w:right w:val="single" w:color="000000" w:sz="4" w:space="0"/>
            </w:tcBorders>
          </w:tcPr>
          <w:p w14:paraId="1FFE8B1C">
            <w:pPr>
              <w:pStyle w:val="386"/>
              <w:spacing w:before="12" w:line="360" w:lineRule="auto"/>
              <w:rPr>
                <w:rFonts w:hint="eastAsia" w:ascii="宋体" w:hAnsi="宋体" w:cs="宋体"/>
                <w:color w:val="auto"/>
                <w:sz w:val="21"/>
                <w:highlight w:val="none"/>
                <w:lang w:eastAsia="zh-CN"/>
              </w:rPr>
            </w:pPr>
          </w:p>
          <w:p w14:paraId="0182CA62">
            <w:pPr>
              <w:pStyle w:val="386"/>
              <w:spacing w:line="360" w:lineRule="auto"/>
              <w:ind w:left="83" w:right="74"/>
              <w:jc w:val="center"/>
              <w:rPr>
                <w:rFonts w:hint="eastAsia" w:ascii="宋体" w:hAnsi="宋体" w:cs="宋体"/>
                <w:color w:val="auto"/>
                <w:sz w:val="21"/>
                <w:highlight w:val="none"/>
              </w:rPr>
            </w:pPr>
            <w:r>
              <w:rPr>
                <w:rFonts w:hint="eastAsia" w:ascii="宋体" w:hAnsi="宋体" w:cs="宋体"/>
                <w:color w:val="auto"/>
                <w:sz w:val="21"/>
                <w:highlight w:val="none"/>
              </w:rPr>
              <w:t>31</w:t>
            </w:r>
          </w:p>
        </w:tc>
        <w:tc>
          <w:tcPr>
            <w:tcW w:w="1111" w:type="dxa"/>
            <w:tcBorders>
              <w:top w:val="single" w:color="000000" w:sz="4" w:space="0"/>
              <w:left w:val="single" w:color="000000" w:sz="4" w:space="0"/>
              <w:bottom w:val="single" w:color="000000" w:sz="4" w:space="0"/>
              <w:right w:val="single" w:color="000000" w:sz="4" w:space="0"/>
            </w:tcBorders>
          </w:tcPr>
          <w:p w14:paraId="1FDDB2C3">
            <w:pPr>
              <w:pStyle w:val="386"/>
              <w:spacing w:before="12" w:line="360" w:lineRule="auto"/>
              <w:rPr>
                <w:rFonts w:hint="eastAsia" w:ascii="宋体" w:hAnsi="宋体" w:cs="宋体"/>
                <w:color w:val="auto"/>
                <w:sz w:val="21"/>
                <w:highlight w:val="none"/>
              </w:rPr>
            </w:pPr>
          </w:p>
          <w:p w14:paraId="0196D17F">
            <w:pPr>
              <w:pStyle w:val="386"/>
              <w:spacing w:line="360" w:lineRule="auto"/>
              <w:ind w:left="371"/>
              <w:rPr>
                <w:rFonts w:hint="eastAsia" w:ascii="宋体" w:hAnsi="宋体" w:cs="宋体"/>
                <w:color w:val="auto"/>
                <w:sz w:val="21"/>
                <w:highlight w:val="none"/>
              </w:rPr>
            </w:pPr>
            <w:r>
              <w:rPr>
                <w:rFonts w:hint="eastAsia" w:ascii="宋体" w:hAnsi="宋体" w:cs="宋体"/>
                <w:color w:val="auto"/>
                <w:sz w:val="21"/>
                <w:highlight w:val="none"/>
              </w:rPr>
              <w:t>24.1</w:t>
            </w:r>
          </w:p>
        </w:tc>
        <w:tc>
          <w:tcPr>
            <w:tcW w:w="7305" w:type="dxa"/>
            <w:tcBorders>
              <w:top w:val="single" w:color="000000" w:sz="4" w:space="0"/>
              <w:left w:val="single" w:color="000000" w:sz="4" w:space="0"/>
              <w:bottom w:val="single" w:color="000000" w:sz="4" w:space="0"/>
              <w:right w:val="single" w:color="000000" w:sz="4" w:space="0"/>
            </w:tcBorders>
          </w:tcPr>
          <w:p w14:paraId="10EB5548">
            <w:pPr>
              <w:pStyle w:val="386"/>
              <w:tabs>
                <w:tab w:val="left" w:pos="3900"/>
              </w:tabs>
              <w:spacing w:before="78" w:line="360" w:lineRule="auto"/>
              <w:ind w:left="328"/>
              <w:rPr>
                <w:rFonts w:hint="eastAsia" w:ascii="宋体" w:hAnsi="宋体" w:cs="宋体"/>
                <w:color w:val="auto"/>
                <w:sz w:val="21"/>
                <w:szCs w:val="21"/>
                <w:highlight w:val="none"/>
                <w:u w:val="single"/>
                <w:lang w:eastAsia="zh-CN"/>
              </w:rPr>
            </w:pPr>
            <w:r>
              <w:rPr>
                <w:rFonts w:hint="eastAsia" w:ascii="宋体" w:hAnsi="宋体" w:cs="宋体"/>
                <w:color w:val="auto"/>
                <w:sz w:val="21"/>
                <w:highlight w:val="none"/>
                <w:lang w:eastAsia="zh-CN"/>
              </w:rPr>
              <w:t>争议</w:t>
            </w:r>
            <w:r>
              <w:rPr>
                <w:rFonts w:hint="eastAsia" w:ascii="宋体" w:hAnsi="宋体" w:cs="宋体"/>
                <w:color w:val="auto"/>
                <w:spacing w:val="-3"/>
                <w:sz w:val="21"/>
                <w:highlight w:val="none"/>
                <w:lang w:eastAsia="zh-CN"/>
              </w:rPr>
              <w:t>的</w:t>
            </w:r>
            <w:r>
              <w:rPr>
                <w:rFonts w:hint="eastAsia" w:ascii="宋体" w:hAnsi="宋体" w:cs="宋体"/>
                <w:color w:val="auto"/>
                <w:sz w:val="21"/>
                <w:highlight w:val="none"/>
                <w:lang w:eastAsia="zh-CN"/>
              </w:rPr>
              <w:t>最</w:t>
            </w:r>
            <w:r>
              <w:rPr>
                <w:rFonts w:hint="eastAsia" w:ascii="宋体" w:hAnsi="宋体" w:cs="宋体"/>
                <w:color w:val="auto"/>
                <w:spacing w:val="-3"/>
                <w:sz w:val="21"/>
                <w:highlight w:val="none"/>
                <w:lang w:eastAsia="zh-CN"/>
              </w:rPr>
              <w:t>终</w:t>
            </w:r>
            <w:r>
              <w:rPr>
                <w:rFonts w:hint="eastAsia" w:ascii="宋体" w:hAnsi="宋体" w:cs="宋体"/>
                <w:color w:val="auto"/>
                <w:sz w:val="21"/>
                <w:highlight w:val="none"/>
                <w:lang w:eastAsia="zh-CN"/>
              </w:rPr>
              <w:t>解</w:t>
            </w:r>
            <w:r>
              <w:rPr>
                <w:rFonts w:hint="eastAsia" w:ascii="宋体" w:hAnsi="宋体" w:cs="宋体"/>
                <w:color w:val="auto"/>
                <w:spacing w:val="-3"/>
                <w:sz w:val="21"/>
                <w:highlight w:val="none"/>
                <w:lang w:eastAsia="zh-CN"/>
              </w:rPr>
              <w:t>决</w:t>
            </w:r>
            <w:r>
              <w:rPr>
                <w:rFonts w:hint="eastAsia" w:ascii="宋体" w:hAnsi="宋体" w:cs="宋体"/>
                <w:color w:val="auto"/>
                <w:sz w:val="21"/>
                <w:highlight w:val="none"/>
                <w:lang w:eastAsia="zh-CN"/>
              </w:rPr>
              <w:t>方</w:t>
            </w:r>
            <w:r>
              <w:rPr>
                <w:rFonts w:hint="eastAsia" w:ascii="宋体" w:hAnsi="宋体" w:cs="宋体"/>
                <w:color w:val="auto"/>
                <w:spacing w:val="-3"/>
                <w:sz w:val="21"/>
                <w:highlight w:val="none"/>
                <w:lang w:eastAsia="zh-CN"/>
              </w:rPr>
              <w:t>式</w:t>
            </w:r>
            <w:r>
              <w:rPr>
                <w:rFonts w:hint="eastAsia" w:ascii="宋体" w:hAnsi="宋体" w:cs="宋体"/>
                <w:color w:val="auto"/>
                <w:sz w:val="21"/>
                <w:highlight w:val="none"/>
                <w:lang w:eastAsia="zh-CN"/>
              </w:rPr>
              <w:t>：</w:t>
            </w:r>
            <w:r>
              <w:rPr>
                <w:rFonts w:hint="eastAsia" w:ascii="宋体" w:hAnsi="宋体" w:cs="宋体"/>
                <w:color w:val="auto"/>
                <w:sz w:val="21"/>
                <w:szCs w:val="21"/>
                <w:highlight w:val="none"/>
                <w:u w:val="single"/>
                <w:lang w:eastAsia="zh-CN"/>
              </w:rPr>
              <w:t xml:space="preserve">向项目所在地人民法院诉讼    </w:t>
            </w:r>
          </w:p>
          <w:p w14:paraId="2E561DDB">
            <w:pPr>
              <w:pStyle w:val="386"/>
              <w:tabs>
                <w:tab w:val="left" w:pos="3900"/>
              </w:tabs>
              <w:spacing w:before="78" w:line="360" w:lineRule="auto"/>
              <w:ind w:left="328"/>
              <w:rPr>
                <w:rFonts w:hint="eastAsia" w:ascii="宋体" w:hAnsi="宋体" w:cs="宋体"/>
                <w:color w:val="auto"/>
                <w:sz w:val="21"/>
                <w:highlight w:val="none"/>
                <w:lang w:eastAsia="zh-CN"/>
              </w:rPr>
            </w:pPr>
            <w:r>
              <w:rPr>
                <w:rFonts w:hint="eastAsia" w:ascii="宋体" w:hAnsi="宋体" w:cs="宋体"/>
                <w:color w:val="auto"/>
                <w:spacing w:val="-1"/>
                <w:sz w:val="21"/>
                <w:highlight w:val="none"/>
                <w:lang w:eastAsia="zh-CN"/>
              </w:rPr>
              <w:t>如采</w:t>
            </w:r>
            <w:r>
              <w:rPr>
                <w:rFonts w:hint="eastAsia" w:ascii="宋体" w:hAnsi="宋体" w:cs="宋体"/>
                <w:color w:val="auto"/>
                <w:spacing w:val="-3"/>
                <w:sz w:val="21"/>
                <w:highlight w:val="none"/>
                <w:lang w:eastAsia="zh-CN"/>
              </w:rPr>
              <w:t>用</w:t>
            </w:r>
            <w:r>
              <w:rPr>
                <w:rFonts w:hint="eastAsia" w:ascii="宋体" w:hAnsi="宋体" w:cs="宋体"/>
                <w:color w:val="auto"/>
                <w:sz w:val="21"/>
                <w:highlight w:val="none"/>
                <w:lang w:eastAsia="zh-CN"/>
              </w:rPr>
              <w:t>仲</w:t>
            </w:r>
            <w:r>
              <w:rPr>
                <w:rFonts w:hint="eastAsia" w:ascii="宋体" w:hAnsi="宋体" w:cs="宋体"/>
                <w:color w:val="auto"/>
                <w:spacing w:val="-3"/>
                <w:sz w:val="21"/>
                <w:highlight w:val="none"/>
                <w:lang w:eastAsia="zh-CN"/>
              </w:rPr>
              <w:t>裁</w:t>
            </w:r>
            <w:r>
              <w:rPr>
                <w:rFonts w:hint="eastAsia" w:ascii="宋体" w:hAnsi="宋体" w:cs="宋体"/>
                <w:color w:val="auto"/>
                <w:sz w:val="21"/>
                <w:highlight w:val="none"/>
                <w:lang w:eastAsia="zh-CN"/>
              </w:rPr>
              <w:t>，</w:t>
            </w:r>
            <w:r>
              <w:rPr>
                <w:rFonts w:hint="eastAsia" w:ascii="宋体" w:hAnsi="宋体" w:cs="宋体"/>
                <w:color w:val="auto"/>
                <w:spacing w:val="-3"/>
                <w:sz w:val="21"/>
                <w:highlight w:val="none"/>
                <w:lang w:eastAsia="zh-CN"/>
              </w:rPr>
              <w:t>仲</w:t>
            </w:r>
            <w:r>
              <w:rPr>
                <w:rFonts w:hint="eastAsia" w:ascii="宋体" w:hAnsi="宋体" w:cs="宋体"/>
                <w:color w:val="auto"/>
                <w:sz w:val="21"/>
                <w:highlight w:val="none"/>
                <w:lang w:eastAsia="zh-CN"/>
              </w:rPr>
              <w:t>裁</w:t>
            </w:r>
            <w:r>
              <w:rPr>
                <w:rFonts w:hint="eastAsia" w:ascii="宋体" w:hAnsi="宋体" w:cs="宋体"/>
                <w:color w:val="auto"/>
                <w:spacing w:val="-3"/>
                <w:sz w:val="21"/>
                <w:highlight w:val="none"/>
                <w:lang w:eastAsia="zh-CN"/>
              </w:rPr>
              <w:t>委</w:t>
            </w:r>
            <w:r>
              <w:rPr>
                <w:rFonts w:hint="eastAsia" w:ascii="宋体" w:hAnsi="宋体" w:cs="宋体"/>
                <w:color w:val="auto"/>
                <w:sz w:val="21"/>
                <w:highlight w:val="none"/>
                <w:lang w:eastAsia="zh-CN"/>
              </w:rPr>
              <w:t>员</w:t>
            </w:r>
            <w:r>
              <w:rPr>
                <w:rFonts w:hint="eastAsia" w:ascii="宋体" w:hAnsi="宋体" w:cs="宋体"/>
                <w:color w:val="auto"/>
                <w:spacing w:val="-3"/>
                <w:sz w:val="21"/>
                <w:highlight w:val="none"/>
                <w:lang w:eastAsia="zh-CN"/>
              </w:rPr>
              <w:t>会</w:t>
            </w:r>
            <w:r>
              <w:rPr>
                <w:rFonts w:hint="eastAsia" w:ascii="宋体" w:hAnsi="宋体" w:cs="宋体"/>
                <w:color w:val="auto"/>
                <w:sz w:val="21"/>
                <w:highlight w:val="none"/>
                <w:lang w:eastAsia="zh-CN"/>
              </w:rPr>
              <w:t>名称：</w:t>
            </w:r>
            <w:r>
              <w:rPr>
                <w:rFonts w:hint="eastAsia" w:ascii="宋体" w:hAnsi="宋体" w:cs="宋体"/>
                <w:color w:val="auto"/>
                <w:sz w:val="21"/>
                <w:highlight w:val="none"/>
                <w:u w:val="single"/>
                <w:lang w:eastAsia="zh-CN"/>
              </w:rPr>
              <w:t xml:space="preserve"> / </w:t>
            </w:r>
          </w:p>
        </w:tc>
      </w:tr>
    </w:tbl>
    <w:p w14:paraId="0910324A">
      <w:pPr>
        <w:rPr>
          <w:color w:val="auto"/>
          <w:sz w:val="18"/>
          <w:highlight w:val="none"/>
        </w:rPr>
        <w:sectPr>
          <w:footerReference r:id="rId8" w:type="default"/>
          <w:footerReference r:id="rId9" w:type="even"/>
          <w:pgSz w:w="11910" w:h="16850"/>
          <w:pgMar w:top="1480" w:right="1200" w:bottom="1040" w:left="1220" w:header="876" w:footer="853" w:gutter="0"/>
          <w:cols w:space="1701" w:num="1"/>
        </w:sectPr>
      </w:pPr>
    </w:p>
    <w:p w14:paraId="1BA0740F">
      <w:pPr>
        <w:tabs>
          <w:tab w:val="left" w:pos="1080"/>
        </w:tabs>
        <w:spacing w:line="280" w:lineRule="exact"/>
        <w:ind w:firstLine="420"/>
        <w:rPr>
          <w:color w:val="auto"/>
          <w:highlight w:val="none"/>
        </w:rPr>
      </w:pPr>
    </w:p>
    <w:p w14:paraId="431D08E8">
      <w:pPr>
        <w:pStyle w:val="188"/>
        <w:spacing w:before="0" w:after="0" w:line="360" w:lineRule="auto"/>
        <w:jc w:val="center"/>
        <w:rPr>
          <w:color w:val="auto"/>
          <w:highlight w:val="none"/>
        </w:rPr>
      </w:pPr>
      <w:r>
        <w:rPr>
          <w:rFonts w:hint="eastAsia"/>
          <w:color w:val="auto"/>
          <w:highlight w:val="none"/>
        </w:rPr>
        <w:t>项目专用合同条款</w:t>
      </w:r>
    </w:p>
    <w:p w14:paraId="4181A0F8">
      <w:pPr>
        <w:spacing w:line="360" w:lineRule="auto"/>
        <w:ind w:firstLine="480"/>
        <w:rPr>
          <w:color w:val="auto"/>
          <w:highlight w:val="none"/>
        </w:rPr>
      </w:pPr>
      <w:r>
        <w:rPr>
          <w:rFonts w:hint="eastAsia"/>
          <w:color w:val="auto"/>
          <w:highlight w:val="none"/>
        </w:rPr>
        <w:t>说明：本部分所列的项目专用合同条款是对“公路工程专用合同条款”中规定必须在  项目专用合同条款中明确的内容的集中，采购人编制的“项目专用合同条款” 不限于本部分所列内容。</w:t>
      </w:r>
    </w:p>
    <w:p w14:paraId="6A60160C">
      <w:pPr>
        <w:spacing w:line="400" w:lineRule="exact"/>
        <w:rPr>
          <w:rFonts w:hint="eastAsia" w:ascii="宋体" w:hAnsi="宋体" w:cs="宋体"/>
          <w:b/>
          <w:color w:val="auto"/>
          <w:szCs w:val="21"/>
          <w:highlight w:val="none"/>
        </w:rPr>
      </w:pPr>
      <w:r>
        <w:rPr>
          <w:rFonts w:hint="eastAsia" w:ascii="宋体" w:hAnsi="宋体" w:cs="宋体"/>
          <w:b/>
          <w:color w:val="auto"/>
          <w:szCs w:val="21"/>
          <w:highlight w:val="none"/>
        </w:rPr>
        <w:t>4.1承包人的一般义务</w:t>
      </w:r>
    </w:p>
    <w:p w14:paraId="011FD503">
      <w:pPr>
        <w:tabs>
          <w:tab w:val="left" w:pos="3193"/>
        </w:tabs>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4.1.10 其他义务</w:t>
      </w:r>
    </w:p>
    <w:p w14:paraId="42FCFBB4">
      <w:pPr>
        <w:spacing w:line="400" w:lineRule="exact"/>
        <w:ind w:firstLine="420"/>
        <w:rPr>
          <w:rFonts w:hint="eastAsia" w:ascii="宋体" w:hAnsi="宋体" w:cs="宋体"/>
          <w:color w:val="auto"/>
          <w:szCs w:val="21"/>
          <w:highlight w:val="none"/>
          <w:u w:val="single"/>
        </w:rPr>
      </w:pPr>
      <w:r>
        <w:rPr>
          <w:rFonts w:hint="eastAsia" w:ascii="宋体" w:hAnsi="宋体" w:cs="宋体"/>
          <w:color w:val="auto"/>
          <w:szCs w:val="21"/>
          <w:highlight w:val="none"/>
        </w:rPr>
        <w:t>（4）承包人应履行的其他义务：</w:t>
      </w:r>
      <w:r>
        <w:rPr>
          <w:rFonts w:hint="eastAsia" w:ascii="宋体" w:hAnsi="宋体" w:cs="宋体"/>
          <w:color w:val="auto"/>
          <w:szCs w:val="21"/>
          <w:highlight w:val="none"/>
          <w:u w:val="single"/>
        </w:rPr>
        <w:t>除项目专用合同条款另有约定外，临时占地的租地费用实行总额包干，列入工程量清单第 100 章中由承包人按总额报价。</w:t>
      </w:r>
    </w:p>
    <w:p w14:paraId="08FE5E9B">
      <w:pPr>
        <w:spacing w:line="400" w:lineRule="exact"/>
        <w:rPr>
          <w:rFonts w:hint="eastAsia" w:ascii="宋体" w:hAnsi="宋体" w:cs="宋体"/>
          <w:b/>
          <w:color w:val="auto"/>
          <w:szCs w:val="21"/>
          <w:highlight w:val="none"/>
        </w:rPr>
      </w:pPr>
      <w:r>
        <w:rPr>
          <w:rFonts w:hint="eastAsia" w:ascii="宋体" w:hAnsi="宋体" w:cs="宋体"/>
          <w:b/>
          <w:color w:val="auto"/>
          <w:szCs w:val="21"/>
          <w:highlight w:val="none"/>
        </w:rPr>
        <w:t>4.6承包人人员的管理</w:t>
      </w:r>
    </w:p>
    <w:p w14:paraId="7915F40B">
      <w:pPr>
        <w:tabs>
          <w:tab w:val="left" w:pos="1080"/>
        </w:tabs>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（增加）4.6.6 项目经理、总工每月驻现场的时间应不少于24天，因故需离开工地应得到业主、监理工程师的许可，否则将按第22.1款视为承包人违约。</w:t>
      </w:r>
    </w:p>
    <w:p w14:paraId="5CDDC694">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承包人安排在施工场地的主要管理人员和技术骨干人员每月驻现场的时间应不少于22天，除非经业主、监理工程师同意，否则将按第22.1款视为承包人违约。</w:t>
      </w:r>
    </w:p>
    <w:p w14:paraId="28AE30CE">
      <w:pPr>
        <w:spacing w:line="400" w:lineRule="exact"/>
        <w:rPr>
          <w:rFonts w:hint="eastAsia" w:ascii="宋体" w:hAnsi="宋体" w:cs="宋体"/>
          <w:b/>
          <w:color w:val="auto"/>
          <w:szCs w:val="21"/>
          <w:highlight w:val="none"/>
        </w:rPr>
      </w:pPr>
      <w:r>
        <w:rPr>
          <w:rFonts w:hint="eastAsia" w:ascii="宋体" w:hAnsi="宋体" w:cs="宋体"/>
          <w:b/>
          <w:color w:val="auto"/>
          <w:szCs w:val="21"/>
          <w:highlight w:val="none"/>
        </w:rPr>
        <w:t>4.11不利物质条件</w:t>
      </w:r>
    </w:p>
    <w:p w14:paraId="02641A03">
      <w:pPr>
        <w:tabs>
          <w:tab w:val="left" w:pos="3193"/>
        </w:tabs>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4.11.1不利物质条件的范围：</w:t>
      </w:r>
      <w:r>
        <w:rPr>
          <w:rFonts w:hint="eastAsia" w:ascii="宋体" w:hAnsi="宋体" w:cs="宋体"/>
          <w:color w:val="auto"/>
          <w:szCs w:val="21"/>
          <w:highlight w:val="none"/>
          <w:u w:val="single"/>
        </w:rPr>
        <w:t xml:space="preserve">  按通用条款内容    </w:t>
      </w:r>
    </w:p>
    <w:p w14:paraId="4E0489D2">
      <w:pPr>
        <w:spacing w:line="400" w:lineRule="exact"/>
        <w:rPr>
          <w:rFonts w:hint="eastAsia" w:ascii="宋体" w:hAnsi="宋体" w:cs="宋体"/>
          <w:b/>
          <w:color w:val="auto"/>
          <w:szCs w:val="21"/>
          <w:highlight w:val="none"/>
        </w:rPr>
      </w:pPr>
      <w:r>
        <w:rPr>
          <w:rFonts w:hint="eastAsia" w:ascii="宋体" w:hAnsi="宋体" w:cs="宋体"/>
          <w:b/>
          <w:color w:val="auto"/>
          <w:szCs w:val="21"/>
          <w:highlight w:val="none"/>
        </w:rPr>
        <w:t>10.1 合同进度计划</w:t>
      </w:r>
    </w:p>
    <w:p w14:paraId="6A251E15">
      <w:pPr>
        <w:tabs>
          <w:tab w:val="left" w:pos="3193"/>
        </w:tabs>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承包人编制施工方案的内容：</w:t>
      </w:r>
      <w:r>
        <w:rPr>
          <w:rFonts w:hint="eastAsia" w:ascii="宋体" w:hAnsi="宋体" w:cs="宋体"/>
          <w:color w:val="auto"/>
          <w:szCs w:val="21"/>
          <w:highlight w:val="none"/>
          <w:u w:val="single"/>
        </w:rPr>
        <w:t xml:space="preserve"> 承包人应在签订合同协议书后 7 天内，向监理人提交 2 份其格式和内容符合监理人规定的工程进度计划，以及为完成该计划而建议采用的实施性的施工安排和施工方案的说明。监理人应在收到该计划后 7 天内审查同意或提出修改意见，否则该进度计划视为已得到批准。经监理人批准的施工进度计划称为合同进度计划，是控制合同工程进度的依据。工程进度计划应按照关键线路网络图和主要工作横道图两种形式分别绘制，并应包括每月预计完成的工作量和形象进度。</w:t>
      </w:r>
    </w:p>
    <w:p w14:paraId="569287B2">
      <w:pPr>
        <w:spacing w:line="400" w:lineRule="exact"/>
        <w:rPr>
          <w:rFonts w:hint="eastAsia" w:ascii="宋体" w:hAnsi="宋体" w:cs="宋体"/>
          <w:b/>
          <w:color w:val="auto"/>
          <w:szCs w:val="21"/>
          <w:highlight w:val="none"/>
        </w:rPr>
      </w:pPr>
      <w:r>
        <w:rPr>
          <w:rFonts w:hint="eastAsia" w:ascii="宋体" w:hAnsi="宋体" w:cs="宋体"/>
          <w:b/>
          <w:color w:val="auto"/>
          <w:szCs w:val="21"/>
          <w:highlight w:val="none"/>
        </w:rPr>
        <w:t>11.4异常恶劣的气候条件</w:t>
      </w:r>
    </w:p>
    <w:p w14:paraId="5F5D56A4">
      <w:pPr>
        <w:tabs>
          <w:tab w:val="left" w:pos="3193"/>
        </w:tabs>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异常恶劣的气候条件的范围：</w:t>
      </w:r>
      <w:r>
        <w:rPr>
          <w:rFonts w:hint="eastAsia" w:ascii="宋体" w:hAnsi="宋体" w:cs="宋体"/>
          <w:color w:val="auto"/>
          <w:szCs w:val="21"/>
          <w:highlight w:val="none"/>
          <w:u w:val="single"/>
        </w:rPr>
        <w:t>异常恶劣的气候条件，对本项目而言，指发生烈度7度（含7度）以上地震、龙卷风、施工场地受淹超过业主提供的设计图纸指明的设计洪水水位引起的延误的情况。</w:t>
      </w:r>
    </w:p>
    <w:p w14:paraId="0D8C9D7E">
      <w:pPr>
        <w:spacing w:line="400" w:lineRule="exact"/>
        <w:rPr>
          <w:rFonts w:hint="eastAsia" w:ascii="宋体" w:hAnsi="宋体" w:cs="宋体"/>
          <w:b/>
          <w:color w:val="auto"/>
          <w:szCs w:val="21"/>
          <w:highlight w:val="none"/>
        </w:rPr>
      </w:pPr>
      <w:r>
        <w:rPr>
          <w:rFonts w:hint="eastAsia" w:ascii="宋体" w:hAnsi="宋体" w:cs="宋体"/>
          <w:b/>
          <w:color w:val="auto"/>
          <w:szCs w:val="21"/>
          <w:highlight w:val="none"/>
        </w:rPr>
        <w:t>12.1承包人暂停施工的责任</w:t>
      </w:r>
    </w:p>
    <w:p w14:paraId="68E3098F">
      <w:pPr>
        <w:tabs>
          <w:tab w:val="left" w:pos="3193"/>
        </w:tabs>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12.1（6）由承包人承担的其他暂停施工：</w:t>
      </w:r>
      <w:r>
        <w:rPr>
          <w:rFonts w:hint="eastAsia" w:ascii="宋体" w:hAnsi="宋体" w:cs="宋体"/>
          <w:color w:val="auto"/>
          <w:szCs w:val="21"/>
          <w:highlight w:val="none"/>
          <w:u w:val="single"/>
        </w:rPr>
        <w:t xml:space="preserve">      /          </w:t>
      </w:r>
    </w:p>
    <w:p w14:paraId="7F61D9D5">
      <w:pPr>
        <w:tabs>
          <w:tab w:val="left" w:pos="1080"/>
        </w:tabs>
        <w:spacing w:line="400" w:lineRule="exact"/>
        <w:rPr>
          <w:rFonts w:hint="eastAsia" w:ascii="宋体" w:hAnsi="宋体" w:cs="宋体"/>
          <w:b/>
          <w:color w:val="auto"/>
          <w:szCs w:val="21"/>
          <w:highlight w:val="none"/>
        </w:rPr>
      </w:pPr>
      <w:r>
        <w:rPr>
          <w:rFonts w:hint="eastAsia" w:ascii="宋体" w:hAnsi="宋体" w:cs="宋体"/>
          <w:b/>
          <w:color w:val="auto"/>
          <w:szCs w:val="21"/>
          <w:highlight w:val="none"/>
        </w:rPr>
        <w:t>13.3承包人的质量检查</w:t>
      </w:r>
    </w:p>
    <w:p w14:paraId="6DC0D63F">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增加内容：落实质量责任制和健全质量保证体系</w:t>
      </w:r>
    </w:p>
    <w:p w14:paraId="1246C1C0">
      <w:pPr>
        <w:spacing w:line="400" w:lineRule="exact"/>
        <w:ind w:firstLine="525"/>
        <w:rPr>
          <w:rFonts w:hint="eastAsia" w:ascii="宋体" w:hAnsi="宋体" w:cs="宋体"/>
          <w:color w:val="auto"/>
          <w:szCs w:val="21"/>
          <w:highlight w:val="none"/>
        </w:rPr>
      </w:pPr>
      <w:r>
        <w:rPr>
          <w:rFonts w:hint="eastAsia" w:ascii="宋体" w:hAnsi="宋体" w:cs="宋体"/>
          <w:color w:val="auto"/>
          <w:szCs w:val="21"/>
          <w:highlight w:val="none"/>
        </w:rPr>
        <w:t xml:space="preserve">(1)分项施工现场应实行标示牌管理，写明作业内容、项目质量管理责任人(施工作业管理专业工程师、试验、测量、质检工程师、总工、项目经理及监理工程师及现场监理)和质量管理举报电话； </w:t>
      </w:r>
    </w:p>
    <w:p w14:paraId="7C705470">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（2）认真执行三检制度：</w:t>
      </w:r>
    </w:p>
    <w:p w14:paraId="4B44B7C1">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施工作业管理的专业工程师在测量、试验工程师配合下完成施工自检并作施工记录（工艺及原材料使用等）；</w:t>
      </w:r>
    </w:p>
    <w:p w14:paraId="0FF8E597">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质检工程师在测量、试验工程师配合下加强中间质量检测，严格控制工序质量，及时完成工序、分项完工检验并提交质量检验记录，收集工序、分项资料与检验申请经项目总工签认后报送监理工程师。</w:t>
      </w:r>
    </w:p>
    <w:p w14:paraId="685D5130">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试验、测量工程师根据施工质检需要完成试验与测量作业并及时交检验结果报告专业工程师、质检工程师。</w:t>
      </w:r>
    </w:p>
    <w:p w14:paraId="0A748FC2">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为保证质量责任制的落实，必须做到“三个到位”、“三个同时”，即：质量管理人员到位，检测工具到位，记录表格到位；施工作业与专业工程师质量检查、检验同时，承包人质量检验工程师、监理的检验与施工作业同时，检查、检验与记录同时。</w:t>
      </w:r>
    </w:p>
    <w:p w14:paraId="7F8A494C">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(3)质量管理记录的原始记录包括作业记录、测量记录、试验记录、检验记录及验收记录，地基、基础、填挖交界碾压，墙台背回填等隐蔽工程应摄像或照相作为现场记录保存。</w:t>
      </w:r>
    </w:p>
    <w:p w14:paraId="5EC7B305">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(4)加强对质量通病的预防与治理，减少工程质量隐患。</w:t>
      </w:r>
    </w:p>
    <w:p w14:paraId="0D089B28">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(5)承包人应加强工程进度计划管理，努力实现均衡组织施工的目标。</w:t>
      </w:r>
    </w:p>
    <w:p w14:paraId="4187A656">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a.旧路改建工程或施工影响原有道路交通的，应根据施工必须保证交通通畅的特点，科学合理安排施工时间，采取妥当的施工方法，避免在雨季破坏旧路利用新路基维持交通，对破坏旧路的路段应及时安排路面施工，确保不影响道路交通畅通。关键工程及分项应有独立详细的施工组织设计，并采取措施确保落实。</w:t>
      </w:r>
    </w:p>
    <w:p w14:paraId="62B94FDB">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b.路面碎石材料的采备至少应与路基施工进度同步。</w:t>
      </w:r>
    </w:p>
    <w:p w14:paraId="28DD3C19">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(7)承包人应加强文明施工，保障道路通畅的管理</w:t>
      </w:r>
    </w:p>
    <w:p w14:paraId="230DFD72">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a.承包人在施工期内应按国家、交通主管部门与公路管理机构文明施工，保障畅通的有关规定组织施工，对出现的交通堵塞无条件地采取措施进行疏通。</w:t>
      </w:r>
    </w:p>
    <w:p w14:paraId="2DE8AE0F">
      <w:pPr>
        <w:tabs>
          <w:tab w:val="left" w:pos="3193"/>
        </w:tabs>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b 旧路改建工程项目</w:t>
      </w:r>
    </w:p>
    <w:p w14:paraId="4D1F1EC8">
      <w:pPr>
        <w:tabs>
          <w:tab w:val="left" w:pos="3193"/>
        </w:tabs>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(i)破坏旧路必须作出交通维持与恢复路面通行条件方案并必须取得监理工程师与业主的批准，未经批准进行旧路开挖与填筑的，业主和监理工程师 有权责令停工，并由承包人恢复原良好的通车条件，并需承担一切费用。</w:t>
      </w:r>
    </w:p>
    <w:p w14:paraId="593C3871">
      <w:pPr>
        <w:tabs>
          <w:tab w:val="left" w:pos="3193"/>
        </w:tabs>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(ii)不得在道路上堆放材料或占道施工影响交通。</w:t>
      </w:r>
    </w:p>
    <w:p w14:paraId="36B56454">
      <w:pPr>
        <w:tabs>
          <w:tab w:val="left" w:pos="3193"/>
        </w:tabs>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路基、路面施工应避免出现晴天扬尘，雨天打滑影响安全与交通和影响群众生活、生产的现象。维持交通的路基施工应保证表面平整，保证通畅。</w:t>
      </w:r>
    </w:p>
    <w:p w14:paraId="0C9D4EC6">
      <w:pPr>
        <w:tabs>
          <w:tab w:val="left" w:pos="3193"/>
        </w:tabs>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(8)承包人应自觉接受交通主管部门、质量监督单位、公路管理机构的监督，对指出的问题进行认真的整改，及时报告处理结果。</w:t>
      </w:r>
    </w:p>
    <w:p w14:paraId="64EBDAFF">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在整个施工过程中，监理工程师、业主对承包人履行责任有权进行监督，并向承包人提出整改要求。承包人应认真履行责任，执行业主、监理工程师的指令，否则将按第22.1款视为承包人违约。</w:t>
      </w:r>
    </w:p>
    <w:p w14:paraId="1FCC627F">
      <w:pPr>
        <w:tabs>
          <w:tab w:val="left" w:pos="1080"/>
        </w:tabs>
        <w:spacing w:line="400" w:lineRule="exact"/>
        <w:rPr>
          <w:rFonts w:hint="eastAsia" w:ascii="宋体" w:hAnsi="宋体" w:cs="宋体"/>
          <w:b/>
          <w:color w:val="auto"/>
          <w:szCs w:val="21"/>
          <w:highlight w:val="none"/>
        </w:rPr>
      </w:pPr>
      <w:r>
        <w:rPr>
          <w:rFonts w:hint="eastAsia" w:ascii="宋体" w:hAnsi="宋体" w:cs="宋体"/>
          <w:b/>
          <w:color w:val="auto"/>
          <w:szCs w:val="21"/>
          <w:highlight w:val="none"/>
        </w:rPr>
        <w:t>18.3 验收</w:t>
      </w:r>
    </w:p>
    <w:p w14:paraId="162C9B0C">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18.3.7 （增加）组织办理交工验收和签发交工证书的费用由承包人承担，其费用包含在相关单价或总额价中，业主不单独另外计量与支付。</w:t>
      </w:r>
    </w:p>
    <w:p w14:paraId="257E5145">
      <w:pPr>
        <w:tabs>
          <w:tab w:val="left" w:pos="1080"/>
        </w:tabs>
        <w:spacing w:line="400" w:lineRule="exact"/>
        <w:rPr>
          <w:rFonts w:hint="eastAsia" w:ascii="宋体" w:hAnsi="宋体" w:cs="宋体"/>
          <w:b/>
          <w:color w:val="auto"/>
          <w:szCs w:val="21"/>
          <w:highlight w:val="none"/>
        </w:rPr>
      </w:pPr>
      <w:r>
        <w:rPr>
          <w:rFonts w:hint="eastAsia" w:ascii="宋体" w:hAnsi="宋体" w:cs="宋体"/>
          <w:b/>
          <w:color w:val="auto"/>
          <w:szCs w:val="21"/>
          <w:highlight w:val="none"/>
        </w:rPr>
        <w:t>18.9竣工文件</w:t>
      </w:r>
    </w:p>
    <w:p w14:paraId="4564BF9A">
      <w:pPr>
        <w:spacing w:line="400" w:lineRule="exact"/>
        <w:rPr>
          <w:rFonts w:hint="eastAsia" w:ascii="宋体" w:hAnsi="宋体" w:cs="宋体"/>
          <w:color w:val="auto"/>
          <w:szCs w:val="21"/>
          <w:highlight w:val="none"/>
        </w:rPr>
      </w:pPr>
      <w:r>
        <w:rPr>
          <w:rFonts w:hint="eastAsia" w:ascii="宋体" w:hAnsi="宋体" w:cs="宋体"/>
          <w:b/>
          <w:color w:val="auto"/>
          <w:szCs w:val="21"/>
          <w:highlight w:val="none"/>
        </w:rPr>
        <w:t xml:space="preserve">    （增加）</w:t>
      </w:r>
      <w:r>
        <w:rPr>
          <w:rFonts w:hint="eastAsia" w:ascii="宋体" w:hAnsi="宋体" w:cs="宋体"/>
          <w:color w:val="auto"/>
          <w:szCs w:val="21"/>
          <w:highlight w:val="none"/>
        </w:rPr>
        <w:t>工程竣工文件的立卷归档按交通部《公路工程竣工文件材料立卷归档管理办法》（交办发[2001]390号）和广西壮族自治区公路管理局《广西公路网建设工程档案验收办法》（工路工程函[2005]591号）执行。</w:t>
      </w:r>
    </w:p>
    <w:p w14:paraId="67A1910F">
      <w:pPr>
        <w:spacing w:line="400" w:lineRule="exact"/>
        <w:rPr>
          <w:rFonts w:hint="eastAsia" w:ascii="宋体" w:hAnsi="宋体" w:cs="宋体"/>
          <w:b/>
          <w:color w:val="auto"/>
          <w:szCs w:val="21"/>
          <w:highlight w:val="none"/>
        </w:rPr>
      </w:pPr>
      <w:r>
        <w:rPr>
          <w:rFonts w:hint="eastAsia" w:ascii="宋体" w:hAnsi="宋体" w:cs="宋体"/>
          <w:b/>
          <w:color w:val="auto"/>
          <w:szCs w:val="21"/>
          <w:highlight w:val="none"/>
        </w:rPr>
        <w:t>20.1 工程保险</w:t>
      </w:r>
    </w:p>
    <w:p w14:paraId="591C9326">
      <w:pPr>
        <w:pStyle w:val="409"/>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lang w:val="en-US"/>
        </w:rPr>
        <w:t xml:space="preserve">20.2 人员工伤事故的保险 </w:t>
      </w:r>
    </w:p>
    <w:p w14:paraId="7BB5B9D8">
      <w:pPr>
        <w:pStyle w:val="409"/>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lang w:val="en-US"/>
        </w:rPr>
        <w:t xml:space="preserve">20.2.1 承包人员工伤事故的保险 </w:t>
      </w:r>
    </w:p>
    <w:p w14:paraId="6992049E">
      <w:pPr>
        <w:pStyle w:val="409"/>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lang w:val="en-US"/>
        </w:rPr>
        <w:t>增加内容：办理保险的一切费用均由承包人承担，并包括在工程量清单的单价及总额价中，发包人不单独支付。</w:t>
      </w:r>
    </w:p>
    <w:p w14:paraId="3DA0C4F3">
      <w:pPr>
        <w:pStyle w:val="409"/>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lang w:val="en-US"/>
        </w:rPr>
        <w:t xml:space="preserve">20.3 人身意外伤害险 </w:t>
      </w:r>
    </w:p>
    <w:p w14:paraId="27D18683">
      <w:pPr>
        <w:pStyle w:val="409"/>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lang w:val="en-US"/>
        </w:rPr>
        <w:t xml:space="preserve">20.3.2 承包人应在整个施工期间为其现场机构雇用的全部人员，投保人身意外伤害险，缴纳保险费，并要求其分包人也进行此项保险。办理保险的一切费用均由承包人承担，并包括在工程量清单的单价及总额价中，发包人不单独支付。 </w:t>
      </w:r>
    </w:p>
    <w:p w14:paraId="46BECA7F">
      <w:pPr>
        <w:pStyle w:val="409"/>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lang w:val="en-US"/>
        </w:rPr>
        <w:t xml:space="preserve">其中：人身意外伤害险每位被保险人的最低保险金额为10万元人民币，附加意外伤害险医疗险的保险金额为2万元人民币，每合同段的人身意外伤害险和附加意外伤害医疗险保险费按合同价（不含该保险费）的3‰计列。人身意外伤害险和附加意外伤害医疗险的保险对象为建筑施工企业参加基建项目建设施工现场从事施工作业和管理的人员。时间上涵盖施工全过程的任一时段，在保险范围上覆盖所有参加工程建设的管理人员、施工人员（含农民工）。保险期限为自施工队伍进场之日起至工程通过竣工验收时止。 </w:t>
      </w:r>
    </w:p>
    <w:p w14:paraId="5C0D999F">
      <w:pPr>
        <w:pStyle w:val="409"/>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lang w:val="en-US"/>
        </w:rPr>
        <w:t>施工合同签订后工程开工前 15 日，承包人必须按有关规定与保险公司签订人身意外伤害险和附加意外伤害医疗险以及其他需要投保的保险的保险合同。</w:t>
      </w:r>
    </w:p>
    <w:p w14:paraId="5B2283B8">
      <w:pPr>
        <w:spacing w:line="400" w:lineRule="exact"/>
        <w:rPr>
          <w:rFonts w:hint="eastAsia" w:ascii="宋体" w:hAnsi="宋体" w:cs="宋体"/>
          <w:b/>
          <w:color w:val="auto"/>
          <w:szCs w:val="21"/>
          <w:highlight w:val="none"/>
        </w:rPr>
      </w:pPr>
      <w:r>
        <w:rPr>
          <w:rFonts w:hint="eastAsia" w:ascii="宋体" w:hAnsi="宋体" w:cs="宋体"/>
          <w:b/>
          <w:color w:val="auto"/>
          <w:szCs w:val="21"/>
          <w:highlight w:val="none"/>
        </w:rPr>
        <w:t>21.1不可抗力的确认</w:t>
      </w:r>
    </w:p>
    <w:p w14:paraId="7898CE92">
      <w:pPr>
        <w:tabs>
          <w:tab w:val="left" w:pos="3193"/>
        </w:tabs>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21.1.1（6）不可抗力的其他情形：</w:t>
      </w:r>
      <w:r>
        <w:rPr>
          <w:rFonts w:hint="eastAsia" w:ascii="宋体" w:hAnsi="宋体" w:cs="宋体"/>
          <w:color w:val="auto"/>
          <w:szCs w:val="21"/>
          <w:highlight w:val="none"/>
          <w:u w:val="single"/>
        </w:rPr>
        <w:t xml:space="preserve">  按通用条款内容   </w:t>
      </w:r>
    </w:p>
    <w:p w14:paraId="44C61FAB">
      <w:pPr>
        <w:spacing w:line="400" w:lineRule="exact"/>
        <w:rPr>
          <w:rFonts w:hint="eastAsia" w:ascii="宋体" w:hAnsi="宋体" w:cs="宋体"/>
          <w:b/>
          <w:color w:val="auto"/>
          <w:szCs w:val="21"/>
          <w:highlight w:val="none"/>
        </w:rPr>
      </w:pPr>
      <w:r>
        <w:rPr>
          <w:rFonts w:hint="eastAsia" w:ascii="宋体" w:hAnsi="宋体" w:cs="宋体"/>
          <w:b/>
          <w:color w:val="auto"/>
          <w:szCs w:val="21"/>
          <w:highlight w:val="none"/>
        </w:rPr>
        <w:t>22.1承包人违约</w:t>
      </w:r>
    </w:p>
    <w:p w14:paraId="1E72BCD0">
      <w:pPr>
        <w:pStyle w:val="231"/>
        <w:spacing w:line="40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22.1.2当承包人发生第22.1.1项约定的违约情况时，发包人有权向承包人处以违约金，具体约定如下：违约金处理：</w:t>
      </w:r>
    </w:p>
    <w:p w14:paraId="0D7F356E">
      <w:pPr>
        <w:pStyle w:val="231"/>
        <w:spacing w:line="40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22.1.2.1有本项（1）目行为的，可对承包人处以以下的违约金。</w:t>
      </w:r>
    </w:p>
    <w:p w14:paraId="3BA672D1">
      <w:pPr>
        <w:pStyle w:val="231"/>
        <w:spacing w:line="40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a．由于承包人没有履行合同规定的义务与责任，同类事件第一次被监理工程师、业主工作指令整改的处500元/次；第二次出现指令整改的处1000元/次；多次重复出现被责令整改的处5000元/次。</w:t>
      </w:r>
    </w:p>
    <w:p w14:paraId="47924472">
      <w:pPr>
        <w:pStyle w:val="231"/>
        <w:spacing w:line="40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b．在指令规定时间内拒不整改的同一事件被第二次及以上责令整改的处2000元/次。</w:t>
      </w:r>
    </w:p>
    <w:p w14:paraId="64AE48CA">
      <w:pPr>
        <w:pStyle w:val="231"/>
        <w:spacing w:line="40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22.1.2.2有本项（2）、（3）、（5）、（6）目行为的，除按合同相关条款处理外，由监理工程师发出整改工作指令，按22.1.2.1对承包人处以违约金。</w:t>
      </w:r>
    </w:p>
    <w:p w14:paraId="218F90E2">
      <w:pPr>
        <w:pStyle w:val="231"/>
        <w:spacing w:line="40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22.1.2.3有本项（4）、（7）目行为的，可对承包人处以以下的违约金。</w:t>
      </w:r>
    </w:p>
    <w:p w14:paraId="2E1D96A5">
      <w:pPr>
        <w:pStyle w:val="231"/>
        <w:spacing w:line="40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a．未按规定开工的，可处以1000元/天的业主延期损失补偿金。</w:t>
      </w:r>
    </w:p>
    <w:p w14:paraId="6E31A687">
      <w:pPr>
        <w:pStyle w:val="231"/>
        <w:spacing w:line="40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b．未按指令采取措施加快进行本工程或其关键部分的施工，可处以1000元/天的业主延期损失补偿金。</w:t>
      </w:r>
    </w:p>
    <w:p w14:paraId="04F8F8F8">
      <w:pPr>
        <w:pStyle w:val="231"/>
        <w:spacing w:line="40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c．未按均衡组织施工要求组织施工的，处每项1000元/月次。</w:t>
      </w:r>
    </w:p>
    <w:p w14:paraId="7FC368F5">
      <w:pPr>
        <w:pStyle w:val="231"/>
        <w:spacing w:line="40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22.1.2.4有本项（8）目行为的，可对承包人按以下处以违约金。</w:t>
      </w:r>
    </w:p>
    <w:p w14:paraId="29E370C7">
      <w:pPr>
        <w:pStyle w:val="231"/>
        <w:spacing w:line="40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a.承包人未经业主、监理工程师同意更换人员，项目经理处2万元/次，总工（或项目总工）处1万元/次。</w:t>
      </w:r>
    </w:p>
    <w:p w14:paraId="2F7E88D1">
      <w:pPr>
        <w:pStyle w:val="231"/>
        <w:spacing w:line="40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b.</w:t>
      </w:r>
      <w:r>
        <w:rPr>
          <w:rFonts w:hint="eastAsia" w:ascii="宋体" w:hAnsi="宋体" w:cs="宋体"/>
          <w:color w:val="auto"/>
          <w:spacing w:val="-6"/>
          <w:sz w:val="21"/>
          <w:szCs w:val="21"/>
          <w:highlight w:val="none"/>
        </w:rPr>
        <w:t>项目经理、总工每月驻工地不满24天，处500元/人·月，其他主要人员处200元/人·月。</w:t>
      </w:r>
    </w:p>
    <w:p w14:paraId="11940977">
      <w:pPr>
        <w:pStyle w:val="231"/>
        <w:spacing w:line="40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c.未经请假准允离开工地，经理、总工处500元/人·日，其他主要人员处100元/人·日。</w:t>
      </w:r>
    </w:p>
    <w:p w14:paraId="458ADDAE">
      <w:pPr>
        <w:pStyle w:val="231"/>
        <w:spacing w:line="40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d.主要设备没有按承诺进场的处500元台/日。</w:t>
      </w:r>
    </w:p>
    <w:p w14:paraId="2723E09B">
      <w:pPr>
        <w:pStyle w:val="231"/>
        <w:spacing w:line="40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22.1.2.4有本项（9）目行为的，可对承包人处以以下的违约金。</w:t>
      </w:r>
    </w:p>
    <w:p w14:paraId="32DB8C9C">
      <w:pPr>
        <w:pStyle w:val="231"/>
        <w:spacing w:line="40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a．安全生产管理</w:t>
      </w:r>
    </w:p>
    <w:p w14:paraId="21EF8237">
      <w:pPr>
        <w:pStyle w:val="231"/>
        <w:spacing w:line="40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（a）出现下列行为之一可处100元/（人）次。</w:t>
      </w:r>
    </w:p>
    <w:p w14:paraId="04AE984F">
      <w:pPr>
        <w:pStyle w:val="231"/>
        <w:spacing w:line="40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Ⅰ需持证上岗人员无证上岗的；或</w:t>
      </w:r>
    </w:p>
    <w:p w14:paraId="61B9107B">
      <w:pPr>
        <w:pStyle w:val="231"/>
        <w:spacing w:line="40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Ⅱ需配戴安全防护用具作业的；或</w:t>
      </w:r>
    </w:p>
    <w:p w14:paraId="199B4035">
      <w:pPr>
        <w:pStyle w:val="231"/>
        <w:spacing w:line="40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Ⅲ未经登记、安全培训教育上岗的。</w:t>
      </w:r>
    </w:p>
    <w:p w14:paraId="59679E77">
      <w:pPr>
        <w:pStyle w:val="231"/>
        <w:spacing w:line="40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（b）出现下列行为之一可处300元/处次。</w:t>
      </w:r>
    </w:p>
    <w:p w14:paraId="37750CCA">
      <w:pPr>
        <w:pStyle w:val="231"/>
        <w:spacing w:line="40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Ⅰ　无专职安全检查人员；或</w:t>
      </w:r>
    </w:p>
    <w:p w14:paraId="3F86AB2B">
      <w:pPr>
        <w:pStyle w:val="231"/>
        <w:spacing w:line="40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Ⅱ　无安全生产检查日志；或</w:t>
      </w:r>
    </w:p>
    <w:p w14:paraId="6581F0D9">
      <w:pPr>
        <w:pStyle w:val="231"/>
        <w:spacing w:line="40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Ⅲ　作业点或危险施工路段安全标志不全；或</w:t>
      </w:r>
    </w:p>
    <w:p w14:paraId="03D1861D">
      <w:pPr>
        <w:pStyle w:val="231"/>
        <w:spacing w:line="40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Ⅳ　安全标志（牌）、线（绳）不符国家规定的；或</w:t>
      </w:r>
    </w:p>
    <w:p w14:paraId="40E89382">
      <w:pPr>
        <w:pStyle w:val="231"/>
        <w:spacing w:line="40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Ⅴ　易燃易爆物品管理不符合管理要求。</w:t>
      </w:r>
    </w:p>
    <w:p w14:paraId="1C0EE58B">
      <w:pPr>
        <w:pStyle w:val="231"/>
        <w:spacing w:line="40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（c）出现下列行为之一可处500元/处次。</w:t>
      </w:r>
    </w:p>
    <w:p w14:paraId="2FAEF181">
      <w:pPr>
        <w:pStyle w:val="231"/>
        <w:spacing w:line="40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Ⅰ　施工作业点或施工形成的危险路段无规定的安全标志；或</w:t>
      </w:r>
    </w:p>
    <w:p w14:paraId="44CFCDE9">
      <w:pPr>
        <w:pStyle w:val="231"/>
        <w:spacing w:line="40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Ⅱ　需设安全防护设施的未按规定设置；或</w:t>
      </w:r>
    </w:p>
    <w:p w14:paraId="4449EC67">
      <w:pPr>
        <w:pStyle w:val="231"/>
        <w:spacing w:line="40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Ⅲ　出现一般安全生产事故负有责任的；或</w:t>
      </w:r>
    </w:p>
    <w:p w14:paraId="1FE512BA">
      <w:pPr>
        <w:pStyle w:val="231"/>
        <w:spacing w:line="40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Ⅳ　发生重大安全事故不按规定报告的。</w:t>
      </w:r>
    </w:p>
    <w:p w14:paraId="0B747996">
      <w:pPr>
        <w:pStyle w:val="231"/>
        <w:spacing w:line="40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（d）出现下列行为之一可处5000元/处次。</w:t>
      </w:r>
    </w:p>
    <w:p w14:paraId="57A9563D">
      <w:pPr>
        <w:pStyle w:val="231"/>
        <w:spacing w:line="40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出现重大安全生产事故负有责任的。</w:t>
      </w:r>
    </w:p>
    <w:p w14:paraId="204342CA">
      <w:pPr>
        <w:pStyle w:val="231"/>
        <w:spacing w:line="40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22.1.2.5有本项(10)目违反合同专用条款规定的其他重要规定，可对承包人处以以下的违约金。</w:t>
      </w:r>
    </w:p>
    <w:p w14:paraId="02695CFF">
      <w:pPr>
        <w:pStyle w:val="231"/>
        <w:spacing w:line="40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a.质量管理</w:t>
      </w:r>
    </w:p>
    <w:p w14:paraId="322292F4">
      <w:pPr>
        <w:pStyle w:val="231"/>
        <w:spacing w:line="40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(a)出现下列行为之一可处100元/（人）次。</w:t>
      </w:r>
    </w:p>
    <w:p w14:paraId="10429971">
      <w:pPr>
        <w:pStyle w:val="231"/>
        <w:spacing w:line="40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Ⅰ 分项工程施工现场无合格的施工责任牌；或</w:t>
      </w:r>
    </w:p>
    <w:p w14:paraId="62DB0827">
      <w:pPr>
        <w:pStyle w:val="231"/>
        <w:spacing w:line="40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Ⅱ 分项工程施工现场无其相关责任人；或</w:t>
      </w:r>
    </w:p>
    <w:p w14:paraId="0E55297B">
      <w:pPr>
        <w:pStyle w:val="231"/>
        <w:spacing w:line="40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Ⅲ 施工现场无基本的检测检验工具；或</w:t>
      </w:r>
    </w:p>
    <w:p w14:paraId="75BF6775">
      <w:pPr>
        <w:pStyle w:val="231"/>
        <w:spacing w:line="40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Ⅳ 施工现场相关责任人无检查检验记录表；或</w:t>
      </w:r>
    </w:p>
    <w:p w14:paraId="670775BA">
      <w:pPr>
        <w:pStyle w:val="231"/>
        <w:spacing w:line="40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Ⅴ 现场已完成工作无检查记录。</w:t>
      </w:r>
    </w:p>
    <w:p w14:paraId="6F02C016">
      <w:pPr>
        <w:pStyle w:val="231"/>
        <w:spacing w:line="40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（b）出现以下行为之一，可处500元/次。</w:t>
      </w:r>
    </w:p>
    <w:p w14:paraId="760A433F">
      <w:pPr>
        <w:pStyle w:val="231"/>
        <w:spacing w:line="40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Ⅰ　未按工序申请检验进入下一道工序的；或</w:t>
      </w:r>
    </w:p>
    <w:p w14:paraId="4486FA14">
      <w:pPr>
        <w:pStyle w:val="231"/>
        <w:spacing w:line="40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Ⅱ　隐蔽工程记录文件不全；或</w:t>
      </w:r>
    </w:p>
    <w:p w14:paraId="7410A424">
      <w:pPr>
        <w:pStyle w:val="231"/>
        <w:spacing w:line="40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Ⅲ　施工试验检验频率不符合施工规范规定；或</w:t>
      </w:r>
    </w:p>
    <w:p w14:paraId="3CCEED3C">
      <w:pPr>
        <w:pStyle w:val="231"/>
        <w:spacing w:line="40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Ⅳ　分项工程质量自检验收检验频率不符合质量评定标准规定的。</w:t>
      </w:r>
    </w:p>
    <w:p w14:paraId="0656BD8C">
      <w:pPr>
        <w:pStyle w:val="231"/>
        <w:spacing w:line="40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（c）出现以下行为之一，可处1000元/次。</w:t>
      </w:r>
    </w:p>
    <w:p w14:paraId="5E3B1296">
      <w:pPr>
        <w:pStyle w:val="231"/>
        <w:spacing w:line="40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Ⅰ　出现质量问题，且承包人负有直接责任的，或不能证明其履行其职责的。或</w:t>
      </w:r>
    </w:p>
    <w:p w14:paraId="48B56B95">
      <w:pPr>
        <w:pStyle w:val="231"/>
        <w:spacing w:line="40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Ⅱ　发生质量事故，未按有关规定和时间向有关部门报告的；</w:t>
      </w:r>
    </w:p>
    <w:p w14:paraId="6E9B2F2D">
      <w:pPr>
        <w:pStyle w:val="231"/>
        <w:spacing w:line="40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Ⅲ　已经施工完成的工程没有按竣工文件收集归档管理办法要求依分项工程、工序将施工作业记录、测量记录、试验检测记录及工序报验审批记录等收集归档。</w:t>
      </w:r>
    </w:p>
    <w:p w14:paraId="13647F73">
      <w:pPr>
        <w:pStyle w:val="231"/>
        <w:spacing w:line="40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（d ）出现以下行为之一，可处3000元/次。</w:t>
      </w:r>
    </w:p>
    <w:p w14:paraId="6195BFBE">
      <w:pPr>
        <w:pStyle w:val="231"/>
        <w:spacing w:line="40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Ⅰ　施工单位不接受质监机构监督；或</w:t>
      </w:r>
    </w:p>
    <w:p w14:paraId="475B45DF">
      <w:pPr>
        <w:pStyle w:val="231"/>
        <w:spacing w:line="40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Ⅱ　出现二、三级一般质量事故，且承包人负有直接责任，或不能证明其履行其职责的；或</w:t>
      </w:r>
    </w:p>
    <w:p w14:paraId="4536BBAD">
      <w:pPr>
        <w:pStyle w:val="231"/>
        <w:spacing w:line="40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Ⅲ  构造物、中小型预制构件等一次单点实体抽查合格率为50%—75%的；或</w:t>
      </w:r>
    </w:p>
    <w:p w14:paraId="19E9AB4C">
      <w:pPr>
        <w:pStyle w:val="231"/>
        <w:spacing w:line="40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Ⅳ　使用主要材料（钢筋、水泥、沥青、碎石、砂、砂砾等）不合格的。或</w:t>
      </w:r>
    </w:p>
    <w:p w14:paraId="37B00EF2">
      <w:pPr>
        <w:pStyle w:val="231"/>
        <w:spacing w:line="40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Ⅴ　已经施工完成的工程无法提供按竣工文件收集归档管理办法要求应收集的分项工程、工序的施工作业记录、测量记录、试验检测记录及工序报验审批记录等质量管理文件的。</w:t>
      </w:r>
    </w:p>
    <w:p w14:paraId="3804B792">
      <w:pPr>
        <w:pStyle w:val="231"/>
        <w:spacing w:line="40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（e）出现以下行为之一，可处5000元/次。</w:t>
      </w:r>
    </w:p>
    <w:p w14:paraId="6A6ED1E5">
      <w:pPr>
        <w:pStyle w:val="231"/>
        <w:spacing w:line="40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Ⅰ发生一级一般质量事故或重大质量事故，且承包人负有直接责任，或不能证明其履行其职责的；或 </w:t>
      </w:r>
    </w:p>
    <w:p w14:paraId="0FF3E829">
      <w:pPr>
        <w:pStyle w:val="231"/>
        <w:spacing w:line="40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Ⅱ构造物、中小型预制构件等一次单点实体抽查合格率小于50%的；或</w:t>
      </w:r>
    </w:p>
    <w:p w14:paraId="48F6AE6A">
      <w:pPr>
        <w:pStyle w:val="231"/>
        <w:spacing w:line="40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Ⅲ未按要求进行自检，弄虚作假、捏造数据、伪造试验报告的。</w:t>
      </w:r>
    </w:p>
    <w:p w14:paraId="2A5D2DCE">
      <w:pPr>
        <w:pStyle w:val="231"/>
        <w:spacing w:line="40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（f）因质量问题被地市级及以上交通主管部门、质量监督单位、公路管理机构通报（批评）的，可对承包人处以10000元违约金，红牌警告5000元，黄牌警告3000元。</w:t>
      </w:r>
    </w:p>
    <w:p w14:paraId="371C7A8B">
      <w:pPr>
        <w:pStyle w:val="231"/>
        <w:spacing w:line="40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b．文明施工与环境保护，交通通畅</w:t>
      </w:r>
    </w:p>
    <w:p w14:paraId="1048C7F0">
      <w:pPr>
        <w:pStyle w:val="231"/>
        <w:spacing w:line="40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（a）由于施工原因造成污染、破坏被群众向政府、主管单位投诉或被环保、水利部门责令整改的，处1000元/次。</w:t>
      </w:r>
    </w:p>
    <w:p w14:paraId="4023BAE9">
      <w:pPr>
        <w:pStyle w:val="231"/>
        <w:spacing w:line="40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（b）其他重要规定违约处理</w:t>
      </w:r>
    </w:p>
    <w:p w14:paraId="17130380">
      <w:pPr>
        <w:pStyle w:val="231"/>
        <w:spacing w:line="40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　有下列行为之一的处500元/人次违约金并责令承包人进行整改。</w:t>
      </w:r>
    </w:p>
    <w:p w14:paraId="035C12F4">
      <w:pPr>
        <w:pStyle w:val="231"/>
        <w:spacing w:line="40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a)、 劳务人员未按规定签订聘用合同并向业主、监理工程师报备；或</w:t>
      </w:r>
    </w:p>
    <w:p w14:paraId="7EAA320A">
      <w:pPr>
        <w:pStyle w:val="231"/>
        <w:spacing w:line="40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b)、签订的劳务合同不符合劳动法等法规要求；或</w:t>
      </w:r>
    </w:p>
    <w:p w14:paraId="3DA76BB5">
      <w:pPr>
        <w:pStyle w:val="231"/>
        <w:spacing w:line="40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c)、务人员未编入承包人施工班组，并持项目经理签发的劳务上岗证上岗。</w:t>
      </w:r>
    </w:p>
    <w:p w14:paraId="7C1D10FD">
      <w:pPr>
        <w:pStyle w:val="231"/>
        <w:spacing w:line="40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22.1.3上述被处的违约金在计量支付时从履约担保金中扣除，当扣除额达履约担保金总额30%时，承包人无条件进行足额补充。</w:t>
      </w:r>
    </w:p>
    <w:p w14:paraId="5B5A359A">
      <w:pPr>
        <w:pStyle w:val="231"/>
        <w:spacing w:line="40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22.1.4业主（项目法人）按合同进行违约处理后，并不解除承包人按照国家法规与合同应承担的责任与义务。</w:t>
      </w:r>
    </w:p>
    <w:p w14:paraId="52A4AD6A">
      <w:pPr>
        <w:tabs>
          <w:tab w:val="left" w:pos="3193"/>
        </w:tabs>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25.其它（增加）</w:t>
      </w:r>
    </w:p>
    <w:p w14:paraId="74E3AE4E">
      <w:pPr>
        <w:pStyle w:val="235"/>
        <w:rPr>
          <w:color w:val="auto"/>
          <w:highlight w:val="none"/>
        </w:rPr>
      </w:pPr>
    </w:p>
    <w:p w14:paraId="1333F972">
      <w:pPr>
        <w:tabs>
          <w:tab w:val="left" w:pos="7200"/>
          <w:tab w:val="left" w:pos="7380"/>
          <w:tab w:val="left" w:pos="7560"/>
        </w:tabs>
        <w:spacing w:line="360" w:lineRule="auto"/>
        <w:ind w:firstLine="422"/>
        <w:rPr>
          <w:rFonts w:hint="eastAsia" w:ascii="宋体" w:hAnsi="宋体" w:cs="宋体"/>
          <w:color w:val="auto"/>
          <w:szCs w:val="21"/>
          <w:highlight w:val="none"/>
        </w:rPr>
      </w:pPr>
      <w:r>
        <w:rPr>
          <w:rFonts w:hint="eastAsia" w:ascii="宋体" w:hAnsi="宋体" w:cs="宋体"/>
          <w:b/>
          <w:bCs/>
          <w:color w:val="auto"/>
          <w:szCs w:val="21"/>
          <w:highlight w:val="none"/>
        </w:rPr>
        <w:t>25.1（增加）承包人应严格按照《中华人民共和国农业法》、《中华人民共和国土地管理法》、《基本农田保护条例》等的规定占用或使用土地，切实保护耕地，承包人的临时用地应作好复耕、绿化、地质灾害防护或恢复至使用状态。同时，在工程施工中，依据国家和地方有关环境的法律法规和文件、环境影响报告书、有关技术规范及设计文件等，在生态保护、水土保持、地质灾害防治、绿化、污染物防治等方面执行有关环境规定。对承包人违反耕地保护和环境保护的相关规定的，监理工程师有权作出指令要求承包人进行整改或修复并监理工程师满意，若承包人不执行监理工程师指令的，监理工程师有权中止支付或另行处理，所发生费用由承包人承担。</w:t>
      </w:r>
    </w:p>
    <w:p w14:paraId="7982A762">
      <w:pPr>
        <w:rPr>
          <w:color w:val="auto"/>
          <w:highlight w:val="none"/>
        </w:rPr>
        <w:sectPr>
          <w:footerReference r:id="rId10" w:type="default"/>
          <w:footerReference r:id="rId11" w:type="even"/>
          <w:pgSz w:w="11910" w:h="16850"/>
          <w:pgMar w:top="1480" w:right="1200" w:bottom="1080" w:left="1220" w:header="883" w:footer="884" w:gutter="0"/>
          <w:cols w:space="1701" w:num="1"/>
        </w:sectPr>
      </w:pPr>
    </w:p>
    <w:p w14:paraId="7E7B63B4">
      <w:pPr>
        <w:pStyle w:val="188"/>
        <w:spacing w:before="0" w:after="0" w:line="360" w:lineRule="auto"/>
        <w:jc w:val="center"/>
        <w:rPr>
          <w:b w:val="0"/>
          <w:color w:val="auto"/>
          <w:highlight w:val="none"/>
        </w:rPr>
      </w:pPr>
      <w:r>
        <w:rPr>
          <w:rFonts w:hint="eastAsia"/>
          <w:color w:val="auto"/>
          <w:highlight w:val="none"/>
        </w:rPr>
        <w:t>第三节 合同附件格式</w:t>
      </w:r>
    </w:p>
    <w:p w14:paraId="2045D6CA">
      <w:pPr>
        <w:pStyle w:val="189"/>
        <w:spacing w:before="0" w:after="0" w:line="360" w:lineRule="auto"/>
        <w:rPr>
          <w:color w:val="auto"/>
          <w:highlight w:val="none"/>
        </w:rPr>
      </w:pPr>
      <w:r>
        <w:rPr>
          <w:rFonts w:hint="eastAsia"/>
          <w:color w:val="auto"/>
          <w:highlight w:val="none"/>
        </w:rPr>
        <w:t>附件一 合同协议书</w:t>
      </w:r>
    </w:p>
    <w:p w14:paraId="17AAD9BE">
      <w:pPr>
        <w:spacing w:line="360" w:lineRule="auto"/>
        <w:jc w:val="center"/>
        <w:rPr>
          <w:rFonts w:hint="eastAsia" w:ascii="黑体" w:hAnsi="黑体" w:eastAsia="黑体" w:cs="黑体"/>
          <w:b/>
          <w:bCs/>
          <w:color w:val="auto"/>
          <w:sz w:val="28"/>
          <w:szCs w:val="28"/>
          <w:highlight w:val="none"/>
        </w:rPr>
      </w:pPr>
      <w:r>
        <w:rPr>
          <w:rFonts w:hint="eastAsia" w:ascii="黑体" w:hAnsi="黑体" w:eastAsia="黑体" w:cs="黑体"/>
          <w:b/>
          <w:bCs/>
          <w:color w:val="auto"/>
          <w:sz w:val="28"/>
          <w:szCs w:val="28"/>
          <w:highlight w:val="none"/>
        </w:rPr>
        <w:t>合 同 协 议 书</w:t>
      </w:r>
    </w:p>
    <w:p w14:paraId="540B41FD">
      <w:pPr>
        <w:pStyle w:val="410"/>
        <w:shd w:val="clear" w:color="auto" w:fill="auto"/>
        <w:tabs>
          <w:tab w:val="left" w:leader="underscore" w:pos="1756"/>
          <w:tab w:val="left" w:leader="underscore" w:pos="8354"/>
        </w:tabs>
        <w:spacing w:before="0" w:line="400" w:lineRule="exact"/>
        <w:ind w:firstLine="660"/>
        <w:rPr>
          <w:rFonts w:hint="eastAsia" w:ascii="宋体" w:hAnsi="宋体" w:eastAsia="宋体"/>
          <w:color w:val="auto"/>
          <w:highlight w:val="none"/>
        </w:rPr>
      </w:pPr>
      <w:r>
        <w:rPr>
          <w:rStyle w:val="273"/>
          <w:rFonts w:ascii="宋体" w:hAnsi="宋体" w:eastAsia="宋体"/>
          <w:color w:val="auto"/>
          <w:highlight w:val="none"/>
          <w:u w:val="single"/>
        </w:rPr>
        <w:t>(</w:t>
      </w:r>
      <w:r>
        <w:rPr>
          <w:rStyle w:val="273"/>
          <w:rFonts w:hint="eastAsia" w:ascii="宋体" w:hAnsi="宋体" w:eastAsia="宋体"/>
          <w:color w:val="auto"/>
          <w:highlight w:val="none"/>
          <w:u w:val="single"/>
        </w:rPr>
        <w:t>发包人名称，以下简称“发包人”）</w:t>
      </w:r>
      <w:r>
        <w:rPr>
          <w:rStyle w:val="273"/>
          <w:rFonts w:hint="eastAsia" w:ascii="宋体" w:hAnsi="宋体" w:eastAsia="宋体"/>
          <w:color w:val="auto"/>
          <w:highlight w:val="none"/>
        </w:rPr>
        <w:t>为实施</w:t>
      </w:r>
      <w:r>
        <w:rPr>
          <w:rStyle w:val="273"/>
          <w:rFonts w:ascii="宋体" w:hAnsi="宋体" w:eastAsia="宋体"/>
          <w:color w:val="auto"/>
          <w:highlight w:val="none"/>
          <w:u w:val="single"/>
        </w:rPr>
        <w:t>(</w:t>
      </w:r>
      <w:r>
        <w:rPr>
          <w:rStyle w:val="273"/>
          <w:rFonts w:hint="eastAsia" w:ascii="宋体" w:hAnsi="宋体" w:eastAsia="宋体"/>
          <w:color w:val="auto"/>
          <w:highlight w:val="none"/>
          <w:u w:val="single"/>
        </w:rPr>
        <w:t>项目名称</w:t>
      </w:r>
      <w:r>
        <w:rPr>
          <w:rStyle w:val="273"/>
          <w:rFonts w:ascii="宋体" w:hAnsi="宋体" w:eastAsia="宋体"/>
          <w:color w:val="auto"/>
          <w:highlight w:val="none"/>
          <w:u w:val="single"/>
        </w:rPr>
        <w:t>)</w:t>
      </w:r>
      <w:r>
        <w:rPr>
          <w:rStyle w:val="273"/>
          <w:rFonts w:hint="eastAsia" w:ascii="宋体" w:hAnsi="宋体" w:eastAsia="宋体"/>
          <w:color w:val="auto"/>
          <w:highlight w:val="none"/>
        </w:rPr>
        <w:t>，</w:t>
      </w:r>
      <w:r>
        <w:rPr>
          <w:rStyle w:val="273"/>
          <w:rFonts w:hint="eastAsia" w:ascii="宋体" w:hAnsi="宋体" w:eastAsia="宋体"/>
          <w:color w:val="auto"/>
          <w:highlight w:val="none"/>
          <w:lang w:val="en-US"/>
        </w:rPr>
        <w:t>已</w:t>
      </w:r>
      <w:r>
        <w:rPr>
          <w:rStyle w:val="273"/>
          <w:rFonts w:hint="eastAsia" w:ascii="宋体" w:hAnsi="宋体" w:eastAsia="宋体"/>
          <w:color w:val="auto"/>
          <w:highlight w:val="none"/>
        </w:rPr>
        <w:t>接受</w:t>
      </w:r>
      <w:r>
        <w:rPr>
          <w:rStyle w:val="273"/>
          <w:rFonts w:ascii="宋体" w:hAnsi="宋体" w:eastAsia="宋体"/>
          <w:color w:val="auto"/>
          <w:highlight w:val="none"/>
          <w:u w:val="single"/>
        </w:rPr>
        <w:t>(</w:t>
      </w:r>
      <w:r>
        <w:rPr>
          <w:rStyle w:val="273"/>
          <w:rFonts w:hint="eastAsia" w:ascii="宋体" w:hAnsi="宋体" w:eastAsia="宋体"/>
          <w:color w:val="auto"/>
          <w:highlight w:val="none"/>
          <w:u w:val="single"/>
        </w:rPr>
        <w:t>承包人名称，以下简称“承包人”）</w:t>
      </w:r>
      <w:r>
        <w:rPr>
          <w:rStyle w:val="273"/>
          <w:rFonts w:hint="eastAsia" w:ascii="宋体" w:hAnsi="宋体" w:eastAsia="宋体"/>
          <w:color w:val="auto"/>
          <w:highlight w:val="none"/>
        </w:rPr>
        <w:t>对该项目</w:t>
      </w:r>
      <w:r>
        <w:rPr>
          <w:rStyle w:val="273"/>
          <w:rFonts w:hint="eastAsia" w:ascii="宋体" w:hAnsi="宋体" w:eastAsia="宋体"/>
          <w:color w:val="auto"/>
          <w:highlight w:val="none"/>
          <w:u w:val="single"/>
          <w:lang w:val="en-US"/>
        </w:rPr>
        <w:t xml:space="preserve">   </w:t>
      </w:r>
      <w:r>
        <w:rPr>
          <w:rStyle w:val="273"/>
          <w:rFonts w:hint="eastAsia" w:ascii="宋体" w:hAnsi="宋体" w:eastAsia="宋体"/>
          <w:color w:val="auto"/>
          <w:highlight w:val="none"/>
          <w:u w:val="single"/>
        </w:rPr>
        <w:t>标段</w:t>
      </w:r>
      <w:r>
        <w:rPr>
          <w:rStyle w:val="273"/>
          <w:rFonts w:hint="eastAsia" w:ascii="宋体" w:hAnsi="宋体" w:eastAsia="宋体"/>
          <w:color w:val="auto"/>
          <w:highlight w:val="none"/>
        </w:rPr>
        <w:t>施工的竞标。发包人和承包人共同达成如下协议。</w:t>
      </w:r>
    </w:p>
    <w:p w14:paraId="16EE6991">
      <w:pPr>
        <w:pStyle w:val="410"/>
        <w:shd w:val="clear" w:color="auto" w:fill="auto"/>
        <w:tabs>
          <w:tab w:val="left" w:pos="1074"/>
        </w:tabs>
        <w:spacing w:before="0" w:line="400" w:lineRule="exact"/>
        <w:ind w:firstLine="420"/>
        <w:rPr>
          <w:rFonts w:hint="eastAsia" w:ascii="宋体" w:hAnsi="宋体" w:eastAsia="宋体" w:cs="宋体"/>
          <w:color w:val="auto"/>
          <w:spacing w:val="0"/>
          <w:sz w:val="21"/>
          <w:szCs w:val="21"/>
          <w:highlight w:val="none"/>
        </w:rPr>
      </w:pPr>
      <w:r>
        <w:rPr>
          <w:rStyle w:val="273"/>
          <w:rFonts w:hint="eastAsia" w:ascii="宋体" w:hAnsi="宋体" w:eastAsia="宋体" w:cs="宋体"/>
          <w:color w:val="auto"/>
          <w:sz w:val="21"/>
          <w:szCs w:val="21"/>
          <w:highlight w:val="none"/>
        </w:rPr>
        <w:t>1．建设内容：</w:t>
      </w:r>
      <w:r>
        <w:rPr>
          <w:rStyle w:val="273"/>
          <w:rFonts w:hint="eastAsia" w:ascii="宋体" w:hAnsi="宋体" w:eastAsia="宋体" w:cs="宋体"/>
          <w:color w:val="auto"/>
          <w:sz w:val="21"/>
          <w:szCs w:val="21"/>
          <w:highlight w:val="none"/>
          <w:u w:val="single"/>
          <w:lang w:val="en-US"/>
        </w:rPr>
        <w:t xml:space="preserve">                                                  </w:t>
      </w:r>
      <w:r>
        <w:rPr>
          <w:rStyle w:val="273"/>
          <w:rFonts w:hint="eastAsia" w:ascii="宋体" w:hAnsi="宋体" w:eastAsia="宋体"/>
          <w:color w:val="auto"/>
          <w:highlight w:val="none"/>
        </w:rPr>
        <w:t>。</w:t>
      </w:r>
    </w:p>
    <w:p w14:paraId="32532F8F">
      <w:pPr>
        <w:pStyle w:val="410"/>
        <w:shd w:val="clear" w:color="auto" w:fill="auto"/>
        <w:tabs>
          <w:tab w:val="left" w:pos="1098"/>
        </w:tabs>
        <w:spacing w:before="0"/>
        <w:ind w:firstLine="420"/>
        <w:rPr>
          <w:rFonts w:hint="eastAsia" w:ascii="宋体" w:hAnsi="宋体" w:eastAsia="宋体" w:cs="宋体"/>
          <w:color w:val="auto"/>
          <w:spacing w:val="0"/>
          <w:sz w:val="21"/>
          <w:szCs w:val="21"/>
          <w:highlight w:val="none"/>
        </w:rPr>
      </w:pPr>
      <w:r>
        <w:rPr>
          <w:rStyle w:val="273"/>
          <w:rFonts w:hint="eastAsia" w:ascii="宋体" w:hAnsi="宋体" w:eastAsia="宋体" w:cs="宋体"/>
          <w:color w:val="auto"/>
          <w:sz w:val="21"/>
          <w:szCs w:val="21"/>
          <w:highlight w:val="none"/>
        </w:rPr>
        <w:t>2．下列文件应视为构成合同文件的组成部分：</w:t>
      </w:r>
    </w:p>
    <w:p w14:paraId="62275D68">
      <w:pPr>
        <w:pStyle w:val="410"/>
        <w:shd w:val="clear" w:color="auto" w:fill="auto"/>
        <w:tabs>
          <w:tab w:val="left" w:pos="1373"/>
        </w:tabs>
        <w:spacing w:before="0"/>
        <w:ind w:firstLine="420"/>
        <w:jc w:val="left"/>
        <w:rPr>
          <w:rFonts w:hint="eastAsia" w:ascii="宋体" w:hAnsi="宋体" w:eastAsia="宋体" w:cs="宋体"/>
          <w:color w:val="auto"/>
          <w:spacing w:val="0"/>
          <w:sz w:val="21"/>
          <w:szCs w:val="21"/>
          <w:highlight w:val="none"/>
        </w:rPr>
      </w:pPr>
      <w:r>
        <w:rPr>
          <w:rStyle w:val="273"/>
          <w:rFonts w:hint="eastAsia" w:ascii="宋体" w:hAnsi="宋体" w:eastAsia="宋体" w:cs="宋体"/>
          <w:color w:val="auto"/>
          <w:sz w:val="21"/>
          <w:szCs w:val="21"/>
          <w:highlight w:val="none"/>
        </w:rPr>
        <w:t>（1）本协议书及各种合同附件（含评标期间和合同谈判过程中的澄清文件和补充资料）；</w:t>
      </w:r>
    </w:p>
    <w:p w14:paraId="53C0E7E4">
      <w:pPr>
        <w:pStyle w:val="410"/>
        <w:shd w:val="clear" w:color="auto" w:fill="auto"/>
        <w:tabs>
          <w:tab w:val="left" w:pos="1389"/>
        </w:tabs>
        <w:spacing w:before="0"/>
        <w:ind w:firstLine="420"/>
        <w:rPr>
          <w:rFonts w:hint="eastAsia" w:ascii="宋体" w:hAnsi="宋体" w:eastAsia="宋体" w:cs="宋体"/>
          <w:color w:val="auto"/>
          <w:spacing w:val="0"/>
          <w:sz w:val="21"/>
          <w:szCs w:val="21"/>
          <w:highlight w:val="none"/>
        </w:rPr>
      </w:pPr>
      <w:r>
        <w:rPr>
          <w:rStyle w:val="273"/>
          <w:rFonts w:hint="eastAsia" w:ascii="宋体" w:hAnsi="宋体" w:eastAsia="宋体" w:cs="宋体"/>
          <w:color w:val="auto"/>
          <w:sz w:val="21"/>
          <w:szCs w:val="21"/>
          <w:highlight w:val="none"/>
        </w:rPr>
        <w:t>（2）成交通知书；</w:t>
      </w:r>
    </w:p>
    <w:p w14:paraId="47520A03">
      <w:pPr>
        <w:pStyle w:val="410"/>
        <w:shd w:val="clear" w:color="auto" w:fill="auto"/>
        <w:tabs>
          <w:tab w:val="left" w:pos="1389"/>
        </w:tabs>
        <w:spacing w:before="0"/>
        <w:ind w:firstLine="420"/>
        <w:rPr>
          <w:rStyle w:val="273"/>
          <w:rFonts w:hint="eastAsia" w:ascii="宋体" w:hAnsi="宋体" w:eastAsia="宋体" w:cs="宋体"/>
          <w:color w:val="auto"/>
          <w:sz w:val="21"/>
          <w:szCs w:val="21"/>
          <w:highlight w:val="none"/>
        </w:rPr>
      </w:pPr>
      <w:r>
        <w:rPr>
          <w:rStyle w:val="273"/>
          <w:rFonts w:hint="eastAsia" w:ascii="宋体" w:hAnsi="宋体" w:eastAsia="宋体" w:cs="宋体"/>
          <w:color w:val="auto"/>
          <w:sz w:val="21"/>
          <w:szCs w:val="21"/>
          <w:highlight w:val="none"/>
        </w:rPr>
        <w:t>（3）</w:t>
      </w:r>
      <w:r>
        <w:rPr>
          <w:rStyle w:val="273"/>
          <w:rFonts w:hint="eastAsia" w:ascii="宋体" w:hAnsi="宋体" w:eastAsia="宋体"/>
          <w:color w:val="auto"/>
          <w:highlight w:val="none"/>
        </w:rPr>
        <w:t>竞标</w:t>
      </w:r>
      <w:r>
        <w:rPr>
          <w:rStyle w:val="273"/>
          <w:rFonts w:hint="eastAsia" w:ascii="宋体" w:hAnsi="宋体" w:eastAsia="宋体" w:cs="宋体"/>
          <w:color w:val="auto"/>
          <w:sz w:val="21"/>
          <w:szCs w:val="21"/>
          <w:highlight w:val="none"/>
        </w:rPr>
        <w:t>函及</w:t>
      </w:r>
      <w:r>
        <w:rPr>
          <w:rStyle w:val="273"/>
          <w:rFonts w:hint="eastAsia" w:ascii="宋体" w:hAnsi="宋体" w:eastAsia="宋体"/>
          <w:color w:val="auto"/>
          <w:highlight w:val="none"/>
        </w:rPr>
        <w:t>竞标</w:t>
      </w:r>
      <w:r>
        <w:rPr>
          <w:rStyle w:val="273"/>
          <w:rFonts w:hint="eastAsia" w:ascii="宋体" w:hAnsi="宋体" w:eastAsia="宋体" w:cs="宋体"/>
          <w:color w:val="auto"/>
          <w:sz w:val="21"/>
          <w:szCs w:val="21"/>
          <w:highlight w:val="none"/>
        </w:rPr>
        <w:t>函附录；</w:t>
      </w:r>
    </w:p>
    <w:p w14:paraId="342C7A2F">
      <w:pPr>
        <w:pStyle w:val="410"/>
        <w:shd w:val="clear" w:color="auto" w:fill="auto"/>
        <w:tabs>
          <w:tab w:val="left" w:pos="1389"/>
        </w:tabs>
        <w:spacing w:before="0"/>
        <w:ind w:firstLine="420"/>
        <w:rPr>
          <w:rFonts w:hint="eastAsia" w:ascii="宋体" w:hAnsi="宋体" w:eastAsia="宋体" w:cs="宋体"/>
          <w:color w:val="auto"/>
          <w:spacing w:val="0"/>
          <w:sz w:val="21"/>
          <w:szCs w:val="21"/>
          <w:highlight w:val="none"/>
        </w:rPr>
      </w:pPr>
      <w:r>
        <w:rPr>
          <w:rStyle w:val="273"/>
          <w:rFonts w:hint="eastAsia" w:ascii="宋体" w:hAnsi="宋体" w:eastAsia="宋体" w:cs="宋体"/>
          <w:color w:val="auto"/>
          <w:sz w:val="21"/>
          <w:szCs w:val="21"/>
          <w:highlight w:val="none"/>
        </w:rPr>
        <w:t>（</w:t>
      </w:r>
      <w:r>
        <w:rPr>
          <w:rStyle w:val="273"/>
          <w:rFonts w:hint="eastAsia" w:ascii="宋体" w:hAnsi="宋体" w:eastAsia="宋体" w:cs="宋体"/>
          <w:color w:val="auto"/>
          <w:sz w:val="21"/>
          <w:szCs w:val="21"/>
          <w:highlight w:val="none"/>
          <w:lang w:val="en-US"/>
        </w:rPr>
        <w:t>4</w:t>
      </w:r>
      <w:r>
        <w:rPr>
          <w:rStyle w:val="273"/>
          <w:rFonts w:hint="eastAsia" w:ascii="宋体" w:hAnsi="宋体" w:eastAsia="宋体" w:cs="宋体"/>
          <w:color w:val="auto"/>
          <w:sz w:val="21"/>
          <w:szCs w:val="21"/>
          <w:highlight w:val="none"/>
        </w:rPr>
        <w:t>）项目专用合同条款；</w:t>
      </w:r>
    </w:p>
    <w:p w14:paraId="1832053B">
      <w:pPr>
        <w:pStyle w:val="410"/>
        <w:shd w:val="clear" w:color="auto" w:fill="auto"/>
        <w:tabs>
          <w:tab w:val="left" w:pos="1389"/>
        </w:tabs>
        <w:spacing w:before="0"/>
        <w:ind w:firstLine="420"/>
        <w:rPr>
          <w:rFonts w:hint="eastAsia" w:ascii="宋体" w:hAnsi="宋体" w:eastAsia="宋体" w:cs="宋体"/>
          <w:color w:val="auto"/>
          <w:spacing w:val="0"/>
          <w:sz w:val="21"/>
          <w:szCs w:val="21"/>
          <w:highlight w:val="none"/>
        </w:rPr>
      </w:pPr>
      <w:r>
        <w:rPr>
          <w:rStyle w:val="273"/>
          <w:rFonts w:hint="eastAsia" w:ascii="宋体" w:hAnsi="宋体" w:eastAsia="宋体" w:cs="宋体"/>
          <w:color w:val="auto"/>
          <w:sz w:val="21"/>
          <w:szCs w:val="21"/>
          <w:highlight w:val="none"/>
        </w:rPr>
        <w:t>（</w:t>
      </w:r>
      <w:r>
        <w:rPr>
          <w:rStyle w:val="273"/>
          <w:rFonts w:hint="eastAsia" w:ascii="宋体" w:hAnsi="宋体" w:eastAsia="宋体" w:cs="宋体"/>
          <w:color w:val="auto"/>
          <w:sz w:val="21"/>
          <w:szCs w:val="21"/>
          <w:highlight w:val="none"/>
          <w:lang w:val="en-US"/>
        </w:rPr>
        <w:t>5</w:t>
      </w:r>
      <w:r>
        <w:rPr>
          <w:rStyle w:val="273"/>
          <w:rFonts w:hint="eastAsia" w:ascii="宋体" w:hAnsi="宋体" w:eastAsia="宋体" w:cs="宋体"/>
          <w:color w:val="auto"/>
          <w:sz w:val="21"/>
          <w:szCs w:val="21"/>
          <w:highlight w:val="none"/>
        </w:rPr>
        <w:t>）公路工程专用合同条款；</w:t>
      </w:r>
    </w:p>
    <w:p w14:paraId="74E68FE2">
      <w:pPr>
        <w:pStyle w:val="410"/>
        <w:shd w:val="clear" w:color="auto" w:fill="auto"/>
        <w:tabs>
          <w:tab w:val="left" w:pos="1389"/>
        </w:tabs>
        <w:spacing w:before="0"/>
        <w:ind w:firstLine="420"/>
        <w:rPr>
          <w:rFonts w:hint="eastAsia" w:ascii="宋体" w:hAnsi="宋体" w:eastAsia="宋体" w:cs="宋体"/>
          <w:color w:val="auto"/>
          <w:spacing w:val="0"/>
          <w:sz w:val="21"/>
          <w:szCs w:val="21"/>
          <w:highlight w:val="none"/>
        </w:rPr>
      </w:pPr>
      <w:r>
        <w:rPr>
          <w:rStyle w:val="273"/>
          <w:rFonts w:hint="eastAsia" w:ascii="宋体" w:hAnsi="宋体" w:eastAsia="宋体" w:cs="宋体"/>
          <w:color w:val="auto"/>
          <w:sz w:val="21"/>
          <w:szCs w:val="21"/>
          <w:highlight w:val="none"/>
        </w:rPr>
        <w:t>（</w:t>
      </w:r>
      <w:r>
        <w:rPr>
          <w:rStyle w:val="273"/>
          <w:rFonts w:hint="eastAsia" w:ascii="宋体" w:hAnsi="宋体" w:eastAsia="宋体" w:cs="宋体"/>
          <w:color w:val="auto"/>
          <w:sz w:val="21"/>
          <w:szCs w:val="21"/>
          <w:highlight w:val="none"/>
          <w:lang w:val="en-US"/>
        </w:rPr>
        <w:t>6</w:t>
      </w:r>
      <w:r>
        <w:rPr>
          <w:rStyle w:val="273"/>
          <w:rFonts w:hint="eastAsia" w:ascii="宋体" w:hAnsi="宋体" w:eastAsia="宋体" w:cs="宋体"/>
          <w:color w:val="auto"/>
          <w:sz w:val="21"/>
          <w:szCs w:val="21"/>
          <w:highlight w:val="none"/>
        </w:rPr>
        <w:t>）通用合同条款；</w:t>
      </w:r>
    </w:p>
    <w:p w14:paraId="2FB5F096">
      <w:pPr>
        <w:pStyle w:val="410"/>
        <w:shd w:val="clear" w:color="auto" w:fill="auto"/>
        <w:tabs>
          <w:tab w:val="left" w:pos="1389"/>
        </w:tabs>
        <w:spacing w:before="0"/>
        <w:ind w:firstLine="420"/>
        <w:rPr>
          <w:rFonts w:hint="eastAsia" w:ascii="宋体" w:hAnsi="宋体" w:eastAsia="宋体" w:cs="宋体"/>
          <w:color w:val="auto"/>
          <w:spacing w:val="0"/>
          <w:sz w:val="21"/>
          <w:szCs w:val="21"/>
          <w:highlight w:val="none"/>
        </w:rPr>
      </w:pPr>
      <w:r>
        <w:rPr>
          <w:rStyle w:val="273"/>
          <w:rFonts w:hint="eastAsia" w:ascii="宋体" w:hAnsi="宋体" w:eastAsia="宋体" w:cs="宋体"/>
          <w:color w:val="auto"/>
          <w:sz w:val="21"/>
          <w:szCs w:val="21"/>
          <w:highlight w:val="none"/>
        </w:rPr>
        <w:t>（</w:t>
      </w:r>
      <w:r>
        <w:rPr>
          <w:rStyle w:val="273"/>
          <w:rFonts w:hint="eastAsia" w:ascii="宋体" w:hAnsi="宋体" w:eastAsia="宋体" w:cs="宋体"/>
          <w:color w:val="auto"/>
          <w:sz w:val="21"/>
          <w:szCs w:val="21"/>
          <w:highlight w:val="none"/>
          <w:lang w:val="en-US"/>
        </w:rPr>
        <w:t>7</w:t>
      </w:r>
      <w:r>
        <w:rPr>
          <w:rStyle w:val="273"/>
          <w:rFonts w:hint="eastAsia" w:ascii="宋体" w:hAnsi="宋体" w:eastAsia="宋体" w:cs="宋体"/>
          <w:color w:val="auto"/>
          <w:sz w:val="21"/>
          <w:szCs w:val="21"/>
          <w:highlight w:val="none"/>
        </w:rPr>
        <w:t>）工程量清单计量规则；</w:t>
      </w:r>
    </w:p>
    <w:p w14:paraId="02E7D687">
      <w:pPr>
        <w:pStyle w:val="410"/>
        <w:shd w:val="clear" w:color="auto" w:fill="auto"/>
        <w:tabs>
          <w:tab w:val="left" w:pos="1389"/>
        </w:tabs>
        <w:spacing w:before="0"/>
        <w:ind w:firstLine="420"/>
        <w:rPr>
          <w:rFonts w:hint="eastAsia" w:ascii="宋体" w:hAnsi="宋体" w:eastAsia="宋体" w:cs="宋体"/>
          <w:color w:val="auto"/>
          <w:spacing w:val="0"/>
          <w:sz w:val="21"/>
          <w:szCs w:val="21"/>
          <w:highlight w:val="none"/>
        </w:rPr>
      </w:pPr>
      <w:r>
        <w:rPr>
          <w:rStyle w:val="273"/>
          <w:rFonts w:hint="eastAsia" w:ascii="宋体" w:hAnsi="宋体" w:eastAsia="宋体" w:cs="宋体"/>
          <w:color w:val="auto"/>
          <w:sz w:val="21"/>
          <w:szCs w:val="21"/>
          <w:highlight w:val="none"/>
        </w:rPr>
        <w:t>（</w:t>
      </w:r>
      <w:r>
        <w:rPr>
          <w:rStyle w:val="273"/>
          <w:rFonts w:hint="eastAsia" w:ascii="宋体" w:hAnsi="宋体" w:eastAsia="宋体" w:cs="宋体"/>
          <w:color w:val="auto"/>
          <w:sz w:val="21"/>
          <w:szCs w:val="21"/>
          <w:highlight w:val="none"/>
          <w:lang w:val="en-US"/>
        </w:rPr>
        <w:t>8</w:t>
      </w:r>
      <w:r>
        <w:rPr>
          <w:rStyle w:val="273"/>
          <w:rFonts w:hint="eastAsia" w:ascii="宋体" w:hAnsi="宋体" w:eastAsia="宋体" w:cs="宋体"/>
          <w:color w:val="auto"/>
          <w:sz w:val="21"/>
          <w:szCs w:val="21"/>
          <w:highlight w:val="none"/>
        </w:rPr>
        <w:t>）技术规范；</w:t>
      </w:r>
    </w:p>
    <w:p w14:paraId="5AA6BDA9">
      <w:pPr>
        <w:pStyle w:val="410"/>
        <w:shd w:val="clear" w:color="auto" w:fill="auto"/>
        <w:tabs>
          <w:tab w:val="left" w:pos="1389"/>
        </w:tabs>
        <w:spacing w:before="0"/>
        <w:ind w:firstLine="420"/>
        <w:rPr>
          <w:rFonts w:hint="eastAsia" w:ascii="宋体" w:hAnsi="宋体" w:eastAsia="宋体" w:cs="宋体"/>
          <w:color w:val="auto"/>
          <w:spacing w:val="0"/>
          <w:sz w:val="21"/>
          <w:szCs w:val="21"/>
          <w:highlight w:val="none"/>
        </w:rPr>
      </w:pPr>
      <w:r>
        <w:rPr>
          <w:rStyle w:val="273"/>
          <w:rFonts w:hint="eastAsia" w:ascii="宋体" w:hAnsi="宋体" w:eastAsia="宋体" w:cs="宋体"/>
          <w:color w:val="auto"/>
          <w:sz w:val="21"/>
          <w:szCs w:val="21"/>
          <w:highlight w:val="none"/>
        </w:rPr>
        <w:t>（</w:t>
      </w:r>
      <w:r>
        <w:rPr>
          <w:rStyle w:val="273"/>
          <w:rFonts w:hint="eastAsia" w:ascii="宋体" w:hAnsi="宋体" w:eastAsia="宋体" w:cs="宋体"/>
          <w:color w:val="auto"/>
          <w:sz w:val="21"/>
          <w:szCs w:val="21"/>
          <w:highlight w:val="none"/>
          <w:lang w:val="en-US"/>
        </w:rPr>
        <w:t>9</w:t>
      </w:r>
      <w:r>
        <w:rPr>
          <w:rStyle w:val="273"/>
          <w:rFonts w:hint="eastAsia" w:ascii="宋体" w:hAnsi="宋体" w:eastAsia="宋体" w:cs="宋体"/>
          <w:color w:val="auto"/>
          <w:sz w:val="21"/>
          <w:szCs w:val="21"/>
          <w:highlight w:val="none"/>
        </w:rPr>
        <w:t>）图纸；</w:t>
      </w:r>
    </w:p>
    <w:p w14:paraId="6E7AE1D3">
      <w:pPr>
        <w:pStyle w:val="410"/>
        <w:shd w:val="clear" w:color="auto" w:fill="auto"/>
        <w:tabs>
          <w:tab w:val="left" w:pos="1506"/>
        </w:tabs>
        <w:spacing w:before="0"/>
        <w:ind w:firstLine="420"/>
        <w:rPr>
          <w:rFonts w:hint="eastAsia" w:ascii="宋体" w:hAnsi="宋体" w:eastAsia="宋体" w:cs="宋体"/>
          <w:color w:val="auto"/>
          <w:spacing w:val="0"/>
          <w:sz w:val="21"/>
          <w:szCs w:val="21"/>
          <w:highlight w:val="none"/>
        </w:rPr>
      </w:pPr>
      <w:r>
        <w:rPr>
          <w:rStyle w:val="273"/>
          <w:rFonts w:hint="eastAsia" w:ascii="宋体" w:hAnsi="宋体" w:eastAsia="宋体" w:cs="宋体"/>
          <w:color w:val="auto"/>
          <w:sz w:val="21"/>
          <w:szCs w:val="21"/>
          <w:highlight w:val="none"/>
        </w:rPr>
        <w:t>（</w:t>
      </w:r>
      <w:r>
        <w:rPr>
          <w:rStyle w:val="273"/>
          <w:rFonts w:hint="eastAsia" w:ascii="宋体" w:hAnsi="宋体" w:eastAsia="宋体" w:cs="宋体"/>
          <w:color w:val="auto"/>
          <w:sz w:val="21"/>
          <w:szCs w:val="21"/>
          <w:highlight w:val="none"/>
          <w:lang w:val="en-US"/>
        </w:rPr>
        <w:t>10</w:t>
      </w:r>
      <w:r>
        <w:rPr>
          <w:rStyle w:val="273"/>
          <w:rFonts w:hint="eastAsia" w:ascii="宋体" w:hAnsi="宋体" w:eastAsia="宋体" w:cs="宋体"/>
          <w:color w:val="auto"/>
          <w:sz w:val="21"/>
          <w:szCs w:val="21"/>
          <w:highlight w:val="none"/>
        </w:rPr>
        <w:t>）</w:t>
      </w:r>
      <w:r>
        <w:rPr>
          <w:rStyle w:val="273"/>
          <w:rFonts w:hint="eastAsia" w:ascii="宋体" w:hAnsi="宋体" w:eastAsia="宋体" w:cs="宋体"/>
          <w:color w:val="auto"/>
          <w:sz w:val="21"/>
          <w:szCs w:val="21"/>
          <w:highlight w:val="none"/>
          <w:lang w:val="en-US"/>
        </w:rPr>
        <w:t>已</w:t>
      </w:r>
      <w:r>
        <w:rPr>
          <w:rStyle w:val="273"/>
          <w:rFonts w:hint="eastAsia" w:ascii="宋体" w:hAnsi="宋体" w:eastAsia="宋体" w:cs="宋体"/>
          <w:color w:val="auto"/>
          <w:sz w:val="21"/>
          <w:szCs w:val="21"/>
          <w:highlight w:val="none"/>
        </w:rPr>
        <w:t>标价工程量清单；</w:t>
      </w:r>
    </w:p>
    <w:p w14:paraId="0B6A9A4A">
      <w:pPr>
        <w:pStyle w:val="410"/>
        <w:shd w:val="clear" w:color="auto" w:fill="auto"/>
        <w:tabs>
          <w:tab w:val="left" w:pos="1506"/>
        </w:tabs>
        <w:spacing w:before="0"/>
        <w:ind w:firstLine="420"/>
        <w:rPr>
          <w:rFonts w:hint="eastAsia" w:ascii="宋体" w:hAnsi="宋体" w:eastAsia="宋体" w:cs="宋体"/>
          <w:color w:val="auto"/>
          <w:spacing w:val="0"/>
          <w:sz w:val="21"/>
          <w:szCs w:val="21"/>
          <w:highlight w:val="none"/>
        </w:rPr>
      </w:pPr>
      <w:r>
        <w:rPr>
          <w:rStyle w:val="273"/>
          <w:rFonts w:hint="eastAsia" w:ascii="宋体" w:hAnsi="宋体" w:eastAsia="宋体" w:cs="宋体"/>
          <w:color w:val="auto"/>
          <w:sz w:val="21"/>
          <w:szCs w:val="21"/>
          <w:highlight w:val="none"/>
        </w:rPr>
        <w:t>（</w:t>
      </w:r>
      <w:r>
        <w:rPr>
          <w:rStyle w:val="273"/>
          <w:rFonts w:hint="eastAsia" w:ascii="宋体" w:hAnsi="宋体" w:eastAsia="宋体" w:cs="宋体"/>
          <w:color w:val="auto"/>
          <w:sz w:val="21"/>
          <w:szCs w:val="21"/>
          <w:highlight w:val="none"/>
          <w:lang w:val="en-US"/>
        </w:rPr>
        <w:t>11</w:t>
      </w:r>
      <w:r>
        <w:rPr>
          <w:rStyle w:val="273"/>
          <w:rFonts w:hint="eastAsia" w:ascii="宋体" w:hAnsi="宋体" w:eastAsia="宋体" w:cs="宋体"/>
          <w:color w:val="auto"/>
          <w:sz w:val="21"/>
          <w:szCs w:val="21"/>
          <w:highlight w:val="none"/>
        </w:rPr>
        <w:t>）承包人有关人员、设备投入的承诺及响应文件中的施工组织设计；</w:t>
      </w:r>
    </w:p>
    <w:p w14:paraId="2211E2DA">
      <w:pPr>
        <w:pStyle w:val="410"/>
        <w:shd w:val="clear" w:color="auto" w:fill="auto"/>
        <w:tabs>
          <w:tab w:val="left" w:pos="1506"/>
        </w:tabs>
        <w:spacing w:before="0"/>
        <w:ind w:firstLine="420"/>
        <w:rPr>
          <w:rFonts w:hint="eastAsia" w:ascii="宋体" w:hAnsi="宋体" w:eastAsia="宋体" w:cs="宋体"/>
          <w:color w:val="auto"/>
          <w:spacing w:val="0"/>
          <w:sz w:val="21"/>
          <w:szCs w:val="21"/>
          <w:highlight w:val="none"/>
        </w:rPr>
      </w:pPr>
      <w:r>
        <w:rPr>
          <w:rStyle w:val="273"/>
          <w:rFonts w:hint="eastAsia" w:ascii="宋体" w:hAnsi="宋体" w:eastAsia="宋体" w:cs="宋体"/>
          <w:color w:val="auto"/>
          <w:sz w:val="21"/>
          <w:szCs w:val="21"/>
          <w:highlight w:val="none"/>
        </w:rPr>
        <w:t>（</w:t>
      </w:r>
      <w:r>
        <w:rPr>
          <w:rStyle w:val="273"/>
          <w:rFonts w:hint="eastAsia" w:ascii="宋体" w:hAnsi="宋体" w:eastAsia="宋体" w:cs="宋体"/>
          <w:color w:val="auto"/>
          <w:sz w:val="21"/>
          <w:szCs w:val="21"/>
          <w:highlight w:val="none"/>
          <w:lang w:val="en-US"/>
        </w:rPr>
        <w:t>12</w:t>
      </w:r>
      <w:r>
        <w:rPr>
          <w:rStyle w:val="273"/>
          <w:rFonts w:hint="eastAsia" w:ascii="宋体" w:hAnsi="宋体" w:eastAsia="宋体" w:cs="宋体"/>
          <w:color w:val="auto"/>
          <w:sz w:val="21"/>
          <w:szCs w:val="21"/>
          <w:highlight w:val="none"/>
        </w:rPr>
        <w:t>）其他合同文件。</w:t>
      </w:r>
    </w:p>
    <w:p w14:paraId="5ABBAFB5">
      <w:pPr>
        <w:pStyle w:val="410"/>
        <w:shd w:val="clear" w:color="auto" w:fill="auto"/>
        <w:spacing w:before="0"/>
        <w:ind w:firstLine="420"/>
        <w:rPr>
          <w:rStyle w:val="273"/>
          <w:rFonts w:hint="eastAsia" w:ascii="宋体" w:hAnsi="宋体" w:eastAsia="宋体" w:cs="宋体"/>
          <w:color w:val="auto"/>
          <w:sz w:val="21"/>
          <w:szCs w:val="21"/>
          <w:highlight w:val="none"/>
        </w:rPr>
      </w:pPr>
      <w:r>
        <w:rPr>
          <w:rStyle w:val="273"/>
          <w:rFonts w:hint="eastAsia" w:ascii="宋体" w:hAnsi="宋体" w:eastAsia="宋体" w:cs="宋体"/>
          <w:color w:val="auto"/>
          <w:sz w:val="21"/>
          <w:szCs w:val="21"/>
          <w:highlight w:val="none"/>
        </w:rPr>
        <w:t>上述合同文件互相补充和解释。如果合同文件之间存在矛盾或不一致之处，以上述文件的排列顺序在先者为准。</w:t>
      </w:r>
    </w:p>
    <w:p w14:paraId="2F57B534">
      <w:pPr>
        <w:pStyle w:val="410"/>
        <w:shd w:val="clear" w:color="auto" w:fill="auto"/>
        <w:spacing w:before="0"/>
        <w:ind w:firstLine="420"/>
        <w:rPr>
          <w:rStyle w:val="273"/>
          <w:rFonts w:hint="eastAsia" w:ascii="宋体" w:hAnsi="宋体" w:eastAsia="宋体" w:cs="宋体"/>
          <w:color w:val="auto"/>
          <w:sz w:val="21"/>
          <w:szCs w:val="21"/>
          <w:highlight w:val="none"/>
        </w:rPr>
      </w:pPr>
      <w:r>
        <w:rPr>
          <w:rFonts w:hint="eastAsia" w:ascii="宋体" w:hAnsi="宋体" w:eastAsia="宋体" w:cs="宋体"/>
          <w:color w:val="auto"/>
          <w:spacing w:val="0"/>
          <w:sz w:val="21"/>
          <w:szCs w:val="21"/>
          <w:highlight w:val="none"/>
          <w:lang w:val="zh-CN" w:bidi="zh-CN"/>
        </w:rPr>
        <w:t>3．</w:t>
      </w:r>
      <w:r>
        <w:rPr>
          <w:rStyle w:val="273"/>
          <w:rFonts w:hint="eastAsia" w:ascii="宋体" w:hAnsi="宋体" w:eastAsia="宋体" w:cs="宋体"/>
          <w:color w:val="auto"/>
          <w:sz w:val="21"/>
          <w:szCs w:val="21"/>
          <w:highlight w:val="none"/>
        </w:rPr>
        <w:t>根据工程量清单所列的预计数量和单价或总额价计算的签约合同价：人民币（大写）</w:t>
      </w:r>
      <w:r>
        <w:rPr>
          <w:rStyle w:val="273"/>
          <w:rFonts w:hint="eastAsia" w:ascii="宋体" w:hAnsi="宋体" w:eastAsia="宋体" w:cs="宋体"/>
          <w:color w:val="auto"/>
          <w:sz w:val="21"/>
          <w:szCs w:val="21"/>
          <w:highlight w:val="none"/>
          <w:u w:val="single"/>
        </w:rPr>
        <w:t xml:space="preserve">  </w:t>
      </w:r>
      <w:r>
        <w:rPr>
          <w:rStyle w:val="273"/>
          <w:rFonts w:hint="eastAsia" w:ascii="宋体" w:hAnsi="宋体" w:eastAsia="宋体" w:cs="宋体"/>
          <w:color w:val="auto"/>
          <w:sz w:val="21"/>
          <w:szCs w:val="21"/>
          <w:highlight w:val="none"/>
          <w:u w:val="single"/>
        </w:rPr>
        <w:tab/>
      </w:r>
      <w:r>
        <w:rPr>
          <w:rStyle w:val="273"/>
          <w:rFonts w:hint="eastAsia" w:ascii="宋体" w:hAnsi="宋体" w:eastAsia="宋体" w:cs="宋体"/>
          <w:color w:val="auto"/>
          <w:sz w:val="21"/>
          <w:szCs w:val="21"/>
          <w:highlight w:val="none"/>
        </w:rPr>
        <w:t>元（¥</w:t>
      </w:r>
      <w:r>
        <w:rPr>
          <w:rStyle w:val="273"/>
          <w:rFonts w:hint="eastAsia" w:ascii="宋体" w:hAnsi="宋体" w:eastAsia="宋体" w:cs="宋体"/>
          <w:color w:val="auto"/>
          <w:sz w:val="21"/>
          <w:szCs w:val="21"/>
          <w:highlight w:val="none"/>
          <w:u w:val="single"/>
        </w:rPr>
        <w:t xml:space="preserve">               </w:t>
      </w:r>
      <w:r>
        <w:rPr>
          <w:rStyle w:val="273"/>
          <w:rFonts w:hint="eastAsia" w:ascii="宋体" w:hAnsi="宋体" w:eastAsia="宋体" w:cs="宋体"/>
          <w:color w:val="auto"/>
          <w:sz w:val="21"/>
          <w:szCs w:val="21"/>
          <w:highlight w:val="none"/>
          <w:u w:val="single"/>
        </w:rPr>
        <w:tab/>
      </w:r>
      <w:r>
        <w:rPr>
          <w:rStyle w:val="273"/>
          <w:rFonts w:hint="eastAsia" w:ascii="宋体" w:hAnsi="宋体" w:eastAsia="宋体" w:cs="宋体"/>
          <w:color w:val="auto"/>
          <w:sz w:val="21"/>
          <w:szCs w:val="21"/>
          <w:highlight w:val="none"/>
        </w:rPr>
        <w:t>）。</w:t>
      </w:r>
    </w:p>
    <w:p w14:paraId="2C799423">
      <w:pPr>
        <w:pStyle w:val="410"/>
        <w:shd w:val="clear" w:color="auto" w:fill="auto"/>
        <w:spacing w:before="0" w:line="360" w:lineRule="auto"/>
        <w:ind w:firstLine="420"/>
        <w:rPr>
          <w:rStyle w:val="273"/>
          <w:rFonts w:hint="eastAsia" w:ascii="宋体" w:hAnsi="宋体" w:eastAsia="宋体" w:cs="宋体"/>
          <w:color w:val="auto"/>
          <w:sz w:val="21"/>
          <w:szCs w:val="21"/>
          <w:highlight w:val="none"/>
        </w:rPr>
      </w:pPr>
      <w:r>
        <w:rPr>
          <w:rStyle w:val="273"/>
          <w:rFonts w:hint="eastAsia" w:ascii="宋体" w:hAnsi="宋体" w:eastAsia="宋体" w:cs="宋体"/>
          <w:color w:val="auto"/>
          <w:sz w:val="21"/>
          <w:szCs w:val="21"/>
          <w:highlight w:val="none"/>
          <w:lang w:val="en-US"/>
        </w:rPr>
        <w:t>4．</w:t>
      </w:r>
      <w:r>
        <w:rPr>
          <w:rStyle w:val="273"/>
          <w:rFonts w:hint="eastAsia" w:ascii="宋体" w:hAnsi="宋体" w:eastAsia="宋体" w:cs="宋体"/>
          <w:color w:val="auto"/>
          <w:sz w:val="21"/>
          <w:szCs w:val="21"/>
          <w:highlight w:val="none"/>
        </w:rPr>
        <w:t>付款周期：工程款按工程进度支付：</w:t>
      </w:r>
    </w:p>
    <w:p w14:paraId="23725E1C">
      <w:pPr>
        <w:pStyle w:val="410"/>
        <w:shd w:val="clear" w:color="auto" w:fill="auto"/>
        <w:spacing w:before="0" w:line="360" w:lineRule="auto"/>
        <w:ind w:firstLine="420"/>
        <w:rPr>
          <w:rStyle w:val="273"/>
          <w:rFonts w:hint="eastAsia" w:ascii="宋体" w:hAnsi="宋体" w:eastAsia="宋体" w:cs="宋体"/>
          <w:color w:val="auto"/>
          <w:sz w:val="21"/>
          <w:szCs w:val="21"/>
          <w:highlight w:val="none"/>
        </w:rPr>
      </w:pPr>
      <w:r>
        <w:rPr>
          <w:rStyle w:val="273"/>
          <w:rFonts w:hint="eastAsia" w:ascii="宋体" w:hAnsi="宋体" w:eastAsia="宋体" w:cs="宋体"/>
          <w:color w:val="auto"/>
          <w:sz w:val="21"/>
          <w:szCs w:val="21"/>
          <w:highlight w:val="none"/>
        </w:rPr>
        <w:t>合同签订后，凭</w:t>
      </w:r>
      <w:r>
        <w:rPr>
          <w:rStyle w:val="273"/>
          <w:rFonts w:hint="eastAsia" w:ascii="宋体" w:hAnsi="宋体" w:eastAsia="宋体" w:cs="宋体"/>
          <w:color w:val="auto"/>
          <w:sz w:val="21"/>
          <w:szCs w:val="21"/>
          <w:highlight w:val="none"/>
          <w:lang w:val="en-US"/>
        </w:rPr>
        <w:t>承包人</w:t>
      </w:r>
      <w:r>
        <w:rPr>
          <w:rStyle w:val="273"/>
          <w:rFonts w:hint="eastAsia" w:ascii="宋体" w:hAnsi="宋体" w:eastAsia="宋体" w:cs="宋体"/>
          <w:color w:val="auto"/>
          <w:sz w:val="21"/>
          <w:szCs w:val="21"/>
          <w:highlight w:val="none"/>
        </w:rPr>
        <w:t>提供的等额正式发票，</w:t>
      </w:r>
      <w:r>
        <w:rPr>
          <w:rStyle w:val="273"/>
          <w:rFonts w:hint="eastAsia" w:ascii="宋体" w:hAnsi="宋体" w:eastAsia="宋体" w:cs="宋体"/>
          <w:color w:val="auto"/>
          <w:sz w:val="21"/>
          <w:szCs w:val="21"/>
          <w:highlight w:val="none"/>
          <w:lang w:val="en-US"/>
        </w:rPr>
        <w:t>发包人</w:t>
      </w:r>
      <w:r>
        <w:rPr>
          <w:rStyle w:val="273"/>
          <w:rFonts w:hint="eastAsia" w:ascii="宋体" w:hAnsi="宋体" w:eastAsia="宋体" w:cs="宋体"/>
          <w:color w:val="auto"/>
          <w:sz w:val="21"/>
          <w:szCs w:val="21"/>
          <w:highlight w:val="none"/>
        </w:rPr>
        <w:t>10个工作日之内支付10%预付款。</w:t>
      </w:r>
    </w:p>
    <w:p w14:paraId="259315DE">
      <w:pPr>
        <w:pStyle w:val="410"/>
        <w:shd w:val="clear" w:color="auto" w:fill="auto"/>
        <w:spacing w:before="0" w:line="360" w:lineRule="auto"/>
        <w:ind w:firstLine="420"/>
        <w:rPr>
          <w:rStyle w:val="273"/>
          <w:rFonts w:hint="eastAsia" w:ascii="宋体" w:hAnsi="宋体" w:eastAsia="宋体" w:cs="宋体"/>
          <w:color w:val="auto"/>
          <w:sz w:val="21"/>
          <w:szCs w:val="21"/>
          <w:highlight w:val="none"/>
        </w:rPr>
      </w:pPr>
      <w:r>
        <w:rPr>
          <w:rStyle w:val="273"/>
          <w:rFonts w:hint="eastAsia" w:ascii="宋体" w:hAnsi="宋体" w:eastAsia="宋体" w:cs="宋体"/>
          <w:color w:val="auto"/>
          <w:sz w:val="21"/>
          <w:szCs w:val="21"/>
          <w:highlight w:val="none"/>
        </w:rPr>
        <w:t>工程进度完成工程量的50%时，工程款支付的限额标准为已完成工作量的80%。</w:t>
      </w:r>
    </w:p>
    <w:p w14:paraId="69DD1614">
      <w:pPr>
        <w:pStyle w:val="410"/>
        <w:shd w:val="clear" w:color="auto" w:fill="auto"/>
        <w:spacing w:before="0" w:line="360" w:lineRule="auto"/>
        <w:ind w:firstLine="420"/>
        <w:rPr>
          <w:rStyle w:val="273"/>
          <w:rFonts w:hint="eastAsia" w:ascii="宋体" w:hAnsi="宋体" w:eastAsia="宋体" w:cs="宋体"/>
          <w:color w:val="auto"/>
          <w:sz w:val="21"/>
          <w:szCs w:val="21"/>
          <w:highlight w:val="none"/>
        </w:rPr>
      </w:pPr>
      <w:r>
        <w:rPr>
          <w:rStyle w:val="273"/>
          <w:rFonts w:hint="eastAsia" w:ascii="宋体" w:hAnsi="宋体" w:eastAsia="宋体" w:cs="宋体"/>
          <w:color w:val="auto"/>
          <w:sz w:val="21"/>
          <w:szCs w:val="21"/>
          <w:highlight w:val="none"/>
        </w:rPr>
        <w:t>施工完成并经验收合格结算后支付到结算价款的97%，余3%</w:t>
      </w:r>
      <w:r>
        <w:rPr>
          <w:rStyle w:val="273"/>
          <w:rFonts w:hint="eastAsia" w:ascii="宋体" w:hAnsi="宋体" w:eastAsia="宋体" w:cs="宋体"/>
          <w:color w:val="auto"/>
          <w:sz w:val="21"/>
          <w:szCs w:val="21"/>
          <w:highlight w:val="none"/>
          <w:lang w:val="en-US"/>
        </w:rPr>
        <w:t>用作</w:t>
      </w:r>
      <w:r>
        <w:rPr>
          <w:rStyle w:val="273"/>
          <w:rFonts w:hint="eastAsia" w:ascii="宋体" w:hAnsi="宋体" w:eastAsia="宋体" w:cs="宋体"/>
          <w:color w:val="auto"/>
          <w:sz w:val="21"/>
          <w:szCs w:val="21"/>
          <w:highlight w:val="none"/>
        </w:rPr>
        <w:t>工程质量保证金，待缺陷责任期满后15日内退还。</w:t>
      </w:r>
    </w:p>
    <w:p w14:paraId="31231AEA">
      <w:pPr>
        <w:pStyle w:val="410"/>
        <w:shd w:val="clear" w:color="auto" w:fill="auto"/>
        <w:tabs>
          <w:tab w:val="left" w:pos="1098"/>
        </w:tabs>
        <w:spacing w:before="0" w:line="360" w:lineRule="auto"/>
        <w:ind w:firstLine="420"/>
        <w:rPr>
          <w:rStyle w:val="273"/>
          <w:rFonts w:hint="eastAsia" w:ascii="宋体" w:hAnsi="宋体" w:eastAsia="宋体" w:cs="宋体"/>
          <w:color w:val="auto"/>
          <w:sz w:val="21"/>
          <w:szCs w:val="21"/>
          <w:highlight w:val="none"/>
        </w:rPr>
      </w:pPr>
      <w:r>
        <w:rPr>
          <w:rStyle w:val="273"/>
          <w:rFonts w:hint="eastAsia" w:ascii="宋体" w:hAnsi="宋体" w:eastAsia="宋体" w:cs="宋体"/>
          <w:color w:val="auto"/>
          <w:sz w:val="21"/>
          <w:szCs w:val="21"/>
          <w:highlight w:val="none"/>
        </w:rPr>
        <w:t>承包人项目经理</w:t>
      </w:r>
      <w:r>
        <w:rPr>
          <w:rStyle w:val="273"/>
          <w:rFonts w:hint="eastAsia" w:ascii="宋体" w:hAnsi="宋体" w:eastAsia="宋体" w:cs="宋体"/>
          <w:color w:val="auto"/>
          <w:sz w:val="21"/>
          <w:szCs w:val="21"/>
          <w:highlight w:val="none"/>
          <w:u w:val="single"/>
        </w:rPr>
        <w:t xml:space="preserve">：                  </w:t>
      </w:r>
      <w:r>
        <w:rPr>
          <w:rStyle w:val="273"/>
          <w:rFonts w:hint="eastAsia" w:ascii="宋体" w:hAnsi="宋体" w:eastAsia="宋体" w:cs="宋体"/>
          <w:color w:val="auto"/>
          <w:sz w:val="21"/>
          <w:szCs w:val="21"/>
          <w:highlight w:val="none"/>
        </w:rPr>
        <w:t>，</w:t>
      </w:r>
      <w:r>
        <w:rPr>
          <w:rFonts w:ascii="Times New Roman" w:hAnsi="宋体" w:eastAsia="宋体"/>
          <w:color w:val="auto"/>
          <w:highlight w:val="none"/>
        </w:rPr>
        <w:t>身份证号：</w:t>
      </w:r>
      <w:r>
        <w:rPr>
          <w:rFonts w:hint="eastAsia" w:ascii="Times New Roman" w:hAnsi="宋体" w:eastAsia="宋体"/>
          <w:color w:val="auto"/>
          <w:highlight w:val="none"/>
          <w:u w:val="single"/>
        </w:rPr>
        <w:t xml:space="preserve">                     </w:t>
      </w:r>
      <w:r>
        <w:rPr>
          <w:rFonts w:hint="eastAsia" w:ascii="Times New Roman" w:hAnsi="宋体" w:eastAsia="宋体"/>
          <w:color w:val="auto"/>
          <w:highlight w:val="none"/>
        </w:rPr>
        <w:t xml:space="preserve">， </w:t>
      </w:r>
    </w:p>
    <w:p w14:paraId="47077785">
      <w:pPr>
        <w:pStyle w:val="379"/>
        <w:spacing w:line="360" w:lineRule="auto"/>
        <w:ind w:firstLine="420"/>
        <w:rPr>
          <w:color w:val="auto"/>
          <w:highlight w:val="none"/>
        </w:rPr>
      </w:pPr>
      <w:r>
        <w:rPr>
          <w:rFonts w:hAnsi="宋体"/>
          <w:color w:val="auto"/>
          <w:highlight w:val="none"/>
        </w:rPr>
        <w:t>建造师注册证书号：</w:t>
      </w:r>
      <w:r>
        <w:rPr>
          <w:rFonts w:hint="eastAsia" w:ascii="Times New Roman" w:hAnsi="宋体"/>
          <w:color w:val="auto"/>
          <w:highlight w:val="none"/>
          <w:u w:val="single"/>
        </w:rPr>
        <w:t xml:space="preserve">              </w:t>
      </w:r>
      <w:r>
        <w:rPr>
          <w:rFonts w:hint="eastAsia" w:hAnsi="宋体"/>
          <w:color w:val="auto"/>
          <w:highlight w:val="none"/>
        </w:rPr>
        <w:t>，</w:t>
      </w:r>
      <w:r>
        <w:rPr>
          <w:rFonts w:hAnsi="宋体"/>
          <w:color w:val="auto"/>
          <w:highlight w:val="none"/>
        </w:rPr>
        <w:t>安全生产考核合格证书号：</w:t>
      </w:r>
      <w:r>
        <w:rPr>
          <w:rFonts w:hint="eastAsia" w:ascii="Times New Roman" w:hAnsi="宋体"/>
          <w:color w:val="auto"/>
          <w:highlight w:val="none"/>
          <w:u w:val="single"/>
        </w:rPr>
        <w:t xml:space="preserve">                        </w:t>
      </w:r>
      <w:r>
        <w:rPr>
          <w:rFonts w:hAnsi="宋体"/>
          <w:color w:val="auto"/>
          <w:highlight w:val="none"/>
        </w:rPr>
        <w:t>；</w:t>
      </w:r>
    </w:p>
    <w:p w14:paraId="7FB480D6">
      <w:pPr>
        <w:pStyle w:val="379"/>
        <w:spacing w:line="360" w:lineRule="auto"/>
        <w:ind w:firstLine="420"/>
        <w:rPr>
          <w:rFonts w:hint="eastAsia" w:ascii="Times New Roman" w:hAnsi="宋体"/>
          <w:color w:val="auto"/>
          <w:highlight w:val="none"/>
          <w:u w:val="single"/>
        </w:rPr>
      </w:pPr>
      <w:r>
        <w:rPr>
          <w:rStyle w:val="273"/>
          <w:rFonts w:hint="eastAsia" w:ascii="宋体" w:hAnsi="宋体" w:eastAsia="宋体" w:cs="宋体"/>
          <w:color w:val="auto"/>
          <w:sz w:val="21"/>
          <w:szCs w:val="21"/>
          <w:highlight w:val="none"/>
        </w:rPr>
        <w:t>承包人项目总工：</w:t>
      </w:r>
      <w:r>
        <w:rPr>
          <w:rStyle w:val="273"/>
          <w:rFonts w:hint="eastAsia" w:ascii="宋体" w:hAnsi="宋体" w:eastAsia="宋体" w:cs="宋体"/>
          <w:color w:val="auto"/>
          <w:sz w:val="21"/>
          <w:szCs w:val="21"/>
          <w:highlight w:val="none"/>
          <w:u w:val="single"/>
        </w:rPr>
        <w:tab/>
      </w:r>
      <w:r>
        <w:rPr>
          <w:rStyle w:val="273"/>
          <w:rFonts w:hint="eastAsia" w:ascii="宋体" w:hAnsi="宋体" w:eastAsia="宋体" w:cs="宋体"/>
          <w:color w:val="auto"/>
          <w:sz w:val="21"/>
          <w:szCs w:val="21"/>
          <w:highlight w:val="none"/>
          <w:u w:val="single"/>
          <w:lang w:val="en-US"/>
        </w:rPr>
        <w:t xml:space="preserve">           </w:t>
      </w:r>
      <w:r>
        <w:rPr>
          <w:rStyle w:val="273"/>
          <w:rFonts w:hint="eastAsia" w:ascii="宋体" w:hAnsi="宋体" w:eastAsia="宋体" w:cs="宋体"/>
          <w:color w:val="auto"/>
          <w:sz w:val="21"/>
          <w:szCs w:val="21"/>
          <w:highlight w:val="none"/>
        </w:rPr>
        <w:t>，</w:t>
      </w:r>
      <w:r>
        <w:rPr>
          <w:rFonts w:ascii="Times New Roman" w:hAnsi="宋体"/>
          <w:color w:val="auto"/>
          <w:highlight w:val="none"/>
        </w:rPr>
        <w:t>身份证号：</w:t>
      </w:r>
      <w:r>
        <w:rPr>
          <w:rFonts w:hint="eastAsia" w:ascii="Times New Roman" w:hAnsi="宋体"/>
          <w:color w:val="auto"/>
          <w:highlight w:val="none"/>
          <w:u w:val="single"/>
        </w:rPr>
        <w:t xml:space="preserve">                      ，</w:t>
      </w:r>
    </w:p>
    <w:p w14:paraId="49F6C086">
      <w:pPr>
        <w:pStyle w:val="379"/>
        <w:spacing w:line="360" w:lineRule="auto"/>
        <w:ind w:firstLine="420"/>
        <w:rPr>
          <w:color w:val="auto"/>
          <w:highlight w:val="none"/>
        </w:rPr>
      </w:pPr>
      <w:r>
        <w:rPr>
          <w:rFonts w:hint="eastAsia" w:ascii="Times New Roman" w:hAnsi="宋体"/>
          <w:color w:val="auto"/>
          <w:highlight w:val="none"/>
        </w:rPr>
        <w:t>职称证书号：</w:t>
      </w:r>
      <w:r>
        <w:rPr>
          <w:rFonts w:hint="eastAsia" w:ascii="Times New Roman" w:hAnsi="宋体"/>
          <w:color w:val="auto"/>
          <w:highlight w:val="none"/>
          <w:u w:val="single"/>
        </w:rPr>
        <w:t xml:space="preserve">                    ，</w:t>
      </w:r>
      <w:r>
        <w:rPr>
          <w:rFonts w:hAnsi="宋体"/>
          <w:color w:val="auto"/>
          <w:highlight w:val="none"/>
        </w:rPr>
        <w:t>安全生产考核合格证书号：</w:t>
      </w:r>
      <w:r>
        <w:rPr>
          <w:rFonts w:hint="eastAsia" w:ascii="Times New Roman" w:hAnsi="宋体"/>
          <w:color w:val="auto"/>
          <w:highlight w:val="none"/>
          <w:u w:val="single"/>
        </w:rPr>
        <w:t xml:space="preserve">                        </w:t>
      </w:r>
      <w:r>
        <w:rPr>
          <w:rFonts w:hAnsi="宋体"/>
          <w:color w:val="auto"/>
          <w:highlight w:val="none"/>
        </w:rPr>
        <w:t>；</w:t>
      </w:r>
    </w:p>
    <w:p w14:paraId="7963C717">
      <w:pPr>
        <w:pStyle w:val="379"/>
        <w:spacing w:line="360" w:lineRule="auto"/>
        <w:ind w:firstLine="420"/>
        <w:rPr>
          <w:rFonts w:hint="eastAsia" w:ascii="Times New Roman" w:hAnsi="宋体"/>
          <w:color w:val="auto"/>
          <w:highlight w:val="none"/>
          <w:u w:val="single"/>
        </w:rPr>
      </w:pPr>
      <w:r>
        <w:rPr>
          <w:rStyle w:val="273"/>
          <w:rFonts w:hint="eastAsia" w:ascii="宋体" w:hAnsi="宋体" w:eastAsia="宋体" w:cs="宋体"/>
          <w:color w:val="auto"/>
          <w:sz w:val="21"/>
          <w:szCs w:val="21"/>
          <w:highlight w:val="none"/>
        </w:rPr>
        <w:t>安全生产管理人员：</w:t>
      </w:r>
      <w:r>
        <w:rPr>
          <w:rStyle w:val="273"/>
          <w:rFonts w:hint="eastAsia" w:ascii="宋体" w:hAnsi="宋体" w:eastAsia="宋体" w:cs="宋体"/>
          <w:color w:val="auto"/>
          <w:sz w:val="21"/>
          <w:szCs w:val="21"/>
          <w:highlight w:val="none"/>
          <w:u w:val="single"/>
        </w:rPr>
        <w:tab/>
      </w:r>
      <w:r>
        <w:rPr>
          <w:rStyle w:val="273"/>
          <w:rFonts w:hint="eastAsia" w:ascii="宋体" w:hAnsi="宋体" w:eastAsia="宋体" w:cs="宋体"/>
          <w:color w:val="auto"/>
          <w:sz w:val="21"/>
          <w:szCs w:val="21"/>
          <w:highlight w:val="none"/>
          <w:u w:val="single"/>
          <w:lang w:val="en-US"/>
        </w:rPr>
        <w:t xml:space="preserve">           </w:t>
      </w:r>
      <w:r>
        <w:rPr>
          <w:rStyle w:val="273"/>
          <w:rFonts w:hint="eastAsia" w:ascii="宋体" w:hAnsi="宋体" w:eastAsia="宋体" w:cs="宋体"/>
          <w:color w:val="auto"/>
          <w:sz w:val="21"/>
          <w:szCs w:val="21"/>
          <w:highlight w:val="none"/>
        </w:rPr>
        <w:t>，</w:t>
      </w:r>
      <w:r>
        <w:rPr>
          <w:rFonts w:ascii="Times New Roman" w:hAnsi="宋体"/>
          <w:color w:val="auto"/>
          <w:highlight w:val="none"/>
        </w:rPr>
        <w:t>身份证号：</w:t>
      </w:r>
      <w:r>
        <w:rPr>
          <w:rFonts w:hint="eastAsia" w:ascii="Times New Roman" w:hAnsi="宋体"/>
          <w:color w:val="auto"/>
          <w:highlight w:val="none"/>
          <w:u w:val="single"/>
        </w:rPr>
        <w:t xml:space="preserve">                      ，</w:t>
      </w:r>
    </w:p>
    <w:p w14:paraId="20C724D8">
      <w:pPr>
        <w:pStyle w:val="379"/>
        <w:spacing w:line="360" w:lineRule="auto"/>
        <w:ind w:firstLine="420"/>
        <w:rPr>
          <w:rStyle w:val="273"/>
          <w:rFonts w:hint="eastAsia" w:ascii="宋体" w:hAnsi="宋体" w:eastAsia="宋体" w:cs="宋体"/>
          <w:color w:val="auto"/>
          <w:sz w:val="21"/>
          <w:szCs w:val="21"/>
          <w:highlight w:val="none"/>
          <w:u w:val="single"/>
        </w:rPr>
      </w:pPr>
      <w:r>
        <w:rPr>
          <w:rFonts w:hAnsi="宋体"/>
          <w:color w:val="auto"/>
          <w:highlight w:val="none"/>
        </w:rPr>
        <w:t>安全生产考核合格证书号：</w:t>
      </w:r>
      <w:r>
        <w:rPr>
          <w:rFonts w:hint="eastAsia" w:ascii="Times New Roman" w:hAnsi="宋体"/>
          <w:color w:val="auto"/>
          <w:highlight w:val="none"/>
          <w:u w:val="single"/>
        </w:rPr>
        <w:t xml:space="preserve">                        </w:t>
      </w:r>
      <w:r>
        <w:rPr>
          <w:rFonts w:hAnsi="宋体"/>
          <w:color w:val="auto"/>
          <w:highlight w:val="none"/>
        </w:rPr>
        <w:t>；</w:t>
      </w:r>
    </w:p>
    <w:p w14:paraId="641D30C8">
      <w:pPr>
        <w:pStyle w:val="410"/>
        <w:shd w:val="clear" w:color="auto" w:fill="auto"/>
        <w:tabs>
          <w:tab w:val="left" w:pos="1098"/>
        </w:tabs>
        <w:spacing w:before="0"/>
        <w:ind w:firstLine="420"/>
        <w:rPr>
          <w:rFonts w:hint="eastAsia" w:ascii="宋体" w:hAnsi="宋体" w:eastAsia="宋体" w:cs="宋体"/>
          <w:color w:val="auto"/>
          <w:spacing w:val="0"/>
          <w:sz w:val="21"/>
          <w:szCs w:val="21"/>
          <w:highlight w:val="none"/>
        </w:rPr>
      </w:pPr>
      <w:r>
        <w:rPr>
          <w:rStyle w:val="273"/>
          <w:rFonts w:hint="eastAsia" w:ascii="宋体" w:hAnsi="宋体" w:eastAsia="宋体" w:cs="宋体"/>
          <w:color w:val="auto"/>
          <w:sz w:val="21"/>
          <w:szCs w:val="21"/>
          <w:highlight w:val="none"/>
        </w:rPr>
        <w:t>5．工程质量符合</w:t>
      </w:r>
      <w:r>
        <w:rPr>
          <w:rStyle w:val="273"/>
          <w:rFonts w:hint="eastAsia" w:ascii="宋体" w:hAnsi="宋体" w:eastAsia="宋体" w:cs="宋体"/>
          <w:color w:val="auto"/>
          <w:sz w:val="21"/>
          <w:szCs w:val="21"/>
          <w:highlight w:val="none"/>
          <w:u w:val="single"/>
        </w:rPr>
        <w:tab/>
      </w:r>
      <w:r>
        <w:rPr>
          <w:rStyle w:val="273"/>
          <w:rFonts w:hint="eastAsia" w:ascii="宋体" w:hAnsi="宋体" w:eastAsia="宋体" w:cs="宋体"/>
          <w:color w:val="auto"/>
          <w:sz w:val="21"/>
          <w:szCs w:val="21"/>
          <w:highlight w:val="none"/>
          <w:u w:val="single"/>
          <w:lang w:val="en-US"/>
        </w:rPr>
        <w:t xml:space="preserve">           </w:t>
      </w:r>
      <w:r>
        <w:rPr>
          <w:rStyle w:val="273"/>
          <w:rFonts w:hint="eastAsia" w:ascii="宋体" w:hAnsi="宋体" w:eastAsia="宋体" w:cs="宋体"/>
          <w:color w:val="auto"/>
          <w:sz w:val="21"/>
          <w:szCs w:val="21"/>
          <w:highlight w:val="none"/>
        </w:rPr>
        <w:t>标准。工程安全目标：</w:t>
      </w:r>
      <w:r>
        <w:rPr>
          <w:rStyle w:val="273"/>
          <w:rFonts w:hint="eastAsia" w:ascii="宋体" w:hAnsi="宋体" w:eastAsia="宋体" w:cs="宋体"/>
          <w:color w:val="auto"/>
          <w:sz w:val="21"/>
          <w:szCs w:val="21"/>
          <w:highlight w:val="none"/>
          <w:u w:val="single"/>
        </w:rPr>
        <w:tab/>
      </w:r>
      <w:r>
        <w:rPr>
          <w:rStyle w:val="273"/>
          <w:rFonts w:hint="eastAsia" w:ascii="宋体" w:hAnsi="宋体" w:eastAsia="宋体" w:cs="宋体"/>
          <w:color w:val="auto"/>
          <w:sz w:val="21"/>
          <w:szCs w:val="21"/>
          <w:highlight w:val="none"/>
          <w:u w:val="single"/>
          <w:lang w:val="en-US"/>
        </w:rPr>
        <w:t xml:space="preserve">     </w:t>
      </w:r>
      <w:r>
        <w:rPr>
          <w:rStyle w:val="273"/>
          <w:rFonts w:hint="eastAsia" w:ascii="宋体" w:hAnsi="宋体" w:eastAsia="宋体" w:cs="宋体"/>
          <w:color w:val="auto"/>
          <w:sz w:val="21"/>
          <w:szCs w:val="21"/>
          <w:highlight w:val="none"/>
        </w:rPr>
        <w:t>。</w:t>
      </w:r>
    </w:p>
    <w:p w14:paraId="75C2E5E7">
      <w:pPr>
        <w:pStyle w:val="410"/>
        <w:shd w:val="clear" w:color="auto" w:fill="auto"/>
        <w:tabs>
          <w:tab w:val="left" w:pos="1101"/>
        </w:tabs>
        <w:spacing w:before="0"/>
        <w:ind w:firstLine="420"/>
        <w:rPr>
          <w:rFonts w:hint="eastAsia" w:ascii="宋体" w:hAnsi="宋体" w:eastAsia="宋体" w:cs="宋体"/>
          <w:color w:val="auto"/>
          <w:spacing w:val="0"/>
          <w:sz w:val="21"/>
          <w:szCs w:val="21"/>
          <w:highlight w:val="none"/>
        </w:rPr>
      </w:pPr>
      <w:r>
        <w:rPr>
          <w:rStyle w:val="273"/>
          <w:rFonts w:hint="eastAsia" w:ascii="宋体" w:hAnsi="宋体" w:eastAsia="宋体" w:cs="宋体"/>
          <w:color w:val="auto"/>
          <w:sz w:val="21"/>
          <w:szCs w:val="21"/>
          <w:highlight w:val="none"/>
        </w:rPr>
        <w:t>6．承包人承诺按合同约定承担工程的实施、完成及缺陷修复。</w:t>
      </w:r>
    </w:p>
    <w:p w14:paraId="13E3D3BB">
      <w:pPr>
        <w:pStyle w:val="410"/>
        <w:shd w:val="clear" w:color="auto" w:fill="auto"/>
        <w:tabs>
          <w:tab w:val="left" w:pos="1101"/>
        </w:tabs>
        <w:spacing w:before="0"/>
        <w:ind w:firstLine="420"/>
        <w:rPr>
          <w:rFonts w:hint="eastAsia" w:ascii="宋体" w:hAnsi="宋体" w:eastAsia="宋体" w:cs="宋体"/>
          <w:color w:val="auto"/>
          <w:spacing w:val="0"/>
          <w:sz w:val="21"/>
          <w:szCs w:val="21"/>
          <w:highlight w:val="none"/>
        </w:rPr>
      </w:pPr>
      <w:r>
        <w:rPr>
          <w:rStyle w:val="273"/>
          <w:rFonts w:hint="eastAsia" w:ascii="宋体" w:hAnsi="宋体" w:eastAsia="宋体" w:cs="宋体"/>
          <w:color w:val="auto"/>
          <w:sz w:val="21"/>
          <w:szCs w:val="21"/>
          <w:highlight w:val="none"/>
        </w:rPr>
        <w:t>7．发包人承诺按合同约定的条件、时间和方式向承包人支付合同价款。</w:t>
      </w:r>
    </w:p>
    <w:p w14:paraId="67210A83">
      <w:pPr>
        <w:pStyle w:val="410"/>
        <w:shd w:val="clear" w:color="auto" w:fill="auto"/>
        <w:tabs>
          <w:tab w:val="left" w:pos="1109"/>
        </w:tabs>
        <w:spacing w:before="0"/>
        <w:ind w:firstLine="420"/>
        <w:rPr>
          <w:rFonts w:hint="eastAsia" w:ascii="宋体" w:hAnsi="宋体" w:eastAsia="宋体" w:cs="宋体"/>
          <w:color w:val="auto"/>
          <w:spacing w:val="0"/>
          <w:sz w:val="21"/>
          <w:szCs w:val="21"/>
          <w:highlight w:val="none"/>
        </w:rPr>
      </w:pPr>
      <w:r>
        <w:rPr>
          <w:rStyle w:val="273"/>
          <w:rFonts w:hint="eastAsia" w:ascii="宋体" w:hAnsi="宋体" w:eastAsia="宋体" w:cs="宋体"/>
          <w:color w:val="auto"/>
          <w:sz w:val="21"/>
          <w:szCs w:val="21"/>
          <w:highlight w:val="none"/>
        </w:rPr>
        <w:t>8．承包人应按照发包人指示开工，工期为</w:t>
      </w:r>
      <w:r>
        <w:rPr>
          <w:rStyle w:val="273"/>
          <w:rFonts w:hint="eastAsia" w:ascii="宋体" w:hAnsi="宋体" w:eastAsia="宋体" w:cs="宋体"/>
          <w:color w:val="auto"/>
          <w:sz w:val="21"/>
          <w:szCs w:val="21"/>
          <w:highlight w:val="none"/>
          <w:u w:val="single"/>
        </w:rPr>
        <w:t xml:space="preserve">   </w:t>
      </w:r>
      <w:r>
        <w:rPr>
          <w:rStyle w:val="273"/>
          <w:rFonts w:hint="eastAsia" w:ascii="宋体" w:hAnsi="宋体" w:eastAsia="宋体" w:cs="宋体"/>
          <w:color w:val="auto"/>
          <w:sz w:val="21"/>
          <w:szCs w:val="21"/>
          <w:highlight w:val="none"/>
        </w:rPr>
        <w:t>日历天。</w:t>
      </w:r>
    </w:p>
    <w:p w14:paraId="15D74072">
      <w:pPr>
        <w:pStyle w:val="410"/>
        <w:shd w:val="clear" w:color="auto" w:fill="auto"/>
        <w:tabs>
          <w:tab w:val="left" w:pos="1043"/>
        </w:tabs>
        <w:spacing w:before="0"/>
        <w:ind w:firstLine="420"/>
        <w:rPr>
          <w:rFonts w:hint="eastAsia" w:ascii="宋体" w:hAnsi="宋体" w:eastAsia="宋体" w:cs="宋体"/>
          <w:color w:val="auto"/>
          <w:spacing w:val="0"/>
          <w:sz w:val="21"/>
          <w:szCs w:val="21"/>
          <w:highlight w:val="none"/>
        </w:rPr>
      </w:pPr>
      <w:r>
        <w:rPr>
          <w:rStyle w:val="273"/>
          <w:rFonts w:hint="eastAsia" w:ascii="宋体" w:hAnsi="宋体" w:eastAsia="宋体" w:cs="宋体"/>
          <w:color w:val="auto"/>
          <w:sz w:val="21"/>
          <w:szCs w:val="21"/>
          <w:highlight w:val="none"/>
        </w:rPr>
        <w:t>9．本协议书在承包人提供履约保证金后，由双方法定代表人或其委托代理人签署并加盖单位章后生效。全部工程完工后经交工验收合格、缺陷责任期满签发缺 陷责任终止证书后失效。</w:t>
      </w:r>
    </w:p>
    <w:p w14:paraId="33619419">
      <w:pPr>
        <w:pStyle w:val="410"/>
        <w:shd w:val="clear" w:color="auto" w:fill="auto"/>
        <w:tabs>
          <w:tab w:val="left" w:leader="underscore" w:pos="4168"/>
          <w:tab w:val="left" w:leader="underscore" w:pos="8283"/>
        </w:tabs>
        <w:spacing w:before="0"/>
        <w:ind w:firstLine="420"/>
        <w:rPr>
          <w:rFonts w:hint="eastAsia" w:ascii="宋体" w:hAnsi="宋体" w:eastAsia="宋体" w:cs="宋体"/>
          <w:color w:val="auto"/>
          <w:spacing w:val="0"/>
          <w:sz w:val="21"/>
          <w:szCs w:val="21"/>
          <w:highlight w:val="none"/>
        </w:rPr>
      </w:pPr>
      <w:r>
        <w:rPr>
          <w:rStyle w:val="273"/>
          <w:rFonts w:hint="eastAsia" w:ascii="宋体" w:hAnsi="宋体" w:eastAsia="宋体" w:cs="宋体"/>
          <w:color w:val="auto"/>
          <w:sz w:val="21"/>
          <w:szCs w:val="21"/>
          <w:highlight w:val="none"/>
        </w:rPr>
        <w:t>10．本协议书正本二份、副本</w:t>
      </w:r>
      <w:r>
        <w:rPr>
          <w:rStyle w:val="273"/>
          <w:rFonts w:hint="eastAsia" w:ascii="宋体" w:hAnsi="宋体" w:eastAsia="宋体" w:cs="宋体"/>
          <w:color w:val="auto"/>
          <w:sz w:val="21"/>
          <w:szCs w:val="21"/>
          <w:highlight w:val="none"/>
        </w:rPr>
        <w:tab/>
      </w:r>
      <w:r>
        <w:rPr>
          <w:rStyle w:val="273"/>
          <w:rFonts w:hint="eastAsia" w:ascii="宋体" w:hAnsi="宋体" w:eastAsia="宋体" w:cs="宋体"/>
          <w:color w:val="auto"/>
          <w:sz w:val="21"/>
          <w:szCs w:val="21"/>
          <w:highlight w:val="none"/>
        </w:rPr>
        <w:t>份，合同双方各执正本一份，副本</w:t>
      </w:r>
      <w:r>
        <w:rPr>
          <w:rStyle w:val="273"/>
          <w:rFonts w:hint="eastAsia" w:ascii="宋体" w:hAnsi="宋体" w:eastAsia="宋体" w:cs="宋体"/>
          <w:color w:val="auto"/>
          <w:sz w:val="21"/>
          <w:szCs w:val="21"/>
          <w:highlight w:val="none"/>
        </w:rPr>
        <w:tab/>
      </w:r>
      <w:r>
        <w:rPr>
          <w:rStyle w:val="273"/>
          <w:rFonts w:hint="eastAsia" w:ascii="宋体" w:hAnsi="宋体" w:eastAsia="宋体" w:cs="宋体"/>
          <w:color w:val="auto"/>
          <w:sz w:val="21"/>
          <w:szCs w:val="21"/>
          <w:highlight w:val="none"/>
        </w:rPr>
        <w:t>份，</w:t>
      </w:r>
    </w:p>
    <w:p w14:paraId="77DF11FA">
      <w:pPr>
        <w:pStyle w:val="410"/>
        <w:shd w:val="clear" w:color="auto" w:fill="auto"/>
        <w:spacing w:before="0"/>
        <w:rPr>
          <w:rFonts w:hint="eastAsia" w:ascii="宋体" w:hAnsi="宋体" w:eastAsia="宋体" w:cs="宋体"/>
          <w:color w:val="auto"/>
          <w:spacing w:val="0"/>
          <w:sz w:val="21"/>
          <w:szCs w:val="21"/>
          <w:highlight w:val="none"/>
        </w:rPr>
      </w:pPr>
      <w:r>
        <w:rPr>
          <w:rStyle w:val="273"/>
          <w:rFonts w:hint="eastAsia" w:ascii="宋体" w:hAnsi="宋体" w:eastAsia="宋体" w:cs="宋体"/>
          <w:color w:val="auto"/>
          <w:sz w:val="21"/>
          <w:szCs w:val="21"/>
          <w:highlight w:val="none"/>
        </w:rPr>
        <w:t>当正本与副本的内容不一致时，以正本为准。</w:t>
      </w:r>
    </w:p>
    <w:p w14:paraId="1F3AE06E">
      <w:pPr>
        <w:pStyle w:val="410"/>
        <w:shd w:val="clear" w:color="auto" w:fill="auto"/>
        <w:tabs>
          <w:tab w:val="left" w:pos="1214"/>
        </w:tabs>
        <w:spacing w:before="0" w:after="418"/>
        <w:ind w:firstLine="420"/>
        <w:rPr>
          <w:color w:val="auto"/>
          <w:highlight w:val="none"/>
        </w:rPr>
      </w:pPr>
      <w:r>
        <w:rPr>
          <w:rStyle w:val="273"/>
          <w:rFonts w:hint="eastAsia" w:ascii="宋体" w:hAnsi="宋体" w:eastAsia="宋体" w:cs="宋体"/>
          <w:color w:val="auto"/>
          <w:sz w:val="21"/>
          <w:szCs w:val="21"/>
          <w:highlight w:val="none"/>
        </w:rPr>
        <w:t>11．合同未尽事宜，双方另行签订补充协议。补充协议是合同的组成部分。</w:t>
      </w:r>
    </w:p>
    <w:p w14:paraId="065AB633">
      <w:pPr>
        <w:pStyle w:val="384"/>
        <w:spacing w:line="360" w:lineRule="auto"/>
        <w:rPr>
          <w:color w:val="auto"/>
          <w:highlight w:val="none"/>
        </w:rPr>
      </w:pPr>
      <w:r>
        <w:rPr>
          <w:rFonts w:hint="eastAsia" w:hAnsi="宋体" w:cs="宋体"/>
          <w:color w:val="auto"/>
          <w:highlight w:val="none"/>
        </w:rPr>
        <w:t>发包人：</w:t>
      </w:r>
      <w:r>
        <w:rPr>
          <w:color w:val="auto"/>
          <w:highlight w:val="none"/>
        </w:rPr>
        <w:t xml:space="preserve">  </w:t>
      </w:r>
      <w:r>
        <w:rPr>
          <w:rFonts w:hint="eastAsia" w:cs="宋体"/>
          <w:color w:val="auto"/>
          <w:highlight w:val="none"/>
        </w:rPr>
        <w:t>（</w:t>
      </w:r>
      <w:r>
        <w:rPr>
          <w:rFonts w:hint="eastAsia" w:hAnsi="宋体" w:cs="宋体"/>
          <w:color w:val="auto"/>
          <w:highlight w:val="none"/>
        </w:rPr>
        <w:t>公章</w:t>
      </w:r>
      <w:r>
        <w:rPr>
          <w:rFonts w:hint="eastAsia" w:cs="宋体"/>
          <w:color w:val="auto"/>
          <w:highlight w:val="none"/>
        </w:rPr>
        <w:t>）</w:t>
      </w:r>
      <w:r>
        <w:rPr>
          <w:color w:val="auto"/>
          <w:highlight w:val="none"/>
        </w:rPr>
        <w:t xml:space="preserve">                              </w:t>
      </w:r>
      <w:r>
        <w:rPr>
          <w:rFonts w:hint="eastAsia" w:hAnsi="宋体" w:cs="宋体"/>
          <w:color w:val="auto"/>
          <w:highlight w:val="none"/>
        </w:rPr>
        <w:t>承包人：</w:t>
      </w:r>
      <w:r>
        <w:rPr>
          <w:color w:val="auto"/>
          <w:highlight w:val="none"/>
        </w:rPr>
        <w:t xml:space="preserve">  </w:t>
      </w:r>
      <w:r>
        <w:rPr>
          <w:rFonts w:hint="eastAsia" w:cs="宋体"/>
          <w:color w:val="auto"/>
          <w:highlight w:val="none"/>
        </w:rPr>
        <w:t>（</w:t>
      </w:r>
      <w:r>
        <w:rPr>
          <w:rFonts w:hint="eastAsia" w:hAnsi="宋体" w:cs="宋体"/>
          <w:color w:val="auto"/>
          <w:highlight w:val="none"/>
        </w:rPr>
        <w:t>公章</w:t>
      </w:r>
      <w:r>
        <w:rPr>
          <w:rFonts w:hint="eastAsia" w:cs="宋体"/>
          <w:color w:val="auto"/>
          <w:highlight w:val="none"/>
        </w:rPr>
        <w:t>）</w:t>
      </w:r>
    </w:p>
    <w:p w14:paraId="4BF1A948">
      <w:pPr>
        <w:pStyle w:val="384"/>
        <w:spacing w:line="360" w:lineRule="auto"/>
        <w:rPr>
          <w:color w:val="auto"/>
          <w:highlight w:val="none"/>
          <w:u w:val="single"/>
        </w:rPr>
      </w:pPr>
      <w:r>
        <w:rPr>
          <w:color w:val="auto"/>
          <w:highlight w:val="none"/>
        </w:rPr>
        <w:t xml:space="preserve">                                 </w:t>
      </w:r>
    </w:p>
    <w:p w14:paraId="08AA29D9">
      <w:pPr>
        <w:pStyle w:val="384"/>
        <w:spacing w:line="360" w:lineRule="auto"/>
        <w:rPr>
          <w:color w:val="auto"/>
          <w:highlight w:val="none"/>
        </w:rPr>
      </w:pPr>
      <w:r>
        <w:rPr>
          <w:rFonts w:hint="eastAsia" w:hAnsi="宋体" w:cs="宋体"/>
          <w:color w:val="auto"/>
          <w:highlight w:val="none"/>
        </w:rPr>
        <w:t>法定代表人或其委托代理人：</w:t>
      </w:r>
      <w:r>
        <w:rPr>
          <w:color w:val="auto"/>
          <w:highlight w:val="none"/>
        </w:rPr>
        <w:t xml:space="preserve">                    </w:t>
      </w:r>
      <w:r>
        <w:rPr>
          <w:rFonts w:hint="eastAsia" w:hAnsi="宋体" w:cs="宋体"/>
          <w:color w:val="auto"/>
          <w:highlight w:val="none"/>
        </w:rPr>
        <w:t>法定代表人或其委托代理人：</w:t>
      </w:r>
    </w:p>
    <w:p w14:paraId="4537EEFE">
      <w:pPr>
        <w:pStyle w:val="384"/>
        <w:spacing w:line="360" w:lineRule="auto"/>
        <w:rPr>
          <w:color w:val="auto"/>
          <w:highlight w:val="none"/>
        </w:rPr>
      </w:pPr>
      <w:r>
        <w:rPr>
          <w:rFonts w:hint="eastAsia" w:hAnsi="宋体" w:cs="宋体"/>
          <w:color w:val="auto"/>
          <w:highlight w:val="none"/>
        </w:rPr>
        <w:t>（签字）</w:t>
      </w:r>
      <w:r>
        <w:rPr>
          <w:color w:val="auto"/>
          <w:highlight w:val="none"/>
        </w:rPr>
        <w:t xml:space="preserve">                                     </w:t>
      </w:r>
      <w:r>
        <w:rPr>
          <w:rFonts w:hint="eastAsia" w:hAnsi="宋体" w:cs="宋体"/>
          <w:color w:val="auto"/>
          <w:highlight w:val="none"/>
        </w:rPr>
        <w:t>（签字）</w:t>
      </w:r>
    </w:p>
    <w:p w14:paraId="7F332394">
      <w:pPr>
        <w:pStyle w:val="384"/>
        <w:tabs>
          <w:tab w:val="left" w:pos="4410"/>
        </w:tabs>
        <w:spacing w:line="360" w:lineRule="auto"/>
        <w:rPr>
          <w:color w:val="auto"/>
          <w:highlight w:val="none"/>
        </w:rPr>
      </w:pPr>
      <w:r>
        <w:rPr>
          <w:rFonts w:hint="eastAsia" w:hAnsi="宋体" w:cs="宋体"/>
          <w:color w:val="auto"/>
          <w:highlight w:val="none"/>
        </w:rPr>
        <w:t>统一社会信用代码：</w:t>
      </w:r>
      <w:r>
        <w:rPr>
          <w:color w:val="auto"/>
          <w:highlight w:val="none"/>
          <w:u w:val="single"/>
        </w:rPr>
        <w:t xml:space="preserve">       </w:t>
      </w:r>
      <w:r>
        <w:rPr>
          <w:rFonts w:hint="eastAsia"/>
          <w:color w:val="auto"/>
          <w:highlight w:val="none"/>
          <w:u w:val="single"/>
        </w:rPr>
        <w:t xml:space="preserve">    </w:t>
      </w:r>
      <w:r>
        <w:rPr>
          <w:color w:val="auto"/>
          <w:highlight w:val="none"/>
        </w:rPr>
        <w:t xml:space="preserve">                  </w:t>
      </w:r>
      <w:r>
        <w:rPr>
          <w:rFonts w:hint="eastAsia" w:cs="宋体"/>
          <w:color w:val="auto"/>
          <w:highlight w:val="none"/>
        </w:rPr>
        <w:t>统一</w:t>
      </w:r>
      <w:r>
        <w:rPr>
          <w:rFonts w:hint="eastAsia" w:hAnsi="宋体" w:cs="宋体"/>
          <w:color w:val="auto"/>
          <w:highlight w:val="none"/>
        </w:rPr>
        <w:t>社会信用代码：</w:t>
      </w:r>
      <w:r>
        <w:rPr>
          <w:color w:val="auto"/>
          <w:highlight w:val="none"/>
          <w:u w:val="single"/>
        </w:rPr>
        <w:t xml:space="preserve">          </w:t>
      </w:r>
      <w:r>
        <w:rPr>
          <w:rFonts w:hint="eastAsia"/>
          <w:color w:val="auto"/>
          <w:highlight w:val="none"/>
          <w:u w:val="single"/>
        </w:rPr>
        <w:t xml:space="preserve">        </w:t>
      </w:r>
      <w:r>
        <w:rPr>
          <w:color w:val="auto"/>
          <w:highlight w:val="none"/>
        </w:rPr>
        <w:t xml:space="preserve"> </w:t>
      </w:r>
    </w:p>
    <w:p w14:paraId="72C7D228">
      <w:pPr>
        <w:pStyle w:val="384"/>
        <w:spacing w:line="360" w:lineRule="auto"/>
        <w:rPr>
          <w:color w:val="auto"/>
          <w:highlight w:val="none"/>
        </w:rPr>
      </w:pPr>
      <w:r>
        <w:rPr>
          <w:rFonts w:hint="eastAsia" w:hAnsi="宋体" w:cs="宋体"/>
          <w:color w:val="auto"/>
          <w:highlight w:val="none"/>
        </w:rPr>
        <w:t>地</w:t>
      </w:r>
      <w:r>
        <w:rPr>
          <w:color w:val="auto"/>
          <w:highlight w:val="none"/>
        </w:rPr>
        <w:t xml:space="preserve">  </w:t>
      </w:r>
      <w:r>
        <w:rPr>
          <w:rFonts w:hint="eastAsia" w:hAnsi="宋体" w:cs="宋体"/>
          <w:color w:val="auto"/>
          <w:highlight w:val="none"/>
        </w:rPr>
        <w:t>址：</w:t>
      </w:r>
      <w:r>
        <w:rPr>
          <w:color w:val="auto"/>
          <w:highlight w:val="none"/>
          <w:u w:val="single"/>
        </w:rPr>
        <w:t xml:space="preserve">     </w:t>
      </w:r>
      <w:r>
        <w:rPr>
          <w:rFonts w:hint="eastAsia"/>
          <w:color w:val="auto"/>
          <w:highlight w:val="none"/>
          <w:u w:val="single"/>
        </w:rPr>
        <w:t xml:space="preserve">                </w:t>
      </w:r>
      <w:r>
        <w:rPr>
          <w:color w:val="auto"/>
          <w:highlight w:val="none"/>
        </w:rPr>
        <w:t xml:space="preserve">                  </w:t>
      </w:r>
      <w:r>
        <w:rPr>
          <w:rFonts w:hint="eastAsia" w:hAnsi="宋体" w:cs="宋体"/>
          <w:color w:val="auto"/>
          <w:highlight w:val="none"/>
        </w:rPr>
        <w:t>地</w:t>
      </w:r>
      <w:r>
        <w:rPr>
          <w:color w:val="auto"/>
          <w:highlight w:val="none"/>
        </w:rPr>
        <w:t xml:space="preserve">  </w:t>
      </w:r>
      <w:r>
        <w:rPr>
          <w:rFonts w:hint="eastAsia" w:hAnsi="宋体" w:cs="宋体"/>
          <w:color w:val="auto"/>
          <w:highlight w:val="none"/>
        </w:rPr>
        <w:t>址：</w:t>
      </w:r>
      <w:r>
        <w:rPr>
          <w:color w:val="auto"/>
          <w:highlight w:val="none"/>
          <w:u w:val="single"/>
        </w:rPr>
        <w:t xml:space="preserve">        </w:t>
      </w:r>
      <w:r>
        <w:rPr>
          <w:rFonts w:hint="eastAsia"/>
          <w:color w:val="auto"/>
          <w:highlight w:val="none"/>
          <w:u w:val="single"/>
        </w:rPr>
        <w:t xml:space="preserve">                    </w:t>
      </w:r>
    </w:p>
    <w:p w14:paraId="4569A93A">
      <w:pPr>
        <w:pStyle w:val="384"/>
        <w:spacing w:line="360" w:lineRule="auto"/>
        <w:rPr>
          <w:color w:val="auto"/>
          <w:highlight w:val="none"/>
        </w:rPr>
      </w:pPr>
      <w:r>
        <w:rPr>
          <w:rFonts w:hint="eastAsia" w:hAnsi="宋体" w:cs="宋体"/>
          <w:color w:val="auto"/>
          <w:highlight w:val="none"/>
        </w:rPr>
        <w:t>邮政编码：</w:t>
      </w:r>
      <w:r>
        <w:rPr>
          <w:color w:val="auto"/>
          <w:highlight w:val="none"/>
          <w:u w:val="single"/>
        </w:rPr>
        <w:t xml:space="preserve">      </w:t>
      </w:r>
      <w:r>
        <w:rPr>
          <w:rFonts w:hint="eastAsia"/>
          <w:color w:val="auto"/>
          <w:highlight w:val="none"/>
          <w:u w:val="single"/>
        </w:rPr>
        <w:t xml:space="preserve">             </w:t>
      </w:r>
      <w:r>
        <w:rPr>
          <w:color w:val="auto"/>
          <w:highlight w:val="none"/>
        </w:rPr>
        <w:t xml:space="preserve">                 </w:t>
      </w:r>
      <w:r>
        <w:rPr>
          <w:rFonts w:hint="eastAsia"/>
          <w:color w:val="auto"/>
          <w:highlight w:val="none"/>
        </w:rPr>
        <w:t xml:space="preserve"> </w:t>
      </w:r>
      <w:r>
        <w:rPr>
          <w:rFonts w:hint="eastAsia" w:hAnsi="宋体" w:cs="宋体"/>
          <w:color w:val="auto"/>
          <w:highlight w:val="none"/>
        </w:rPr>
        <w:t>邮政编码：</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p>
    <w:p w14:paraId="7887C1C7">
      <w:pPr>
        <w:pStyle w:val="384"/>
        <w:spacing w:line="360" w:lineRule="auto"/>
        <w:rPr>
          <w:color w:val="auto"/>
          <w:highlight w:val="none"/>
        </w:rPr>
      </w:pPr>
      <w:r>
        <w:rPr>
          <w:rFonts w:hint="eastAsia" w:hAnsi="宋体" w:cs="宋体"/>
          <w:color w:val="auto"/>
          <w:highlight w:val="none"/>
        </w:rPr>
        <w:t>法定代表人：</w:t>
      </w:r>
      <w:r>
        <w:rPr>
          <w:color w:val="auto"/>
          <w:highlight w:val="none"/>
          <w:u w:val="single"/>
        </w:rPr>
        <w:t xml:space="preserve">          </w:t>
      </w:r>
      <w:r>
        <w:rPr>
          <w:rFonts w:hint="eastAsia"/>
          <w:color w:val="auto"/>
          <w:highlight w:val="none"/>
          <w:u w:val="single"/>
        </w:rPr>
        <w:t xml:space="preserve">       </w:t>
      </w:r>
      <w:r>
        <w:rPr>
          <w:color w:val="auto"/>
          <w:highlight w:val="none"/>
        </w:rPr>
        <w:t xml:space="preserve">                  </w:t>
      </w:r>
      <w:r>
        <w:rPr>
          <w:rFonts w:hint="eastAsia" w:hAnsi="宋体" w:cs="宋体"/>
          <w:color w:val="auto"/>
          <w:highlight w:val="none"/>
        </w:rPr>
        <w:t>法定代表人：</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p>
    <w:p w14:paraId="78A5D2E7">
      <w:pPr>
        <w:pStyle w:val="384"/>
        <w:spacing w:line="360" w:lineRule="auto"/>
        <w:rPr>
          <w:color w:val="auto"/>
          <w:highlight w:val="none"/>
        </w:rPr>
      </w:pPr>
      <w:r>
        <w:rPr>
          <w:rFonts w:hint="eastAsia" w:hAnsi="宋体" w:cs="宋体"/>
          <w:color w:val="auto"/>
          <w:highlight w:val="none"/>
        </w:rPr>
        <w:t>委托代理人：</w:t>
      </w:r>
      <w:r>
        <w:rPr>
          <w:color w:val="auto"/>
          <w:highlight w:val="none"/>
          <w:u w:val="single"/>
        </w:rPr>
        <w:t xml:space="preserve">           </w:t>
      </w:r>
      <w:r>
        <w:rPr>
          <w:rFonts w:hint="eastAsia"/>
          <w:color w:val="auto"/>
          <w:highlight w:val="none"/>
          <w:u w:val="single"/>
        </w:rPr>
        <w:t xml:space="preserve">      </w:t>
      </w:r>
      <w:r>
        <w:rPr>
          <w:color w:val="auto"/>
          <w:highlight w:val="none"/>
        </w:rPr>
        <w:t xml:space="preserve">                  </w:t>
      </w:r>
      <w:r>
        <w:rPr>
          <w:rFonts w:hint="eastAsia" w:hAnsi="宋体" w:cs="宋体"/>
          <w:color w:val="auto"/>
          <w:highlight w:val="none"/>
        </w:rPr>
        <w:t>委托代理人：</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p>
    <w:p w14:paraId="711AED7A">
      <w:pPr>
        <w:pStyle w:val="384"/>
        <w:spacing w:line="360" w:lineRule="auto"/>
        <w:rPr>
          <w:color w:val="auto"/>
          <w:highlight w:val="none"/>
        </w:rPr>
      </w:pPr>
      <w:r>
        <w:rPr>
          <w:rFonts w:hint="eastAsia" w:hAnsi="宋体" w:cs="宋体"/>
          <w:color w:val="auto"/>
          <w:highlight w:val="none"/>
        </w:rPr>
        <w:t>电</w:t>
      </w:r>
      <w:r>
        <w:rPr>
          <w:color w:val="auto"/>
          <w:highlight w:val="none"/>
        </w:rPr>
        <w:t xml:space="preserve">  </w:t>
      </w:r>
      <w:r>
        <w:rPr>
          <w:rFonts w:hint="eastAsia" w:hAnsi="宋体" w:cs="宋体"/>
          <w:color w:val="auto"/>
          <w:highlight w:val="none"/>
        </w:rPr>
        <w:t>话：</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hAnsi="宋体" w:cs="宋体"/>
          <w:color w:val="auto"/>
          <w:highlight w:val="none"/>
        </w:rPr>
        <w:t>电</w:t>
      </w:r>
      <w:r>
        <w:rPr>
          <w:color w:val="auto"/>
          <w:highlight w:val="none"/>
        </w:rPr>
        <w:t xml:space="preserve">  </w:t>
      </w:r>
      <w:r>
        <w:rPr>
          <w:rFonts w:hint="eastAsia" w:hAnsi="宋体" w:cs="宋体"/>
          <w:color w:val="auto"/>
          <w:highlight w:val="none"/>
        </w:rPr>
        <w:t>话：</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p>
    <w:p w14:paraId="102BE0CA">
      <w:pPr>
        <w:pStyle w:val="384"/>
        <w:spacing w:line="360" w:lineRule="auto"/>
        <w:rPr>
          <w:color w:val="auto"/>
          <w:highlight w:val="none"/>
        </w:rPr>
      </w:pPr>
      <w:r>
        <w:rPr>
          <w:rFonts w:hint="eastAsia" w:hAnsi="宋体" w:cs="宋体"/>
          <w:color w:val="auto"/>
          <w:highlight w:val="none"/>
        </w:rPr>
        <w:t>传</w:t>
      </w:r>
      <w:r>
        <w:rPr>
          <w:color w:val="auto"/>
          <w:highlight w:val="none"/>
        </w:rPr>
        <w:t xml:space="preserve">  </w:t>
      </w:r>
      <w:r>
        <w:rPr>
          <w:rFonts w:hint="eastAsia" w:hAnsi="宋体" w:cs="宋体"/>
          <w:color w:val="auto"/>
          <w:highlight w:val="none"/>
        </w:rPr>
        <w:t>真：</w:t>
      </w:r>
      <w:r>
        <w:rPr>
          <w:color w:val="auto"/>
          <w:highlight w:val="none"/>
          <w:u w:val="single"/>
        </w:rPr>
        <w:t xml:space="preserve">   </w:t>
      </w:r>
      <w:r>
        <w:rPr>
          <w:rFonts w:hint="eastAsia"/>
          <w:color w:val="auto"/>
          <w:highlight w:val="none"/>
          <w:u w:val="single"/>
        </w:rPr>
        <w:t xml:space="preserve">                  </w:t>
      </w:r>
      <w:r>
        <w:rPr>
          <w:color w:val="auto"/>
          <w:highlight w:val="none"/>
        </w:rPr>
        <w:t xml:space="preserve">                  </w:t>
      </w:r>
      <w:r>
        <w:rPr>
          <w:rFonts w:hint="eastAsia" w:hAnsi="宋体" w:cs="宋体"/>
          <w:color w:val="auto"/>
          <w:highlight w:val="none"/>
        </w:rPr>
        <w:t>传</w:t>
      </w:r>
      <w:r>
        <w:rPr>
          <w:color w:val="auto"/>
          <w:highlight w:val="none"/>
        </w:rPr>
        <w:t xml:space="preserve">  </w:t>
      </w:r>
      <w:r>
        <w:rPr>
          <w:rFonts w:hint="eastAsia" w:hAnsi="宋体" w:cs="宋体"/>
          <w:color w:val="auto"/>
          <w:highlight w:val="none"/>
        </w:rPr>
        <w:t>真：</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p>
    <w:p w14:paraId="55A0CABE">
      <w:pPr>
        <w:pStyle w:val="384"/>
        <w:spacing w:line="360" w:lineRule="auto"/>
        <w:rPr>
          <w:color w:val="auto"/>
          <w:highlight w:val="none"/>
        </w:rPr>
      </w:pPr>
      <w:r>
        <w:rPr>
          <w:rFonts w:hint="eastAsia" w:hAnsi="宋体" w:cs="宋体"/>
          <w:color w:val="auto"/>
          <w:highlight w:val="none"/>
        </w:rPr>
        <w:t>电子信箱：</w:t>
      </w:r>
      <w:r>
        <w:rPr>
          <w:color w:val="auto"/>
          <w:highlight w:val="none"/>
          <w:u w:val="single"/>
        </w:rPr>
        <w:t xml:space="preserve">                 </w:t>
      </w:r>
      <w:r>
        <w:rPr>
          <w:rFonts w:hint="eastAsia"/>
          <w:color w:val="auto"/>
          <w:highlight w:val="none"/>
          <w:u w:val="single"/>
        </w:rPr>
        <w:t xml:space="preserve">  </w:t>
      </w:r>
      <w:r>
        <w:rPr>
          <w:color w:val="auto"/>
          <w:highlight w:val="none"/>
        </w:rPr>
        <w:t xml:space="preserve">                  </w:t>
      </w:r>
      <w:r>
        <w:rPr>
          <w:rFonts w:hint="eastAsia" w:hAnsi="宋体" w:cs="宋体"/>
          <w:color w:val="auto"/>
          <w:highlight w:val="none"/>
        </w:rPr>
        <w:t>电子信箱：</w:t>
      </w:r>
      <w:r>
        <w:rPr>
          <w:color w:val="auto"/>
          <w:highlight w:val="none"/>
          <w:u w:val="single"/>
        </w:rPr>
        <w:t xml:space="preserve">   </w:t>
      </w:r>
      <w:r>
        <w:rPr>
          <w:rFonts w:hint="eastAsia"/>
          <w:color w:val="auto"/>
          <w:highlight w:val="none"/>
          <w:u w:val="single"/>
        </w:rPr>
        <w:t xml:space="preserve">                      </w:t>
      </w:r>
    </w:p>
    <w:p w14:paraId="7CA13BD1">
      <w:pPr>
        <w:pStyle w:val="384"/>
        <w:spacing w:line="360" w:lineRule="auto"/>
        <w:rPr>
          <w:color w:val="auto"/>
          <w:highlight w:val="none"/>
        </w:rPr>
      </w:pPr>
      <w:r>
        <w:rPr>
          <w:rFonts w:hint="eastAsia" w:hAnsi="宋体" w:cs="宋体"/>
          <w:color w:val="auto"/>
          <w:highlight w:val="none"/>
        </w:rPr>
        <w:t>开户银行：</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color w:val="auto"/>
          <w:highlight w:val="none"/>
        </w:rPr>
        <w:t xml:space="preserve">                  </w:t>
      </w:r>
      <w:r>
        <w:rPr>
          <w:rFonts w:hint="eastAsia" w:hAnsi="宋体" w:cs="宋体"/>
          <w:color w:val="auto"/>
          <w:highlight w:val="none"/>
        </w:rPr>
        <w:t>开户银行：</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p>
    <w:p w14:paraId="231C2B9D">
      <w:pPr>
        <w:pStyle w:val="384"/>
        <w:rPr>
          <w:rFonts w:ascii="Times New Roman" w:hAnsi="Times New Roman"/>
          <w:color w:val="auto"/>
          <w:szCs w:val="21"/>
          <w:highlight w:val="none"/>
          <w:u w:val="single"/>
        </w:rPr>
      </w:pPr>
      <w:r>
        <w:rPr>
          <w:rFonts w:hint="eastAsia" w:hAnsi="宋体" w:cs="宋体"/>
          <w:color w:val="auto"/>
          <w:highlight w:val="none"/>
        </w:rPr>
        <w:t>账</w:t>
      </w:r>
      <w:r>
        <w:rPr>
          <w:color w:val="auto"/>
          <w:highlight w:val="none"/>
        </w:rPr>
        <w:t xml:space="preserve">  </w:t>
      </w:r>
      <w:r>
        <w:rPr>
          <w:rFonts w:hint="eastAsia" w:hAnsi="宋体" w:cs="宋体"/>
          <w:color w:val="auto"/>
          <w:highlight w:val="none"/>
        </w:rPr>
        <w:t>号：</w:t>
      </w:r>
      <w:r>
        <w:rPr>
          <w:color w:val="auto"/>
          <w:highlight w:val="none"/>
          <w:u w:val="single"/>
        </w:rPr>
        <w:t xml:space="preserve">       </w:t>
      </w:r>
      <w:r>
        <w:rPr>
          <w:rFonts w:hint="eastAsia"/>
          <w:color w:val="auto"/>
          <w:highlight w:val="none"/>
          <w:u w:val="single"/>
        </w:rPr>
        <w:t xml:space="preserve">              </w:t>
      </w:r>
      <w:r>
        <w:rPr>
          <w:color w:val="auto"/>
          <w:highlight w:val="none"/>
        </w:rPr>
        <w:t xml:space="preserve">                  </w:t>
      </w:r>
      <w:r>
        <w:rPr>
          <w:rFonts w:hint="eastAsia" w:hAnsi="宋体" w:cs="宋体"/>
          <w:color w:val="auto"/>
          <w:highlight w:val="none"/>
        </w:rPr>
        <w:t>账</w:t>
      </w:r>
      <w:r>
        <w:rPr>
          <w:color w:val="auto"/>
          <w:highlight w:val="none"/>
        </w:rPr>
        <w:t xml:space="preserve">  </w:t>
      </w:r>
      <w:r>
        <w:rPr>
          <w:rFonts w:hint="eastAsia" w:hAnsi="宋体" w:cs="宋体"/>
          <w:color w:val="auto"/>
          <w:highlight w:val="none"/>
        </w:rPr>
        <w:t>号：</w:t>
      </w:r>
      <w:r>
        <w:rPr>
          <w:color w:val="auto"/>
          <w:highlight w:val="none"/>
          <w:u w:val="single"/>
        </w:rPr>
        <w:t xml:space="preserve">    </w:t>
      </w:r>
      <w:r>
        <w:rPr>
          <w:rFonts w:hint="eastAsia"/>
          <w:color w:val="auto"/>
          <w:highlight w:val="none"/>
          <w:u w:val="single"/>
        </w:rPr>
        <w:t xml:space="preserve">                      </w:t>
      </w:r>
    </w:p>
    <w:p w14:paraId="627B0E57">
      <w:pPr>
        <w:rPr>
          <w:color w:val="auto"/>
          <w:sz w:val="20"/>
          <w:highlight w:val="none"/>
        </w:rPr>
      </w:pPr>
      <w:r>
        <w:rPr>
          <w:rFonts w:hint="eastAsia"/>
          <w:color w:val="auto"/>
          <w:sz w:val="20"/>
          <w:highlight w:val="none"/>
        </w:rPr>
        <w:t xml:space="preserve"> </w:t>
      </w:r>
    </w:p>
    <w:p w14:paraId="55A277F6">
      <w:pPr>
        <w:pStyle w:val="189"/>
        <w:spacing w:before="0" w:after="0" w:line="360" w:lineRule="auto"/>
        <w:rPr>
          <w:color w:val="auto"/>
          <w:highlight w:val="none"/>
        </w:rPr>
      </w:pPr>
      <w:r>
        <w:rPr>
          <w:color w:val="auto"/>
          <w:highlight w:val="none"/>
        </w:rPr>
        <w:br w:type="page" w:clear="all"/>
      </w:r>
      <w:r>
        <w:rPr>
          <w:rFonts w:hint="eastAsia"/>
          <w:color w:val="auto"/>
          <w:highlight w:val="none"/>
        </w:rPr>
        <w:t>附件二 廉政合同</w:t>
      </w:r>
    </w:p>
    <w:p w14:paraId="41AD4AA7">
      <w:pPr>
        <w:spacing w:line="360" w:lineRule="auto"/>
        <w:jc w:val="center"/>
        <w:rPr>
          <w:b/>
          <w:bCs/>
          <w:color w:val="auto"/>
          <w:sz w:val="28"/>
          <w:szCs w:val="28"/>
          <w:highlight w:val="none"/>
        </w:rPr>
      </w:pPr>
      <w:r>
        <w:rPr>
          <w:rFonts w:hint="eastAsia"/>
          <w:b/>
          <w:bCs/>
          <w:color w:val="auto"/>
          <w:sz w:val="28"/>
          <w:szCs w:val="28"/>
          <w:highlight w:val="none"/>
        </w:rPr>
        <w:t>廉 政 合 同</w:t>
      </w:r>
    </w:p>
    <w:p w14:paraId="149507FE">
      <w:pPr>
        <w:spacing w:line="324" w:lineRule="auto"/>
        <w:ind w:firstLine="420"/>
        <w:rPr>
          <w:rFonts w:hint="eastAsia" w:ascii="宋体" w:hAnsi="宋体" w:cs="宋体"/>
          <w:color w:val="auto"/>
          <w:highlight w:val="none"/>
        </w:rPr>
      </w:pPr>
    </w:p>
    <w:p w14:paraId="0D39A07B">
      <w:pPr>
        <w:spacing w:line="324" w:lineRule="auto"/>
        <w:ind w:firstLine="420"/>
        <w:rPr>
          <w:rFonts w:hint="eastAsia" w:ascii="宋体" w:hAnsi="宋体" w:cs="宋体"/>
          <w:color w:val="auto"/>
          <w:highlight w:val="none"/>
        </w:rPr>
      </w:pPr>
      <w:r>
        <w:rPr>
          <w:rFonts w:hint="eastAsia" w:ascii="宋体" w:hAnsi="宋体" w:cs="宋体"/>
          <w:color w:val="auto"/>
          <w:highlight w:val="none"/>
        </w:rPr>
        <w:t>根据《关于在交通基础设施建设中加强廉政建设的若干意见》以及有关工程建设、廉政建设的规定，为做好工程建设中的党风廉政建设，保证工程建设高效优质，保证建设资金的安全和有效使用以及投资效益，</w:t>
      </w:r>
      <w:r>
        <w:rPr>
          <w:rFonts w:hint="eastAsia" w:ascii="宋体" w:hAnsi="宋体" w:cs="宋体"/>
          <w:b/>
          <w:bCs/>
          <w:color w:val="auto"/>
          <w:highlight w:val="none"/>
          <w:u w:val="single"/>
        </w:rPr>
        <w:t xml:space="preserve">                 </w:t>
      </w:r>
      <w:r>
        <w:rPr>
          <w:rFonts w:hint="eastAsia" w:ascii="宋体" w:hAnsi="宋体" w:cs="宋体"/>
          <w:color w:val="auto"/>
          <w:highlight w:val="none"/>
        </w:rPr>
        <w:t>（项目名称）项目法人</w:t>
      </w:r>
      <w:r>
        <w:rPr>
          <w:rFonts w:hint="eastAsia" w:ascii="宋体" w:hAnsi="宋体" w:cs="宋体"/>
          <w:b/>
          <w:bCs/>
          <w:color w:val="auto"/>
          <w:highlight w:val="none"/>
          <w:u w:val="single"/>
        </w:rPr>
        <w:t xml:space="preserve">              </w:t>
      </w:r>
      <w:r>
        <w:rPr>
          <w:rFonts w:hint="eastAsia" w:ascii="宋体" w:hAnsi="宋体" w:cs="宋体"/>
          <w:color w:val="auto"/>
          <w:highlight w:val="none"/>
        </w:rPr>
        <w:t>（项目法人名称，以下简称“发包人”）与该项目的施工单位</w:t>
      </w:r>
      <w:r>
        <w:rPr>
          <w:rFonts w:hint="eastAsia" w:ascii="宋体" w:hAnsi="宋体" w:cs="宋体"/>
          <w:b/>
          <w:bCs/>
          <w:color w:val="auto"/>
          <w:highlight w:val="none"/>
          <w:u w:val="single"/>
        </w:rPr>
        <w:t xml:space="preserve">                     </w:t>
      </w:r>
      <w:r>
        <w:rPr>
          <w:rFonts w:hint="eastAsia" w:ascii="宋体" w:hAnsi="宋体" w:cs="宋体"/>
          <w:color w:val="auto"/>
          <w:highlight w:val="none"/>
        </w:rPr>
        <w:t>（施工单位名称，以下简称“承包人”），特订立如下合同。</w:t>
      </w:r>
    </w:p>
    <w:p w14:paraId="753522B0">
      <w:pPr>
        <w:spacing w:line="324" w:lineRule="auto"/>
        <w:ind w:firstLine="420"/>
        <w:rPr>
          <w:rFonts w:hint="eastAsia" w:ascii="宋体" w:hAnsi="宋体" w:cs="宋体"/>
          <w:color w:val="auto"/>
          <w:highlight w:val="none"/>
        </w:rPr>
      </w:pPr>
      <w:r>
        <w:rPr>
          <w:rFonts w:hint="eastAsia" w:ascii="宋体" w:hAnsi="宋体" w:cs="宋体"/>
          <w:color w:val="auto"/>
          <w:highlight w:val="none"/>
        </w:rPr>
        <w:t>1．发包人和承包人双方的权利和义务</w:t>
      </w:r>
    </w:p>
    <w:p w14:paraId="705C61FD">
      <w:pPr>
        <w:spacing w:line="324" w:lineRule="auto"/>
        <w:ind w:firstLine="420"/>
        <w:rPr>
          <w:rFonts w:hint="eastAsia" w:ascii="宋体" w:hAnsi="宋体" w:cs="宋体"/>
          <w:color w:val="auto"/>
          <w:highlight w:val="none"/>
        </w:rPr>
      </w:pPr>
      <w:r>
        <w:rPr>
          <w:rFonts w:hint="eastAsia" w:ascii="宋体" w:hAnsi="宋体" w:cs="宋体"/>
          <w:color w:val="auto"/>
          <w:highlight w:val="none"/>
        </w:rPr>
        <w:t>（1）严格遵守党的政策规定和国家有关法律法规及交通运输部的有关规定。</w:t>
      </w:r>
    </w:p>
    <w:p w14:paraId="474A2DF9">
      <w:pPr>
        <w:spacing w:line="324" w:lineRule="auto"/>
        <w:ind w:firstLine="420"/>
        <w:rPr>
          <w:rFonts w:hint="eastAsia" w:ascii="宋体" w:hAnsi="宋体" w:cs="宋体"/>
          <w:color w:val="auto"/>
          <w:highlight w:val="none"/>
        </w:rPr>
      </w:pPr>
      <w:r>
        <w:rPr>
          <w:rFonts w:hint="eastAsia" w:ascii="宋体" w:hAnsi="宋体" w:cs="宋体"/>
          <w:color w:val="auto"/>
          <w:highlight w:val="none"/>
        </w:rPr>
        <w:t>（2）严格执行</w:t>
      </w:r>
      <w:r>
        <w:rPr>
          <w:rFonts w:hint="eastAsia" w:ascii="宋体" w:hAnsi="宋体" w:cs="宋体"/>
          <w:b/>
          <w:bCs/>
          <w:color w:val="auto"/>
          <w:highlight w:val="none"/>
          <w:u w:val="single"/>
        </w:rPr>
        <w:t xml:space="preserve">                  </w:t>
      </w:r>
      <w:r>
        <w:rPr>
          <w:rFonts w:hint="eastAsia" w:ascii="宋体" w:hAnsi="宋体" w:cs="宋体"/>
          <w:color w:val="auto"/>
          <w:highlight w:val="none"/>
        </w:rPr>
        <w:t>（项目名称）施工合同文件，自觉按合同办事。</w:t>
      </w:r>
    </w:p>
    <w:p w14:paraId="4329E07A">
      <w:pPr>
        <w:spacing w:line="324" w:lineRule="auto"/>
        <w:ind w:firstLine="420"/>
        <w:rPr>
          <w:rFonts w:hint="eastAsia" w:ascii="宋体" w:hAnsi="宋体" w:cs="宋体"/>
          <w:color w:val="auto"/>
          <w:highlight w:val="none"/>
        </w:rPr>
      </w:pPr>
      <w:r>
        <w:rPr>
          <w:rFonts w:hint="eastAsia" w:ascii="宋体" w:hAnsi="宋体" w:cs="宋体"/>
          <w:color w:val="auto"/>
          <w:highlight w:val="none"/>
        </w:rPr>
        <w:t>（3）双方的业务活动坚持公开、公正、诚信、透明的原则（法律认定的商业秘密和合同文件另有规定除外），不得损害国家和集体利益，不得违反工程建设管理规章制度。</w:t>
      </w:r>
    </w:p>
    <w:p w14:paraId="73654AC5">
      <w:pPr>
        <w:spacing w:line="324" w:lineRule="auto"/>
        <w:ind w:firstLine="420"/>
        <w:rPr>
          <w:rFonts w:hint="eastAsia" w:ascii="宋体" w:hAnsi="宋体" w:cs="宋体"/>
          <w:color w:val="auto"/>
          <w:highlight w:val="none"/>
        </w:rPr>
      </w:pPr>
      <w:r>
        <w:rPr>
          <w:rFonts w:hint="eastAsia" w:ascii="宋体" w:hAnsi="宋体" w:cs="宋体"/>
          <w:color w:val="auto"/>
          <w:highlight w:val="none"/>
        </w:rPr>
        <w:t>（4）建立健全廉政制度，开展廉政教育，设立廉政告示牌，公布举报电话，监督并认真查处违法违纪行为。</w:t>
      </w:r>
    </w:p>
    <w:p w14:paraId="3DC2E87B">
      <w:pPr>
        <w:spacing w:line="324" w:lineRule="auto"/>
        <w:ind w:firstLine="420"/>
        <w:rPr>
          <w:rFonts w:hint="eastAsia" w:ascii="宋体" w:hAnsi="宋体" w:cs="宋体"/>
          <w:color w:val="auto"/>
          <w:highlight w:val="none"/>
        </w:rPr>
      </w:pPr>
      <w:r>
        <w:rPr>
          <w:rFonts w:hint="eastAsia" w:ascii="宋体" w:hAnsi="宋体" w:cs="宋体"/>
          <w:color w:val="auto"/>
          <w:highlight w:val="none"/>
        </w:rPr>
        <w:t>（5）发现对方在业务活动中有违反廉政规定的行为，有及时提醒对方纠正的权利和义务。</w:t>
      </w:r>
    </w:p>
    <w:p w14:paraId="3788DE6D">
      <w:pPr>
        <w:spacing w:line="324" w:lineRule="auto"/>
        <w:ind w:firstLine="420"/>
        <w:rPr>
          <w:rFonts w:hint="eastAsia" w:ascii="宋体" w:hAnsi="宋体" w:cs="宋体"/>
          <w:color w:val="auto"/>
          <w:highlight w:val="none"/>
        </w:rPr>
      </w:pPr>
      <w:r>
        <w:rPr>
          <w:rFonts w:hint="eastAsia" w:ascii="宋体" w:hAnsi="宋体" w:cs="宋体"/>
          <w:color w:val="auto"/>
          <w:highlight w:val="none"/>
        </w:rPr>
        <w:t>（6）发现对方严重违反本合同义务条款的行为，有向其上级有关部门举报、建议给予处理并要求告知处理结果的权利。</w:t>
      </w:r>
    </w:p>
    <w:p w14:paraId="3A2A6152">
      <w:pPr>
        <w:spacing w:line="324" w:lineRule="auto"/>
        <w:ind w:firstLine="420"/>
        <w:rPr>
          <w:rFonts w:hint="eastAsia" w:ascii="宋体" w:hAnsi="宋体" w:cs="宋体"/>
          <w:color w:val="auto"/>
          <w:highlight w:val="none"/>
        </w:rPr>
      </w:pPr>
      <w:r>
        <w:rPr>
          <w:rFonts w:hint="eastAsia" w:ascii="宋体" w:hAnsi="宋体" w:cs="宋体"/>
          <w:color w:val="auto"/>
          <w:highlight w:val="none"/>
        </w:rPr>
        <w:t>2．发包人的义务</w:t>
      </w:r>
    </w:p>
    <w:p w14:paraId="1FF0ADBC">
      <w:pPr>
        <w:spacing w:line="324" w:lineRule="auto"/>
        <w:ind w:firstLine="420"/>
        <w:rPr>
          <w:rFonts w:hint="eastAsia" w:ascii="宋体" w:hAnsi="宋体" w:cs="宋体"/>
          <w:color w:val="auto"/>
          <w:highlight w:val="none"/>
        </w:rPr>
      </w:pPr>
      <w:r>
        <w:rPr>
          <w:rFonts w:hint="eastAsia" w:ascii="宋体" w:hAnsi="宋体" w:cs="宋体"/>
          <w:color w:val="auto"/>
          <w:highlight w:val="none"/>
        </w:rPr>
        <w:t>（1）发包人及其工作人员不得索要或接受承包人的礼金、有价证券和贵重物品，不得让承包人报销任何应由发包人或发包人工作人员个人支付的费用等。</w:t>
      </w:r>
    </w:p>
    <w:p w14:paraId="4DCDC3D6">
      <w:pPr>
        <w:spacing w:line="324" w:lineRule="auto"/>
        <w:ind w:firstLine="420"/>
        <w:rPr>
          <w:rFonts w:hint="eastAsia" w:ascii="宋体" w:hAnsi="宋体" w:cs="宋体"/>
          <w:color w:val="auto"/>
          <w:highlight w:val="none"/>
        </w:rPr>
      </w:pPr>
      <w:r>
        <w:rPr>
          <w:rFonts w:hint="eastAsia" w:ascii="宋体" w:hAnsi="宋体" w:cs="宋体"/>
          <w:color w:val="auto"/>
          <w:highlight w:val="none"/>
        </w:rPr>
        <w:t>（2）发包人工作人员不得参加承包人安排的超标准宴请和娱乐活动；不得接受承包人提供的通讯工具、交通工具和高档办公用品等。</w:t>
      </w:r>
    </w:p>
    <w:p w14:paraId="539B2873">
      <w:pPr>
        <w:spacing w:line="324" w:lineRule="auto"/>
        <w:ind w:firstLine="420"/>
        <w:rPr>
          <w:rFonts w:hint="eastAsia" w:ascii="宋体" w:hAnsi="宋体" w:cs="宋体"/>
          <w:color w:val="auto"/>
          <w:highlight w:val="none"/>
        </w:rPr>
      </w:pPr>
      <w:r>
        <w:rPr>
          <w:rFonts w:hint="eastAsia" w:ascii="宋体" w:hAnsi="宋体" w:cs="宋体"/>
          <w:color w:val="auto"/>
          <w:highlight w:val="none"/>
        </w:rPr>
        <w:t>（3）发包人及其工作人员不得要求或者接受承包人为其住房装修、婚丧嫁娶活动、配偶子女的工作安排以及出国出境、旅游等提供方便等。</w:t>
      </w:r>
    </w:p>
    <w:p w14:paraId="2B524FF5">
      <w:pPr>
        <w:spacing w:line="324" w:lineRule="auto"/>
        <w:ind w:firstLine="420"/>
        <w:rPr>
          <w:rFonts w:hint="eastAsia" w:ascii="宋体" w:hAnsi="宋体" w:cs="宋体"/>
          <w:color w:val="auto"/>
          <w:highlight w:val="none"/>
        </w:rPr>
      </w:pPr>
      <w:r>
        <w:rPr>
          <w:rFonts w:hint="eastAsia" w:ascii="宋体" w:hAnsi="宋体" w:cs="宋体"/>
          <w:color w:val="auto"/>
          <w:highlight w:val="none"/>
        </w:rPr>
        <w:t>（4）发包人工作人员及其配偶、子女不得从事与发包人工作有关的材料设备供应、工程分包、劳务等经济活动等。</w:t>
      </w:r>
    </w:p>
    <w:p w14:paraId="6279D258">
      <w:pPr>
        <w:spacing w:line="324" w:lineRule="auto"/>
        <w:ind w:firstLine="420"/>
        <w:rPr>
          <w:rFonts w:hint="eastAsia" w:ascii="宋体" w:hAnsi="宋体" w:cs="宋体"/>
          <w:color w:val="auto"/>
          <w:highlight w:val="none"/>
        </w:rPr>
      </w:pPr>
      <w:r>
        <w:rPr>
          <w:rFonts w:hint="eastAsia" w:ascii="宋体" w:hAnsi="宋体" w:cs="宋体"/>
          <w:color w:val="auto"/>
          <w:highlight w:val="none"/>
        </w:rPr>
        <w:t>（5）发包人及其工作人员不得以任何理由向承包人推荐分包单位或推销材料，不得要求承包人购买合同规定外的材料和设备。</w:t>
      </w:r>
    </w:p>
    <w:p w14:paraId="4EA54D07">
      <w:pPr>
        <w:spacing w:line="324" w:lineRule="auto"/>
        <w:ind w:firstLine="420"/>
        <w:rPr>
          <w:rFonts w:hint="eastAsia" w:ascii="宋体" w:hAnsi="宋体" w:cs="宋体"/>
          <w:color w:val="auto"/>
          <w:highlight w:val="none"/>
        </w:rPr>
      </w:pPr>
      <w:r>
        <w:rPr>
          <w:rFonts w:hint="eastAsia" w:ascii="宋体" w:hAnsi="宋体" w:cs="宋体"/>
          <w:color w:val="auto"/>
          <w:highlight w:val="none"/>
        </w:rPr>
        <w:t>（6）发包人工作人员要秉公办事，不准营私舞弊，不准利用职权从事各种个人有偿中介活动和安排个人施工队伍。</w:t>
      </w:r>
    </w:p>
    <w:p w14:paraId="3174D26F">
      <w:pPr>
        <w:spacing w:line="324" w:lineRule="auto"/>
        <w:ind w:firstLine="420"/>
        <w:rPr>
          <w:rFonts w:hint="eastAsia" w:ascii="宋体" w:hAnsi="宋体" w:cs="宋体"/>
          <w:color w:val="auto"/>
          <w:highlight w:val="none"/>
        </w:rPr>
      </w:pPr>
      <w:r>
        <w:rPr>
          <w:rFonts w:hint="eastAsia" w:ascii="宋体" w:hAnsi="宋体" w:cs="宋体"/>
          <w:color w:val="auto"/>
          <w:highlight w:val="none"/>
        </w:rPr>
        <w:t>3．承包人的义务</w:t>
      </w:r>
    </w:p>
    <w:p w14:paraId="1313559C">
      <w:pPr>
        <w:spacing w:line="324" w:lineRule="auto"/>
        <w:ind w:firstLine="420"/>
        <w:rPr>
          <w:rFonts w:hint="eastAsia" w:ascii="宋体" w:hAnsi="宋体" w:cs="宋体"/>
          <w:color w:val="auto"/>
          <w:highlight w:val="none"/>
        </w:rPr>
      </w:pPr>
      <w:r>
        <w:rPr>
          <w:rFonts w:hint="eastAsia" w:ascii="宋体" w:hAnsi="宋体" w:cs="宋体"/>
          <w:color w:val="auto"/>
          <w:highlight w:val="none"/>
        </w:rPr>
        <w:t>（1）承包人不得以任何理由向发包人及其工作人员行贿或馈赠礼金、有价证券、贵重礼品。</w:t>
      </w:r>
    </w:p>
    <w:p w14:paraId="1111A1E3">
      <w:pPr>
        <w:spacing w:line="324" w:lineRule="auto"/>
        <w:ind w:firstLine="420"/>
        <w:rPr>
          <w:rFonts w:hint="eastAsia" w:ascii="宋体" w:hAnsi="宋体" w:cs="宋体"/>
          <w:color w:val="auto"/>
          <w:highlight w:val="none"/>
        </w:rPr>
      </w:pPr>
      <w:r>
        <w:rPr>
          <w:rFonts w:hint="eastAsia" w:ascii="宋体" w:hAnsi="宋体" w:cs="宋体"/>
          <w:color w:val="auto"/>
          <w:highlight w:val="none"/>
        </w:rPr>
        <w:t>（2）承包人不得以任何名义为发包人及其工作人员报销应由发包人单位或个人支付的任何费用。</w:t>
      </w:r>
    </w:p>
    <w:p w14:paraId="3BD2D58E">
      <w:pPr>
        <w:spacing w:line="324" w:lineRule="auto"/>
        <w:ind w:firstLine="420"/>
        <w:rPr>
          <w:rFonts w:hint="eastAsia" w:ascii="宋体" w:hAnsi="宋体" w:cs="宋体"/>
          <w:color w:val="auto"/>
          <w:highlight w:val="none"/>
        </w:rPr>
      </w:pPr>
      <w:r>
        <w:rPr>
          <w:rFonts w:hint="eastAsia" w:ascii="宋体" w:hAnsi="宋体" w:cs="宋体"/>
          <w:color w:val="auto"/>
          <w:highlight w:val="none"/>
        </w:rPr>
        <w:t>（3）承包人不得以任何理由安排发包人工作人员参加超标准宴请及娱乐活动。</w:t>
      </w:r>
    </w:p>
    <w:p w14:paraId="1C7AC3D7">
      <w:pPr>
        <w:spacing w:line="324" w:lineRule="auto"/>
        <w:ind w:firstLine="420"/>
        <w:rPr>
          <w:rFonts w:hint="eastAsia" w:ascii="宋体" w:hAnsi="宋体" w:cs="宋体"/>
          <w:color w:val="auto"/>
          <w:highlight w:val="none"/>
        </w:rPr>
      </w:pPr>
      <w:r>
        <w:rPr>
          <w:rFonts w:hint="eastAsia" w:ascii="宋体" w:hAnsi="宋体" w:cs="宋体"/>
          <w:color w:val="auto"/>
          <w:highlight w:val="none"/>
        </w:rPr>
        <w:t>（4）承包人不得为发包人单位和个人购置或提供通讯工具、交通工具和高档办公用品等。</w:t>
      </w:r>
    </w:p>
    <w:p w14:paraId="200CDCBB">
      <w:pPr>
        <w:spacing w:line="324" w:lineRule="auto"/>
        <w:ind w:firstLine="420"/>
        <w:rPr>
          <w:rFonts w:hint="eastAsia" w:ascii="宋体" w:hAnsi="宋体" w:cs="宋体"/>
          <w:color w:val="auto"/>
          <w:highlight w:val="none"/>
        </w:rPr>
      </w:pPr>
      <w:r>
        <w:rPr>
          <w:rFonts w:hint="eastAsia" w:ascii="宋体" w:hAnsi="宋体" w:cs="宋体"/>
          <w:color w:val="auto"/>
          <w:highlight w:val="none"/>
        </w:rPr>
        <w:t>4．违约责任</w:t>
      </w:r>
    </w:p>
    <w:p w14:paraId="1234A7A3">
      <w:pPr>
        <w:spacing w:line="324" w:lineRule="auto"/>
        <w:ind w:firstLine="420"/>
        <w:rPr>
          <w:rFonts w:hint="eastAsia" w:ascii="宋体" w:hAnsi="宋体" w:cs="宋体"/>
          <w:color w:val="auto"/>
          <w:highlight w:val="none"/>
        </w:rPr>
      </w:pPr>
      <w:r>
        <w:rPr>
          <w:rFonts w:hint="eastAsia" w:ascii="宋体" w:hAnsi="宋体" w:cs="宋体"/>
          <w:color w:val="auto"/>
          <w:highlight w:val="none"/>
        </w:rPr>
        <w:t>（1）发包人及其工作人员违反本合同第1、2条，按管理权限，依据有关规定给予党纪、政纪或组织处理；涉嫌犯罪的，移交</w:t>
      </w:r>
      <w:r>
        <w:rPr>
          <w:color w:val="auto"/>
          <w:highlight w:val="none"/>
        </w:rPr>
        <w:t>司法机关</w:t>
      </w:r>
      <w:r>
        <w:rPr>
          <w:rFonts w:hint="eastAsia" w:ascii="宋体" w:hAnsi="宋体" w:cs="宋体"/>
          <w:color w:val="auto"/>
          <w:highlight w:val="none"/>
        </w:rPr>
        <w:t>追究刑事责任；给承包人单位造成经济损失的，应予以赔偿。</w:t>
      </w:r>
    </w:p>
    <w:p w14:paraId="6C372221">
      <w:pPr>
        <w:spacing w:line="324" w:lineRule="auto"/>
        <w:ind w:firstLine="420"/>
        <w:rPr>
          <w:rFonts w:hint="eastAsia" w:ascii="宋体" w:hAnsi="宋体" w:cs="宋体"/>
          <w:color w:val="auto"/>
          <w:highlight w:val="none"/>
        </w:rPr>
      </w:pPr>
      <w:r>
        <w:rPr>
          <w:rFonts w:hint="eastAsia" w:ascii="宋体" w:hAnsi="宋体" w:cs="宋体"/>
          <w:color w:val="auto"/>
          <w:highlight w:val="none"/>
        </w:rPr>
        <w:t>（2）承包人及其工作人员违反本合同第1、3条，按管理权限，依据有关规定给予党纪、政纪或组织处理；给发包人单位造成经济损失的，应予以赔偿；情节严重的，发包人建议交通主管部门给予承包人一至三年内不得进入其主管的公路建设市场的处罚。</w:t>
      </w:r>
    </w:p>
    <w:p w14:paraId="34240DF3">
      <w:pPr>
        <w:spacing w:line="324" w:lineRule="auto"/>
        <w:ind w:firstLine="420"/>
        <w:rPr>
          <w:rFonts w:hint="eastAsia" w:ascii="宋体" w:hAnsi="宋体" w:cs="宋体"/>
          <w:color w:val="auto"/>
          <w:highlight w:val="none"/>
        </w:rPr>
      </w:pPr>
      <w:r>
        <w:rPr>
          <w:rFonts w:hint="eastAsia" w:ascii="宋体" w:hAnsi="宋体" w:cs="宋体"/>
          <w:color w:val="auto"/>
          <w:highlight w:val="none"/>
        </w:rPr>
        <w:t>5.双方约定：本合同由双方或双方上级单位的纪检监察部门负责监督执行。由发包人或发包人上级单位的纪检监察部门约请承包人或承包人上级单位纪检监察部门对本合同执行情况进行检查，提出在本合同规定范围内的裁定意见。</w:t>
      </w:r>
    </w:p>
    <w:p w14:paraId="3F82E4C7">
      <w:pPr>
        <w:spacing w:line="324" w:lineRule="auto"/>
        <w:ind w:firstLine="420"/>
        <w:rPr>
          <w:rFonts w:hint="eastAsia" w:ascii="宋体" w:hAnsi="宋体" w:cs="宋体"/>
          <w:color w:val="auto"/>
          <w:highlight w:val="none"/>
        </w:rPr>
      </w:pPr>
      <w:r>
        <w:rPr>
          <w:rFonts w:hint="eastAsia" w:ascii="宋体" w:hAnsi="宋体" w:cs="宋体"/>
          <w:color w:val="auto"/>
          <w:highlight w:val="none"/>
        </w:rPr>
        <w:t>6.本合同有效期为发包人和承包人签署之日起至该工程项目竣工验收后止。</w:t>
      </w:r>
    </w:p>
    <w:p w14:paraId="619A4641">
      <w:pPr>
        <w:spacing w:line="324" w:lineRule="auto"/>
        <w:ind w:firstLine="420"/>
        <w:rPr>
          <w:rFonts w:hint="eastAsia" w:ascii="宋体" w:hAnsi="宋体" w:cs="宋体"/>
          <w:color w:val="auto"/>
          <w:highlight w:val="none"/>
        </w:rPr>
      </w:pPr>
      <w:r>
        <w:rPr>
          <w:rFonts w:hint="eastAsia" w:ascii="宋体" w:hAnsi="宋体" w:cs="宋体"/>
          <w:color w:val="auto"/>
          <w:highlight w:val="none"/>
        </w:rPr>
        <w:t>7．本合同作为</w:t>
      </w:r>
      <w:r>
        <w:rPr>
          <w:rFonts w:hint="eastAsia" w:ascii="宋体" w:hAnsi="宋体" w:cs="宋体"/>
          <w:b/>
          <w:bCs/>
          <w:color w:val="auto"/>
          <w:highlight w:val="none"/>
          <w:u w:val="single"/>
        </w:rPr>
        <w:t xml:space="preserve">                    </w:t>
      </w:r>
      <w:r>
        <w:rPr>
          <w:rFonts w:hint="eastAsia" w:ascii="宋体" w:hAnsi="宋体" w:cs="宋体"/>
          <w:color w:val="auto"/>
          <w:highlight w:val="none"/>
        </w:rPr>
        <w:t>（项目名称）施工合同的附件，与工程施工合同具有同等的法律效力，经合同双方签署后立即生效。</w:t>
      </w:r>
    </w:p>
    <w:p w14:paraId="10A4C146">
      <w:pPr>
        <w:spacing w:line="324" w:lineRule="auto"/>
        <w:ind w:firstLine="420"/>
        <w:rPr>
          <w:color w:val="auto"/>
          <w:highlight w:val="none"/>
        </w:rPr>
      </w:pPr>
      <w:r>
        <w:rPr>
          <w:rFonts w:hint="eastAsia" w:ascii="宋体" w:hAnsi="宋体" w:cs="宋体"/>
          <w:color w:val="auto"/>
          <w:highlight w:val="none"/>
        </w:rPr>
        <w:t>8．本合同一式</w:t>
      </w:r>
      <w:r>
        <w:rPr>
          <w:rFonts w:hint="eastAsia" w:ascii="宋体" w:hAnsi="宋体" w:cs="宋体"/>
          <w:color w:val="auto"/>
          <w:highlight w:val="none"/>
          <w:u w:val="single"/>
        </w:rPr>
        <w:t xml:space="preserve"> 陆 </w:t>
      </w:r>
      <w:r>
        <w:rPr>
          <w:rFonts w:hint="eastAsia" w:ascii="宋体" w:hAnsi="宋体" w:cs="宋体"/>
          <w:color w:val="auto"/>
          <w:highlight w:val="none"/>
        </w:rPr>
        <w:t>份，由发包人和承包人各执</w:t>
      </w:r>
      <w:r>
        <w:rPr>
          <w:rFonts w:hint="eastAsia" w:ascii="宋体" w:hAnsi="宋体" w:cs="宋体"/>
          <w:color w:val="auto"/>
          <w:highlight w:val="none"/>
          <w:u w:val="single"/>
        </w:rPr>
        <w:t xml:space="preserve"> 两 </w:t>
      </w:r>
      <w:r>
        <w:rPr>
          <w:rFonts w:hint="eastAsia" w:ascii="宋体" w:hAnsi="宋体" w:cs="宋体"/>
          <w:color w:val="auto"/>
          <w:highlight w:val="none"/>
        </w:rPr>
        <w:t>份，送交发包人和承包人的监督单位各一份。</w:t>
      </w:r>
    </w:p>
    <w:p w14:paraId="1186AA2D">
      <w:pPr>
        <w:spacing w:line="360" w:lineRule="auto"/>
        <w:rPr>
          <w:color w:val="auto"/>
          <w:highlight w:val="none"/>
        </w:rPr>
      </w:pPr>
      <w:r>
        <w:rPr>
          <w:rFonts w:hint="eastAsia"/>
          <w:color w:val="auto"/>
          <w:highlight w:val="none"/>
        </w:rPr>
        <w:t>发包人：（盖单位章）</w:t>
      </w:r>
    </w:p>
    <w:p w14:paraId="17B95FDE">
      <w:pPr>
        <w:spacing w:line="360" w:lineRule="auto"/>
        <w:rPr>
          <w:color w:val="auto"/>
          <w:highlight w:val="none"/>
        </w:rPr>
      </w:pPr>
      <w:r>
        <w:rPr>
          <w:rFonts w:hint="eastAsia"/>
          <w:color w:val="auto"/>
          <w:highlight w:val="none"/>
        </w:rPr>
        <w:t>法定代表人或其委托代理人：（签字）</w:t>
      </w:r>
    </w:p>
    <w:p w14:paraId="6EC1B534">
      <w:pPr>
        <w:spacing w:line="360" w:lineRule="auto"/>
        <w:jc w:val="left"/>
        <w:rPr>
          <w:color w:val="auto"/>
          <w:highlight w:val="none"/>
        </w:rPr>
      </w:pPr>
      <w:r>
        <w:rPr>
          <w:rFonts w:hint="eastAsia"/>
          <w:color w:val="auto"/>
          <w:highlight w:val="none"/>
        </w:rPr>
        <w:tab/>
      </w:r>
      <w:r>
        <w:rPr>
          <w:rFonts w:hint="eastAsia"/>
          <w:color w:val="auto"/>
          <w:highlight w:val="none"/>
        </w:rPr>
        <w:t>年  月  日</w:t>
      </w:r>
    </w:p>
    <w:p w14:paraId="401AC0F2">
      <w:pPr>
        <w:spacing w:line="360" w:lineRule="auto"/>
        <w:jc w:val="right"/>
        <w:rPr>
          <w:color w:val="auto"/>
          <w:highlight w:val="none"/>
        </w:rPr>
      </w:pPr>
    </w:p>
    <w:p w14:paraId="3C8BAD03">
      <w:pPr>
        <w:spacing w:line="360" w:lineRule="auto"/>
        <w:rPr>
          <w:color w:val="auto"/>
          <w:highlight w:val="none"/>
        </w:rPr>
      </w:pPr>
      <w:r>
        <w:rPr>
          <w:rFonts w:hint="eastAsia"/>
          <w:color w:val="auto"/>
          <w:highlight w:val="none"/>
        </w:rPr>
        <w:t>发包人监督单位：</w:t>
      </w:r>
      <w:r>
        <w:rPr>
          <w:rFonts w:hint="eastAsia"/>
          <w:color w:val="auto"/>
          <w:highlight w:val="none"/>
          <w:u w:val="single"/>
        </w:rPr>
        <w:t xml:space="preserve">     （</w:t>
      </w:r>
      <w:r>
        <w:rPr>
          <w:rFonts w:hint="eastAsia"/>
          <w:color w:val="auto"/>
          <w:highlight w:val="none"/>
        </w:rPr>
        <w:t>全称）（盖单位章）</w:t>
      </w:r>
    </w:p>
    <w:p w14:paraId="4E19EF72">
      <w:pPr>
        <w:spacing w:line="360" w:lineRule="auto"/>
        <w:ind w:firstLine="480"/>
        <w:rPr>
          <w:color w:val="auto"/>
          <w:highlight w:val="none"/>
        </w:rPr>
      </w:pPr>
    </w:p>
    <w:p w14:paraId="241575AC">
      <w:pPr>
        <w:spacing w:line="360" w:lineRule="auto"/>
        <w:rPr>
          <w:color w:val="auto"/>
          <w:highlight w:val="none"/>
        </w:rPr>
      </w:pPr>
      <w:r>
        <w:rPr>
          <w:rFonts w:hint="eastAsia"/>
          <w:color w:val="auto"/>
          <w:highlight w:val="none"/>
        </w:rPr>
        <w:t>承包人：（盖单位章）</w:t>
      </w:r>
    </w:p>
    <w:p w14:paraId="7A35ECA9">
      <w:pPr>
        <w:spacing w:line="360" w:lineRule="auto"/>
        <w:rPr>
          <w:color w:val="auto"/>
          <w:highlight w:val="none"/>
        </w:rPr>
      </w:pPr>
    </w:p>
    <w:p w14:paraId="151C6F59">
      <w:pPr>
        <w:spacing w:line="360" w:lineRule="auto"/>
        <w:rPr>
          <w:color w:val="auto"/>
          <w:highlight w:val="none"/>
        </w:rPr>
      </w:pPr>
      <w:r>
        <w:rPr>
          <w:rFonts w:hint="eastAsia"/>
          <w:color w:val="auto"/>
          <w:highlight w:val="none"/>
        </w:rPr>
        <w:t>法定代表人或其委托代理人：（签字）</w:t>
      </w:r>
    </w:p>
    <w:p w14:paraId="00345219">
      <w:pPr>
        <w:spacing w:line="360" w:lineRule="auto"/>
        <w:ind w:firstLine="420"/>
        <w:jc w:val="left"/>
        <w:rPr>
          <w:color w:val="auto"/>
          <w:highlight w:val="none"/>
        </w:rPr>
      </w:pPr>
      <w:r>
        <w:rPr>
          <w:rFonts w:hint="eastAsia"/>
          <w:color w:val="auto"/>
          <w:highlight w:val="none"/>
        </w:rPr>
        <w:t>年  月  日</w:t>
      </w:r>
    </w:p>
    <w:p w14:paraId="1604FF24">
      <w:pPr>
        <w:spacing w:line="360" w:lineRule="auto"/>
        <w:ind w:right="105"/>
        <w:jc w:val="right"/>
        <w:rPr>
          <w:color w:val="auto"/>
          <w:highlight w:val="none"/>
        </w:rPr>
      </w:pPr>
    </w:p>
    <w:p w14:paraId="094EF55C">
      <w:pPr>
        <w:widowControl/>
        <w:spacing w:line="360" w:lineRule="auto"/>
        <w:rPr>
          <w:color w:val="auto"/>
          <w:highlight w:val="none"/>
        </w:rPr>
      </w:pPr>
      <w:r>
        <w:rPr>
          <w:rFonts w:hint="eastAsia"/>
          <w:color w:val="auto"/>
          <w:highlight w:val="none"/>
        </w:rPr>
        <w:t>承包人监督单位：</w:t>
      </w:r>
      <w:r>
        <w:rPr>
          <w:rFonts w:hint="eastAsia"/>
          <w:color w:val="auto"/>
          <w:highlight w:val="none"/>
          <w:u w:val="single"/>
        </w:rPr>
        <w:t xml:space="preserve">      （</w:t>
      </w:r>
      <w:r>
        <w:rPr>
          <w:rFonts w:hint="eastAsia"/>
          <w:color w:val="auto"/>
          <w:highlight w:val="none"/>
        </w:rPr>
        <w:t>全称）（盖单位章）</w:t>
      </w:r>
    </w:p>
    <w:p w14:paraId="2BFD7DBA">
      <w:pPr>
        <w:widowControl/>
        <w:spacing w:line="360" w:lineRule="auto"/>
        <w:rPr>
          <w:color w:val="auto"/>
          <w:highlight w:val="none"/>
        </w:rPr>
      </w:pPr>
      <w:r>
        <w:rPr>
          <w:color w:val="auto"/>
          <w:highlight w:val="none"/>
        </w:rPr>
        <w:br w:type="page" w:clear="all"/>
      </w:r>
      <w:r>
        <w:rPr>
          <w:rFonts w:hint="eastAsia"/>
          <w:color w:val="auto"/>
          <w:highlight w:val="none"/>
        </w:rPr>
        <w:t>附件三 安全生产合同</w:t>
      </w:r>
    </w:p>
    <w:p w14:paraId="534E96D3">
      <w:pPr>
        <w:spacing w:line="360" w:lineRule="auto"/>
        <w:jc w:val="center"/>
        <w:rPr>
          <w:b/>
          <w:bCs/>
          <w:color w:val="auto"/>
          <w:sz w:val="30"/>
          <w:szCs w:val="30"/>
          <w:highlight w:val="none"/>
        </w:rPr>
      </w:pPr>
      <w:r>
        <w:rPr>
          <w:rFonts w:hint="eastAsia"/>
          <w:b/>
          <w:bCs/>
          <w:color w:val="auto"/>
          <w:sz w:val="30"/>
          <w:szCs w:val="30"/>
          <w:highlight w:val="none"/>
        </w:rPr>
        <w:t>安全生产合同</w:t>
      </w:r>
    </w:p>
    <w:p w14:paraId="2D8799B9">
      <w:pPr>
        <w:spacing w:line="360" w:lineRule="auto"/>
        <w:ind w:firstLine="420"/>
        <w:rPr>
          <w:rFonts w:hint="eastAsia" w:ascii="宋体" w:hAnsi="宋体" w:cs="宋体"/>
          <w:color w:val="auto"/>
          <w:highlight w:val="none"/>
        </w:rPr>
      </w:pPr>
      <w:r>
        <w:rPr>
          <w:rFonts w:hint="eastAsia" w:ascii="宋体" w:hAnsi="宋体" w:cs="宋体"/>
          <w:color w:val="auto"/>
          <w:highlight w:val="none"/>
        </w:rPr>
        <w:t>为在</w:t>
      </w:r>
      <w:r>
        <w:rPr>
          <w:rFonts w:hint="eastAsia" w:ascii="宋体" w:hAnsi="宋体" w:cs="宋体"/>
          <w:b/>
          <w:bCs/>
          <w:color w:val="auto"/>
          <w:highlight w:val="none"/>
          <w:u w:val="single"/>
        </w:rPr>
        <w:t xml:space="preserve">                       </w:t>
      </w:r>
      <w:r>
        <w:rPr>
          <w:rFonts w:hint="eastAsia" w:ascii="宋体" w:hAnsi="宋体" w:cs="宋体"/>
          <w:color w:val="auto"/>
          <w:highlight w:val="none"/>
        </w:rPr>
        <w:t>（项目名称）施工合同的实施过程中创造安全、高效的施工环境，切实搞好本项目的安全管理工作，本项目发包人</w:t>
      </w:r>
      <w:r>
        <w:rPr>
          <w:rFonts w:hint="eastAsia" w:ascii="宋体" w:hAnsi="宋体" w:cs="宋体"/>
          <w:b/>
          <w:bCs/>
          <w:color w:val="auto"/>
          <w:highlight w:val="none"/>
          <w:u w:val="single"/>
        </w:rPr>
        <w:t xml:space="preserve">              </w:t>
      </w:r>
      <w:r>
        <w:rPr>
          <w:rFonts w:hint="eastAsia" w:ascii="宋体" w:hAnsi="宋体" w:cs="宋体"/>
          <w:color w:val="auto"/>
          <w:highlight w:val="none"/>
        </w:rPr>
        <w:t>（发包人名称，以下简称“发包人”）与承包人</w:t>
      </w:r>
      <w:r>
        <w:rPr>
          <w:rFonts w:hint="eastAsia" w:ascii="宋体" w:hAnsi="宋体" w:cs="宋体"/>
          <w:b/>
          <w:bCs/>
          <w:color w:val="auto"/>
          <w:highlight w:val="none"/>
          <w:u w:val="single"/>
        </w:rPr>
        <w:t xml:space="preserve">                     </w:t>
      </w:r>
      <w:r>
        <w:rPr>
          <w:rFonts w:hint="eastAsia" w:ascii="宋体" w:hAnsi="宋体" w:cs="宋体"/>
          <w:color w:val="auto"/>
          <w:highlight w:val="none"/>
        </w:rPr>
        <w:t>（承包人名称，以下简称“承包人”）特此签订安全生产合同：</w:t>
      </w:r>
    </w:p>
    <w:p w14:paraId="7F39AD72">
      <w:pPr>
        <w:spacing w:line="360" w:lineRule="auto"/>
        <w:ind w:firstLine="420"/>
        <w:rPr>
          <w:rFonts w:hint="eastAsia" w:ascii="宋体" w:hAnsi="宋体" w:cs="宋体"/>
          <w:color w:val="auto"/>
          <w:highlight w:val="none"/>
        </w:rPr>
      </w:pPr>
      <w:r>
        <w:rPr>
          <w:rFonts w:hint="eastAsia" w:ascii="宋体" w:hAnsi="宋体" w:cs="宋体"/>
          <w:color w:val="auto"/>
          <w:highlight w:val="none"/>
        </w:rPr>
        <w:t>1.发包人职责</w:t>
      </w:r>
    </w:p>
    <w:p w14:paraId="0607F09F">
      <w:pPr>
        <w:spacing w:line="360" w:lineRule="auto"/>
        <w:ind w:firstLine="420"/>
        <w:rPr>
          <w:rFonts w:hint="eastAsia" w:ascii="宋体" w:hAnsi="宋体" w:cs="宋体"/>
          <w:color w:val="auto"/>
          <w:highlight w:val="none"/>
        </w:rPr>
      </w:pPr>
      <w:r>
        <w:rPr>
          <w:rFonts w:hint="eastAsia" w:ascii="宋体" w:hAnsi="宋体" w:cs="宋体"/>
          <w:color w:val="auto"/>
          <w:highlight w:val="none"/>
        </w:rPr>
        <w:t>（1）严格遵守国家有关安全生产的法律法规，认真执行工程承包合同中的有关安全要求。</w:t>
      </w:r>
    </w:p>
    <w:p w14:paraId="00C7BFCC">
      <w:pPr>
        <w:spacing w:line="360" w:lineRule="auto"/>
        <w:ind w:firstLine="420"/>
        <w:rPr>
          <w:rFonts w:hint="eastAsia" w:ascii="宋体" w:hAnsi="宋体" w:cs="宋体"/>
          <w:color w:val="auto"/>
          <w:highlight w:val="none"/>
        </w:rPr>
      </w:pPr>
      <w:r>
        <w:rPr>
          <w:rFonts w:hint="eastAsia" w:ascii="宋体" w:hAnsi="宋体" w:cs="宋体"/>
          <w:color w:val="auto"/>
          <w:highlight w:val="none"/>
        </w:rPr>
        <w:t>（2）按照“安全第一、预防为主、综合治理”和坚持“管行业必须管安全、管业务必须管安全、管生产经营必须管安全”的原则进行安全生产管理，做到生产与安全工作同时计划、布置、检查、总结和评比。</w:t>
      </w:r>
    </w:p>
    <w:p w14:paraId="3DAA7E0C">
      <w:pPr>
        <w:spacing w:line="360" w:lineRule="auto"/>
        <w:ind w:firstLine="420"/>
        <w:rPr>
          <w:rFonts w:hint="eastAsia" w:ascii="宋体" w:hAnsi="宋体" w:cs="宋体"/>
          <w:color w:val="auto"/>
          <w:highlight w:val="none"/>
        </w:rPr>
      </w:pPr>
      <w:r>
        <w:rPr>
          <w:rFonts w:hint="eastAsia" w:ascii="宋体" w:hAnsi="宋体" w:cs="宋体"/>
          <w:color w:val="auto"/>
          <w:highlight w:val="none"/>
        </w:rPr>
        <w:t>（3）新建、改建、扩建工程项目等建设项目的安全设施必须坚持与主体工程“三同时”的原则，即：同时设计、同时施工、同时投入生产和使用。</w:t>
      </w:r>
    </w:p>
    <w:p w14:paraId="62078296">
      <w:pPr>
        <w:spacing w:line="360" w:lineRule="auto"/>
        <w:ind w:firstLine="420"/>
        <w:rPr>
          <w:rFonts w:hint="eastAsia" w:ascii="宋体" w:hAnsi="宋体" w:cs="宋体"/>
          <w:color w:val="auto"/>
          <w:highlight w:val="none"/>
        </w:rPr>
      </w:pPr>
      <w:r>
        <w:rPr>
          <w:rFonts w:hint="eastAsia" w:ascii="宋体" w:hAnsi="宋体" w:cs="宋体"/>
          <w:color w:val="auto"/>
          <w:highlight w:val="none"/>
        </w:rPr>
        <w:t>（4）定期召开安全生产调度会，及时传达中央及地方有关安全生产的精神。</w:t>
      </w:r>
    </w:p>
    <w:p w14:paraId="0640AB5F">
      <w:pPr>
        <w:spacing w:line="360" w:lineRule="auto"/>
        <w:ind w:firstLine="420"/>
        <w:rPr>
          <w:rFonts w:hint="eastAsia" w:ascii="宋体" w:hAnsi="宋体" w:cs="宋体"/>
          <w:color w:val="auto"/>
          <w:highlight w:val="none"/>
        </w:rPr>
      </w:pPr>
      <w:r>
        <w:rPr>
          <w:rFonts w:hint="eastAsia" w:ascii="宋体" w:hAnsi="宋体" w:cs="宋体"/>
          <w:color w:val="auto"/>
          <w:highlight w:val="none"/>
        </w:rPr>
        <w:t>（5）组织对承包人施工现场安全生产检查，监督承包人及时处理发现的各种安全隐患。</w:t>
      </w:r>
    </w:p>
    <w:p w14:paraId="107A0DBF">
      <w:pPr>
        <w:pStyle w:val="235"/>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    （6）依照有关法律、法规的规定，对涉及安全生产的事项需要审查批准或者验收的，必须严格依照有关法律、法规和国家标准或者行业标准规定的安全生产条件和程序进行审查。</w:t>
      </w:r>
    </w:p>
    <w:p w14:paraId="43560BBF">
      <w:pPr>
        <w:pStyle w:val="235"/>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（7）不得要求接受审查、验收的单位购买其指定品牌或者指定生产、销售单位的安全设备、器材或者其他产品。</w:t>
      </w:r>
    </w:p>
    <w:p w14:paraId="2143AA69">
      <w:pPr>
        <w:pStyle w:val="235"/>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（8）定期或不定期对承包人执行有关安全生产的法律、法规和国家标准或者行业标准的情况进行监督检查。</w:t>
      </w:r>
    </w:p>
    <w:p w14:paraId="747F84FA">
      <w:pPr>
        <w:spacing w:line="360" w:lineRule="auto"/>
        <w:ind w:firstLine="420"/>
        <w:rPr>
          <w:rFonts w:hint="eastAsia" w:ascii="宋体" w:hAnsi="宋体" w:cs="宋体"/>
          <w:color w:val="auto"/>
          <w:highlight w:val="none"/>
        </w:rPr>
      </w:pPr>
      <w:r>
        <w:rPr>
          <w:rFonts w:hint="eastAsia" w:ascii="宋体" w:hAnsi="宋体" w:cs="宋体"/>
          <w:color w:val="auto"/>
          <w:highlight w:val="none"/>
        </w:rPr>
        <w:t>2.承包人职责</w:t>
      </w:r>
    </w:p>
    <w:p w14:paraId="53B33DEC">
      <w:pPr>
        <w:spacing w:line="360" w:lineRule="auto"/>
        <w:ind w:firstLine="420"/>
        <w:rPr>
          <w:rFonts w:hint="eastAsia" w:ascii="宋体" w:hAnsi="宋体" w:cs="宋体"/>
          <w:color w:val="auto"/>
          <w:highlight w:val="none"/>
        </w:rPr>
      </w:pPr>
      <w:r>
        <w:rPr>
          <w:rFonts w:hint="eastAsia" w:ascii="宋体" w:hAnsi="宋体" w:cs="宋体"/>
          <w:color w:val="auto"/>
          <w:highlight w:val="none"/>
        </w:rPr>
        <w:t>（1）严格遵守《中华人民共和国安全生产法》、《建设工程安全生产管理条例》等国家有关安全生产的法律法规、《公路水运工程安全生产监督管理办法》、《公路工程施工安全技术规程》和《公路筑养路机械操作规程》等有关安全生产的规定。认真执行工程承包合同中的有关安全要求。</w:t>
      </w:r>
    </w:p>
    <w:p w14:paraId="4AE78DAB">
      <w:pPr>
        <w:spacing w:line="360" w:lineRule="auto"/>
        <w:ind w:firstLine="420"/>
        <w:rPr>
          <w:rFonts w:hint="eastAsia" w:ascii="宋体" w:hAnsi="宋体" w:cs="宋体"/>
          <w:color w:val="auto"/>
          <w:highlight w:val="none"/>
        </w:rPr>
      </w:pPr>
      <w:r>
        <w:rPr>
          <w:rFonts w:hint="eastAsia" w:ascii="宋体" w:hAnsi="宋体" w:cs="宋体"/>
          <w:color w:val="auto"/>
          <w:highlight w:val="none"/>
        </w:rPr>
        <w:t>（2）坚持“安全第一、预防为主、综合治理”和“管行业必须管安全、管业务必须管安全、管生产经营必须管安全”的原则，加强安全生产宣传教育，增强全员安全生产意识，建立健全各项安全生产的管理机构和安全生产管理制度，配备专职及兼职安全检查人员，有组织有领导地开展安全生产活动，履行有关安全生产的法律、法规规定的有关安全生产义务。各级领导、工程技术人员、生产管理人员和具体操作人员，必须熟悉和遵守本合同的各项规定，做到生产与安全工作同时计划、布置、检查、总结和评比。</w:t>
      </w:r>
    </w:p>
    <w:p w14:paraId="46D926A4">
      <w:pPr>
        <w:spacing w:line="360" w:lineRule="auto"/>
        <w:ind w:firstLine="420"/>
        <w:rPr>
          <w:rFonts w:hint="eastAsia" w:ascii="宋体" w:hAnsi="宋体" w:cs="宋体"/>
          <w:color w:val="auto"/>
          <w:highlight w:val="none"/>
        </w:rPr>
      </w:pPr>
      <w:r>
        <w:rPr>
          <w:rFonts w:hint="eastAsia" w:ascii="宋体" w:hAnsi="宋体" w:cs="宋体"/>
          <w:color w:val="auto"/>
          <w:highlight w:val="none"/>
        </w:rPr>
        <w:t>（3）建立健全安全生产责任制。从派往项目实施的项目经理到生产工人（包括临时雇请的民工）的安全生产管理系统必须做到纵向到底，—环不漏；各职能部门、人员的安全生产责任制做到横向到边，人人有责。项目经理是安全生产的第一责任人。现场设置的安全机构，应按《公路水运工程安全生产监督管理办法》规定的最低数量和资质条件配备专职安全生产管理人员，专职负责所有员工的安全和治安保卫工作及预防事故的发生。安全机构人员有权按有关规定发布指令，并采取保护性措施防止事故发生。</w:t>
      </w:r>
    </w:p>
    <w:p w14:paraId="6E5D90B0">
      <w:pPr>
        <w:spacing w:line="360" w:lineRule="auto"/>
        <w:ind w:firstLine="420"/>
        <w:rPr>
          <w:rFonts w:hint="eastAsia" w:ascii="宋体" w:hAnsi="宋体" w:cs="宋体"/>
          <w:color w:val="auto"/>
          <w:highlight w:val="none"/>
        </w:rPr>
      </w:pPr>
      <w:r>
        <w:rPr>
          <w:rFonts w:hint="eastAsia" w:ascii="宋体" w:hAnsi="宋体" w:cs="宋体"/>
          <w:color w:val="auto"/>
          <w:highlight w:val="none"/>
        </w:rPr>
        <w:t>（4）承包人在任何时候都应采取各种合理的预防措施，防止其员工发生任何违法、违禁、暴力或妨碍治安的行为。</w:t>
      </w:r>
    </w:p>
    <w:p w14:paraId="35204F8E">
      <w:pPr>
        <w:spacing w:line="360" w:lineRule="auto"/>
        <w:ind w:firstLine="420"/>
        <w:rPr>
          <w:rFonts w:hint="eastAsia" w:ascii="宋体" w:hAnsi="宋体" w:cs="宋体"/>
          <w:color w:val="auto"/>
          <w:highlight w:val="none"/>
        </w:rPr>
      </w:pPr>
      <w:r>
        <w:rPr>
          <w:rFonts w:hint="eastAsia" w:ascii="宋体" w:hAnsi="宋体" w:cs="宋体"/>
          <w:color w:val="auto"/>
          <w:highlight w:val="none"/>
        </w:rPr>
        <w:t>（5）承包人必须具有劳动安全管理部门颁发的安全生产考核合格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14:paraId="09DAC56B">
      <w:pPr>
        <w:spacing w:line="360" w:lineRule="auto"/>
        <w:ind w:firstLine="420"/>
        <w:rPr>
          <w:rFonts w:hint="eastAsia" w:ascii="宋体" w:hAnsi="宋体" w:cs="宋体"/>
          <w:color w:val="auto"/>
          <w:highlight w:val="none"/>
        </w:rPr>
      </w:pPr>
      <w:r>
        <w:rPr>
          <w:rFonts w:hint="eastAsia" w:ascii="宋体" w:hAnsi="宋体" w:cs="宋体"/>
          <w:color w:val="auto"/>
          <w:highlight w:val="none"/>
        </w:rPr>
        <w:t>（6）对于易燃易爆的材料除应专门妥善保管之外，还应配备有足够的消防设施，所有施工人员都应熟悉消防设备的性能和使用方法；承包人不得将任何种类的爆炸物给予、易货或以其他方式转让给任何其他人，或允许、容忍上述同样行为。</w:t>
      </w:r>
    </w:p>
    <w:p w14:paraId="7407C814">
      <w:pPr>
        <w:spacing w:line="360" w:lineRule="auto"/>
        <w:ind w:firstLine="420"/>
        <w:rPr>
          <w:rFonts w:hint="eastAsia" w:ascii="宋体" w:hAnsi="宋体" w:cs="宋体"/>
          <w:color w:val="auto"/>
          <w:highlight w:val="none"/>
        </w:rPr>
      </w:pPr>
      <w:r>
        <w:rPr>
          <w:rFonts w:hint="eastAsia" w:ascii="宋体" w:hAnsi="宋体" w:cs="宋体"/>
          <w:color w:val="auto"/>
          <w:highlight w:val="none"/>
        </w:rPr>
        <w:t>（7）操作人员上岗，必须按规定穿戴防护用品。施工负责人和安全检查员应随时检查劳动防护用品的穿戴情况，不按规定穿戴防护用品的人员不得上岗。</w:t>
      </w:r>
    </w:p>
    <w:p w14:paraId="42A8D353">
      <w:pPr>
        <w:spacing w:line="360" w:lineRule="auto"/>
        <w:ind w:firstLine="420"/>
        <w:rPr>
          <w:rFonts w:hint="eastAsia" w:ascii="宋体" w:hAnsi="宋体" w:cs="宋体"/>
          <w:color w:val="auto"/>
          <w:highlight w:val="none"/>
        </w:rPr>
      </w:pPr>
      <w:r>
        <w:rPr>
          <w:rFonts w:hint="eastAsia" w:ascii="宋体" w:hAnsi="宋体" w:cs="宋体"/>
          <w:color w:val="auto"/>
          <w:highlight w:val="none"/>
        </w:rPr>
        <w:t>（8）所有施工机具设备和高空作业的设备均应定期检查，并有安全员的签字记录，保证其经常处于完好状态；不合格的机具、设备和劳动保护用品严禁使用。</w:t>
      </w:r>
    </w:p>
    <w:p w14:paraId="5FFA45B9">
      <w:pPr>
        <w:spacing w:line="360" w:lineRule="auto"/>
        <w:ind w:firstLine="420"/>
        <w:rPr>
          <w:rFonts w:hint="eastAsia" w:ascii="宋体" w:hAnsi="宋体" w:cs="宋体"/>
          <w:color w:val="auto"/>
          <w:highlight w:val="none"/>
        </w:rPr>
      </w:pPr>
      <w:r>
        <w:rPr>
          <w:rFonts w:hint="eastAsia" w:ascii="宋体" w:hAnsi="宋体" w:cs="宋体"/>
          <w:color w:val="auto"/>
          <w:highlight w:val="none"/>
        </w:rPr>
        <w:t>（9）施工中采用新技术、新工艺、新设备、新材料时，必须制定相应的安全技术措施，施工现场必须具有相关的安全标志牌。</w:t>
      </w:r>
    </w:p>
    <w:p w14:paraId="396A3505">
      <w:pPr>
        <w:spacing w:line="360" w:lineRule="auto"/>
        <w:ind w:firstLine="420"/>
        <w:rPr>
          <w:rFonts w:hint="eastAsia" w:ascii="宋体" w:hAnsi="宋体" w:cs="宋体"/>
          <w:color w:val="auto"/>
          <w:highlight w:val="none"/>
        </w:rPr>
      </w:pPr>
      <w:r>
        <w:rPr>
          <w:rFonts w:hint="eastAsia" w:ascii="宋体" w:hAnsi="宋体" w:cs="宋体"/>
          <w:color w:val="auto"/>
          <w:highlight w:val="none"/>
        </w:rPr>
        <w:t>（10）承包人必须按照本工程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14:paraId="0A7D5D09">
      <w:pPr>
        <w:spacing w:line="360" w:lineRule="auto"/>
        <w:ind w:firstLine="420"/>
        <w:rPr>
          <w:rFonts w:hint="eastAsia" w:ascii="宋体" w:hAnsi="宋体" w:cs="宋体"/>
          <w:color w:val="auto"/>
          <w:highlight w:val="none"/>
        </w:rPr>
      </w:pPr>
      <w:r>
        <w:rPr>
          <w:rFonts w:hint="eastAsia" w:ascii="宋体" w:hAnsi="宋体" w:cs="宋体"/>
          <w:color w:val="auto"/>
          <w:highlight w:val="none"/>
        </w:rPr>
        <w:t>（11）安全生产费用按照《公路水运工程安全生产监督管理办法》的相关规定使用和管理。</w:t>
      </w:r>
    </w:p>
    <w:p w14:paraId="20A2083A">
      <w:pPr>
        <w:spacing w:line="360" w:lineRule="auto"/>
        <w:ind w:firstLine="420"/>
        <w:rPr>
          <w:rFonts w:hint="eastAsia" w:ascii="宋体" w:hAnsi="宋体" w:cs="宋体"/>
          <w:color w:val="auto"/>
          <w:highlight w:val="none"/>
        </w:rPr>
      </w:pPr>
      <w:r>
        <w:rPr>
          <w:rFonts w:hint="eastAsia" w:ascii="宋体" w:hAnsi="宋体" w:cs="宋体"/>
          <w:color w:val="auto"/>
          <w:highlight w:val="none"/>
        </w:rPr>
        <w:t>（12）生产、经营、储存、使用危险物品的车间、商店、仓库不得与员工宿舍在同一座建筑物内，并应当与员工宿舍保持安全距离。</w:t>
      </w:r>
    </w:p>
    <w:p w14:paraId="4E144AEB">
      <w:pPr>
        <w:spacing w:line="360" w:lineRule="auto"/>
        <w:ind w:firstLine="420"/>
        <w:rPr>
          <w:rFonts w:hint="eastAsia" w:ascii="宋体" w:hAnsi="宋体" w:cs="宋体"/>
          <w:color w:val="auto"/>
          <w:highlight w:val="none"/>
        </w:rPr>
      </w:pPr>
      <w:r>
        <w:rPr>
          <w:rFonts w:hint="eastAsia" w:ascii="宋体" w:hAnsi="宋体" w:cs="宋体"/>
          <w:color w:val="auto"/>
          <w:highlight w:val="none"/>
        </w:rPr>
        <w:t>（13）承包人进行爆破、吊装、动火、临时用电以及国务院应急管理部门会同国务院有关部门规定的其他危险作业，应当安排专门人员进行现场安全管理，确保操作规程的遵守和安全措施的落实。</w:t>
      </w:r>
    </w:p>
    <w:p w14:paraId="6B2DF543">
      <w:pPr>
        <w:spacing w:line="360" w:lineRule="auto"/>
        <w:ind w:firstLine="420"/>
        <w:rPr>
          <w:rFonts w:hint="eastAsia" w:ascii="宋体" w:hAnsi="宋体" w:cs="宋体"/>
          <w:color w:val="auto"/>
          <w:highlight w:val="none"/>
        </w:rPr>
      </w:pPr>
      <w:r>
        <w:rPr>
          <w:rFonts w:hint="eastAsia" w:ascii="宋体" w:hAnsi="宋体" w:cs="宋体"/>
          <w:color w:val="auto"/>
          <w:highlight w:val="none"/>
        </w:rPr>
        <w:t>（14）承包人应当教育和督促从业人员严格执行本单位的安全生产规章制度和安全操作规程；并向从业人员如实告知作业场所和工作岗位存在的危险因素、防范措施以及事故应急措施。</w:t>
      </w:r>
    </w:p>
    <w:p w14:paraId="60573D7E">
      <w:pPr>
        <w:spacing w:line="360" w:lineRule="auto"/>
        <w:ind w:firstLine="420"/>
        <w:rPr>
          <w:rFonts w:hint="eastAsia" w:ascii="宋体" w:hAnsi="宋体" w:cs="宋体"/>
          <w:color w:val="auto"/>
          <w:highlight w:val="none"/>
        </w:rPr>
      </w:pPr>
      <w:r>
        <w:rPr>
          <w:rFonts w:hint="eastAsia" w:ascii="宋体" w:hAnsi="宋体" w:cs="宋体"/>
          <w:color w:val="auto"/>
          <w:highlight w:val="none"/>
        </w:rPr>
        <w:t>（15）承包人应当关注从业人员的身体、心理状况和行为习惯，加强对从业人员的心理疏导、精神慰藉，严格落实岗位安全生产责任，防范从业人员行为异常导致事故发生。</w:t>
      </w:r>
    </w:p>
    <w:p w14:paraId="76BBC804">
      <w:pPr>
        <w:spacing w:line="360" w:lineRule="auto"/>
        <w:ind w:firstLine="420"/>
        <w:rPr>
          <w:rFonts w:hint="eastAsia" w:ascii="宋体" w:hAnsi="宋体" w:cs="宋体"/>
          <w:color w:val="auto"/>
          <w:highlight w:val="none"/>
        </w:rPr>
      </w:pPr>
      <w:r>
        <w:rPr>
          <w:rFonts w:hint="eastAsia" w:ascii="宋体" w:hAnsi="宋体" w:cs="宋体"/>
          <w:color w:val="auto"/>
          <w:highlight w:val="none"/>
        </w:rPr>
        <w:t>3.违约责任</w:t>
      </w:r>
    </w:p>
    <w:p w14:paraId="3C5917DB">
      <w:pPr>
        <w:spacing w:line="360" w:lineRule="auto"/>
        <w:ind w:firstLine="420"/>
        <w:rPr>
          <w:rFonts w:hint="eastAsia" w:ascii="宋体" w:hAnsi="宋体" w:cs="宋体"/>
          <w:color w:val="auto"/>
          <w:highlight w:val="none"/>
        </w:rPr>
      </w:pPr>
      <w:r>
        <w:rPr>
          <w:rFonts w:hint="eastAsia" w:ascii="宋体" w:hAnsi="宋体" w:cs="宋体"/>
          <w:color w:val="auto"/>
          <w:highlight w:val="none"/>
        </w:rPr>
        <w:t>如因发包人或承包人违约造成安全事故，将依法追究责任。</w:t>
      </w:r>
    </w:p>
    <w:p w14:paraId="19DCD8CE">
      <w:pPr>
        <w:spacing w:line="360" w:lineRule="auto"/>
        <w:ind w:firstLine="420"/>
        <w:rPr>
          <w:rFonts w:hint="eastAsia" w:ascii="宋体" w:hAnsi="宋体" w:cs="宋体"/>
          <w:color w:val="auto"/>
          <w:highlight w:val="none"/>
        </w:rPr>
      </w:pPr>
      <w:r>
        <w:rPr>
          <w:rFonts w:hint="eastAsia" w:ascii="宋体" w:hAnsi="宋体" w:cs="宋体"/>
          <w:color w:val="auto"/>
          <w:highlight w:val="none"/>
        </w:rPr>
        <w:t>4.本合同由双方法定代表人或其授权的代理人签署并加盖单位公章后生效，全部工程竣工验收后失效。</w:t>
      </w:r>
    </w:p>
    <w:p w14:paraId="762988D1">
      <w:pPr>
        <w:spacing w:line="360" w:lineRule="auto"/>
        <w:ind w:firstLine="420"/>
        <w:rPr>
          <w:rFonts w:hint="eastAsia" w:ascii="宋体" w:hAnsi="宋体" w:cs="宋体"/>
          <w:color w:val="auto"/>
          <w:highlight w:val="none"/>
        </w:rPr>
      </w:pPr>
      <w:r>
        <w:rPr>
          <w:rFonts w:hint="eastAsia" w:ascii="宋体" w:hAnsi="宋体" w:cs="宋体"/>
          <w:color w:val="auto"/>
          <w:highlight w:val="none"/>
        </w:rPr>
        <w:t>5.本合同正本一式二份，副本 肆 份，合同双方各执正本一份，副本两份，当正本与副本的内容不一致时，以正本为准。</w:t>
      </w:r>
    </w:p>
    <w:p w14:paraId="60C60996">
      <w:pPr>
        <w:spacing w:line="360" w:lineRule="auto"/>
        <w:rPr>
          <w:color w:val="auto"/>
          <w:highlight w:val="none"/>
        </w:rPr>
      </w:pPr>
    </w:p>
    <w:p w14:paraId="3A2552F4">
      <w:pPr>
        <w:spacing w:line="360" w:lineRule="auto"/>
        <w:rPr>
          <w:color w:val="auto"/>
          <w:highlight w:val="none"/>
        </w:rPr>
      </w:pPr>
    </w:p>
    <w:p w14:paraId="5DF941B8">
      <w:pPr>
        <w:spacing w:line="360" w:lineRule="auto"/>
        <w:rPr>
          <w:color w:val="auto"/>
          <w:highlight w:val="none"/>
        </w:rPr>
      </w:pPr>
      <w:r>
        <w:rPr>
          <w:rFonts w:hint="eastAsia"/>
          <w:color w:val="auto"/>
          <w:highlight w:val="none"/>
        </w:rPr>
        <w:t>发包人：</w:t>
      </w:r>
      <w:r>
        <w:rPr>
          <w:rFonts w:hint="eastAsia"/>
          <w:color w:val="auto"/>
          <w:highlight w:val="none"/>
        </w:rPr>
        <w:tab/>
      </w:r>
      <w:r>
        <w:rPr>
          <w:rFonts w:hint="eastAsia"/>
          <w:color w:val="auto"/>
          <w:highlight w:val="none"/>
        </w:rPr>
        <w:t>（盖单位章）</w:t>
      </w:r>
    </w:p>
    <w:p w14:paraId="1CE3893C">
      <w:pPr>
        <w:spacing w:line="360" w:lineRule="auto"/>
        <w:rPr>
          <w:color w:val="auto"/>
          <w:highlight w:val="none"/>
        </w:rPr>
      </w:pPr>
    </w:p>
    <w:p w14:paraId="5A691999">
      <w:pPr>
        <w:spacing w:line="360" w:lineRule="auto"/>
        <w:rPr>
          <w:color w:val="auto"/>
          <w:highlight w:val="none"/>
        </w:rPr>
      </w:pPr>
      <w:r>
        <w:rPr>
          <w:rFonts w:hint="eastAsia"/>
          <w:color w:val="auto"/>
          <w:highlight w:val="none"/>
        </w:rPr>
        <w:t>法定代表人或其委托代理人：（签字）</w:t>
      </w:r>
    </w:p>
    <w:p w14:paraId="044E10FE">
      <w:pPr>
        <w:spacing w:line="360" w:lineRule="auto"/>
        <w:ind w:firstLine="480"/>
        <w:rPr>
          <w:color w:val="auto"/>
          <w:highlight w:val="none"/>
        </w:rPr>
      </w:pPr>
    </w:p>
    <w:p w14:paraId="58F4B9AA">
      <w:pPr>
        <w:spacing w:line="360" w:lineRule="auto"/>
        <w:ind w:firstLine="480"/>
        <w:rPr>
          <w:color w:val="auto"/>
          <w:highlight w:val="none"/>
        </w:rPr>
      </w:pPr>
      <w:r>
        <w:rPr>
          <w:rFonts w:hint="eastAsia"/>
          <w:color w:val="auto"/>
          <w:highlight w:val="none"/>
        </w:rPr>
        <w:tab/>
      </w:r>
      <w:r>
        <w:rPr>
          <w:rFonts w:hint="eastAsia"/>
          <w:color w:val="auto"/>
          <w:highlight w:val="none"/>
        </w:rPr>
        <w:t>年</w:t>
      </w:r>
      <w:r>
        <w:rPr>
          <w:rFonts w:hint="eastAsia"/>
          <w:color w:val="auto"/>
          <w:highlight w:val="none"/>
        </w:rPr>
        <w:tab/>
      </w:r>
      <w:r>
        <w:rPr>
          <w:rFonts w:hint="eastAsia"/>
          <w:color w:val="auto"/>
          <w:highlight w:val="none"/>
        </w:rPr>
        <w:t>月</w:t>
      </w:r>
      <w:r>
        <w:rPr>
          <w:rFonts w:hint="eastAsia"/>
          <w:color w:val="auto"/>
          <w:highlight w:val="none"/>
        </w:rPr>
        <w:tab/>
      </w:r>
      <w:r>
        <w:rPr>
          <w:rFonts w:hint="eastAsia"/>
          <w:color w:val="auto"/>
          <w:highlight w:val="none"/>
        </w:rPr>
        <w:t>日</w:t>
      </w:r>
    </w:p>
    <w:p w14:paraId="2F392D9C">
      <w:pPr>
        <w:spacing w:line="360" w:lineRule="auto"/>
        <w:ind w:firstLine="480"/>
        <w:rPr>
          <w:color w:val="auto"/>
          <w:highlight w:val="none"/>
        </w:rPr>
      </w:pPr>
    </w:p>
    <w:p w14:paraId="352624E6">
      <w:pPr>
        <w:spacing w:line="360" w:lineRule="auto"/>
        <w:rPr>
          <w:color w:val="auto"/>
          <w:highlight w:val="none"/>
        </w:rPr>
      </w:pPr>
      <w:r>
        <w:rPr>
          <w:rFonts w:hint="eastAsia"/>
          <w:color w:val="auto"/>
          <w:highlight w:val="none"/>
        </w:rPr>
        <w:t>承包人：</w:t>
      </w:r>
      <w:r>
        <w:rPr>
          <w:rFonts w:hint="eastAsia"/>
          <w:color w:val="auto"/>
          <w:highlight w:val="none"/>
        </w:rPr>
        <w:tab/>
      </w:r>
      <w:r>
        <w:rPr>
          <w:rFonts w:hint="eastAsia"/>
          <w:color w:val="auto"/>
          <w:highlight w:val="none"/>
        </w:rPr>
        <w:t>（盖单位章）</w:t>
      </w:r>
    </w:p>
    <w:p w14:paraId="2E9BAED4">
      <w:pPr>
        <w:spacing w:line="360" w:lineRule="auto"/>
        <w:rPr>
          <w:color w:val="auto"/>
          <w:highlight w:val="none"/>
        </w:rPr>
      </w:pPr>
    </w:p>
    <w:p w14:paraId="0535804A">
      <w:pPr>
        <w:spacing w:line="360" w:lineRule="auto"/>
        <w:rPr>
          <w:color w:val="auto"/>
          <w:highlight w:val="none"/>
        </w:rPr>
      </w:pPr>
      <w:r>
        <w:rPr>
          <w:rFonts w:hint="eastAsia"/>
          <w:color w:val="auto"/>
          <w:highlight w:val="none"/>
        </w:rPr>
        <w:t>法定代表人或其委托代理人：（签字）</w:t>
      </w:r>
    </w:p>
    <w:p w14:paraId="40A9C802">
      <w:pPr>
        <w:spacing w:line="360" w:lineRule="auto"/>
        <w:rPr>
          <w:color w:val="auto"/>
          <w:highlight w:val="none"/>
        </w:rPr>
      </w:pPr>
    </w:p>
    <w:p w14:paraId="634A713B">
      <w:pPr>
        <w:widowControl/>
        <w:spacing w:line="360" w:lineRule="auto"/>
        <w:rPr>
          <w:color w:val="auto"/>
          <w:highlight w:val="none"/>
        </w:rPr>
      </w:pPr>
      <w:r>
        <w:rPr>
          <w:rFonts w:hint="eastAsia"/>
          <w:color w:val="auto"/>
          <w:highlight w:val="none"/>
        </w:rPr>
        <w:tab/>
      </w:r>
      <w:r>
        <w:rPr>
          <w:rFonts w:hint="eastAsia"/>
          <w:color w:val="auto"/>
          <w:highlight w:val="none"/>
        </w:rPr>
        <w:t>年</w:t>
      </w:r>
      <w:r>
        <w:rPr>
          <w:rFonts w:hint="eastAsia"/>
          <w:color w:val="auto"/>
          <w:highlight w:val="none"/>
        </w:rPr>
        <w:tab/>
      </w:r>
      <w:r>
        <w:rPr>
          <w:rFonts w:hint="eastAsia"/>
          <w:color w:val="auto"/>
          <w:highlight w:val="none"/>
        </w:rPr>
        <w:t>月</w:t>
      </w:r>
      <w:r>
        <w:rPr>
          <w:rFonts w:hint="eastAsia"/>
          <w:color w:val="auto"/>
          <w:highlight w:val="none"/>
        </w:rPr>
        <w:tab/>
      </w:r>
      <w:r>
        <w:rPr>
          <w:rFonts w:hint="eastAsia"/>
          <w:color w:val="auto"/>
          <w:highlight w:val="none"/>
        </w:rPr>
        <w:t>日</w:t>
      </w:r>
    </w:p>
    <w:p w14:paraId="0C027C4F">
      <w:pPr>
        <w:widowControl/>
        <w:spacing w:line="360" w:lineRule="auto"/>
        <w:rPr>
          <w:color w:val="auto"/>
          <w:highlight w:val="none"/>
        </w:rPr>
      </w:pPr>
      <w:r>
        <w:rPr>
          <w:color w:val="auto"/>
          <w:highlight w:val="none"/>
        </w:rPr>
        <w:br w:type="page" w:clear="all"/>
      </w:r>
    </w:p>
    <w:p w14:paraId="16381204">
      <w:pPr>
        <w:pStyle w:val="189"/>
        <w:spacing w:before="0" w:after="0" w:line="360" w:lineRule="auto"/>
        <w:rPr>
          <w:color w:val="auto"/>
          <w:highlight w:val="none"/>
        </w:rPr>
      </w:pPr>
      <w:r>
        <w:rPr>
          <w:rFonts w:hint="eastAsia"/>
          <w:color w:val="auto"/>
          <w:highlight w:val="none"/>
        </w:rPr>
        <w:t>附件四 其他管理和技术人员最低要求</w:t>
      </w:r>
    </w:p>
    <w:tbl>
      <w:tblPr>
        <w:tblStyle w:val="33"/>
        <w:tblW w:w="0" w:type="auto"/>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56"/>
        <w:gridCol w:w="2342"/>
        <w:gridCol w:w="4647"/>
      </w:tblGrid>
      <w:tr w14:paraId="0EEA23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2656" w:type="dxa"/>
            <w:tcBorders>
              <w:top w:val="single" w:color="000000" w:sz="4" w:space="0"/>
              <w:left w:val="single" w:color="000000" w:sz="4" w:space="0"/>
              <w:bottom w:val="single" w:color="000000" w:sz="4" w:space="0"/>
              <w:right w:val="single" w:color="000000" w:sz="4" w:space="0"/>
            </w:tcBorders>
            <w:vAlign w:val="center"/>
          </w:tcPr>
          <w:p w14:paraId="4A0318F1">
            <w:pPr>
              <w:spacing w:line="360" w:lineRule="auto"/>
              <w:jc w:val="center"/>
              <w:rPr>
                <w:rFonts w:hint="eastAsia" w:ascii="宋体" w:hAnsi="宋体"/>
                <w:color w:val="auto"/>
                <w:sz w:val="24"/>
                <w:highlight w:val="none"/>
                <w:lang w:val="zh-CN"/>
              </w:rPr>
            </w:pPr>
            <w:r>
              <w:rPr>
                <w:rFonts w:hint="eastAsia"/>
                <w:color w:val="auto"/>
                <w:highlight w:val="none"/>
                <w:lang w:val="zh-CN"/>
              </w:rPr>
              <w:t>人</w:t>
            </w:r>
            <w:r>
              <w:rPr>
                <w:rFonts w:hint="eastAsia"/>
                <w:color w:val="auto"/>
                <w:highlight w:val="none"/>
                <w:lang w:val="zh-CN"/>
              </w:rPr>
              <w:tab/>
            </w:r>
            <w:r>
              <w:rPr>
                <w:rFonts w:hint="eastAsia"/>
                <w:color w:val="auto"/>
                <w:highlight w:val="none"/>
                <w:lang w:val="zh-CN"/>
              </w:rPr>
              <w:t>员</w:t>
            </w:r>
          </w:p>
        </w:tc>
        <w:tc>
          <w:tcPr>
            <w:tcW w:w="2342" w:type="dxa"/>
            <w:tcBorders>
              <w:top w:val="single" w:color="000000" w:sz="4" w:space="0"/>
              <w:left w:val="single" w:color="000000" w:sz="4" w:space="0"/>
              <w:bottom w:val="single" w:color="000000" w:sz="4" w:space="0"/>
              <w:right w:val="single" w:color="000000" w:sz="4" w:space="0"/>
            </w:tcBorders>
            <w:vAlign w:val="center"/>
          </w:tcPr>
          <w:p w14:paraId="67E86AFB">
            <w:pPr>
              <w:spacing w:line="360" w:lineRule="auto"/>
              <w:jc w:val="center"/>
              <w:rPr>
                <w:rFonts w:hint="eastAsia" w:ascii="宋体" w:hAnsi="宋体"/>
                <w:color w:val="auto"/>
                <w:sz w:val="24"/>
                <w:highlight w:val="none"/>
                <w:lang w:val="zh-CN"/>
              </w:rPr>
            </w:pPr>
            <w:r>
              <w:rPr>
                <w:rFonts w:hint="eastAsia"/>
                <w:color w:val="auto"/>
                <w:highlight w:val="none"/>
                <w:lang w:val="zh-CN"/>
              </w:rPr>
              <w:t>数</w:t>
            </w:r>
            <w:r>
              <w:rPr>
                <w:rFonts w:hint="eastAsia"/>
                <w:color w:val="auto"/>
                <w:highlight w:val="none"/>
                <w:lang w:val="zh-CN"/>
              </w:rPr>
              <w:tab/>
            </w:r>
            <w:r>
              <w:rPr>
                <w:rFonts w:hint="eastAsia"/>
                <w:color w:val="auto"/>
                <w:highlight w:val="none"/>
                <w:lang w:val="zh-CN"/>
              </w:rPr>
              <w:t>量</w:t>
            </w:r>
          </w:p>
        </w:tc>
        <w:tc>
          <w:tcPr>
            <w:tcW w:w="4647" w:type="dxa"/>
            <w:tcBorders>
              <w:top w:val="single" w:color="000000" w:sz="4" w:space="0"/>
              <w:left w:val="single" w:color="000000" w:sz="4" w:space="0"/>
              <w:bottom w:val="single" w:color="000000" w:sz="4" w:space="0"/>
              <w:right w:val="single" w:color="000000" w:sz="4" w:space="0"/>
            </w:tcBorders>
            <w:vAlign w:val="center"/>
          </w:tcPr>
          <w:p w14:paraId="1045B996">
            <w:pPr>
              <w:spacing w:line="360" w:lineRule="auto"/>
              <w:jc w:val="center"/>
              <w:rPr>
                <w:rFonts w:hint="eastAsia" w:ascii="宋体" w:hAnsi="宋体"/>
                <w:color w:val="auto"/>
                <w:sz w:val="24"/>
                <w:highlight w:val="none"/>
                <w:lang w:val="zh-CN"/>
              </w:rPr>
            </w:pPr>
            <w:r>
              <w:rPr>
                <w:rFonts w:hint="eastAsia"/>
                <w:color w:val="auto"/>
                <w:highlight w:val="none"/>
                <w:lang w:val="zh-CN"/>
              </w:rPr>
              <w:t>资 格 要 求</w:t>
            </w:r>
          </w:p>
        </w:tc>
      </w:tr>
      <w:tr w14:paraId="78986A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2656" w:type="dxa"/>
            <w:tcBorders>
              <w:top w:val="single" w:color="000000" w:sz="4" w:space="0"/>
              <w:left w:val="single" w:color="000000" w:sz="4" w:space="0"/>
              <w:bottom w:val="single" w:color="000000" w:sz="4" w:space="0"/>
              <w:right w:val="single" w:color="000000" w:sz="4" w:space="0"/>
            </w:tcBorders>
            <w:vAlign w:val="center"/>
          </w:tcPr>
          <w:p w14:paraId="10407391">
            <w:pPr>
              <w:spacing w:line="360" w:lineRule="auto"/>
              <w:jc w:val="center"/>
              <w:rPr>
                <w:rFonts w:hint="eastAsia" w:ascii="宋体" w:hAnsi="宋体"/>
                <w:color w:val="auto"/>
                <w:sz w:val="24"/>
                <w:highlight w:val="none"/>
                <w:lang w:val="zh-CN"/>
              </w:rPr>
            </w:pPr>
          </w:p>
        </w:tc>
        <w:tc>
          <w:tcPr>
            <w:tcW w:w="2342" w:type="dxa"/>
            <w:tcBorders>
              <w:top w:val="single" w:color="000000" w:sz="4" w:space="0"/>
              <w:left w:val="single" w:color="000000" w:sz="4" w:space="0"/>
              <w:bottom w:val="single" w:color="000000" w:sz="4" w:space="0"/>
              <w:right w:val="single" w:color="000000" w:sz="4" w:space="0"/>
            </w:tcBorders>
            <w:vAlign w:val="center"/>
          </w:tcPr>
          <w:p w14:paraId="1166ABD4">
            <w:pPr>
              <w:spacing w:line="360" w:lineRule="auto"/>
              <w:jc w:val="center"/>
              <w:rPr>
                <w:rFonts w:hint="eastAsia" w:ascii="宋体" w:hAnsi="宋体"/>
                <w:color w:val="auto"/>
                <w:sz w:val="24"/>
                <w:highlight w:val="none"/>
                <w:lang w:val="zh-CN"/>
              </w:rPr>
            </w:pPr>
          </w:p>
        </w:tc>
        <w:tc>
          <w:tcPr>
            <w:tcW w:w="4647" w:type="dxa"/>
            <w:tcBorders>
              <w:top w:val="single" w:color="000000" w:sz="4" w:space="0"/>
              <w:left w:val="single" w:color="000000" w:sz="4" w:space="0"/>
              <w:bottom w:val="single" w:color="000000" w:sz="4" w:space="0"/>
              <w:right w:val="single" w:color="000000" w:sz="4" w:space="0"/>
            </w:tcBorders>
            <w:vAlign w:val="center"/>
          </w:tcPr>
          <w:p w14:paraId="50F82B95">
            <w:pPr>
              <w:spacing w:line="360" w:lineRule="auto"/>
              <w:jc w:val="center"/>
              <w:rPr>
                <w:rFonts w:hint="eastAsia" w:ascii="宋体" w:hAnsi="宋体"/>
                <w:color w:val="auto"/>
                <w:sz w:val="24"/>
                <w:highlight w:val="none"/>
                <w:lang w:val="zh-CN"/>
              </w:rPr>
            </w:pPr>
          </w:p>
        </w:tc>
      </w:tr>
      <w:tr w14:paraId="60F92E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656" w:type="dxa"/>
            <w:tcBorders>
              <w:top w:val="single" w:color="000000" w:sz="4" w:space="0"/>
              <w:left w:val="single" w:color="000000" w:sz="4" w:space="0"/>
              <w:bottom w:val="single" w:color="000000" w:sz="4" w:space="0"/>
              <w:right w:val="single" w:color="000000" w:sz="4" w:space="0"/>
            </w:tcBorders>
            <w:vAlign w:val="center"/>
          </w:tcPr>
          <w:p w14:paraId="2EF56DAC">
            <w:pPr>
              <w:spacing w:line="360" w:lineRule="auto"/>
              <w:jc w:val="center"/>
              <w:rPr>
                <w:rFonts w:hint="eastAsia" w:ascii="宋体" w:hAnsi="宋体"/>
                <w:color w:val="auto"/>
                <w:sz w:val="24"/>
                <w:highlight w:val="none"/>
                <w:lang w:val="zh-CN"/>
              </w:rPr>
            </w:pPr>
          </w:p>
        </w:tc>
        <w:tc>
          <w:tcPr>
            <w:tcW w:w="2342" w:type="dxa"/>
            <w:tcBorders>
              <w:top w:val="single" w:color="000000" w:sz="4" w:space="0"/>
              <w:left w:val="single" w:color="000000" w:sz="4" w:space="0"/>
              <w:bottom w:val="single" w:color="000000" w:sz="4" w:space="0"/>
              <w:right w:val="single" w:color="000000" w:sz="4" w:space="0"/>
            </w:tcBorders>
            <w:vAlign w:val="center"/>
          </w:tcPr>
          <w:p w14:paraId="4636EBFA">
            <w:pPr>
              <w:spacing w:line="360" w:lineRule="auto"/>
              <w:jc w:val="center"/>
              <w:rPr>
                <w:rFonts w:hint="eastAsia" w:ascii="宋体" w:hAnsi="宋体"/>
                <w:color w:val="auto"/>
                <w:sz w:val="24"/>
                <w:highlight w:val="none"/>
                <w:lang w:val="zh-CN"/>
              </w:rPr>
            </w:pPr>
          </w:p>
        </w:tc>
        <w:tc>
          <w:tcPr>
            <w:tcW w:w="4647" w:type="dxa"/>
            <w:tcBorders>
              <w:top w:val="single" w:color="000000" w:sz="4" w:space="0"/>
              <w:left w:val="single" w:color="000000" w:sz="4" w:space="0"/>
              <w:bottom w:val="single" w:color="000000" w:sz="4" w:space="0"/>
              <w:right w:val="single" w:color="000000" w:sz="4" w:space="0"/>
            </w:tcBorders>
            <w:vAlign w:val="center"/>
          </w:tcPr>
          <w:p w14:paraId="7313DD52">
            <w:pPr>
              <w:spacing w:line="360" w:lineRule="auto"/>
              <w:jc w:val="center"/>
              <w:rPr>
                <w:rFonts w:hint="eastAsia" w:ascii="宋体" w:hAnsi="宋体"/>
                <w:color w:val="auto"/>
                <w:sz w:val="24"/>
                <w:highlight w:val="none"/>
                <w:lang w:val="zh-CN"/>
              </w:rPr>
            </w:pPr>
          </w:p>
        </w:tc>
      </w:tr>
      <w:tr w14:paraId="38D78A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2656" w:type="dxa"/>
            <w:tcBorders>
              <w:top w:val="single" w:color="000000" w:sz="4" w:space="0"/>
              <w:left w:val="single" w:color="000000" w:sz="4" w:space="0"/>
              <w:bottom w:val="single" w:color="000000" w:sz="4" w:space="0"/>
              <w:right w:val="single" w:color="000000" w:sz="4" w:space="0"/>
            </w:tcBorders>
            <w:vAlign w:val="center"/>
          </w:tcPr>
          <w:p w14:paraId="7CEA49E3">
            <w:pPr>
              <w:spacing w:line="360" w:lineRule="auto"/>
              <w:jc w:val="center"/>
              <w:rPr>
                <w:rFonts w:hint="eastAsia" w:ascii="宋体" w:hAnsi="宋体"/>
                <w:color w:val="auto"/>
                <w:sz w:val="24"/>
                <w:highlight w:val="none"/>
                <w:lang w:val="zh-CN"/>
              </w:rPr>
            </w:pPr>
          </w:p>
        </w:tc>
        <w:tc>
          <w:tcPr>
            <w:tcW w:w="2342" w:type="dxa"/>
            <w:tcBorders>
              <w:top w:val="single" w:color="000000" w:sz="4" w:space="0"/>
              <w:left w:val="single" w:color="000000" w:sz="4" w:space="0"/>
              <w:bottom w:val="single" w:color="000000" w:sz="4" w:space="0"/>
              <w:right w:val="single" w:color="000000" w:sz="4" w:space="0"/>
            </w:tcBorders>
            <w:vAlign w:val="center"/>
          </w:tcPr>
          <w:p w14:paraId="6EF78F9F">
            <w:pPr>
              <w:spacing w:line="360" w:lineRule="auto"/>
              <w:jc w:val="center"/>
              <w:rPr>
                <w:rFonts w:hint="eastAsia" w:ascii="宋体" w:hAnsi="宋体"/>
                <w:color w:val="auto"/>
                <w:sz w:val="24"/>
                <w:highlight w:val="none"/>
                <w:lang w:val="zh-CN"/>
              </w:rPr>
            </w:pPr>
          </w:p>
        </w:tc>
        <w:tc>
          <w:tcPr>
            <w:tcW w:w="4647" w:type="dxa"/>
            <w:tcBorders>
              <w:top w:val="single" w:color="000000" w:sz="4" w:space="0"/>
              <w:left w:val="single" w:color="000000" w:sz="4" w:space="0"/>
              <w:bottom w:val="single" w:color="000000" w:sz="4" w:space="0"/>
              <w:right w:val="single" w:color="000000" w:sz="4" w:space="0"/>
            </w:tcBorders>
            <w:vAlign w:val="center"/>
          </w:tcPr>
          <w:p w14:paraId="15E182F2">
            <w:pPr>
              <w:spacing w:line="360" w:lineRule="auto"/>
              <w:jc w:val="center"/>
              <w:rPr>
                <w:rFonts w:hint="eastAsia" w:ascii="宋体" w:hAnsi="宋体"/>
                <w:color w:val="auto"/>
                <w:sz w:val="24"/>
                <w:highlight w:val="none"/>
                <w:lang w:val="zh-CN"/>
              </w:rPr>
            </w:pPr>
          </w:p>
        </w:tc>
      </w:tr>
      <w:tr w14:paraId="00F4E8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656" w:type="dxa"/>
            <w:tcBorders>
              <w:top w:val="single" w:color="000000" w:sz="4" w:space="0"/>
              <w:left w:val="single" w:color="000000" w:sz="4" w:space="0"/>
              <w:bottom w:val="single" w:color="000000" w:sz="4" w:space="0"/>
              <w:right w:val="single" w:color="000000" w:sz="4" w:space="0"/>
            </w:tcBorders>
            <w:vAlign w:val="center"/>
          </w:tcPr>
          <w:p w14:paraId="175132E9">
            <w:pPr>
              <w:spacing w:line="360" w:lineRule="auto"/>
              <w:jc w:val="center"/>
              <w:rPr>
                <w:rFonts w:hint="eastAsia" w:ascii="宋体" w:hAnsi="宋体"/>
                <w:color w:val="auto"/>
                <w:sz w:val="24"/>
                <w:highlight w:val="none"/>
                <w:lang w:val="zh-CN"/>
              </w:rPr>
            </w:pPr>
          </w:p>
        </w:tc>
        <w:tc>
          <w:tcPr>
            <w:tcW w:w="2342" w:type="dxa"/>
            <w:tcBorders>
              <w:top w:val="single" w:color="000000" w:sz="4" w:space="0"/>
              <w:left w:val="single" w:color="000000" w:sz="4" w:space="0"/>
              <w:bottom w:val="single" w:color="000000" w:sz="4" w:space="0"/>
              <w:right w:val="single" w:color="000000" w:sz="4" w:space="0"/>
            </w:tcBorders>
            <w:vAlign w:val="center"/>
          </w:tcPr>
          <w:p w14:paraId="34DB97F1">
            <w:pPr>
              <w:spacing w:line="360" w:lineRule="auto"/>
              <w:jc w:val="center"/>
              <w:rPr>
                <w:rFonts w:hint="eastAsia" w:ascii="宋体" w:hAnsi="宋体"/>
                <w:color w:val="auto"/>
                <w:sz w:val="24"/>
                <w:highlight w:val="none"/>
                <w:lang w:val="zh-CN"/>
              </w:rPr>
            </w:pPr>
          </w:p>
        </w:tc>
        <w:tc>
          <w:tcPr>
            <w:tcW w:w="4647" w:type="dxa"/>
            <w:tcBorders>
              <w:top w:val="single" w:color="000000" w:sz="4" w:space="0"/>
              <w:left w:val="single" w:color="000000" w:sz="4" w:space="0"/>
              <w:bottom w:val="single" w:color="000000" w:sz="4" w:space="0"/>
              <w:right w:val="single" w:color="000000" w:sz="4" w:space="0"/>
            </w:tcBorders>
            <w:vAlign w:val="center"/>
          </w:tcPr>
          <w:p w14:paraId="5FEB047E">
            <w:pPr>
              <w:spacing w:line="360" w:lineRule="auto"/>
              <w:jc w:val="center"/>
              <w:rPr>
                <w:rFonts w:hint="eastAsia" w:ascii="宋体" w:hAnsi="宋体"/>
                <w:color w:val="auto"/>
                <w:sz w:val="24"/>
                <w:highlight w:val="none"/>
                <w:lang w:val="zh-CN"/>
              </w:rPr>
            </w:pPr>
          </w:p>
        </w:tc>
      </w:tr>
      <w:tr w14:paraId="13434B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656" w:type="dxa"/>
            <w:tcBorders>
              <w:top w:val="single" w:color="000000" w:sz="4" w:space="0"/>
              <w:left w:val="single" w:color="000000" w:sz="4" w:space="0"/>
              <w:bottom w:val="single" w:color="000000" w:sz="4" w:space="0"/>
              <w:right w:val="single" w:color="000000" w:sz="4" w:space="0"/>
            </w:tcBorders>
            <w:vAlign w:val="center"/>
          </w:tcPr>
          <w:p w14:paraId="0BDC625D">
            <w:pPr>
              <w:spacing w:line="360" w:lineRule="auto"/>
              <w:jc w:val="center"/>
              <w:rPr>
                <w:rFonts w:hint="eastAsia" w:ascii="宋体" w:hAnsi="宋体"/>
                <w:color w:val="auto"/>
                <w:sz w:val="24"/>
                <w:highlight w:val="none"/>
                <w:lang w:val="zh-CN"/>
              </w:rPr>
            </w:pPr>
          </w:p>
        </w:tc>
        <w:tc>
          <w:tcPr>
            <w:tcW w:w="2342" w:type="dxa"/>
            <w:tcBorders>
              <w:top w:val="single" w:color="000000" w:sz="4" w:space="0"/>
              <w:left w:val="single" w:color="000000" w:sz="4" w:space="0"/>
              <w:bottom w:val="single" w:color="000000" w:sz="4" w:space="0"/>
              <w:right w:val="single" w:color="000000" w:sz="4" w:space="0"/>
            </w:tcBorders>
            <w:vAlign w:val="center"/>
          </w:tcPr>
          <w:p w14:paraId="6E30E908">
            <w:pPr>
              <w:spacing w:line="360" w:lineRule="auto"/>
              <w:jc w:val="center"/>
              <w:rPr>
                <w:rFonts w:hint="eastAsia" w:ascii="宋体" w:hAnsi="宋体"/>
                <w:color w:val="auto"/>
                <w:sz w:val="24"/>
                <w:highlight w:val="none"/>
                <w:lang w:val="zh-CN"/>
              </w:rPr>
            </w:pPr>
          </w:p>
        </w:tc>
        <w:tc>
          <w:tcPr>
            <w:tcW w:w="4647" w:type="dxa"/>
            <w:tcBorders>
              <w:top w:val="single" w:color="000000" w:sz="4" w:space="0"/>
              <w:left w:val="single" w:color="000000" w:sz="4" w:space="0"/>
              <w:bottom w:val="single" w:color="000000" w:sz="4" w:space="0"/>
              <w:right w:val="single" w:color="000000" w:sz="4" w:space="0"/>
            </w:tcBorders>
            <w:vAlign w:val="center"/>
          </w:tcPr>
          <w:p w14:paraId="3970FD49">
            <w:pPr>
              <w:spacing w:line="360" w:lineRule="auto"/>
              <w:jc w:val="center"/>
              <w:rPr>
                <w:rFonts w:hint="eastAsia" w:ascii="宋体" w:hAnsi="宋体"/>
                <w:color w:val="auto"/>
                <w:sz w:val="24"/>
                <w:highlight w:val="none"/>
                <w:lang w:val="zh-CN"/>
              </w:rPr>
            </w:pPr>
          </w:p>
        </w:tc>
      </w:tr>
      <w:tr w14:paraId="0B1DFC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656" w:type="dxa"/>
            <w:tcBorders>
              <w:top w:val="single" w:color="000000" w:sz="4" w:space="0"/>
              <w:left w:val="single" w:color="000000" w:sz="4" w:space="0"/>
              <w:bottom w:val="single" w:color="000000" w:sz="4" w:space="0"/>
              <w:right w:val="single" w:color="000000" w:sz="4" w:space="0"/>
            </w:tcBorders>
            <w:vAlign w:val="center"/>
          </w:tcPr>
          <w:p w14:paraId="32F61564">
            <w:pPr>
              <w:spacing w:line="360" w:lineRule="auto"/>
              <w:jc w:val="center"/>
              <w:rPr>
                <w:rFonts w:hint="eastAsia" w:ascii="宋体" w:hAnsi="宋体"/>
                <w:color w:val="auto"/>
                <w:sz w:val="24"/>
                <w:highlight w:val="none"/>
                <w:lang w:val="zh-CN"/>
              </w:rPr>
            </w:pPr>
          </w:p>
        </w:tc>
        <w:tc>
          <w:tcPr>
            <w:tcW w:w="2342" w:type="dxa"/>
            <w:tcBorders>
              <w:top w:val="single" w:color="000000" w:sz="4" w:space="0"/>
              <w:left w:val="single" w:color="000000" w:sz="4" w:space="0"/>
              <w:bottom w:val="single" w:color="000000" w:sz="4" w:space="0"/>
              <w:right w:val="single" w:color="000000" w:sz="4" w:space="0"/>
            </w:tcBorders>
            <w:vAlign w:val="center"/>
          </w:tcPr>
          <w:p w14:paraId="7DE444F0">
            <w:pPr>
              <w:spacing w:line="360" w:lineRule="auto"/>
              <w:jc w:val="center"/>
              <w:rPr>
                <w:rFonts w:hint="eastAsia" w:ascii="宋体" w:hAnsi="宋体"/>
                <w:color w:val="auto"/>
                <w:sz w:val="24"/>
                <w:highlight w:val="none"/>
                <w:lang w:val="zh-CN"/>
              </w:rPr>
            </w:pPr>
          </w:p>
        </w:tc>
        <w:tc>
          <w:tcPr>
            <w:tcW w:w="4647" w:type="dxa"/>
            <w:tcBorders>
              <w:top w:val="single" w:color="000000" w:sz="4" w:space="0"/>
              <w:left w:val="single" w:color="000000" w:sz="4" w:space="0"/>
              <w:bottom w:val="single" w:color="000000" w:sz="4" w:space="0"/>
              <w:right w:val="single" w:color="000000" w:sz="4" w:space="0"/>
            </w:tcBorders>
            <w:vAlign w:val="center"/>
          </w:tcPr>
          <w:p w14:paraId="5D45F2F1">
            <w:pPr>
              <w:spacing w:line="360" w:lineRule="auto"/>
              <w:jc w:val="center"/>
              <w:rPr>
                <w:rFonts w:hint="eastAsia" w:ascii="宋体" w:hAnsi="宋体"/>
                <w:color w:val="auto"/>
                <w:sz w:val="24"/>
                <w:highlight w:val="none"/>
                <w:lang w:val="zh-CN"/>
              </w:rPr>
            </w:pPr>
          </w:p>
        </w:tc>
      </w:tr>
      <w:tr w14:paraId="16BA80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2656" w:type="dxa"/>
            <w:tcBorders>
              <w:top w:val="single" w:color="000000" w:sz="4" w:space="0"/>
              <w:left w:val="single" w:color="000000" w:sz="4" w:space="0"/>
              <w:bottom w:val="single" w:color="000000" w:sz="4" w:space="0"/>
              <w:right w:val="single" w:color="000000" w:sz="4" w:space="0"/>
            </w:tcBorders>
            <w:vAlign w:val="center"/>
          </w:tcPr>
          <w:p w14:paraId="3AB845BB">
            <w:pPr>
              <w:spacing w:line="360" w:lineRule="auto"/>
              <w:jc w:val="center"/>
              <w:rPr>
                <w:rFonts w:hint="eastAsia" w:ascii="宋体" w:hAnsi="宋体"/>
                <w:color w:val="auto"/>
                <w:sz w:val="24"/>
                <w:highlight w:val="none"/>
                <w:lang w:val="zh-CN"/>
              </w:rPr>
            </w:pPr>
          </w:p>
        </w:tc>
        <w:tc>
          <w:tcPr>
            <w:tcW w:w="2342" w:type="dxa"/>
            <w:tcBorders>
              <w:top w:val="single" w:color="000000" w:sz="4" w:space="0"/>
              <w:left w:val="single" w:color="000000" w:sz="4" w:space="0"/>
              <w:bottom w:val="single" w:color="000000" w:sz="4" w:space="0"/>
              <w:right w:val="single" w:color="000000" w:sz="4" w:space="0"/>
            </w:tcBorders>
            <w:vAlign w:val="center"/>
          </w:tcPr>
          <w:p w14:paraId="1B40A92D">
            <w:pPr>
              <w:spacing w:line="360" w:lineRule="auto"/>
              <w:jc w:val="center"/>
              <w:rPr>
                <w:rFonts w:hint="eastAsia" w:ascii="宋体" w:hAnsi="宋体"/>
                <w:color w:val="auto"/>
                <w:sz w:val="24"/>
                <w:highlight w:val="none"/>
                <w:lang w:val="zh-CN"/>
              </w:rPr>
            </w:pPr>
          </w:p>
        </w:tc>
        <w:tc>
          <w:tcPr>
            <w:tcW w:w="4647" w:type="dxa"/>
            <w:tcBorders>
              <w:top w:val="single" w:color="000000" w:sz="4" w:space="0"/>
              <w:left w:val="single" w:color="000000" w:sz="4" w:space="0"/>
              <w:bottom w:val="single" w:color="000000" w:sz="4" w:space="0"/>
              <w:right w:val="single" w:color="000000" w:sz="4" w:space="0"/>
            </w:tcBorders>
            <w:vAlign w:val="center"/>
          </w:tcPr>
          <w:p w14:paraId="220874DC">
            <w:pPr>
              <w:spacing w:line="360" w:lineRule="auto"/>
              <w:jc w:val="center"/>
              <w:rPr>
                <w:rFonts w:hint="eastAsia" w:ascii="宋体" w:hAnsi="宋体"/>
                <w:color w:val="auto"/>
                <w:sz w:val="24"/>
                <w:highlight w:val="none"/>
                <w:lang w:val="zh-CN"/>
              </w:rPr>
            </w:pPr>
          </w:p>
        </w:tc>
      </w:tr>
      <w:tr w14:paraId="14E2AC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2656" w:type="dxa"/>
            <w:tcBorders>
              <w:top w:val="single" w:color="000000" w:sz="4" w:space="0"/>
              <w:left w:val="single" w:color="000000" w:sz="4" w:space="0"/>
              <w:bottom w:val="single" w:color="000000" w:sz="4" w:space="0"/>
              <w:right w:val="single" w:color="000000" w:sz="4" w:space="0"/>
            </w:tcBorders>
            <w:vAlign w:val="center"/>
          </w:tcPr>
          <w:p w14:paraId="51BAF1B9">
            <w:pPr>
              <w:spacing w:line="360" w:lineRule="auto"/>
              <w:jc w:val="center"/>
              <w:rPr>
                <w:rFonts w:hint="eastAsia" w:ascii="宋体" w:hAnsi="宋体"/>
                <w:color w:val="auto"/>
                <w:sz w:val="24"/>
                <w:highlight w:val="none"/>
                <w:lang w:val="zh-CN"/>
              </w:rPr>
            </w:pPr>
          </w:p>
        </w:tc>
        <w:tc>
          <w:tcPr>
            <w:tcW w:w="2342" w:type="dxa"/>
            <w:tcBorders>
              <w:top w:val="single" w:color="000000" w:sz="4" w:space="0"/>
              <w:left w:val="single" w:color="000000" w:sz="4" w:space="0"/>
              <w:bottom w:val="single" w:color="000000" w:sz="4" w:space="0"/>
              <w:right w:val="single" w:color="000000" w:sz="4" w:space="0"/>
            </w:tcBorders>
            <w:vAlign w:val="center"/>
          </w:tcPr>
          <w:p w14:paraId="081518ED">
            <w:pPr>
              <w:spacing w:line="360" w:lineRule="auto"/>
              <w:jc w:val="center"/>
              <w:rPr>
                <w:rFonts w:hint="eastAsia" w:ascii="宋体" w:hAnsi="宋体"/>
                <w:color w:val="auto"/>
                <w:sz w:val="24"/>
                <w:highlight w:val="none"/>
                <w:lang w:val="zh-CN"/>
              </w:rPr>
            </w:pPr>
          </w:p>
        </w:tc>
        <w:tc>
          <w:tcPr>
            <w:tcW w:w="4647" w:type="dxa"/>
            <w:tcBorders>
              <w:top w:val="single" w:color="000000" w:sz="4" w:space="0"/>
              <w:left w:val="single" w:color="000000" w:sz="4" w:space="0"/>
              <w:bottom w:val="single" w:color="000000" w:sz="4" w:space="0"/>
              <w:right w:val="single" w:color="000000" w:sz="4" w:space="0"/>
            </w:tcBorders>
            <w:vAlign w:val="center"/>
          </w:tcPr>
          <w:p w14:paraId="4DA8D0D7">
            <w:pPr>
              <w:spacing w:line="360" w:lineRule="auto"/>
              <w:jc w:val="center"/>
              <w:rPr>
                <w:rFonts w:hint="eastAsia" w:ascii="宋体" w:hAnsi="宋体"/>
                <w:color w:val="auto"/>
                <w:sz w:val="24"/>
                <w:highlight w:val="none"/>
                <w:lang w:val="zh-CN"/>
              </w:rPr>
            </w:pPr>
          </w:p>
        </w:tc>
      </w:tr>
      <w:tr w14:paraId="4207EC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656" w:type="dxa"/>
            <w:tcBorders>
              <w:top w:val="single" w:color="000000" w:sz="4" w:space="0"/>
              <w:left w:val="single" w:color="000000" w:sz="4" w:space="0"/>
              <w:bottom w:val="single" w:color="000000" w:sz="4" w:space="0"/>
              <w:right w:val="single" w:color="000000" w:sz="4" w:space="0"/>
            </w:tcBorders>
            <w:vAlign w:val="center"/>
          </w:tcPr>
          <w:p w14:paraId="5AC20D11">
            <w:pPr>
              <w:spacing w:line="360" w:lineRule="auto"/>
              <w:jc w:val="center"/>
              <w:rPr>
                <w:rFonts w:hint="eastAsia" w:ascii="宋体" w:hAnsi="宋体"/>
                <w:color w:val="auto"/>
                <w:sz w:val="24"/>
                <w:highlight w:val="none"/>
                <w:lang w:val="zh-CN"/>
              </w:rPr>
            </w:pPr>
          </w:p>
        </w:tc>
        <w:tc>
          <w:tcPr>
            <w:tcW w:w="2342" w:type="dxa"/>
            <w:tcBorders>
              <w:top w:val="single" w:color="000000" w:sz="4" w:space="0"/>
              <w:left w:val="single" w:color="000000" w:sz="4" w:space="0"/>
              <w:bottom w:val="single" w:color="000000" w:sz="4" w:space="0"/>
              <w:right w:val="single" w:color="000000" w:sz="4" w:space="0"/>
            </w:tcBorders>
            <w:vAlign w:val="center"/>
          </w:tcPr>
          <w:p w14:paraId="434B5E65">
            <w:pPr>
              <w:spacing w:line="360" w:lineRule="auto"/>
              <w:jc w:val="center"/>
              <w:rPr>
                <w:rFonts w:hint="eastAsia" w:ascii="宋体" w:hAnsi="宋体"/>
                <w:color w:val="auto"/>
                <w:sz w:val="24"/>
                <w:highlight w:val="none"/>
                <w:lang w:val="zh-CN"/>
              </w:rPr>
            </w:pPr>
          </w:p>
        </w:tc>
        <w:tc>
          <w:tcPr>
            <w:tcW w:w="4647" w:type="dxa"/>
            <w:tcBorders>
              <w:top w:val="single" w:color="000000" w:sz="4" w:space="0"/>
              <w:left w:val="single" w:color="000000" w:sz="4" w:space="0"/>
              <w:bottom w:val="single" w:color="000000" w:sz="4" w:space="0"/>
              <w:right w:val="single" w:color="000000" w:sz="4" w:space="0"/>
            </w:tcBorders>
            <w:vAlign w:val="center"/>
          </w:tcPr>
          <w:p w14:paraId="3C729078">
            <w:pPr>
              <w:spacing w:line="360" w:lineRule="auto"/>
              <w:jc w:val="center"/>
              <w:rPr>
                <w:rFonts w:hint="eastAsia" w:ascii="宋体" w:hAnsi="宋体"/>
                <w:color w:val="auto"/>
                <w:sz w:val="24"/>
                <w:highlight w:val="none"/>
                <w:lang w:val="zh-CN"/>
              </w:rPr>
            </w:pPr>
          </w:p>
        </w:tc>
      </w:tr>
      <w:tr w14:paraId="78416F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656" w:type="dxa"/>
            <w:tcBorders>
              <w:top w:val="single" w:color="000000" w:sz="4" w:space="0"/>
              <w:left w:val="single" w:color="000000" w:sz="4" w:space="0"/>
              <w:bottom w:val="single" w:color="000000" w:sz="4" w:space="0"/>
              <w:right w:val="single" w:color="000000" w:sz="4" w:space="0"/>
            </w:tcBorders>
            <w:vAlign w:val="center"/>
          </w:tcPr>
          <w:p w14:paraId="52E69D0F">
            <w:pPr>
              <w:spacing w:line="360" w:lineRule="auto"/>
              <w:jc w:val="center"/>
              <w:rPr>
                <w:rFonts w:hint="eastAsia" w:ascii="宋体" w:hAnsi="宋体"/>
                <w:color w:val="auto"/>
                <w:sz w:val="24"/>
                <w:highlight w:val="none"/>
                <w:lang w:val="zh-CN"/>
              </w:rPr>
            </w:pPr>
          </w:p>
        </w:tc>
        <w:tc>
          <w:tcPr>
            <w:tcW w:w="2342" w:type="dxa"/>
            <w:tcBorders>
              <w:top w:val="single" w:color="000000" w:sz="4" w:space="0"/>
              <w:left w:val="single" w:color="000000" w:sz="4" w:space="0"/>
              <w:bottom w:val="single" w:color="000000" w:sz="4" w:space="0"/>
              <w:right w:val="single" w:color="000000" w:sz="4" w:space="0"/>
            </w:tcBorders>
            <w:vAlign w:val="center"/>
          </w:tcPr>
          <w:p w14:paraId="0E0A6B9A">
            <w:pPr>
              <w:spacing w:line="360" w:lineRule="auto"/>
              <w:jc w:val="center"/>
              <w:rPr>
                <w:rFonts w:hint="eastAsia" w:ascii="宋体" w:hAnsi="宋体"/>
                <w:color w:val="auto"/>
                <w:sz w:val="24"/>
                <w:highlight w:val="none"/>
                <w:lang w:val="zh-CN"/>
              </w:rPr>
            </w:pPr>
          </w:p>
        </w:tc>
        <w:tc>
          <w:tcPr>
            <w:tcW w:w="4647" w:type="dxa"/>
            <w:tcBorders>
              <w:top w:val="single" w:color="000000" w:sz="4" w:space="0"/>
              <w:left w:val="single" w:color="000000" w:sz="4" w:space="0"/>
              <w:bottom w:val="single" w:color="000000" w:sz="4" w:space="0"/>
              <w:right w:val="single" w:color="000000" w:sz="4" w:space="0"/>
            </w:tcBorders>
            <w:vAlign w:val="center"/>
          </w:tcPr>
          <w:p w14:paraId="10EBA333">
            <w:pPr>
              <w:spacing w:line="360" w:lineRule="auto"/>
              <w:jc w:val="center"/>
              <w:rPr>
                <w:rFonts w:hint="eastAsia" w:ascii="宋体" w:hAnsi="宋体"/>
                <w:color w:val="auto"/>
                <w:sz w:val="24"/>
                <w:highlight w:val="none"/>
                <w:lang w:val="zh-CN"/>
              </w:rPr>
            </w:pPr>
          </w:p>
        </w:tc>
      </w:tr>
      <w:tr w14:paraId="38EB67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656" w:type="dxa"/>
            <w:tcBorders>
              <w:top w:val="single" w:color="000000" w:sz="4" w:space="0"/>
              <w:left w:val="single" w:color="000000" w:sz="4" w:space="0"/>
              <w:bottom w:val="single" w:color="000000" w:sz="4" w:space="0"/>
              <w:right w:val="single" w:color="000000" w:sz="4" w:space="0"/>
            </w:tcBorders>
            <w:vAlign w:val="center"/>
          </w:tcPr>
          <w:p w14:paraId="29454F39">
            <w:pPr>
              <w:spacing w:line="360" w:lineRule="auto"/>
              <w:jc w:val="center"/>
              <w:rPr>
                <w:rFonts w:hint="eastAsia" w:ascii="宋体" w:hAnsi="宋体"/>
                <w:color w:val="auto"/>
                <w:sz w:val="24"/>
                <w:highlight w:val="none"/>
                <w:lang w:val="zh-CN"/>
              </w:rPr>
            </w:pPr>
          </w:p>
        </w:tc>
        <w:tc>
          <w:tcPr>
            <w:tcW w:w="2342" w:type="dxa"/>
            <w:tcBorders>
              <w:top w:val="single" w:color="000000" w:sz="4" w:space="0"/>
              <w:left w:val="single" w:color="000000" w:sz="4" w:space="0"/>
              <w:bottom w:val="single" w:color="000000" w:sz="4" w:space="0"/>
              <w:right w:val="single" w:color="000000" w:sz="4" w:space="0"/>
            </w:tcBorders>
            <w:vAlign w:val="center"/>
          </w:tcPr>
          <w:p w14:paraId="1A740FC1">
            <w:pPr>
              <w:spacing w:line="360" w:lineRule="auto"/>
              <w:jc w:val="center"/>
              <w:rPr>
                <w:rFonts w:hint="eastAsia" w:ascii="宋体" w:hAnsi="宋体"/>
                <w:color w:val="auto"/>
                <w:sz w:val="24"/>
                <w:highlight w:val="none"/>
                <w:lang w:val="zh-CN"/>
              </w:rPr>
            </w:pPr>
          </w:p>
        </w:tc>
        <w:tc>
          <w:tcPr>
            <w:tcW w:w="4647" w:type="dxa"/>
            <w:tcBorders>
              <w:top w:val="single" w:color="000000" w:sz="4" w:space="0"/>
              <w:left w:val="single" w:color="000000" w:sz="4" w:space="0"/>
              <w:bottom w:val="single" w:color="000000" w:sz="4" w:space="0"/>
              <w:right w:val="single" w:color="000000" w:sz="4" w:space="0"/>
            </w:tcBorders>
            <w:vAlign w:val="center"/>
          </w:tcPr>
          <w:p w14:paraId="6734A8BF">
            <w:pPr>
              <w:spacing w:line="360" w:lineRule="auto"/>
              <w:jc w:val="center"/>
              <w:rPr>
                <w:rFonts w:hint="eastAsia" w:ascii="宋体" w:hAnsi="宋体"/>
                <w:color w:val="auto"/>
                <w:sz w:val="24"/>
                <w:highlight w:val="none"/>
                <w:lang w:val="zh-CN"/>
              </w:rPr>
            </w:pPr>
          </w:p>
        </w:tc>
      </w:tr>
      <w:tr w14:paraId="1F16DC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2656" w:type="dxa"/>
            <w:tcBorders>
              <w:top w:val="single" w:color="000000" w:sz="4" w:space="0"/>
              <w:left w:val="single" w:color="000000" w:sz="4" w:space="0"/>
              <w:bottom w:val="single" w:color="000000" w:sz="4" w:space="0"/>
              <w:right w:val="single" w:color="000000" w:sz="4" w:space="0"/>
            </w:tcBorders>
            <w:vAlign w:val="center"/>
          </w:tcPr>
          <w:p w14:paraId="35EF0126">
            <w:pPr>
              <w:spacing w:line="360" w:lineRule="auto"/>
              <w:jc w:val="center"/>
              <w:rPr>
                <w:rFonts w:hint="eastAsia" w:ascii="宋体" w:hAnsi="宋体"/>
                <w:color w:val="auto"/>
                <w:sz w:val="24"/>
                <w:highlight w:val="none"/>
                <w:lang w:val="zh-CN"/>
              </w:rPr>
            </w:pPr>
          </w:p>
        </w:tc>
        <w:tc>
          <w:tcPr>
            <w:tcW w:w="2342" w:type="dxa"/>
            <w:tcBorders>
              <w:top w:val="single" w:color="000000" w:sz="4" w:space="0"/>
              <w:left w:val="single" w:color="000000" w:sz="4" w:space="0"/>
              <w:bottom w:val="single" w:color="000000" w:sz="4" w:space="0"/>
              <w:right w:val="single" w:color="000000" w:sz="4" w:space="0"/>
            </w:tcBorders>
            <w:vAlign w:val="center"/>
          </w:tcPr>
          <w:p w14:paraId="45F73F0B">
            <w:pPr>
              <w:spacing w:line="360" w:lineRule="auto"/>
              <w:jc w:val="center"/>
              <w:rPr>
                <w:rFonts w:hint="eastAsia" w:ascii="宋体" w:hAnsi="宋体"/>
                <w:color w:val="auto"/>
                <w:sz w:val="24"/>
                <w:highlight w:val="none"/>
                <w:lang w:val="zh-CN"/>
              </w:rPr>
            </w:pPr>
          </w:p>
        </w:tc>
        <w:tc>
          <w:tcPr>
            <w:tcW w:w="4647" w:type="dxa"/>
            <w:tcBorders>
              <w:top w:val="single" w:color="000000" w:sz="4" w:space="0"/>
              <w:left w:val="single" w:color="000000" w:sz="4" w:space="0"/>
              <w:bottom w:val="single" w:color="000000" w:sz="4" w:space="0"/>
              <w:right w:val="single" w:color="000000" w:sz="4" w:space="0"/>
            </w:tcBorders>
            <w:vAlign w:val="center"/>
          </w:tcPr>
          <w:p w14:paraId="375EB072">
            <w:pPr>
              <w:spacing w:line="360" w:lineRule="auto"/>
              <w:jc w:val="center"/>
              <w:rPr>
                <w:rFonts w:hint="eastAsia" w:ascii="宋体" w:hAnsi="宋体"/>
                <w:color w:val="auto"/>
                <w:sz w:val="24"/>
                <w:highlight w:val="none"/>
                <w:lang w:val="zh-CN"/>
              </w:rPr>
            </w:pPr>
          </w:p>
        </w:tc>
      </w:tr>
      <w:tr w14:paraId="315265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2656" w:type="dxa"/>
            <w:tcBorders>
              <w:top w:val="single" w:color="000000" w:sz="4" w:space="0"/>
              <w:left w:val="single" w:color="000000" w:sz="4" w:space="0"/>
              <w:bottom w:val="single" w:color="000000" w:sz="4" w:space="0"/>
              <w:right w:val="single" w:color="000000" w:sz="4" w:space="0"/>
            </w:tcBorders>
            <w:vAlign w:val="center"/>
          </w:tcPr>
          <w:p w14:paraId="319A4724">
            <w:pPr>
              <w:spacing w:line="360" w:lineRule="auto"/>
              <w:jc w:val="center"/>
              <w:rPr>
                <w:rFonts w:hint="eastAsia" w:ascii="宋体" w:hAnsi="宋体"/>
                <w:color w:val="auto"/>
                <w:sz w:val="24"/>
                <w:highlight w:val="none"/>
                <w:lang w:val="zh-CN"/>
              </w:rPr>
            </w:pPr>
          </w:p>
        </w:tc>
        <w:tc>
          <w:tcPr>
            <w:tcW w:w="2342" w:type="dxa"/>
            <w:tcBorders>
              <w:top w:val="single" w:color="000000" w:sz="4" w:space="0"/>
              <w:left w:val="single" w:color="000000" w:sz="4" w:space="0"/>
              <w:bottom w:val="single" w:color="000000" w:sz="4" w:space="0"/>
              <w:right w:val="single" w:color="000000" w:sz="4" w:space="0"/>
            </w:tcBorders>
            <w:vAlign w:val="center"/>
          </w:tcPr>
          <w:p w14:paraId="11C01C43">
            <w:pPr>
              <w:spacing w:line="360" w:lineRule="auto"/>
              <w:jc w:val="center"/>
              <w:rPr>
                <w:rFonts w:hint="eastAsia" w:ascii="宋体" w:hAnsi="宋体"/>
                <w:color w:val="auto"/>
                <w:sz w:val="24"/>
                <w:highlight w:val="none"/>
                <w:lang w:val="zh-CN"/>
              </w:rPr>
            </w:pPr>
          </w:p>
        </w:tc>
        <w:tc>
          <w:tcPr>
            <w:tcW w:w="4647" w:type="dxa"/>
            <w:tcBorders>
              <w:top w:val="single" w:color="000000" w:sz="4" w:space="0"/>
              <w:left w:val="single" w:color="000000" w:sz="4" w:space="0"/>
              <w:bottom w:val="single" w:color="000000" w:sz="4" w:space="0"/>
              <w:right w:val="single" w:color="000000" w:sz="4" w:space="0"/>
            </w:tcBorders>
            <w:vAlign w:val="center"/>
          </w:tcPr>
          <w:p w14:paraId="7AA3E21D">
            <w:pPr>
              <w:spacing w:line="360" w:lineRule="auto"/>
              <w:jc w:val="center"/>
              <w:rPr>
                <w:rFonts w:hint="eastAsia" w:ascii="宋体" w:hAnsi="宋体"/>
                <w:color w:val="auto"/>
                <w:sz w:val="24"/>
                <w:highlight w:val="none"/>
                <w:lang w:val="zh-CN"/>
              </w:rPr>
            </w:pPr>
          </w:p>
        </w:tc>
      </w:tr>
      <w:tr w14:paraId="127FB4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656" w:type="dxa"/>
            <w:tcBorders>
              <w:top w:val="single" w:color="000000" w:sz="4" w:space="0"/>
              <w:left w:val="single" w:color="000000" w:sz="4" w:space="0"/>
              <w:bottom w:val="single" w:color="000000" w:sz="4" w:space="0"/>
              <w:right w:val="single" w:color="000000" w:sz="4" w:space="0"/>
            </w:tcBorders>
            <w:vAlign w:val="center"/>
          </w:tcPr>
          <w:p w14:paraId="5CD5E9A9">
            <w:pPr>
              <w:spacing w:line="360" w:lineRule="auto"/>
              <w:jc w:val="center"/>
              <w:rPr>
                <w:rFonts w:hint="eastAsia" w:ascii="宋体" w:hAnsi="宋体"/>
                <w:color w:val="auto"/>
                <w:sz w:val="24"/>
                <w:highlight w:val="none"/>
                <w:lang w:val="zh-CN"/>
              </w:rPr>
            </w:pPr>
          </w:p>
        </w:tc>
        <w:tc>
          <w:tcPr>
            <w:tcW w:w="2342" w:type="dxa"/>
            <w:tcBorders>
              <w:top w:val="single" w:color="000000" w:sz="4" w:space="0"/>
              <w:left w:val="single" w:color="000000" w:sz="4" w:space="0"/>
              <w:bottom w:val="single" w:color="000000" w:sz="4" w:space="0"/>
              <w:right w:val="single" w:color="000000" w:sz="4" w:space="0"/>
            </w:tcBorders>
            <w:vAlign w:val="center"/>
          </w:tcPr>
          <w:p w14:paraId="57C73A29">
            <w:pPr>
              <w:spacing w:line="360" w:lineRule="auto"/>
              <w:jc w:val="center"/>
              <w:rPr>
                <w:rFonts w:hint="eastAsia" w:ascii="宋体" w:hAnsi="宋体"/>
                <w:color w:val="auto"/>
                <w:sz w:val="24"/>
                <w:highlight w:val="none"/>
                <w:lang w:val="zh-CN"/>
              </w:rPr>
            </w:pPr>
          </w:p>
        </w:tc>
        <w:tc>
          <w:tcPr>
            <w:tcW w:w="4647" w:type="dxa"/>
            <w:tcBorders>
              <w:top w:val="single" w:color="000000" w:sz="4" w:space="0"/>
              <w:left w:val="single" w:color="000000" w:sz="4" w:space="0"/>
              <w:bottom w:val="single" w:color="000000" w:sz="4" w:space="0"/>
              <w:right w:val="single" w:color="000000" w:sz="4" w:space="0"/>
            </w:tcBorders>
            <w:vAlign w:val="center"/>
          </w:tcPr>
          <w:p w14:paraId="2F4CD3D6">
            <w:pPr>
              <w:spacing w:line="360" w:lineRule="auto"/>
              <w:jc w:val="center"/>
              <w:rPr>
                <w:rFonts w:hint="eastAsia" w:ascii="宋体" w:hAnsi="宋体"/>
                <w:color w:val="auto"/>
                <w:sz w:val="24"/>
                <w:highlight w:val="none"/>
                <w:lang w:val="zh-CN"/>
              </w:rPr>
            </w:pPr>
          </w:p>
        </w:tc>
      </w:tr>
      <w:tr w14:paraId="119999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656" w:type="dxa"/>
            <w:tcBorders>
              <w:top w:val="single" w:color="000000" w:sz="4" w:space="0"/>
              <w:left w:val="single" w:color="000000" w:sz="4" w:space="0"/>
              <w:bottom w:val="single" w:color="000000" w:sz="4" w:space="0"/>
              <w:right w:val="single" w:color="000000" w:sz="4" w:space="0"/>
            </w:tcBorders>
            <w:vAlign w:val="center"/>
          </w:tcPr>
          <w:p w14:paraId="5A344BF0">
            <w:pPr>
              <w:spacing w:line="360" w:lineRule="auto"/>
              <w:jc w:val="center"/>
              <w:rPr>
                <w:rFonts w:hint="eastAsia" w:ascii="宋体" w:hAnsi="宋体"/>
                <w:color w:val="auto"/>
                <w:sz w:val="24"/>
                <w:highlight w:val="none"/>
                <w:lang w:val="zh-CN"/>
              </w:rPr>
            </w:pPr>
          </w:p>
        </w:tc>
        <w:tc>
          <w:tcPr>
            <w:tcW w:w="2342" w:type="dxa"/>
            <w:tcBorders>
              <w:top w:val="single" w:color="000000" w:sz="4" w:space="0"/>
              <w:left w:val="single" w:color="000000" w:sz="4" w:space="0"/>
              <w:bottom w:val="single" w:color="000000" w:sz="4" w:space="0"/>
              <w:right w:val="single" w:color="000000" w:sz="4" w:space="0"/>
            </w:tcBorders>
            <w:vAlign w:val="center"/>
          </w:tcPr>
          <w:p w14:paraId="177FFB35">
            <w:pPr>
              <w:spacing w:line="360" w:lineRule="auto"/>
              <w:jc w:val="center"/>
              <w:rPr>
                <w:rFonts w:hint="eastAsia" w:ascii="宋体" w:hAnsi="宋体"/>
                <w:color w:val="auto"/>
                <w:sz w:val="24"/>
                <w:highlight w:val="none"/>
                <w:lang w:val="zh-CN"/>
              </w:rPr>
            </w:pPr>
          </w:p>
        </w:tc>
        <w:tc>
          <w:tcPr>
            <w:tcW w:w="4647" w:type="dxa"/>
            <w:tcBorders>
              <w:top w:val="single" w:color="000000" w:sz="4" w:space="0"/>
              <w:left w:val="single" w:color="000000" w:sz="4" w:space="0"/>
              <w:bottom w:val="single" w:color="000000" w:sz="4" w:space="0"/>
              <w:right w:val="single" w:color="000000" w:sz="4" w:space="0"/>
            </w:tcBorders>
            <w:vAlign w:val="center"/>
          </w:tcPr>
          <w:p w14:paraId="00091C16">
            <w:pPr>
              <w:spacing w:line="360" w:lineRule="auto"/>
              <w:jc w:val="center"/>
              <w:rPr>
                <w:rFonts w:hint="eastAsia" w:ascii="宋体" w:hAnsi="宋体"/>
                <w:color w:val="auto"/>
                <w:sz w:val="24"/>
                <w:highlight w:val="none"/>
                <w:lang w:val="zh-CN"/>
              </w:rPr>
            </w:pPr>
          </w:p>
        </w:tc>
      </w:tr>
    </w:tbl>
    <w:p w14:paraId="3303D11D">
      <w:pPr>
        <w:widowControl/>
        <w:spacing w:line="360" w:lineRule="auto"/>
        <w:rPr>
          <w:color w:val="auto"/>
          <w:highlight w:val="none"/>
        </w:rPr>
      </w:pPr>
      <w:r>
        <w:rPr>
          <w:color w:val="auto"/>
          <w:highlight w:val="none"/>
        </w:rPr>
        <w:br w:type="page" w:clear="all"/>
      </w:r>
    </w:p>
    <w:p w14:paraId="45EBB99B">
      <w:pPr>
        <w:pStyle w:val="189"/>
        <w:spacing w:before="0" w:after="0" w:line="360" w:lineRule="auto"/>
        <w:rPr>
          <w:color w:val="auto"/>
          <w:highlight w:val="none"/>
        </w:rPr>
      </w:pPr>
      <w:r>
        <w:rPr>
          <w:rFonts w:hint="eastAsia"/>
          <w:color w:val="auto"/>
          <w:highlight w:val="none"/>
        </w:rPr>
        <w:t>附件五 主要机械设备和试验检测设备最低要求</w:t>
      </w:r>
    </w:p>
    <w:tbl>
      <w:tblPr>
        <w:tblStyle w:val="33"/>
        <w:tblW w:w="0" w:type="auto"/>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16"/>
        <w:gridCol w:w="3092"/>
        <w:gridCol w:w="1564"/>
        <w:gridCol w:w="2473"/>
      </w:tblGrid>
      <w:tr w14:paraId="089D07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516" w:type="dxa"/>
            <w:tcBorders>
              <w:top w:val="single" w:color="000000" w:sz="4" w:space="0"/>
              <w:left w:val="single" w:color="000000" w:sz="4" w:space="0"/>
              <w:bottom w:val="single" w:color="000000" w:sz="4" w:space="0"/>
              <w:right w:val="single" w:color="000000" w:sz="4" w:space="0"/>
            </w:tcBorders>
            <w:vAlign w:val="center"/>
          </w:tcPr>
          <w:p w14:paraId="6F903477">
            <w:pPr>
              <w:spacing w:line="360" w:lineRule="auto"/>
              <w:jc w:val="center"/>
              <w:rPr>
                <w:rFonts w:hint="eastAsia" w:ascii="宋体" w:hAnsi="宋体"/>
                <w:color w:val="auto"/>
                <w:sz w:val="24"/>
                <w:highlight w:val="none"/>
                <w:lang w:val="zh-CN"/>
              </w:rPr>
            </w:pPr>
            <w:r>
              <w:rPr>
                <w:rFonts w:hint="eastAsia"/>
                <w:color w:val="auto"/>
                <w:highlight w:val="none"/>
                <w:lang w:val="zh-CN"/>
              </w:rPr>
              <w:t>设备名称</w:t>
            </w:r>
          </w:p>
        </w:tc>
        <w:tc>
          <w:tcPr>
            <w:tcW w:w="3092" w:type="dxa"/>
            <w:tcBorders>
              <w:top w:val="single" w:color="000000" w:sz="4" w:space="0"/>
              <w:left w:val="single" w:color="000000" w:sz="4" w:space="0"/>
              <w:bottom w:val="single" w:color="000000" w:sz="4" w:space="0"/>
              <w:right w:val="single" w:color="000000" w:sz="4" w:space="0"/>
            </w:tcBorders>
            <w:vAlign w:val="center"/>
          </w:tcPr>
          <w:p w14:paraId="716818EA">
            <w:pPr>
              <w:spacing w:line="360" w:lineRule="auto"/>
              <w:jc w:val="center"/>
              <w:rPr>
                <w:rFonts w:hint="eastAsia" w:ascii="宋体" w:hAnsi="宋体"/>
                <w:color w:val="auto"/>
                <w:sz w:val="24"/>
                <w:highlight w:val="none"/>
                <w:lang w:val="zh-CN"/>
              </w:rPr>
            </w:pPr>
            <w:r>
              <w:rPr>
                <w:rFonts w:hint="eastAsia"/>
                <w:color w:val="auto"/>
                <w:highlight w:val="none"/>
                <w:lang w:val="zh-CN"/>
              </w:rPr>
              <w:t>规格、功率及容量</w:t>
            </w:r>
          </w:p>
        </w:tc>
        <w:tc>
          <w:tcPr>
            <w:tcW w:w="1564" w:type="dxa"/>
            <w:tcBorders>
              <w:top w:val="single" w:color="000000" w:sz="4" w:space="0"/>
              <w:left w:val="single" w:color="000000" w:sz="4" w:space="0"/>
              <w:bottom w:val="single" w:color="000000" w:sz="4" w:space="0"/>
              <w:right w:val="single" w:color="000000" w:sz="4" w:space="0"/>
            </w:tcBorders>
            <w:vAlign w:val="center"/>
          </w:tcPr>
          <w:p w14:paraId="1E4908F4">
            <w:pPr>
              <w:spacing w:line="360" w:lineRule="auto"/>
              <w:jc w:val="center"/>
              <w:rPr>
                <w:rFonts w:hint="eastAsia" w:ascii="宋体" w:hAnsi="宋体"/>
                <w:color w:val="auto"/>
                <w:sz w:val="24"/>
                <w:highlight w:val="none"/>
                <w:lang w:val="zh-CN"/>
              </w:rPr>
            </w:pPr>
            <w:r>
              <w:rPr>
                <w:rFonts w:hint="eastAsia"/>
                <w:color w:val="auto"/>
                <w:highlight w:val="none"/>
                <w:lang w:val="zh-CN"/>
              </w:rPr>
              <w:t>单位</w:t>
            </w:r>
          </w:p>
        </w:tc>
        <w:tc>
          <w:tcPr>
            <w:tcW w:w="2473" w:type="dxa"/>
            <w:tcBorders>
              <w:top w:val="single" w:color="000000" w:sz="4" w:space="0"/>
              <w:left w:val="single" w:color="000000" w:sz="4" w:space="0"/>
              <w:bottom w:val="single" w:color="000000" w:sz="4" w:space="0"/>
              <w:right w:val="single" w:color="000000" w:sz="4" w:space="0"/>
            </w:tcBorders>
            <w:vAlign w:val="center"/>
          </w:tcPr>
          <w:p w14:paraId="1526D940">
            <w:pPr>
              <w:spacing w:line="360" w:lineRule="auto"/>
              <w:jc w:val="center"/>
              <w:rPr>
                <w:rFonts w:hint="eastAsia" w:ascii="宋体" w:hAnsi="宋体"/>
                <w:color w:val="auto"/>
                <w:sz w:val="24"/>
                <w:highlight w:val="none"/>
                <w:lang w:val="zh-CN"/>
              </w:rPr>
            </w:pPr>
            <w:r>
              <w:rPr>
                <w:rFonts w:hint="eastAsia"/>
                <w:color w:val="auto"/>
                <w:highlight w:val="none"/>
                <w:lang w:val="zh-CN"/>
              </w:rPr>
              <w:t>最低数量要求</w:t>
            </w:r>
          </w:p>
        </w:tc>
      </w:tr>
      <w:tr w14:paraId="3D1310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516" w:type="dxa"/>
            <w:tcBorders>
              <w:top w:val="single" w:color="000000" w:sz="4" w:space="0"/>
              <w:left w:val="single" w:color="000000" w:sz="4" w:space="0"/>
              <w:bottom w:val="single" w:color="000000" w:sz="4" w:space="0"/>
              <w:right w:val="single" w:color="000000" w:sz="4" w:space="0"/>
            </w:tcBorders>
            <w:vAlign w:val="center"/>
          </w:tcPr>
          <w:p w14:paraId="44A69852">
            <w:pPr>
              <w:spacing w:line="360" w:lineRule="auto"/>
              <w:jc w:val="center"/>
              <w:rPr>
                <w:rFonts w:hint="eastAsia" w:ascii="宋体" w:hAnsi="宋体"/>
                <w:color w:val="auto"/>
                <w:sz w:val="24"/>
                <w:highlight w:val="none"/>
                <w:lang w:val="zh-CN"/>
              </w:rPr>
            </w:pPr>
          </w:p>
        </w:tc>
        <w:tc>
          <w:tcPr>
            <w:tcW w:w="3092" w:type="dxa"/>
            <w:tcBorders>
              <w:top w:val="single" w:color="000000" w:sz="4" w:space="0"/>
              <w:left w:val="single" w:color="000000" w:sz="4" w:space="0"/>
              <w:bottom w:val="single" w:color="000000" w:sz="4" w:space="0"/>
              <w:right w:val="single" w:color="000000" w:sz="4" w:space="0"/>
            </w:tcBorders>
            <w:vAlign w:val="center"/>
          </w:tcPr>
          <w:p w14:paraId="04D1C210">
            <w:pPr>
              <w:spacing w:line="360" w:lineRule="auto"/>
              <w:jc w:val="center"/>
              <w:rPr>
                <w:rFonts w:hint="eastAsia" w:ascii="宋体" w:hAnsi="宋体"/>
                <w:color w:val="auto"/>
                <w:sz w:val="24"/>
                <w:highlight w:val="none"/>
                <w:lang w:val="zh-CN"/>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470DDF0F">
            <w:pPr>
              <w:spacing w:line="360" w:lineRule="auto"/>
              <w:jc w:val="center"/>
              <w:rPr>
                <w:rFonts w:hint="eastAsia" w:ascii="宋体" w:hAnsi="宋体"/>
                <w:color w:val="auto"/>
                <w:sz w:val="24"/>
                <w:highlight w:val="none"/>
                <w:lang w:val="zh-CN"/>
              </w:rPr>
            </w:pPr>
          </w:p>
        </w:tc>
        <w:tc>
          <w:tcPr>
            <w:tcW w:w="2473" w:type="dxa"/>
            <w:tcBorders>
              <w:top w:val="single" w:color="000000" w:sz="4" w:space="0"/>
              <w:left w:val="single" w:color="000000" w:sz="4" w:space="0"/>
              <w:bottom w:val="single" w:color="000000" w:sz="4" w:space="0"/>
              <w:right w:val="single" w:color="000000" w:sz="4" w:space="0"/>
            </w:tcBorders>
            <w:vAlign w:val="center"/>
          </w:tcPr>
          <w:p w14:paraId="45CC74A5">
            <w:pPr>
              <w:spacing w:line="360" w:lineRule="auto"/>
              <w:jc w:val="center"/>
              <w:rPr>
                <w:rFonts w:hint="eastAsia" w:ascii="宋体" w:hAnsi="宋体"/>
                <w:color w:val="auto"/>
                <w:sz w:val="24"/>
                <w:highlight w:val="none"/>
                <w:lang w:val="zh-CN"/>
              </w:rPr>
            </w:pPr>
          </w:p>
        </w:tc>
      </w:tr>
      <w:tr w14:paraId="2DBBED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516" w:type="dxa"/>
            <w:tcBorders>
              <w:top w:val="single" w:color="000000" w:sz="4" w:space="0"/>
              <w:left w:val="single" w:color="000000" w:sz="4" w:space="0"/>
              <w:bottom w:val="single" w:color="000000" w:sz="4" w:space="0"/>
              <w:right w:val="single" w:color="000000" w:sz="4" w:space="0"/>
            </w:tcBorders>
            <w:vAlign w:val="center"/>
          </w:tcPr>
          <w:p w14:paraId="11AB39C5">
            <w:pPr>
              <w:spacing w:line="360" w:lineRule="auto"/>
              <w:jc w:val="center"/>
              <w:rPr>
                <w:rFonts w:hint="eastAsia" w:ascii="宋体" w:hAnsi="宋体"/>
                <w:color w:val="auto"/>
                <w:sz w:val="24"/>
                <w:highlight w:val="none"/>
                <w:lang w:val="zh-CN"/>
              </w:rPr>
            </w:pPr>
          </w:p>
        </w:tc>
        <w:tc>
          <w:tcPr>
            <w:tcW w:w="3092" w:type="dxa"/>
            <w:tcBorders>
              <w:top w:val="single" w:color="000000" w:sz="4" w:space="0"/>
              <w:left w:val="single" w:color="000000" w:sz="4" w:space="0"/>
              <w:bottom w:val="single" w:color="000000" w:sz="4" w:space="0"/>
              <w:right w:val="single" w:color="000000" w:sz="4" w:space="0"/>
            </w:tcBorders>
            <w:vAlign w:val="center"/>
          </w:tcPr>
          <w:p w14:paraId="412AB824">
            <w:pPr>
              <w:spacing w:line="360" w:lineRule="auto"/>
              <w:jc w:val="center"/>
              <w:rPr>
                <w:rFonts w:hint="eastAsia" w:ascii="宋体" w:hAnsi="宋体"/>
                <w:color w:val="auto"/>
                <w:sz w:val="24"/>
                <w:highlight w:val="none"/>
                <w:lang w:val="zh-CN"/>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40EF5F8A">
            <w:pPr>
              <w:spacing w:line="360" w:lineRule="auto"/>
              <w:jc w:val="center"/>
              <w:rPr>
                <w:rFonts w:hint="eastAsia" w:ascii="宋体" w:hAnsi="宋体"/>
                <w:color w:val="auto"/>
                <w:sz w:val="24"/>
                <w:highlight w:val="none"/>
                <w:lang w:val="zh-CN"/>
              </w:rPr>
            </w:pPr>
          </w:p>
        </w:tc>
        <w:tc>
          <w:tcPr>
            <w:tcW w:w="2473" w:type="dxa"/>
            <w:tcBorders>
              <w:top w:val="single" w:color="000000" w:sz="4" w:space="0"/>
              <w:left w:val="single" w:color="000000" w:sz="4" w:space="0"/>
              <w:bottom w:val="single" w:color="000000" w:sz="4" w:space="0"/>
              <w:right w:val="single" w:color="000000" w:sz="4" w:space="0"/>
            </w:tcBorders>
            <w:vAlign w:val="center"/>
          </w:tcPr>
          <w:p w14:paraId="1794C3D6">
            <w:pPr>
              <w:spacing w:line="360" w:lineRule="auto"/>
              <w:jc w:val="center"/>
              <w:rPr>
                <w:rFonts w:hint="eastAsia" w:ascii="宋体" w:hAnsi="宋体"/>
                <w:color w:val="auto"/>
                <w:sz w:val="24"/>
                <w:highlight w:val="none"/>
                <w:lang w:val="zh-CN"/>
              </w:rPr>
            </w:pPr>
          </w:p>
        </w:tc>
      </w:tr>
      <w:tr w14:paraId="2A4446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2516" w:type="dxa"/>
            <w:tcBorders>
              <w:top w:val="single" w:color="000000" w:sz="4" w:space="0"/>
              <w:left w:val="single" w:color="000000" w:sz="4" w:space="0"/>
              <w:bottom w:val="single" w:color="000000" w:sz="4" w:space="0"/>
              <w:right w:val="single" w:color="000000" w:sz="4" w:space="0"/>
            </w:tcBorders>
            <w:vAlign w:val="center"/>
          </w:tcPr>
          <w:p w14:paraId="785EC1AE">
            <w:pPr>
              <w:spacing w:line="360" w:lineRule="auto"/>
              <w:jc w:val="center"/>
              <w:rPr>
                <w:rFonts w:hint="eastAsia" w:ascii="宋体" w:hAnsi="宋体"/>
                <w:color w:val="auto"/>
                <w:sz w:val="24"/>
                <w:highlight w:val="none"/>
                <w:lang w:val="zh-CN"/>
              </w:rPr>
            </w:pPr>
          </w:p>
        </w:tc>
        <w:tc>
          <w:tcPr>
            <w:tcW w:w="3092" w:type="dxa"/>
            <w:tcBorders>
              <w:top w:val="single" w:color="000000" w:sz="4" w:space="0"/>
              <w:left w:val="single" w:color="000000" w:sz="4" w:space="0"/>
              <w:bottom w:val="single" w:color="000000" w:sz="4" w:space="0"/>
              <w:right w:val="single" w:color="000000" w:sz="4" w:space="0"/>
            </w:tcBorders>
            <w:vAlign w:val="center"/>
          </w:tcPr>
          <w:p w14:paraId="42C731B1">
            <w:pPr>
              <w:spacing w:line="360" w:lineRule="auto"/>
              <w:jc w:val="center"/>
              <w:rPr>
                <w:rFonts w:hint="eastAsia" w:ascii="宋体" w:hAnsi="宋体"/>
                <w:color w:val="auto"/>
                <w:sz w:val="24"/>
                <w:highlight w:val="none"/>
                <w:lang w:val="zh-CN"/>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06054E6B">
            <w:pPr>
              <w:spacing w:line="360" w:lineRule="auto"/>
              <w:jc w:val="center"/>
              <w:rPr>
                <w:rFonts w:hint="eastAsia" w:ascii="宋体" w:hAnsi="宋体"/>
                <w:color w:val="auto"/>
                <w:sz w:val="24"/>
                <w:highlight w:val="none"/>
                <w:lang w:val="zh-CN"/>
              </w:rPr>
            </w:pPr>
          </w:p>
        </w:tc>
        <w:tc>
          <w:tcPr>
            <w:tcW w:w="2473" w:type="dxa"/>
            <w:tcBorders>
              <w:top w:val="single" w:color="000000" w:sz="4" w:space="0"/>
              <w:left w:val="single" w:color="000000" w:sz="4" w:space="0"/>
              <w:bottom w:val="single" w:color="000000" w:sz="4" w:space="0"/>
              <w:right w:val="single" w:color="000000" w:sz="4" w:space="0"/>
            </w:tcBorders>
            <w:vAlign w:val="center"/>
          </w:tcPr>
          <w:p w14:paraId="5E8F4A25">
            <w:pPr>
              <w:spacing w:line="360" w:lineRule="auto"/>
              <w:jc w:val="center"/>
              <w:rPr>
                <w:rFonts w:hint="eastAsia" w:ascii="宋体" w:hAnsi="宋体"/>
                <w:color w:val="auto"/>
                <w:sz w:val="24"/>
                <w:highlight w:val="none"/>
                <w:lang w:val="zh-CN"/>
              </w:rPr>
            </w:pPr>
          </w:p>
        </w:tc>
      </w:tr>
      <w:tr w14:paraId="6F6890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516" w:type="dxa"/>
            <w:tcBorders>
              <w:top w:val="single" w:color="000000" w:sz="4" w:space="0"/>
              <w:left w:val="single" w:color="000000" w:sz="4" w:space="0"/>
              <w:bottom w:val="single" w:color="000000" w:sz="4" w:space="0"/>
              <w:right w:val="single" w:color="000000" w:sz="4" w:space="0"/>
            </w:tcBorders>
            <w:vAlign w:val="center"/>
          </w:tcPr>
          <w:p w14:paraId="0641D4F4">
            <w:pPr>
              <w:spacing w:line="360" w:lineRule="auto"/>
              <w:jc w:val="center"/>
              <w:rPr>
                <w:rFonts w:hint="eastAsia" w:ascii="宋体" w:hAnsi="宋体"/>
                <w:color w:val="auto"/>
                <w:sz w:val="24"/>
                <w:highlight w:val="none"/>
                <w:lang w:val="zh-CN"/>
              </w:rPr>
            </w:pPr>
          </w:p>
        </w:tc>
        <w:tc>
          <w:tcPr>
            <w:tcW w:w="3092" w:type="dxa"/>
            <w:tcBorders>
              <w:top w:val="single" w:color="000000" w:sz="4" w:space="0"/>
              <w:left w:val="single" w:color="000000" w:sz="4" w:space="0"/>
              <w:bottom w:val="single" w:color="000000" w:sz="4" w:space="0"/>
              <w:right w:val="single" w:color="000000" w:sz="4" w:space="0"/>
            </w:tcBorders>
            <w:vAlign w:val="center"/>
          </w:tcPr>
          <w:p w14:paraId="314976BD">
            <w:pPr>
              <w:spacing w:line="360" w:lineRule="auto"/>
              <w:jc w:val="center"/>
              <w:rPr>
                <w:rFonts w:hint="eastAsia" w:ascii="宋体" w:hAnsi="宋体"/>
                <w:color w:val="auto"/>
                <w:sz w:val="24"/>
                <w:highlight w:val="none"/>
                <w:lang w:val="zh-CN"/>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1474629B">
            <w:pPr>
              <w:spacing w:line="360" w:lineRule="auto"/>
              <w:jc w:val="center"/>
              <w:rPr>
                <w:rFonts w:hint="eastAsia" w:ascii="宋体" w:hAnsi="宋体"/>
                <w:color w:val="auto"/>
                <w:sz w:val="24"/>
                <w:highlight w:val="none"/>
                <w:lang w:val="zh-CN"/>
              </w:rPr>
            </w:pPr>
          </w:p>
        </w:tc>
        <w:tc>
          <w:tcPr>
            <w:tcW w:w="2473" w:type="dxa"/>
            <w:tcBorders>
              <w:top w:val="single" w:color="000000" w:sz="4" w:space="0"/>
              <w:left w:val="single" w:color="000000" w:sz="4" w:space="0"/>
              <w:bottom w:val="single" w:color="000000" w:sz="4" w:space="0"/>
              <w:right w:val="single" w:color="000000" w:sz="4" w:space="0"/>
            </w:tcBorders>
            <w:vAlign w:val="center"/>
          </w:tcPr>
          <w:p w14:paraId="0FAE6DA9">
            <w:pPr>
              <w:spacing w:line="360" w:lineRule="auto"/>
              <w:jc w:val="center"/>
              <w:rPr>
                <w:rFonts w:hint="eastAsia" w:ascii="宋体" w:hAnsi="宋体"/>
                <w:color w:val="auto"/>
                <w:sz w:val="24"/>
                <w:highlight w:val="none"/>
                <w:lang w:val="zh-CN"/>
              </w:rPr>
            </w:pPr>
          </w:p>
        </w:tc>
      </w:tr>
      <w:tr w14:paraId="7E9F0D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2516" w:type="dxa"/>
            <w:tcBorders>
              <w:top w:val="single" w:color="000000" w:sz="4" w:space="0"/>
              <w:left w:val="single" w:color="000000" w:sz="4" w:space="0"/>
              <w:bottom w:val="single" w:color="000000" w:sz="4" w:space="0"/>
              <w:right w:val="single" w:color="000000" w:sz="4" w:space="0"/>
            </w:tcBorders>
            <w:vAlign w:val="center"/>
          </w:tcPr>
          <w:p w14:paraId="0FD81EBF">
            <w:pPr>
              <w:spacing w:line="360" w:lineRule="auto"/>
              <w:jc w:val="center"/>
              <w:rPr>
                <w:rFonts w:hint="eastAsia" w:ascii="宋体" w:hAnsi="宋体"/>
                <w:color w:val="auto"/>
                <w:sz w:val="24"/>
                <w:highlight w:val="none"/>
                <w:lang w:val="zh-CN"/>
              </w:rPr>
            </w:pPr>
          </w:p>
        </w:tc>
        <w:tc>
          <w:tcPr>
            <w:tcW w:w="3092" w:type="dxa"/>
            <w:tcBorders>
              <w:top w:val="single" w:color="000000" w:sz="4" w:space="0"/>
              <w:left w:val="single" w:color="000000" w:sz="4" w:space="0"/>
              <w:bottom w:val="single" w:color="000000" w:sz="4" w:space="0"/>
              <w:right w:val="single" w:color="000000" w:sz="4" w:space="0"/>
            </w:tcBorders>
            <w:vAlign w:val="center"/>
          </w:tcPr>
          <w:p w14:paraId="218925E0">
            <w:pPr>
              <w:spacing w:line="360" w:lineRule="auto"/>
              <w:jc w:val="center"/>
              <w:rPr>
                <w:rFonts w:hint="eastAsia" w:ascii="宋体" w:hAnsi="宋体"/>
                <w:color w:val="auto"/>
                <w:sz w:val="24"/>
                <w:highlight w:val="none"/>
                <w:lang w:val="zh-CN"/>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316920DE">
            <w:pPr>
              <w:spacing w:line="360" w:lineRule="auto"/>
              <w:jc w:val="center"/>
              <w:rPr>
                <w:rFonts w:hint="eastAsia" w:ascii="宋体" w:hAnsi="宋体"/>
                <w:color w:val="auto"/>
                <w:sz w:val="24"/>
                <w:highlight w:val="none"/>
                <w:lang w:val="zh-CN"/>
              </w:rPr>
            </w:pPr>
          </w:p>
        </w:tc>
        <w:tc>
          <w:tcPr>
            <w:tcW w:w="2473" w:type="dxa"/>
            <w:tcBorders>
              <w:top w:val="single" w:color="000000" w:sz="4" w:space="0"/>
              <w:left w:val="single" w:color="000000" w:sz="4" w:space="0"/>
              <w:bottom w:val="single" w:color="000000" w:sz="4" w:space="0"/>
              <w:right w:val="single" w:color="000000" w:sz="4" w:space="0"/>
            </w:tcBorders>
            <w:vAlign w:val="center"/>
          </w:tcPr>
          <w:p w14:paraId="379E9875">
            <w:pPr>
              <w:spacing w:line="360" w:lineRule="auto"/>
              <w:jc w:val="center"/>
              <w:rPr>
                <w:rFonts w:hint="eastAsia" w:ascii="宋体" w:hAnsi="宋体"/>
                <w:color w:val="auto"/>
                <w:sz w:val="24"/>
                <w:highlight w:val="none"/>
                <w:lang w:val="zh-CN"/>
              </w:rPr>
            </w:pPr>
          </w:p>
        </w:tc>
      </w:tr>
      <w:tr w14:paraId="03D7F8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516" w:type="dxa"/>
            <w:tcBorders>
              <w:top w:val="single" w:color="000000" w:sz="4" w:space="0"/>
              <w:left w:val="single" w:color="000000" w:sz="4" w:space="0"/>
              <w:bottom w:val="single" w:color="000000" w:sz="4" w:space="0"/>
              <w:right w:val="single" w:color="000000" w:sz="4" w:space="0"/>
            </w:tcBorders>
            <w:vAlign w:val="center"/>
          </w:tcPr>
          <w:p w14:paraId="3A5A4AC8">
            <w:pPr>
              <w:spacing w:line="360" w:lineRule="auto"/>
              <w:jc w:val="center"/>
              <w:rPr>
                <w:rFonts w:hint="eastAsia" w:ascii="宋体" w:hAnsi="宋体"/>
                <w:color w:val="auto"/>
                <w:sz w:val="24"/>
                <w:highlight w:val="none"/>
                <w:lang w:val="zh-CN"/>
              </w:rPr>
            </w:pPr>
          </w:p>
        </w:tc>
        <w:tc>
          <w:tcPr>
            <w:tcW w:w="3092" w:type="dxa"/>
            <w:tcBorders>
              <w:top w:val="single" w:color="000000" w:sz="4" w:space="0"/>
              <w:left w:val="single" w:color="000000" w:sz="4" w:space="0"/>
              <w:bottom w:val="single" w:color="000000" w:sz="4" w:space="0"/>
              <w:right w:val="single" w:color="000000" w:sz="4" w:space="0"/>
            </w:tcBorders>
            <w:vAlign w:val="center"/>
          </w:tcPr>
          <w:p w14:paraId="1CD5C12C">
            <w:pPr>
              <w:spacing w:line="360" w:lineRule="auto"/>
              <w:jc w:val="center"/>
              <w:rPr>
                <w:rFonts w:hint="eastAsia" w:ascii="宋体" w:hAnsi="宋体"/>
                <w:color w:val="auto"/>
                <w:sz w:val="24"/>
                <w:highlight w:val="none"/>
                <w:lang w:val="zh-CN"/>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765D7803">
            <w:pPr>
              <w:spacing w:line="360" w:lineRule="auto"/>
              <w:jc w:val="center"/>
              <w:rPr>
                <w:rFonts w:hint="eastAsia" w:ascii="宋体" w:hAnsi="宋体"/>
                <w:color w:val="auto"/>
                <w:sz w:val="24"/>
                <w:highlight w:val="none"/>
                <w:lang w:val="zh-CN"/>
              </w:rPr>
            </w:pPr>
          </w:p>
        </w:tc>
        <w:tc>
          <w:tcPr>
            <w:tcW w:w="2473" w:type="dxa"/>
            <w:tcBorders>
              <w:top w:val="single" w:color="000000" w:sz="4" w:space="0"/>
              <w:left w:val="single" w:color="000000" w:sz="4" w:space="0"/>
              <w:bottom w:val="single" w:color="000000" w:sz="4" w:space="0"/>
              <w:right w:val="single" w:color="000000" w:sz="4" w:space="0"/>
            </w:tcBorders>
            <w:vAlign w:val="center"/>
          </w:tcPr>
          <w:p w14:paraId="7EA96828">
            <w:pPr>
              <w:spacing w:line="360" w:lineRule="auto"/>
              <w:jc w:val="center"/>
              <w:rPr>
                <w:rFonts w:hint="eastAsia" w:ascii="宋体" w:hAnsi="宋体"/>
                <w:color w:val="auto"/>
                <w:sz w:val="24"/>
                <w:highlight w:val="none"/>
                <w:lang w:val="zh-CN"/>
              </w:rPr>
            </w:pPr>
          </w:p>
        </w:tc>
      </w:tr>
      <w:tr w14:paraId="6F15F8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516" w:type="dxa"/>
            <w:tcBorders>
              <w:top w:val="single" w:color="000000" w:sz="4" w:space="0"/>
              <w:left w:val="single" w:color="000000" w:sz="4" w:space="0"/>
              <w:bottom w:val="single" w:color="000000" w:sz="4" w:space="0"/>
              <w:right w:val="single" w:color="000000" w:sz="4" w:space="0"/>
            </w:tcBorders>
            <w:vAlign w:val="center"/>
          </w:tcPr>
          <w:p w14:paraId="227DAF53">
            <w:pPr>
              <w:spacing w:line="360" w:lineRule="auto"/>
              <w:jc w:val="center"/>
              <w:rPr>
                <w:rFonts w:hint="eastAsia" w:ascii="宋体" w:hAnsi="宋体"/>
                <w:color w:val="auto"/>
                <w:sz w:val="24"/>
                <w:highlight w:val="none"/>
                <w:lang w:val="zh-CN"/>
              </w:rPr>
            </w:pPr>
          </w:p>
        </w:tc>
        <w:tc>
          <w:tcPr>
            <w:tcW w:w="3092" w:type="dxa"/>
            <w:tcBorders>
              <w:top w:val="single" w:color="000000" w:sz="4" w:space="0"/>
              <w:left w:val="single" w:color="000000" w:sz="4" w:space="0"/>
              <w:bottom w:val="single" w:color="000000" w:sz="4" w:space="0"/>
              <w:right w:val="single" w:color="000000" w:sz="4" w:space="0"/>
            </w:tcBorders>
            <w:vAlign w:val="center"/>
          </w:tcPr>
          <w:p w14:paraId="51CC338D">
            <w:pPr>
              <w:spacing w:line="360" w:lineRule="auto"/>
              <w:jc w:val="center"/>
              <w:rPr>
                <w:rFonts w:hint="eastAsia" w:ascii="宋体" w:hAnsi="宋体"/>
                <w:color w:val="auto"/>
                <w:sz w:val="24"/>
                <w:highlight w:val="none"/>
                <w:lang w:val="zh-CN"/>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40885339">
            <w:pPr>
              <w:spacing w:line="360" w:lineRule="auto"/>
              <w:jc w:val="center"/>
              <w:rPr>
                <w:rFonts w:hint="eastAsia" w:ascii="宋体" w:hAnsi="宋体"/>
                <w:color w:val="auto"/>
                <w:sz w:val="24"/>
                <w:highlight w:val="none"/>
                <w:lang w:val="zh-CN"/>
              </w:rPr>
            </w:pPr>
          </w:p>
        </w:tc>
        <w:tc>
          <w:tcPr>
            <w:tcW w:w="2473" w:type="dxa"/>
            <w:tcBorders>
              <w:top w:val="single" w:color="000000" w:sz="4" w:space="0"/>
              <w:left w:val="single" w:color="000000" w:sz="4" w:space="0"/>
              <w:bottom w:val="single" w:color="000000" w:sz="4" w:space="0"/>
              <w:right w:val="single" w:color="000000" w:sz="4" w:space="0"/>
            </w:tcBorders>
            <w:vAlign w:val="center"/>
          </w:tcPr>
          <w:p w14:paraId="410F38F9">
            <w:pPr>
              <w:spacing w:line="360" w:lineRule="auto"/>
              <w:jc w:val="center"/>
              <w:rPr>
                <w:rFonts w:hint="eastAsia" w:ascii="宋体" w:hAnsi="宋体"/>
                <w:color w:val="auto"/>
                <w:sz w:val="24"/>
                <w:highlight w:val="none"/>
                <w:lang w:val="zh-CN"/>
              </w:rPr>
            </w:pPr>
          </w:p>
        </w:tc>
      </w:tr>
      <w:tr w14:paraId="41D5BD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2516" w:type="dxa"/>
            <w:tcBorders>
              <w:top w:val="single" w:color="000000" w:sz="4" w:space="0"/>
              <w:left w:val="single" w:color="000000" w:sz="4" w:space="0"/>
              <w:bottom w:val="single" w:color="000000" w:sz="4" w:space="0"/>
              <w:right w:val="single" w:color="000000" w:sz="4" w:space="0"/>
            </w:tcBorders>
            <w:vAlign w:val="center"/>
          </w:tcPr>
          <w:p w14:paraId="5CA11D2E">
            <w:pPr>
              <w:spacing w:line="360" w:lineRule="auto"/>
              <w:jc w:val="center"/>
              <w:rPr>
                <w:rFonts w:hint="eastAsia" w:ascii="宋体" w:hAnsi="宋体"/>
                <w:color w:val="auto"/>
                <w:sz w:val="24"/>
                <w:highlight w:val="none"/>
                <w:lang w:val="zh-CN"/>
              </w:rPr>
            </w:pPr>
          </w:p>
        </w:tc>
        <w:tc>
          <w:tcPr>
            <w:tcW w:w="3092" w:type="dxa"/>
            <w:tcBorders>
              <w:top w:val="single" w:color="000000" w:sz="4" w:space="0"/>
              <w:left w:val="single" w:color="000000" w:sz="4" w:space="0"/>
              <w:bottom w:val="single" w:color="000000" w:sz="4" w:space="0"/>
              <w:right w:val="single" w:color="000000" w:sz="4" w:space="0"/>
            </w:tcBorders>
            <w:vAlign w:val="center"/>
          </w:tcPr>
          <w:p w14:paraId="75EF2C30">
            <w:pPr>
              <w:spacing w:line="360" w:lineRule="auto"/>
              <w:jc w:val="center"/>
              <w:rPr>
                <w:rFonts w:hint="eastAsia" w:ascii="宋体" w:hAnsi="宋体"/>
                <w:color w:val="auto"/>
                <w:sz w:val="24"/>
                <w:highlight w:val="none"/>
                <w:lang w:val="zh-CN"/>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083ABB8B">
            <w:pPr>
              <w:spacing w:line="360" w:lineRule="auto"/>
              <w:jc w:val="center"/>
              <w:rPr>
                <w:rFonts w:hint="eastAsia" w:ascii="宋体" w:hAnsi="宋体"/>
                <w:color w:val="auto"/>
                <w:sz w:val="24"/>
                <w:highlight w:val="none"/>
                <w:lang w:val="zh-CN"/>
              </w:rPr>
            </w:pPr>
          </w:p>
        </w:tc>
        <w:tc>
          <w:tcPr>
            <w:tcW w:w="2473" w:type="dxa"/>
            <w:tcBorders>
              <w:top w:val="single" w:color="000000" w:sz="4" w:space="0"/>
              <w:left w:val="single" w:color="000000" w:sz="4" w:space="0"/>
              <w:bottom w:val="single" w:color="000000" w:sz="4" w:space="0"/>
              <w:right w:val="single" w:color="000000" w:sz="4" w:space="0"/>
            </w:tcBorders>
            <w:vAlign w:val="center"/>
          </w:tcPr>
          <w:p w14:paraId="3D617635">
            <w:pPr>
              <w:spacing w:line="360" w:lineRule="auto"/>
              <w:jc w:val="center"/>
              <w:rPr>
                <w:rFonts w:hint="eastAsia" w:ascii="宋体" w:hAnsi="宋体"/>
                <w:color w:val="auto"/>
                <w:sz w:val="24"/>
                <w:highlight w:val="none"/>
                <w:lang w:val="zh-CN"/>
              </w:rPr>
            </w:pPr>
          </w:p>
        </w:tc>
      </w:tr>
      <w:tr w14:paraId="14D6C2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516" w:type="dxa"/>
            <w:tcBorders>
              <w:top w:val="single" w:color="000000" w:sz="4" w:space="0"/>
              <w:left w:val="single" w:color="000000" w:sz="4" w:space="0"/>
              <w:bottom w:val="single" w:color="000000" w:sz="4" w:space="0"/>
              <w:right w:val="single" w:color="000000" w:sz="4" w:space="0"/>
            </w:tcBorders>
            <w:vAlign w:val="center"/>
          </w:tcPr>
          <w:p w14:paraId="1B0A652F">
            <w:pPr>
              <w:spacing w:line="360" w:lineRule="auto"/>
              <w:jc w:val="center"/>
              <w:rPr>
                <w:rFonts w:hint="eastAsia" w:ascii="宋体" w:hAnsi="宋体"/>
                <w:color w:val="auto"/>
                <w:sz w:val="24"/>
                <w:highlight w:val="none"/>
                <w:lang w:val="zh-CN"/>
              </w:rPr>
            </w:pPr>
          </w:p>
        </w:tc>
        <w:tc>
          <w:tcPr>
            <w:tcW w:w="3092" w:type="dxa"/>
            <w:tcBorders>
              <w:top w:val="single" w:color="000000" w:sz="4" w:space="0"/>
              <w:left w:val="single" w:color="000000" w:sz="4" w:space="0"/>
              <w:bottom w:val="single" w:color="000000" w:sz="4" w:space="0"/>
              <w:right w:val="single" w:color="000000" w:sz="4" w:space="0"/>
            </w:tcBorders>
            <w:vAlign w:val="center"/>
          </w:tcPr>
          <w:p w14:paraId="3D2062B9">
            <w:pPr>
              <w:spacing w:line="360" w:lineRule="auto"/>
              <w:jc w:val="center"/>
              <w:rPr>
                <w:rFonts w:hint="eastAsia" w:ascii="宋体" w:hAnsi="宋体"/>
                <w:color w:val="auto"/>
                <w:sz w:val="24"/>
                <w:highlight w:val="none"/>
                <w:lang w:val="zh-CN"/>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07681E56">
            <w:pPr>
              <w:spacing w:line="360" w:lineRule="auto"/>
              <w:jc w:val="center"/>
              <w:rPr>
                <w:rFonts w:hint="eastAsia" w:ascii="宋体" w:hAnsi="宋体"/>
                <w:color w:val="auto"/>
                <w:sz w:val="24"/>
                <w:highlight w:val="none"/>
                <w:lang w:val="zh-CN"/>
              </w:rPr>
            </w:pPr>
          </w:p>
        </w:tc>
        <w:tc>
          <w:tcPr>
            <w:tcW w:w="2473" w:type="dxa"/>
            <w:tcBorders>
              <w:top w:val="single" w:color="000000" w:sz="4" w:space="0"/>
              <w:left w:val="single" w:color="000000" w:sz="4" w:space="0"/>
              <w:bottom w:val="single" w:color="000000" w:sz="4" w:space="0"/>
              <w:right w:val="single" w:color="000000" w:sz="4" w:space="0"/>
            </w:tcBorders>
            <w:vAlign w:val="center"/>
          </w:tcPr>
          <w:p w14:paraId="21DCA311">
            <w:pPr>
              <w:spacing w:line="360" w:lineRule="auto"/>
              <w:jc w:val="center"/>
              <w:rPr>
                <w:rFonts w:hint="eastAsia" w:ascii="宋体" w:hAnsi="宋体"/>
                <w:color w:val="auto"/>
                <w:sz w:val="24"/>
                <w:highlight w:val="none"/>
                <w:lang w:val="zh-CN"/>
              </w:rPr>
            </w:pPr>
          </w:p>
        </w:tc>
      </w:tr>
      <w:tr w14:paraId="749437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516" w:type="dxa"/>
            <w:tcBorders>
              <w:top w:val="single" w:color="000000" w:sz="4" w:space="0"/>
              <w:left w:val="single" w:color="000000" w:sz="4" w:space="0"/>
              <w:bottom w:val="single" w:color="000000" w:sz="4" w:space="0"/>
              <w:right w:val="single" w:color="000000" w:sz="4" w:space="0"/>
            </w:tcBorders>
            <w:vAlign w:val="center"/>
          </w:tcPr>
          <w:p w14:paraId="6E42BFF5">
            <w:pPr>
              <w:spacing w:line="360" w:lineRule="auto"/>
              <w:jc w:val="center"/>
              <w:rPr>
                <w:rFonts w:hint="eastAsia" w:ascii="宋体" w:hAnsi="宋体"/>
                <w:color w:val="auto"/>
                <w:sz w:val="24"/>
                <w:highlight w:val="none"/>
                <w:lang w:val="zh-CN"/>
              </w:rPr>
            </w:pPr>
          </w:p>
        </w:tc>
        <w:tc>
          <w:tcPr>
            <w:tcW w:w="3092" w:type="dxa"/>
            <w:tcBorders>
              <w:top w:val="single" w:color="000000" w:sz="4" w:space="0"/>
              <w:left w:val="single" w:color="000000" w:sz="4" w:space="0"/>
              <w:bottom w:val="single" w:color="000000" w:sz="4" w:space="0"/>
              <w:right w:val="single" w:color="000000" w:sz="4" w:space="0"/>
            </w:tcBorders>
            <w:vAlign w:val="center"/>
          </w:tcPr>
          <w:p w14:paraId="46689080">
            <w:pPr>
              <w:spacing w:line="360" w:lineRule="auto"/>
              <w:jc w:val="center"/>
              <w:rPr>
                <w:rFonts w:hint="eastAsia" w:ascii="宋体" w:hAnsi="宋体"/>
                <w:color w:val="auto"/>
                <w:sz w:val="24"/>
                <w:highlight w:val="none"/>
                <w:lang w:val="zh-CN"/>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36D3B4F2">
            <w:pPr>
              <w:spacing w:line="360" w:lineRule="auto"/>
              <w:jc w:val="center"/>
              <w:rPr>
                <w:rFonts w:hint="eastAsia" w:ascii="宋体" w:hAnsi="宋体"/>
                <w:color w:val="auto"/>
                <w:sz w:val="24"/>
                <w:highlight w:val="none"/>
                <w:lang w:val="zh-CN"/>
              </w:rPr>
            </w:pPr>
          </w:p>
        </w:tc>
        <w:tc>
          <w:tcPr>
            <w:tcW w:w="2473" w:type="dxa"/>
            <w:tcBorders>
              <w:top w:val="single" w:color="000000" w:sz="4" w:space="0"/>
              <w:left w:val="single" w:color="000000" w:sz="4" w:space="0"/>
              <w:bottom w:val="single" w:color="000000" w:sz="4" w:space="0"/>
              <w:right w:val="single" w:color="000000" w:sz="4" w:space="0"/>
            </w:tcBorders>
            <w:vAlign w:val="center"/>
          </w:tcPr>
          <w:p w14:paraId="0C23B917">
            <w:pPr>
              <w:spacing w:line="360" w:lineRule="auto"/>
              <w:jc w:val="center"/>
              <w:rPr>
                <w:rFonts w:hint="eastAsia" w:ascii="宋体" w:hAnsi="宋体"/>
                <w:color w:val="auto"/>
                <w:sz w:val="24"/>
                <w:highlight w:val="none"/>
                <w:lang w:val="zh-CN"/>
              </w:rPr>
            </w:pPr>
          </w:p>
        </w:tc>
      </w:tr>
      <w:tr w14:paraId="443207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2516" w:type="dxa"/>
            <w:tcBorders>
              <w:top w:val="single" w:color="000000" w:sz="4" w:space="0"/>
              <w:left w:val="single" w:color="000000" w:sz="4" w:space="0"/>
              <w:bottom w:val="single" w:color="000000" w:sz="4" w:space="0"/>
              <w:right w:val="single" w:color="000000" w:sz="4" w:space="0"/>
            </w:tcBorders>
            <w:vAlign w:val="center"/>
          </w:tcPr>
          <w:p w14:paraId="6AC83629">
            <w:pPr>
              <w:spacing w:line="360" w:lineRule="auto"/>
              <w:jc w:val="center"/>
              <w:rPr>
                <w:rFonts w:hint="eastAsia" w:ascii="宋体" w:hAnsi="宋体"/>
                <w:color w:val="auto"/>
                <w:sz w:val="24"/>
                <w:highlight w:val="none"/>
                <w:lang w:val="zh-CN"/>
              </w:rPr>
            </w:pPr>
          </w:p>
        </w:tc>
        <w:tc>
          <w:tcPr>
            <w:tcW w:w="3092" w:type="dxa"/>
            <w:tcBorders>
              <w:top w:val="single" w:color="000000" w:sz="4" w:space="0"/>
              <w:left w:val="single" w:color="000000" w:sz="4" w:space="0"/>
              <w:bottom w:val="single" w:color="000000" w:sz="4" w:space="0"/>
              <w:right w:val="single" w:color="000000" w:sz="4" w:space="0"/>
            </w:tcBorders>
            <w:vAlign w:val="center"/>
          </w:tcPr>
          <w:p w14:paraId="41350CC3">
            <w:pPr>
              <w:spacing w:line="360" w:lineRule="auto"/>
              <w:jc w:val="center"/>
              <w:rPr>
                <w:rFonts w:hint="eastAsia" w:ascii="宋体" w:hAnsi="宋体"/>
                <w:color w:val="auto"/>
                <w:sz w:val="24"/>
                <w:highlight w:val="none"/>
                <w:lang w:val="zh-CN"/>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5AEBDEEC">
            <w:pPr>
              <w:spacing w:line="360" w:lineRule="auto"/>
              <w:jc w:val="center"/>
              <w:rPr>
                <w:rFonts w:hint="eastAsia" w:ascii="宋体" w:hAnsi="宋体"/>
                <w:color w:val="auto"/>
                <w:sz w:val="24"/>
                <w:highlight w:val="none"/>
                <w:lang w:val="zh-CN"/>
              </w:rPr>
            </w:pPr>
          </w:p>
        </w:tc>
        <w:tc>
          <w:tcPr>
            <w:tcW w:w="2473" w:type="dxa"/>
            <w:tcBorders>
              <w:top w:val="single" w:color="000000" w:sz="4" w:space="0"/>
              <w:left w:val="single" w:color="000000" w:sz="4" w:space="0"/>
              <w:bottom w:val="single" w:color="000000" w:sz="4" w:space="0"/>
              <w:right w:val="single" w:color="000000" w:sz="4" w:space="0"/>
            </w:tcBorders>
            <w:vAlign w:val="center"/>
          </w:tcPr>
          <w:p w14:paraId="66CCD372">
            <w:pPr>
              <w:spacing w:line="360" w:lineRule="auto"/>
              <w:jc w:val="center"/>
              <w:rPr>
                <w:rFonts w:hint="eastAsia" w:ascii="宋体" w:hAnsi="宋体"/>
                <w:color w:val="auto"/>
                <w:sz w:val="24"/>
                <w:highlight w:val="none"/>
                <w:lang w:val="zh-CN"/>
              </w:rPr>
            </w:pPr>
          </w:p>
        </w:tc>
      </w:tr>
      <w:tr w14:paraId="69479B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516" w:type="dxa"/>
            <w:tcBorders>
              <w:top w:val="single" w:color="000000" w:sz="4" w:space="0"/>
              <w:left w:val="single" w:color="000000" w:sz="4" w:space="0"/>
              <w:bottom w:val="single" w:color="000000" w:sz="4" w:space="0"/>
              <w:right w:val="single" w:color="000000" w:sz="4" w:space="0"/>
            </w:tcBorders>
            <w:vAlign w:val="center"/>
          </w:tcPr>
          <w:p w14:paraId="42AA142A">
            <w:pPr>
              <w:spacing w:line="360" w:lineRule="auto"/>
              <w:jc w:val="center"/>
              <w:rPr>
                <w:rFonts w:hint="eastAsia" w:ascii="宋体" w:hAnsi="宋体"/>
                <w:color w:val="auto"/>
                <w:sz w:val="24"/>
                <w:highlight w:val="none"/>
                <w:lang w:val="zh-CN"/>
              </w:rPr>
            </w:pPr>
          </w:p>
        </w:tc>
        <w:tc>
          <w:tcPr>
            <w:tcW w:w="3092" w:type="dxa"/>
            <w:tcBorders>
              <w:top w:val="single" w:color="000000" w:sz="4" w:space="0"/>
              <w:left w:val="single" w:color="000000" w:sz="4" w:space="0"/>
              <w:bottom w:val="single" w:color="000000" w:sz="4" w:space="0"/>
              <w:right w:val="single" w:color="000000" w:sz="4" w:space="0"/>
            </w:tcBorders>
            <w:vAlign w:val="center"/>
          </w:tcPr>
          <w:p w14:paraId="10A1DBB5">
            <w:pPr>
              <w:spacing w:line="360" w:lineRule="auto"/>
              <w:jc w:val="center"/>
              <w:rPr>
                <w:rFonts w:hint="eastAsia" w:ascii="宋体" w:hAnsi="宋体"/>
                <w:color w:val="auto"/>
                <w:sz w:val="24"/>
                <w:highlight w:val="none"/>
                <w:lang w:val="zh-CN"/>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05399872">
            <w:pPr>
              <w:spacing w:line="360" w:lineRule="auto"/>
              <w:jc w:val="center"/>
              <w:rPr>
                <w:rFonts w:hint="eastAsia" w:ascii="宋体" w:hAnsi="宋体"/>
                <w:color w:val="auto"/>
                <w:sz w:val="24"/>
                <w:highlight w:val="none"/>
                <w:lang w:val="zh-CN"/>
              </w:rPr>
            </w:pPr>
          </w:p>
        </w:tc>
        <w:tc>
          <w:tcPr>
            <w:tcW w:w="2473" w:type="dxa"/>
            <w:tcBorders>
              <w:top w:val="single" w:color="000000" w:sz="4" w:space="0"/>
              <w:left w:val="single" w:color="000000" w:sz="4" w:space="0"/>
              <w:bottom w:val="single" w:color="000000" w:sz="4" w:space="0"/>
              <w:right w:val="single" w:color="000000" w:sz="4" w:space="0"/>
            </w:tcBorders>
            <w:vAlign w:val="center"/>
          </w:tcPr>
          <w:p w14:paraId="6B23CDAB">
            <w:pPr>
              <w:spacing w:line="360" w:lineRule="auto"/>
              <w:jc w:val="center"/>
              <w:rPr>
                <w:rFonts w:hint="eastAsia" w:ascii="宋体" w:hAnsi="宋体"/>
                <w:color w:val="auto"/>
                <w:sz w:val="24"/>
                <w:highlight w:val="none"/>
                <w:lang w:val="zh-CN"/>
              </w:rPr>
            </w:pPr>
          </w:p>
        </w:tc>
      </w:tr>
      <w:tr w14:paraId="08771C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2516" w:type="dxa"/>
            <w:tcBorders>
              <w:top w:val="single" w:color="000000" w:sz="4" w:space="0"/>
              <w:left w:val="single" w:color="000000" w:sz="4" w:space="0"/>
              <w:bottom w:val="single" w:color="000000" w:sz="4" w:space="0"/>
              <w:right w:val="single" w:color="000000" w:sz="4" w:space="0"/>
            </w:tcBorders>
            <w:vAlign w:val="center"/>
          </w:tcPr>
          <w:p w14:paraId="7FD27DBC">
            <w:pPr>
              <w:spacing w:line="360" w:lineRule="auto"/>
              <w:jc w:val="center"/>
              <w:rPr>
                <w:rFonts w:hint="eastAsia" w:ascii="宋体" w:hAnsi="宋体"/>
                <w:color w:val="auto"/>
                <w:sz w:val="24"/>
                <w:highlight w:val="none"/>
                <w:lang w:val="zh-CN"/>
              </w:rPr>
            </w:pPr>
          </w:p>
        </w:tc>
        <w:tc>
          <w:tcPr>
            <w:tcW w:w="3092" w:type="dxa"/>
            <w:tcBorders>
              <w:top w:val="single" w:color="000000" w:sz="4" w:space="0"/>
              <w:left w:val="single" w:color="000000" w:sz="4" w:space="0"/>
              <w:bottom w:val="single" w:color="000000" w:sz="4" w:space="0"/>
              <w:right w:val="single" w:color="000000" w:sz="4" w:space="0"/>
            </w:tcBorders>
            <w:vAlign w:val="center"/>
          </w:tcPr>
          <w:p w14:paraId="49E96D85">
            <w:pPr>
              <w:spacing w:line="360" w:lineRule="auto"/>
              <w:jc w:val="center"/>
              <w:rPr>
                <w:rFonts w:hint="eastAsia" w:ascii="宋体" w:hAnsi="宋体"/>
                <w:color w:val="auto"/>
                <w:sz w:val="24"/>
                <w:highlight w:val="none"/>
                <w:lang w:val="zh-CN"/>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6E08BDC9">
            <w:pPr>
              <w:spacing w:line="360" w:lineRule="auto"/>
              <w:jc w:val="center"/>
              <w:rPr>
                <w:rFonts w:hint="eastAsia" w:ascii="宋体" w:hAnsi="宋体"/>
                <w:color w:val="auto"/>
                <w:sz w:val="24"/>
                <w:highlight w:val="none"/>
                <w:lang w:val="zh-CN"/>
              </w:rPr>
            </w:pPr>
          </w:p>
        </w:tc>
        <w:tc>
          <w:tcPr>
            <w:tcW w:w="2473" w:type="dxa"/>
            <w:tcBorders>
              <w:top w:val="single" w:color="000000" w:sz="4" w:space="0"/>
              <w:left w:val="single" w:color="000000" w:sz="4" w:space="0"/>
              <w:bottom w:val="single" w:color="000000" w:sz="4" w:space="0"/>
              <w:right w:val="single" w:color="000000" w:sz="4" w:space="0"/>
            </w:tcBorders>
            <w:vAlign w:val="center"/>
          </w:tcPr>
          <w:p w14:paraId="6FBD1050">
            <w:pPr>
              <w:spacing w:line="360" w:lineRule="auto"/>
              <w:jc w:val="center"/>
              <w:rPr>
                <w:rFonts w:hint="eastAsia" w:ascii="宋体" w:hAnsi="宋体"/>
                <w:color w:val="auto"/>
                <w:sz w:val="24"/>
                <w:highlight w:val="none"/>
                <w:lang w:val="zh-CN"/>
              </w:rPr>
            </w:pPr>
          </w:p>
        </w:tc>
      </w:tr>
      <w:tr w14:paraId="6FD49E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516" w:type="dxa"/>
            <w:tcBorders>
              <w:top w:val="single" w:color="000000" w:sz="4" w:space="0"/>
              <w:left w:val="single" w:color="000000" w:sz="4" w:space="0"/>
              <w:bottom w:val="single" w:color="000000" w:sz="4" w:space="0"/>
              <w:right w:val="single" w:color="000000" w:sz="4" w:space="0"/>
            </w:tcBorders>
            <w:vAlign w:val="center"/>
          </w:tcPr>
          <w:p w14:paraId="17EA1AC5">
            <w:pPr>
              <w:spacing w:line="360" w:lineRule="auto"/>
              <w:jc w:val="center"/>
              <w:rPr>
                <w:rFonts w:hint="eastAsia" w:ascii="宋体" w:hAnsi="宋体"/>
                <w:color w:val="auto"/>
                <w:sz w:val="24"/>
                <w:highlight w:val="none"/>
                <w:lang w:val="zh-CN"/>
              </w:rPr>
            </w:pPr>
          </w:p>
        </w:tc>
        <w:tc>
          <w:tcPr>
            <w:tcW w:w="3092" w:type="dxa"/>
            <w:tcBorders>
              <w:top w:val="single" w:color="000000" w:sz="4" w:space="0"/>
              <w:left w:val="single" w:color="000000" w:sz="4" w:space="0"/>
              <w:bottom w:val="single" w:color="000000" w:sz="4" w:space="0"/>
              <w:right w:val="single" w:color="000000" w:sz="4" w:space="0"/>
            </w:tcBorders>
            <w:vAlign w:val="center"/>
          </w:tcPr>
          <w:p w14:paraId="04F58D4A">
            <w:pPr>
              <w:spacing w:line="360" w:lineRule="auto"/>
              <w:jc w:val="center"/>
              <w:rPr>
                <w:rFonts w:hint="eastAsia" w:ascii="宋体" w:hAnsi="宋体"/>
                <w:color w:val="auto"/>
                <w:sz w:val="24"/>
                <w:highlight w:val="none"/>
                <w:lang w:val="zh-CN"/>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38972A97">
            <w:pPr>
              <w:spacing w:line="360" w:lineRule="auto"/>
              <w:jc w:val="center"/>
              <w:rPr>
                <w:rFonts w:hint="eastAsia" w:ascii="宋体" w:hAnsi="宋体"/>
                <w:color w:val="auto"/>
                <w:sz w:val="24"/>
                <w:highlight w:val="none"/>
                <w:lang w:val="zh-CN"/>
              </w:rPr>
            </w:pPr>
          </w:p>
        </w:tc>
        <w:tc>
          <w:tcPr>
            <w:tcW w:w="2473" w:type="dxa"/>
            <w:tcBorders>
              <w:top w:val="single" w:color="000000" w:sz="4" w:space="0"/>
              <w:left w:val="single" w:color="000000" w:sz="4" w:space="0"/>
              <w:bottom w:val="single" w:color="000000" w:sz="4" w:space="0"/>
              <w:right w:val="single" w:color="000000" w:sz="4" w:space="0"/>
            </w:tcBorders>
            <w:vAlign w:val="center"/>
          </w:tcPr>
          <w:p w14:paraId="1BE22431">
            <w:pPr>
              <w:spacing w:line="360" w:lineRule="auto"/>
              <w:jc w:val="center"/>
              <w:rPr>
                <w:rFonts w:hint="eastAsia" w:ascii="宋体" w:hAnsi="宋体"/>
                <w:color w:val="auto"/>
                <w:sz w:val="24"/>
                <w:highlight w:val="none"/>
                <w:lang w:val="zh-CN"/>
              </w:rPr>
            </w:pPr>
          </w:p>
        </w:tc>
      </w:tr>
      <w:tr w14:paraId="77273A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516" w:type="dxa"/>
            <w:tcBorders>
              <w:top w:val="single" w:color="000000" w:sz="4" w:space="0"/>
              <w:left w:val="single" w:color="000000" w:sz="4" w:space="0"/>
              <w:bottom w:val="single" w:color="000000" w:sz="4" w:space="0"/>
              <w:right w:val="single" w:color="000000" w:sz="4" w:space="0"/>
            </w:tcBorders>
            <w:vAlign w:val="center"/>
          </w:tcPr>
          <w:p w14:paraId="0535DF8C">
            <w:pPr>
              <w:spacing w:line="360" w:lineRule="auto"/>
              <w:jc w:val="center"/>
              <w:rPr>
                <w:rFonts w:hint="eastAsia" w:ascii="宋体" w:hAnsi="宋体"/>
                <w:color w:val="auto"/>
                <w:sz w:val="24"/>
                <w:highlight w:val="none"/>
                <w:lang w:val="zh-CN"/>
              </w:rPr>
            </w:pPr>
          </w:p>
        </w:tc>
        <w:tc>
          <w:tcPr>
            <w:tcW w:w="3092" w:type="dxa"/>
            <w:tcBorders>
              <w:top w:val="single" w:color="000000" w:sz="4" w:space="0"/>
              <w:left w:val="single" w:color="000000" w:sz="4" w:space="0"/>
              <w:bottom w:val="single" w:color="000000" w:sz="4" w:space="0"/>
              <w:right w:val="single" w:color="000000" w:sz="4" w:space="0"/>
            </w:tcBorders>
            <w:vAlign w:val="center"/>
          </w:tcPr>
          <w:p w14:paraId="5B3C2EEB">
            <w:pPr>
              <w:spacing w:line="360" w:lineRule="auto"/>
              <w:jc w:val="center"/>
              <w:rPr>
                <w:rFonts w:hint="eastAsia" w:ascii="宋体" w:hAnsi="宋体"/>
                <w:color w:val="auto"/>
                <w:sz w:val="24"/>
                <w:highlight w:val="none"/>
                <w:lang w:val="zh-CN"/>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07E7BCAE">
            <w:pPr>
              <w:spacing w:line="360" w:lineRule="auto"/>
              <w:jc w:val="center"/>
              <w:rPr>
                <w:rFonts w:hint="eastAsia" w:ascii="宋体" w:hAnsi="宋体"/>
                <w:color w:val="auto"/>
                <w:sz w:val="24"/>
                <w:highlight w:val="none"/>
                <w:lang w:val="zh-CN"/>
              </w:rPr>
            </w:pPr>
          </w:p>
        </w:tc>
        <w:tc>
          <w:tcPr>
            <w:tcW w:w="2473" w:type="dxa"/>
            <w:tcBorders>
              <w:top w:val="single" w:color="000000" w:sz="4" w:space="0"/>
              <w:left w:val="single" w:color="000000" w:sz="4" w:space="0"/>
              <w:bottom w:val="single" w:color="000000" w:sz="4" w:space="0"/>
              <w:right w:val="single" w:color="000000" w:sz="4" w:space="0"/>
            </w:tcBorders>
            <w:vAlign w:val="center"/>
          </w:tcPr>
          <w:p w14:paraId="6FC38D55">
            <w:pPr>
              <w:spacing w:line="360" w:lineRule="auto"/>
              <w:jc w:val="center"/>
              <w:rPr>
                <w:rFonts w:hint="eastAsia" w:ascii="宋体" w:hAnsi="宋体"/>
                <w:color w:val="auto"/>
                <w:sz w:val="24"/>
                <w:highlight w:val="none"/>
                <w:lang w:val="zh-CN"/>
              </w:rPr>
            </w:pPr>
          </w:p>
        </w:tc>
      </w:tr>
    </w:tbl>
    <w:p w14:paraId="7CC400A5">
      <w:pPr>
        <w:pStyle w:val="189"/>
        <w:spacing w:before="0" w:after="0" w:line="360" w:lineRule="auto"/>
        <w:rPr>
          <w:color w:val="auto"/>
          <w:highlight w:val="none"/>
        </w:rPr>
      </w:pPr>
      <w:r>
        <w:rPr>
          <w:color w:val="auto"/>
          <w:highlight w:val="none"/>
        </w:rPr>
        <w:br w:type="page" w:clear="all"/>
      </w:r>
      <w:r>
        <w:rPr>
          <w:rFonts w:hint="eastAsia"/>
          <w:color w:val="auto"/>
          <w:highlight w:val="none"/>
        </w:rPr>
        <w:t>附件七 履约保证金格式</w:t>
      </w:r>
    </w:p>
    <w:p w14:paraId="2C4A8AF3">
      <w:pPr>
        <w:spacing w:line="360" w:lineRule="auto"/>
        <w:ind w:firstLine="480"/>
        <w:rPr>
          <w:color w:val="auto"/>
          <w:highlight w:val="none"/>
        </w:rPr>
      </w:pPr>
      <w:r>
        <w:rPr>
          <w:rFonts w:hint="eastAsia"/>
          <w:color w:val="auto"/>
          <w:highlight w:val="none"/>
        </w:rPr>
        <w:t>如采用银行保函，格式如下。</w:t>
      </w:r>
    </w:p>
    <w:p w14:paraId="1ABE0074">
      <w:pPr>
        <w:spacing w:line="360" w:lineRule="auto"/>
        <w:ind w:firstLine="480"/>
        <w:rPr>
          <w:color w:val="auto"/>
          <w:highlight w:val="none"/>
        </w:rPr>
      </w:pPr>
    </w:p>
    <w:p w14:paraId="41F9FF2C">
      <w:pPr>
        <w:spacing w:line="360" w:lineRule="auto"/>
        <w:ind w:firstLine="480"/>
        <w:rPr>
          <w:color w:val="auto"/>
          <w:highlight w:val="none"/>
        </w:rPr>
      </w:pPr>
    </w:p>
    <w:p w14:paraId="5011AB82">
      <w:pPr>
        <w:spacing w:line="360" w:lineRule="auto"/>
        <w:jc w:val="center"/>
        <w:rPr>
          <w:b/>
          <w:bCs/>
          <w:color w:val="auto"/>
          <w:sz w:val="30"/>
          <w:szCs w:val="30"/>
          <w:highlight w:val="none"/>
        </w:rPr>
      </w:pPr>
      <w:r>
        <w:rPr>
          <w:rFonts w:hint="eastAsia"/>
          <w:b/>
          <w:bCs/>
          <w:color w:val="auto"/>
          <w:sz w:val="30"/>
          <w:szCs w:val="30"/>
          <w:highlight w:val="none"/>
        </w:rPr>
        <w:t>履约保证金</w:t>
      </w:r>
    </w:p>
    <w:p w14:paraId="708A05D8">
      <w:pPr>
        <w:pStyle w:val="410"/>
        <w:shd w:val="clear" w:color="auto" w:fill="auto"/>
        <w:tabs>
          <w:tab w:val="left" w:leader="underscore" w:pos="2222"/>
        </w:tabs>
        <w:spacing w:before="0" w:after="388" w:line="360" w:lineRule="auto"/>
        <w:rPr>
          <w:rFonts w:hint="eastAsia" w:ascii="宋体" w:hAnsi="宋体" w:eastAsia="宋体" w:cs="宋体"/>
          <w:color w:val="auto"/>
          <w:spacing w:val="0"/>
          <w:sz w:val="21"/>
          <w:szCs w:val="21"/>
          <w:highlight w:val="none"/>
        </w:rPr>
      </w:pPr>
      <w:r>
        <w:rPr>
          <w:rStyle w:val="273"/>
          <w:rFonts w:hint="eastAsia" w:ascii="宋体" w:hAnsi="宋体" w:eastAsia="宋体" w:cs="宋体"/>
          <w:color w:val="auto"/>
          <w:sz w:val="21"/>
          <w:szCs w:val="21"/>
          <w:highlight w:val="none"/>
        </w:rPr>
        <w:tab/>
      </w:r>
      <w:r>
        <w:rPr>
          <w:rStyle w:val="273"/>
          <w:rFonts w:hint="eastAsia" w:ascii="宋体" w:hAnsi="宋体" w:eastAsia="宋体" w:cs="宋体"/>
          <w:color w:val="auto"/>
          <w:sz w:val="21"/>
          <w:szCs w:val="21"/>
          <w:highlight w:val="none"/>
        </w:rPr>
        <w:t xml:space="preserve"> (发包人名称）：</w:t>
      </w:r>
    </w:p>
    <w:p w14:paraId="011BFA4A">
      <w:pPr>
        <w:pStyle w:val="410"/>
        <w:shd w:val="clear" w:color="auto" w:fill="auto"/>
        <w:tabs>
          <w:tab w:val="left" w:leader="underscore" w:pos="2964"/>
          <w:tab w:val="left" w:leader="underscore" w:pos="8141"/>
        </w:tabs>
        <w:spacing w:before="0" w:line="360" w:lineRule="auto"/>
        <w:ind w:firstLine="630"/>
        <w:rPr>
          <w:rFonts w:hint="eastAsia" w:ascii="宋体" w:hAnsi="宋体" w:eastAsia="宋体" w:cs="宋体"/>
          <w:color w:val="auto"/>
          <w:spacing w:val="0"/>
          <w:sz w:val="21"/>
          <w:szCs w:val="21"/>
          <w:highlight w:val="none"/>
        </w:rPr>
      </w:pPr>
      <w:r>
        <w:rPr>
          <w:rStyle w:val="273"/>
          <w:rFonts w:hint="eastAsia" w:ascii="宋体" w:hAnsi="宋体" w:eastAsia="宋体" w:cs="宋体"/>
          <w:color w:val="auto"/>
          <w:sz w:val="21"/>
          <w:szCs w:val="21"/>
          <w:highlight w:val="none"/>
        </w:rPr>
        <w:t>鉴于</w:t>
      </w:r>
      <w:r>
        <w:rPr>
          <w:rStyle w:val="273"/>
          <w:rFonts w:hint="eastAsia" w:ascii="宋体" w:hAnsi="宋体" w:eastAsia="宋体" w:cs="宋体"/>
          <w:color w:val="auto"/>
          <w:sz w:val="21"/>
          <w:szCs w:val="21"/>
          <w:highlight w:val="none"/>
        </w:rPr>
        <w:tab/>
      </w:r>
      <w:r>
        <w:rPr>
          <w:rStyle w:val="273"/>
          <w:rFonts w:hint="eastAsia" w:ascii="宋体" w:hAnsi="宋体" w:eastAsia="宋体" w:cs="宋体"/>
          <w:color w:val="auto"/>
          <w:sz w:val="21"/>
          <w:szCs w:val="21"/>
          <w:highlight w:val="none"/>
        </w:rPr>
        <w:t xml:space="preserve"> (发包人名称，以下简称“发包人”）接受</w:t>
      </w:r>
      <w:r>
        <w:rPr>
          <w:rStyle w:val="273"/>
          <w:rFonts w:hint="eastAsia" w:ascii="宋体" w:hAnsi="宋体" w:eastAsia="宋体" w:cs="宋体"/>
          <w:color w:val="auto"/>
          <w:sz w:val="21"/>
          <w:szCs w:val="21"/>
          <w:highlight w:val="none"/>
        </w:rPr>
        <w:tab/>
      </w:r>
      <w:r>
        <w:rPr>
          <w:rStyle w:val="273"/>
          <w:rFonts w:hint="eastAsia" w:ascii="宋体" w:hAnsi="宋体" w:eastAsia="宋体" w:cs="宋体"/>
          <w:color w:val="auto"/>
          <w:sz w:val="21"/>
          <w:szCs w:val="21"/>
          <w:highlight w:val="none"/>
        </w:rPr>
        <w:t xml:space="preserve"> (承包人名称，以下简称“承包人”）于</w:t>
      </w:r>
      <w:r>
        <w:rPr>
          <w:rStyle w:val="273"/>
          <w:rFonts w:hint="eastAsia" w:ascii="宋体" w:hAnsi="宋体" w:eastAsia="宋体" w:cs="宋体"/>
          <w:color w:val="auto"/>
          <w:sz w:val="21"/>
          <w:szCs w:val="21"/>
          <w:highlight w:val="none"/>
          <w:u w:val="single"/>
          <w:lang w:val="en-US"/>
        </w:rPr>
        <w:t xml:space="preserve">   </w:t>
      </w:r>
      <w:r>
        <w:rPr>
          <w:rStyle w:val="273"/>
          <w:rFonts w:hint="eastAsia" w:ascii="宋体" w:hAnsi="宋体" w:eastAsia="宋体" w:cs="宋体"/>
          <w:color w:val="auto"/>
          <w:sz w:val="21"/>
          <w:szCs w:val="21"/>
          <w:highlight w:val="none"/>
        </w:rPr>
        <w:t>年</w:t>
      </w:r>
      <w:r>
        <w:rPr>
          <w:rStyle w:val="273"/>
          <w:rFonts w:hint="eastAsia" w:ascii="宋体" w:hAnsi="宋体" w:eastAsia="宋体" w:cs="宋体"/>
          <w:color w:val="auto"/>
          <w:sz w:val="21"/>
          <w:szCs w:val="21"/>
          <w:highlight w:val="none"/>
          <w:u w:val="single"/>
          <w:lang w:val="en-US"/>
        </w:rPr>
        <w:t xml:space="preserve">    </w:t>
      </w:r>
      <w:r>
        <w:rPr>
          <w:rStyle w:val="273"/>
          <w:rFonts w:hint="eastAsia" w:ascii="宋体" w:hAnsi="宋体" w:eastAsia="宋体" w:cs="宋体"/>
          <w:color w:val="auto"/>
          <w:sz w:val="21"/>
          <w:szCs w:val="21"/>
          <w:highlight w:val="none"/>
        </w:rPr>
        <w:t>月</w:t>
      </w:r>
      <w:r>
        <w:rPr>
          <w:rStyle w:val="273"/>
          <w:rFonts w:hint="eastAsia" w:ascii="宋体" w:hAnsi="宋体" w:eastAsia="宋体" w:cs="宋体"/>
          <w:color w:val="auto"/>
          <w:sz w:val="21"/>
          <w:szCs w:val="21"/>
          <w:highlight w:val="none"/>
          <w:u w:val="single"/>
          <w:lang w:val="en-US"/>
        </w:rPr>
        <w:t xml:space="preserve">    </w:t>
      </w:r>
      <w:r>
        <w:rPr>
          <w:rStyle w:val="273"/>
          <w:rFonts w:hint="eastAsia" w:ascii="宋体" w:hAnsi="宋体" w:eastAsia="宋体" w:cs="宋体"/>
          <w:color w:val="auto"/>
          <w:sz w:val="21"/>
          <w:szCs w:val="21"/>
          <w:highlight w:val="none"/>
        </w:rPr>
        <w:t>日参加</w:t>
      </w:r>
      <w:r>
        <w:rPr>
          <w:rStyle w:val="273"/>
          <w:rFonts w:hint="eastAsia" w:ascii="宋体" w:hAnsi="宋体" w:eastAsia="宋体" w:cs="宋体"/>
          <w:color w:val="auto"/>
          <w:sz w:val="21"/>
          <w:szCs w:val="21"/>
          <w:highlight w:val="none"/>
          <w:lang w:val="en-US"/>
        </w:rPr>
        <w:t xml:space="preserve"> </w:t>
      </w:r>
      <w:r>
        <w:rPr>
          <w:rStyle w:val="273"/>
          <w:rFonts w:hint="eastAsia" w:ascii="宋体" w:hAnsi="宋体" w:eastAsia="宋体" w:cs="宋体"/>
          <w:color w:val="auto"/>
          <w:sz w:val="21"/>
          <w:szCs w:val="21"/>
          <w:highlight w:val="none"/>
          <w:u w:val="single"/>
          <w:lang w:val="en-US"/>
        </w:rPr>
        <w:t xml:space="preserve"> </w:t>
      </w:r>
      <w:r>
        <w:rPr>
          <w:rStyle w:val="273"/>
          <w:rFonts w:hint="eastAsia" w:ascii="宋体" w:hAnsi="宋体" w:eastAsia="宋体" w:cs="宋体"/>
          <w:color w:val="auto"/>
          <w:sz w:val="21"/>
          <w:szCs w:val="21"/>
          <w:highlight w:val="none"/>
          <w:u w:val="single"/>
        </w:rPr>
        <w:t>(项目名称）</w:t>
      </w:r>
      <w:r>
        <w:rPr>
          <w:rStyle w:val="273"/>
          <w:rFonts w:hint="eastAsia" w:ascii="宋体" w:hAnsi="宋体" w:eastAsia="宋体" w:cs="宋体"/>
          <w:color w:val="auto"/>
          <w:sz w:val="21"/>
          <w:szCs w:val="21"/>
          <w:highlight w:val="none"/>
          <w:u w:val="single"/>
          <w:lang w:val="en-US"/>
        </w:rPr>
        <w:t xml:space="preserve">     </w:t>
      </w:r>
      <w:r>
        <w:rPr>
          <w:rStyle w:val="273"/>
          <w:rFonts w:hint="eastAsia" w:ascii="宋体" w:hAnsi="宋体" w:eastAsia="宋体" w:cs="宋体"/>
          <w:color w:val="auto"/>
          <w:sz w:val="21"/>
          <w:szCs w:val="21"/>
          <w:highlight w:val="none"/>
        </w:rPr>
        <w:t>标段施工的竞标。我方愿意无条件地、不可撤销地就承包人履行与你方订立的合同，向你方提供担保。</w:t>
      </w:r>
    </w:p>
    <w:p w14:paraId="19133064">
      <w:pPr>
        <w:spacing w:line="360" w:lineRule="auto"/>
        <w:ind w:firstLine="480"/>
        <w:rPr>
          <w:color w:val="auto"/>
          <w:highlight w:val="none"/>
        </w:rPr>
      </w:pPr>
      <w:r>
        <w:rPr>
          <w:rFonts w:hint="eastAsia"/>
          <w:color w:val="auto"/>
          <w:highlight w:val="none"/>
        </w:rPr>
        <w:t>1.担保金额人民币</w:t>
      </w:r>
      <w:r>
        <w:rPr>
          <w:rFonts w:hint="eastAsia"/>
          <w:color w:val="auto"/>
          <w:highlight w:val="none"/>
          <w:u w:val="single"/>
        </w:rPr>
        <w:t>（大写）</w:t>
      </w:r>
      <w:r>
        <w:rPr>
          <w:rFonts w:hint="eastAsia"/>
          <w:color w:val="auto"/>
          <w:highlight w:val="none"/>
          <w:u w:val="single"/>
        </w:rPr>
        <w:tab/>
      </w:r>
      <w:r>
        <w:rPr>
          <w:rFonts w:hint="eastAsia"/>
          <w:color w:val="auto"/>
          <w:highlight w:val="none"/>
          <w:u w:val="single"/>
        </w:rPr>
        <w:t>元（</w:t>
      </w:r>
      <w:r>
        <w:rPr>
          <w:rFonts w:ascii="Arial" w:hAnsi="Arial" w:cs="Arial"/>
          <w:color w:val="auto"/>
          <w:highlight w:val="none"/>
          <w:u w:val="single"/>
        </w:rPr>
        <w:t>¥</w:t>
      </w:r>
      <w:r>
        <w:rPr>
          <w:rFonts w:hint="eastAsia"/>
          <w:color w:val="auto"/>
          <w:highlight w:val="none"/>
          <w:u w:val="single"/>
        </w:rPr>
        <w:tab/>
      </w:r>
      <w:r>
        <w:rPr>
          <w:rFonts w:hint="eastAsia"/>
          <w:color w:val="auto"/>
          <w:highlight w:val="none"/>
          <w:u w:val="single"/>
        </w:rPr>
        <w:t>）</w:t>
      </w:r>
      <w:r>
        <w:rPr>
          <w:rFonts w:hint="eastAsia"/>
          <w:color w:val="auto"/>
          <w:highlight w:val="none"/>
        </w:rPr>
        <w:t>。</w:t>
      </w:r>
    </w:p>
    <w:p w14:paraId="09695F32">
      <w:pPr>
        <w:spacing w:line="360" w:lineRule="auto"/>
        <w:ind w:firstLine="480"/>
        <w:rPr>
          <w:color w:val="auto"/>
          <w:highlight w:val="none"/>
        </w:rPr>
      </w:pPr>
      <w:r>
        <w:rPr>
          <w:rFonts w:hint="eastAsia"/>
          <w:color w:val="auto"/>
          <w:highlight w:val="none"/>
        </w:rPr>
        <w:t>2.担保有效期自发包人与承包人签订的合同生效之日起至发包人签发交工验收证书且承包人按照合同约定缴纳质量保证金之日止。</w:t>
      </w:r>
    </w:p>
    <w:p w14:paraId="6741385F">
      <w:pPr>
        <w:spacing w:line="360" w:lineRule="auto"/>
        <w:ind w:firstLine="480"/>
        <w:rPr>
          <w:color w:val="auto"/>
          <w:highlight w:val="none"/>
        </w:rPr>
      </w:pPr>
      <w:r>
        <w:rPr>
          <w:rFonts w:hint="eastAsia"/>
          <w:color w:val="auto"/>
          <w:highlight w:val="none"/>
        </w:rPr>
        <w:t>3.在本担保有效期内，因承包人违反合同约定的义务给你方造成经济损失时， 我方在收到你方以书面形式提出的在担保金额内的赔偿要求后，在 7 日内无条件支付，无须你方出具证明或陈述理由。</w:t>
      </w:r>
    </w:p>
    <w:p w14:paraId="58CE9B1D">
      <w:pPr>
        <w:spacing w:line="360" w:lineRule="auto"/>
        <w:ind w:firstLine="480"/>
        <w:rPr>
          <w:color w:val="auto"/>
          <w:highlight w:val="none"/>
        </w:rPr>
      </w:pPr>
      <w:r>
        <w:rPr>
          <w:rFonts w:hint="eastAsia"/>
          <w:color w:val="auto"/>
          <w:highlight w:val="none"/>
        </w:rPr>
        <w:t>4.发包人和承包人按合同条款第 15 条变更合同时，无论我方是否收到该变更， 我方承担本担保规定的义务不变。</w:t>
      </w:r>
    </w:p>
    <w:p w14:paraId="0B6BB541">
      <w:pPr>
        <w:spacing w:line="360" w:lineRule="auto"/>
        <w:ind w:left="2940"/>
        <w:rPr>
          <w:color w:val="auto"/>
          <w:highlight w:val="none"/>
        </w:rPr>
      </w:pPr>
      <w:r>
        <w:rPr>
          <w:rFonts w:hint="eastAsia"/>
          <w:color w:val="auto"/>
          <w:highlight w:val="none"/>
        </w:rPr>
        <w:t>担保人名称：</w:t>
      </w:r>
      <w:r>
        <w:rPr>
          <w:rFonts w:hint="eastAsia"/>
          <w:color w:val="auto"/>
          <w:highlight w:val="none"/>
        </w:rPr>
        <w:tab/>
      </w:r>
      <w:r>
        <w:rPr>
          <w:rFonts w:hint="eastAsia"/>
          <w:color w:val="auto"/>
          <w:highlight w:val="none"/>
        </w:rPr>
        <w:t>（盖单位章）</w:t>
      </w:r>
    </w:p>
    <w:p w14:paraId="13113723">
      <w:pPr>
        <w:spacing w:line="360" w:lineRule="auto"/>
        <w:ind w:left="2940"/>
        <w:rPr>
          <w:color w:val="auto"/>
          <w:highlight w:val="none"/>
        </w:rPr>
      </w:pPr>
      <w:r>
        <w:rPr>
          <w:rFonts w:hint="eastAsia"/>
          <w:color w:val="auto"/>
          <w:highlight w:val="none"/>
        </w:rPr>
        <w:t>法定代表人或其委托代理人：</w:t>
      </w:r>
      <w:r>
        <w:rPr>
          <w:rFonts w:hint="eastAsia"/>
          <w:color w:val="auto"/>
          <w:highlight w:val="none"/>
          <w:u w:val="single"/>
        </w:rPr>
        <w:t xml:space="preserve">         （</w:t>
      </w:r>
      <w:r>
        <w:rPr>
          <w:rFonts w:hint="eastAsia"/>
          <w:color w:val="auto"/>
          <w:highlight w:val="none"/>
        </w:rPr>
        <w:t>签字）</w:t>
      </w:r>
    </w:p>
    <w:p w14:paraId="75C72AE3">
      <w:pPr>
        <w:spacing w:line="360" w:lineRule="auto"/>
        <w:ind w:left="2940"/>
        <w:rPr>
          <w:color w:val="auto"/>
          <w:highlight w:val="none"/>
        </w:rPr>
      </w:pPr>
      <w:r>
        <w:rPr>
          <w:rFonts w:hint="eastAsia"/>
          <w:color w:val="auto"/>
          <w:highlight w:val="none"/>
        </w:rPr>
        <w:t>地   址 ：</w:t>
      </w:r>
      <w:r>
        <w:rPr>
          <w:rFonts w:hint="eastAsia"/>
          <w:color w:val="auto"/>
          <w:highlight w:val="none"/>
        </w:rPr>
        <w:tab/>
      </w:r>
      <w:r>
        <w:rPr>
          <w:rFonts w:hint="eastAsia"/>
          <w:color w:val="auto"/>
          <w:highlight w:val="none"/>
        </w:rPr>
        <w:tab/>
      </w:r>
    </w:p>
    <w:p w14:paraId="6761E964">
      <w:pPr>
        <w:spacing w:line="360" w:lineRule="auto"/>
        <w:ind w:left="2940"/>
        <w:rPr>
          <w:color w:val="auto"/>
          <w:highlight w:val="none"/>
          <w:u w:val="single"/>
        </w:rPr>
      </w:pPr>
      <w:r>
        <w:rPr>
          <w:rFonts w:hint="eastAsia"/>
          <w:color w:val="auto"/>
          <w:highlight w:val="none"/>
        </w:rPr>
        <w:t>邮政编码：</w:t>
      </w:r>
    </w:p>
    <w:p w14:paraId="2552B72A">
      <w:pPr>
        <w:spacing w:line="360" w:lineRule="auto"/>
        <w:ind w:left="2940"/>
        <w:rPr>
          <w:color w:val="auto"/>
          <w:highlight w:val="none"/>
        </w:rPr>
      </w:pPr>
      <w:r>
        <w:rPr>
          <w:rFonts w:hint="eastAsia"/>
          <w:color w:val="auto"/>
          <w:highlight w:val="none"/>
        </w:rPr>
        <w:t xml:space="preserve">电    </w:t>
      </w:r>
      <w:r>
        <w:rPr>
          <w:rFonts w:hint="eastAsia"/>
          <w:color w:val="auto"/>
          <w:highlight w:val="none"/>
        </w:rPr>
        <w:tab/>
      </w:r>
      <w:r>
        <w:rPr>
          <w:rFonts w:hint="eastAsia"/>
          <w:color w:val="auto"/>
          <w:highlight w:val="none"/>
        </w:rPr>
        <w:t>话：</w:t>
      </w:r>
    </w:p>
    <w:p w14:paraId="61D86225">
      <w:pPr>
        <w:spacing w:line="360" w:lineRule="auto"/>
        <w:ind w:left="2940"/>
        <w:rPr>
          <w:color w:val="auto"/>
          <w:highlight w:val="none"/>
        </w:rPr>
      </w:pPr>
      <w:r>
        <w:rPr>
          <w:rFonts w:hint="eastAsia"/>
          <w:color w:val="auto"/>
          <w:highlight w:val="none"/>
        </w:rPr>
        <w:t xml:space="preserve">传    </w:t>
      </w:r>
      <w:r>
        <w:rPr>
          <w:rFonts w:hint="eastAsia"/>
          <w:color w:val="auto"/>
          <w:highlight w:val="none"/>
        </w:rPr>
        <w:tab/>
      </w:r>
      <w:r>
        <w:rPr>
          <w:rFonts w:hint="eastAsia"/>
          <w:color w:val="auto"/>
          <w:highlight w:val="none"/>
        </w:rPr>
        <w:t xml:space="preserve">真： </w:t>
      </w:r>
      <w:r>
        <w:rPr>
          <w:rFonts w:hint="eastAsia"/>
          <w:color w:val="auto"/>
          <w:highlight w:val="none"/>
        </w:rPr>
        <w:tab/>
      </w:r>
      <w:r>
        <w:rPr>
          <w:rFonts w:hint="eastAsia"/>
          <w:color w:val="auto"/>
          <w:highlight w:val="none"/>
        </w:rPr>
        <w:tab/>
      </w:r>
    </w:p>
    <w:p w14:paraId="335D160D">
      <w:pPr>
        <w:spacing w:line="360" w:lineRule="auto"/>
        <w:ind w:left="2940"/>
        <w:rPr>
          <w:rFonts w:hint="eastAsia" w:ascii="宋体" w:hAnsi="宋体" w:cs="宋体"/>
          <w:color w:val="auto"/>
          <w:sz w:val="24"/>
          <w:highlight w:val="none"/>
        </w:rPr>
      </w:pPr>
      <w:r>
        <w:rPr>
          <w:rFonts w:hint="eastAsia"/>
          <w:color w:val="auto"/>
          <w:highlight w:val="none"/>
        </w:rPr>
        <w:t xml:space="preserve">年   月 </w:t>
      </w:r>
      <w:r>
        <w:rPr>
          <w:rFonts w:hint="eastAsia"/>
          <w:color w:val="auto"/>
          <w:highlight w:val="none"/>
        </w:rPr>
        <w:tab/>
      </w:r>
      <w:r>
        <w:rPr>
          <w:rFonts w:hint="eastAsia"/>
          <w:color w:val="auto"/>
          <w:highlight w:val="none"/>
        </w:rPr>
        <w:t xml:space="preserve">日 </w:t>
      </w:r>
    </w:p>
    <w:p w14:paraId="777D184D">
      <w:pPr>
        <w:spacing w:line="360" w:lineRule="auto"/>
        <w:ind w:left="2940"/>
        <w:rPr>
          <w:rFonts w:hint="eastAsia" w:ascii="宋体" w:hAnsi="宋体" w:cs="宋体"/>
          <w:color w:val="auto"/>
          <w:sz w:val="24"/>
          <w:highlight w:val="none"/>
        </w:rPr>
      </w:pPr>
    </w:p>
    <w:p w14:paraId="3DDF8460">
      <w:pPr>
        <w:spacing w:line="360" w:lineRule="auto"/>
        <w:rPr>
          <w:rFonts w:hint="eastAsia" w:ascii="宋体" w:hAnsi="宋体" w:cs="宋体"/>
          <w:color w:val="auto"/>
          <w:sz w:val="24"/>
          <w:highlight w:val="none"/>
        </w:rPr>
      </w:pPr>
    </w:p>
    <w:p w14:paraId="3AB81149">
      <w:pPr>
        <w:spacing w:line="360" w:lineRule="auto"/>
        <w:ind w:left="2940"/>
        <w:rPr>
          <w:rFonts w:hint="eastAsia" w:ascii="宋体" w:hAnsi="宋体" w:cs="宋体"/>
          <w:color w:val="auto"/>
          <w:sz w:val="24"/>
          <w:highlight w:val="none"/>
        </w:rPr>
      </w:pPr>
    </w:p>
    <w:sectPr>
      <w:footerReference r:id="rId14" w:type="first"/>
      <w:headerReference r:id="rId12" w:type="default"/>
      <w:footerReference r:id="rId13" w:type="default"/>
      <w:pgSz w:w="11906" w:h="16838"/>
      <w:pgMar w:top="1440" w:right="1440" w:bottom="1440" w:left="1587" w:header="851" w:footer="992" w:gutter="0"/>
      <w:cols w:space="1701"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MingLiU">
    <w:panose1 w:val="02020509000000000000"/>
    <w:charset w:val="88"/>
    <w:family w:val="modern"/>
    <w:pitch w:val="default"/>
    <w:sig w:usb0="A00002FF" w:usb1="28CFFCFA" w:usb2="00000016" w:usb3="00000000" w:csb0="00100001" w:csb1="00000000"/>
  </w:font>
  <w:font w:name="Verdana">
    <w:panose1 w:val="020B0604030504040204"/>
    <w:charset w:val="00"/>
    <w:family w:val="auto"/>
    <w:pitch w:val="default"/>
    <w:sig w:usb0="A10006FF" w:usb1="4000205B" w:usb2="00000010" w:usb3="00000000" w:csb0="2000019F" w:csb1="00000000"/>
  </w:font>
  <w:font w:name="Times New Roman)">
    <w:altName w:val="Times New Roman"/>
    <w:panose1 w:val="00000000000000000000"/>
    <w:charset w:val="00"/>
    <w:family w:val="auto"/>
    <w:pitch w:val="default"/>
    <w:sig w:usb0="00000000" w:usb1="00000000" w:usb2="00000000" w:usb3="00000000" w:csb0="00000000" w:csb1="00000000"/>
  </w:font>
  <w:font w:name="宋体正文">
    <w:altName w:val="宋体"/>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 w:name="Wingdings 2">
    <w:panose1 w:val="05020102010507070707"/>
    <w:charset w:val="02"/>
    <w:family w:val="roman"/>
    <w:pitch w:val="default"/>
    <w:sig w:usb0="00000000" w:usb1="00000000" w:usb2="00000000" w:usb3="00000000" w:csb0="80000000" w:csb1="00000000"/>
  </w:font>
  <w:font w:name="Helvetica">
    <w:altName w:val="Arial"/>
    <w:panose1 w:val="020B0604020202020204"/>
    <w:charset w:val="00"/>
    <w:family w:val="swiss"/>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1F8EC">
    <w:pPr>
      <w:pStyle w:val="235"/>
      <w:tabs>
        <w:tab w:val="center" w:pos="4439"/>
      </w:tabs>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_x0000_s1025"/>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773B9B5E">
                          <w:pPr>
                            <w:pStyle w:val="235"/>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_x0000_s102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y+YDDxgEAAKgDAAAOAAAAAAAAAAEAIAAAAB4BAABkcnMvZTJvRG9jLnht&#10;bFBLBQYAAAAABgAGAFkBAABWBQAAAAA=&#10;">
              <v:fill on="f" focussize="0,0"/>
              <v:stroke on="f"/>
              <v:imagedata o:title=""/>
              <o:lock v:ext="edit" aspectratio="f"/>
              <v:textbox inset="0mm,0mm,0mm,0mm" style="mso-fit-shape-to-text:t;">
                <w:txbxContent>
                  <w:p w14:paraId="773B9B5E">
                    <w:pPr>
                      <w:pStyle w:val="235"/>
                    </w:pPr>
                    <w:r>
                      <w:fldChar w:fldCharType="begin"/>
                    </w:r>
                    <w:r>
                      <w:instrText xml:space="preserve"> PAGE  \* MERGEFORMAT </w:instrText>
                    </w:r>
                    <w:r>
                      <w:fldChar w:fldCharType="separate"/>
                    </w:r>
                    <w:r>
                      <w:t>1</w:t>
                    </w:r>
                    <w:r>
                      <w:fldChar w:fldCharType="end"/>
                    </w:r>
                  </w:p>
                </w:txbxContent>
              </v:textbox>
            </v:shape>
          </w:pict>
        </mc:Fallback>
      </mc:AlternateContent>
    </w:r>
  </w:p>
  <w:p w14:paraId="3367242C">
    <w:pPr>
      <w:pStyle w:val="23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2A2F27">
    <w:pPr>
      <w:pStyle w:val="235"/>
      <w:tabs>
        <w:tab w:val="center" w:pos="4439"/>
      </w:tabs>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_x0000_s1026"/>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4A9B0DAB"/>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BaFxNBxgEAAKgDAAAOAAAAAAAAAAEAIAAAAB4BAABkcnMvZTJvRG9jLnht&#10;bFBLBQYAAAAABgAGAFkBAABWBQAAAAA=&#10;">
              <v:fill on="f" focussize="0,0"/>
              <v:stroke on="f"/>
              <v:imagedata o:title=""/>
              <o:lock v:ext="edit" aspectratio="f"/>
              <v:textbox inset="0mm,0mm,0mm,0mm" style="mso-fit-shape-to-text:t;">
                <w:txbxContent>
                  <w:p w14:paraId="4A9B0DAB"/>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0CC121">
    <w:pPr>
      <w:pStyle w:val="235"/>
      <w:jc w:val="right"/>
    </w:pPr>
    <w:r>
      <w:fldChar w:fldCharType="begin"/>
    </w:r>
    <w:r>
      <w:instrText xml:space="preserve">PAGE   \* MERGEFORMAT</w:instrText>
    </w:r>
    <w:r>
      <w:fldChar w:fldCharType="separate"/>
    </w:r>
    <w:r>
      <w:t>149</w:t>
    </w:r>
    <w:r>
      <w:fldChar w:fldCharType="end"/>
    </w:r>
  </w:p>
  <w:p w14:paraId="425D4FCA">
    <w:pPr>
      <w:pStyle w:val="217"/>
      <w:spacing w:line="14" w:lineRule="auto"/>
      <w:rPr>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FB761">
    <w:pPr>
      <w:pStyle w:val="235"/>
    </w:pPr>
    <w:r>
      <w:fldChar w:fldCharType="begin"/>
    </w:r>
    <w:r>
      <w:instrText xml:space="preserve">PAGE   \* MERGEFORMAT</w:instrText>
    </w:r>
    <w:r>
      <w:fldChar w:fldCharType="separate"/>
    </w:r>
    <w:r>
      <w:t>150</w:t>
    </w:r>
    <w:r>
      <w:fldChar w:fldCharType="end"/>
    </w:r>
  </w:p>
  <w:p w14:paraId="4F919409">
    <w:pPr>
      <w:pStyle w:val="217"/>
      <w:spacing w:line="14" w:lineRule="auto"/>
      <w:rPr>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F7D9B6">
    <w:pPr>
      <w:pStyle w:val="235"/>
      <w:jc w:val="right"/>
    </w:pPr>
    <w:r>
      <w:fldChar w:fldCharType="begin"/>
    </w:r>
    <w:r>
      <w:instrText xml:space="preserve">PAGE   \* MERGEFORMAT</w:instrText>
    </w:r>
    <w:r>
      <w:fldChar w:fldCharType="separate"/>
    </w:r>
    <w:r>
      <w:t>157</w:t>
    </w:r>
    <w:r>
      <w:fldChar w:fldCharType="end"/>
    </w:r>
  </w:p>
  <w:p w14:paraId="3D045F9C">
    <w:pPr>
      <w:pStyle w:val="217"/>
      <w:spacing w:line="14" w:lineRule="auto"/>
      <w:rPr>
        <w:sz w:val="2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5AC6F6">
    <w:pPr>
      <w:pStyle w:val="217"/>
      <w:spacing w:line="14" w:lineRule="auto"/>
      <w:rPr>
        <w:sz w:val="20"/>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ECB66A">
    <w:pPr>
      <w:pStyle w:val="235"/>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_x0000_s1030"/>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55069A8F">
                          <w:pPr>
                            <w:pStyle w:val="235"/>
                            <w:jc w:val="center"/>
                          </w:pPr>
                          <w:r>
                            <w:fldChar w:fldCharType="begin"/>
                          </w:r>
                          <w:r>
                            <w:instrText xml:space="preserve">PAGE   \* MERGEFORMAT</w:instrText>
                          </w:r>
                          <w:r>
                            <w:fldChar w:fldCharType="separate"/>
                          </w:r>
                          <w:r>
                            <w:rPr>
                              <w:lang w:val="zh-CN"/>
                            </w:rPr>
                            <w:t>2</w:t>
                          </w:r>
                          <w:r>
                            <w:fldChar w:fldCharType="end"/>
                          </w:r>
                        </w:p>
                      </w:txbxContent>
                    </wps:txbx>
                    <wps:bodyPr wrap="none" lIns="0" tIns="0" rIns="0" bIns="0" upright="1">
                      <a:spAutoFit/>
                    </wps:bodyPr>
                  </wps:wsp>
                </a:graphicData>
              </a:graphic>
            </wp:anchor>
          </w:drawing>
        </mc:Choice>
        <mc:Fallback>
          <w:pict>
            <v:shape id="_x0000_s1030"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B00dezxgEAAKgDAAAOAAAAAAAAAAEAIAAAAB4BAABkcnMvZTJvRG9jLnht&#10;bFBLBQYAAAAABgAGAFkBAABWBQAAAAA=&#10;">
              <v:fill on="f" focussize="0,0"/>
              <v:stroke on="f"/>
              <v:imagedata o:title=""/>
              <o:lock v:ext="edit" aspectratio="f"/>
              <v:textbox inset="0mm,0mm,0mm,0mm" style="mso-fit-shape-to-text:t;">
                <w:txbxContent>
                  <w:p w14:paraId="55069A8F">
                    <w:pPr>
                      <w:pStyle w:val="235"/>
                      <w:jc w:val="center"/>
                    </w:pPr>
                    <w:r>
                      <w:fldChar w:fldCharType="begin"/>
                    </w:r>
                    <w:r>
                      <w:instrText xml:space="preserve">PAGE   \* MERGEFORMAT</w:instrText>
                    </w:r>
                    <w:r>
                      <w:fldChar w:fldCharType="separate"/>
                    </w:r>
                    <w:r>
                      <w:rPr>
                        <w:lang w:val="zh-CN"/>
                      </w:rPr>
                      <w:t>2</w:t>
                    </w:r>
                    <w:r>
                      <w:fldChar w:fldCharType="end"/>
                    </w:r>
                  </w:p>
                </w:txbxContent>
              </v:textbox>
            </v:shape>
          </w:pict>
        </mc:Fallback>
      </mc:AlternateContent>
    </w:r>
  </w:p>
  <w:p w14:paraId="5B14FADC">
    <w:pPr>
      <w:pStyle w:val="235"/>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32E268">
    <w:pPr>
      <w:pStyle w:val="23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_x0000_s1027"/>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4AE2216E">
                          <w:pPr>
                            <w:pStyle w:val="235"/>
                          </w:pPr>
                          <w:r>
                            <w:rPr>
                              <w:rFonts w:hint="eastAsia"/>
                            </w:rPr>
                            <w:fldChar w:fldCharType="begin"/>
                          </w:r>
                          <w:r>
                            <w:rPr>
                              <w:rFonts w:hint="eastAsia"/>
                            </w:rPr>
                            <w:instrText xml:space="preserve"> PAGE  \* MERGEFORMAT </w:instrText>
                          </w:r>
                          <w:r>
                            <w:rPr>
                              <w:rFonts w:hint="eastAsia"/>
                            </w:rPr>
                            <w:fldChar w:fldCharType="separate"/>
                          </w:r>
                          <w:r>
                            <w:t>110</w:t>
                          </w:r>
                          <w:r>
                            <w:rPr>
                              <w:rFonts w:hint="eastAsia"/>
                            </w:rPr>
                            <w:fldChar w:fldCharType="end"/>
                          </w:r>
                        </w:p>
                      </w:txbxContent>
                    </wps:txbx>
                    <wps:bodyPr wrap="none" lIns="0" tIns="0" rIns="0" bIns="0" upright="1">
                      <a:spAutoFit/>
                    </wps:bodyPr>
                  </wps:wsp>
                </a:graphicData>
              </a:graphic>
            </wp:anchor>
          </w:drawing>
        </mc:Choice>
        <mc:Fallback>
          <w:pict>
            <v:shape id="_x0000_s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O/wLEMcBAACoAwAADgAAAAAAAAABACAAAAAeAQAAZHJzL2Uyb0RvYy54&#10;bWxQSwUGAAAAAAYABgBZAQAAVwUAAAAA&#10;">
              <v:fill on="f" focussize="0,0"/>
              <v:stroke on="f"/>
              <v:imagedata o:title=""/>
              <o:lock v:ext="edit" aspectratio="f"/>
              <v:textbox inset="0mm,0mm,0mm,0mm" style="mso-fit-shape-to-text:t;">
                <w:txbxContent>
                  <w:p w14:paraId="4AE2216E">
                    <w:pPr>
                      <w:pStyle w:val="235"/>
                    </w:pPr>
                    <w:r>
                      <w:rPr>
                        <w:rFonts w:hint="eastAsia"/>
                      </w:rPr>
                      <w:fldChar w:fldCharType="begin"/>
                    </w:r>
                    <w:r>
                      <w:rPr>
                        <w:rFonts w:hint="eastAsia"/>
                      </w:rPr>
                      <w:instrText xml:space="preserve"> PAGE  \* MERGEFORMAT </w:instrText>
                    </w:r>
                    <w:r>
                      <w:rPr>
                        <w:rFonts w:hint="eastAsia"/>
                      </w:rPr>
                      <w:fldChar w:fldCharType="separate"/>
                    </w:r>
                    <w:r>
                      <w:t>110</w:t>
                    </w:r>
                    <w:r>
                      <w:rPr>
                        <w:rFonts w:hint="eastAsia"/>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7382FD7C">
      <w:pPr>
        <w:pStyle w:val="243"/>
        <w:rPr>
          <w:i/>
          <w:iC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1B3E72">
    <w:pPr>
      <w:pStyle w:val="237"/>
      <w:pBdr>
        <w:bottom w:val="none" w:color="000000"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F4E673">
    <w:pPr>
      <w:pStyle w:val="237"/>
      <w:pBdr>
        <w:bottom w:val="none" w:color="000000"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6454B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8860E8"/>
    <w:multiLevelType w:val="multilevel"/>
    <w:tmpl w:val="408860E8"/>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position w:val="0"/>
        <w:sz w:val="20"/>
        <w:szCs w:val="20"/>
        <w:u w:val="none"/>
        <w:shd w:val="clear" w:color="auto" w:fill="auto"/>
        <w:lang w:val="en-US" w:eastAsia="en-US" w:bidi="en-US"/>
      </w:rPr>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1">
    <w:nsid w:val="5B39FDE6"/>
    <w:multiLevelType w:val="multilevel"/>
    <w:tmpl w:val="5B39FDE6"/>
    <w:lvl w:ilvl="0" w:tentative="0">
      <w:start w:val="1"/>
      <w:numFmt w:val="decimal"/>
      <w:suff w:val="nothing"/>
      <w:lvlText w:val="（%1）"/>
      <w:lvlJc w:val="left"/>
      <w:pPr>
        <w:ind w:left="0" w:firstLine="0"/>
      </w:pPr>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num w:numId="1">
    <w:abstractNumId w:val="0"/>
  </w:num>
  <w:num w:numId="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characterSpacingControl w:val="doNotCompress"/>
  <w:footnotePr>
    <w:footnote w:id="2"/>
    <w:footnote w:id="3"/>
  </w:footnotePr>
  <w:compat>
    <w:balanceSingleByteDoubleByteWidth/>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5D1"/>
    <w:rsid w:val="000435CD"/>
    <w:rsid w:val="0031137C"/>
    <w:rsid w:val="00614E48"/>
    <w:rsid w:val="00F645D1"/>
    <w:rsid w:val="018A58CB"/>
    <w:rsid w:val="093525C0"/>
    <w:rsid w:val="0AFF2E86"/>
    <w:rsid w:val="193E0D50"/>
    <w:rsid w:val="1B3C5ADA"/>
    <w:rsid w:val="26C8461C"/>
    <w:rsid w:val="29C72C3A"/>
    <w:rsid w:val="29D07A70"/>
    <w:rsid w:val="2AC86999"/>
    <w:rsid w:val="2BDB26FC"/>
    <w:rsid w:val="3C430575"/>
    <w:rsid w:val="40832D83"/>
    <w:rsid w:val="425C5EED"/>
    <w:rsid w:val="42BD0DA1"/>
    <w:rsid w:val="43340C18"/>
    <w:rsid w:val="457572C5"/>
    <w:rsid w:val="463A6101"/>
    <w:rsid w:val="467A1037"/>
    <w:rsid w:val="468A58C1"/>
    <w:rsid w:val="47266AC9"/>
    <w:rsid w:val="4AD625B4"/>
    <w:rsid w:val="4B1378EC"/>
    <w:rsid w:val="4BBE4B21"/>
    <w:rsid w:val="4C927B2E"/>
    <w:rsid w:val="4FEE65F2"/>
    <w:rsid w:val="50210776"/>
    <w:rsid w:val="554271C4"/>
    <w:rsid w:val="5ACD4550"/>
    <w:rsid w:val="5E8A398A"/>
    <w:rsid w:val="5F1871E8"/>
    <w:rsid w:val="61BE5E24"/>
    <w:rsid w:val="67BD4263"/>
    <w:rsid w:val="69383DD2"/>
    <w:rsid w:val="69F55BB9"/>
    <w:rsid w:val="6BC54253"/>
    <w:rsid w:val="70AC7497"/>
    <w:rsid w:val="72F84394"/>
    <w:rsid w:val="74051691"/>
    <w:rsid w:val="75481873"/>
    <w:rsid w:val="789F1BDB"/>
    <w:rsid w:val="793F73F3"/>
    <w:rsid w:val="7A153161"/>
    <w:rsid w:val="7B8675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qFormat="1" w:uiPriority="99" w:semiHidden="0" w:name="table of figures"/>
    <w:lsdException w:uiPriority="99" w:name="envelope address"/>
    <w:lsdException w:qFormat="1" w:unhideWhenUsed="0" w:uiPriority="0" w:semiHidden="0" w:name="envelope return"/>
    <w:lsdException w:qFormat="1" w:uiPriority="99"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z w:val="21"/>
      <w:szCs w:val="24"/>
      <w:lang w:val="en-US" w:eastAsia="zh-CN" w:bidi="ar-SA"/>
    </w:rPr>
  </w:style>
  <w:style w:type="paragraph" w:styleId="5">
    <w:name w:val="heading 1"/>
    <w:basedOn w:val="1"/>
    <w:next w:val="1"/>
    <w:qFormat/>
    <w:uiPriority w:val="9"/>
    <w:pPr>
      <w:keepNext/>
      <w:keepLines/>
      <w:spacing w:before="360" w:after="80"/>
      <w:outlineLvl w:val="0"/>
    </w:pPr>
    <w:rPr>
      <w:rFonts w:ascii="Arial" w:hAnsi="Arial" w:eastAsia="Arial" w:cs="Arial"/>
      <w:color w:val="376092" w:themeColor="accent1" w:themeShade="BF"/>
      <w:sz w:val="40"/>
      <w:szCs w:val="40"/>
    </w:rPr>
  </w:style>
  <w:style w:type="paragraph" w:styleId="6">
    <w:name w:val="heading 2"/>
    <w:basedOn w:val="1"/>
    <w:next w:val="1"/>
    <w:unhideWhenUsed/>
    <w:qFormat/>
    <w:uiPriority w:val="9"/>
    <w:pPr>
      <w:keepNext/>
      <w:keepLines/>
      <w:spacing w:before="160" w:after="80"/>
      <w:outlineLvl w:val="1"/>
    </w:pPr>
    <w:rPr>
      <w:rFonts w:ascii="Arial" w:hAnsi="Arial" w:eastAsia="Arial" w:cs="Arial"/>
      <w:color w:val="376092" w:themeColor="accent1" w:themeShade="BF"/>
      <w:sz w:val="32"/>
      <w:szCs w:val="32"/>
    </w:rPr>
  </w:style>
  <w:style w:type="paragraph" w:styleId="7">
    <w:name w:val="heading 3"/>
    <w:basedOn w:val="1"/>
    <w:next w:val="1"/>
    <w:unhideWhenUsed/>
    <w:qFormat/>
    <w:uiPriority w:val="9"/>
    <w:pPr>
      <w:keepNext/>
      <w:keepLines/>
      <w:spacing w:before="160" w:after="80"/>
      <w:outlineLvl w:val="2"/>
    </w:pPr>
    <w:rPr>
      <w:rFonts w:ascii="Arial" w:hAnsi="Arial" w:eastAsia="Arial" w:cs="Arial"/>
      <w:color w:val="376092" w:themeColor="accent1" w:themeShade="BF"/>
      <w:sz w:val="28"/>
      <w:szCs w:val="28"/>
    </w:rPr>
  </w:style>
  <w:style w:type="paragraph" w:styleId="8">
    <w:name w:val="heading 4"/>
    <w:basedOn w:val="1"/>
    <w:next w:val="1"/>
    <w:unhideWhenUsed/>
    <w:qFormat/>
    <w:uiPriority w:val="9"/>
    <w:pPr>
      <w:keepNext/>
      <w:keepLines/>
      <w:spacing w:before="80" w:after="40"/>
      <w:outlineLvl w:val="3"/>
    </w:pPr>
    <w:rPr>
      <w:rFonts w:ascii="Arial" w:hAnsi="Arial" w:eastAsia="Arial" w:cs="Arial"/>
      <w:i/>
      <w:iCs/>
      <w:color w:val="376092" w:themeColor="accent1" w:themeShade="BF"/>
    </w:rPr>
  </w:style>
  <w:style w:type="paragraph" w:styleId="9">
    <w:name w:val="heading 5"/>
    <w:basedOn w:val="1"/>
    <w:next w:val="1"/>
    <w:unhideWhenUsed/>
    <w:qFormat/>
    <w:uiPriority w:val="9"/>
    <w:pPr>
      <w:keepNext/>
      <w:keepLines/>
      <w:spacing w:before="80" w:after="40"/>
      <w:outlineLvl w:val="4"/>
    </w:pPr>
    <w:rPr>
      <w:rFonts w:ascii="Arial" w:hAnsi="Arial" w:eastAsia="Arial" w:cs="Arial"/>
      <w:color w:val="376092" w:themeColor="accent1" w:themeShade="BF"/>
    </w:rPr>
  </w:style>
  <w:style w:type="paragraph" w:styleId="10">
    <w:name w:val="heading 6"/>
    <w:basedOn w:val="1"/>
    <w:next w:val="1"/>
    <w:link w:val="169"/>
    <w:unhideWhenUsed/>
    <w:qFormat/>
    <w:uiPriority w:val="9"/>
    <w:pPr>
      <w:keepNext/>
      <w:keepLines/>
      <w:spacing w:before="40"/>
      <w:outlineLvl w:val="5"/>
    </w:pPr>
    <w:rPr>
      <w:rFonts w:ascii="Arial" w:hAnsi="Arial" w:eastAsia="Arial" w:cs="Arial"/>
      <w:i/>
      <w:iCs/>
      <w:color w:val="595959" w:themeColor="text1" w:themeTint="A6"/>
      <w14:textFill>
        <w14:solidFill>
          <w14:schemeClr w14:val="tx1">
            <w14:lumMod w14:val="65000"/>
            <w14:lumOff w14:val="35000"/>
          </w14:schemeClr>
        </w14:solidFill>
      </w14:textFill>
    </w:rPr>
  </w:style>
  <w:style w:type="paragraph" w:styleId="11">
    <w:name w:val="heading 7"/>
    <w:basedOn w:val="1"/>
    <w:next w:val="1"/>
    <w:link w:val="170"/>
    <w:unhideWhenUsed/>
    <w:qFormat/>
    <w:uiPriority w:val="9"/>
    <w:pPr>
      <w:keepNext/>
      <w:keepLines/>
      <w:spacing w:before="40"/>
      <w:outlineLvl w:val="6"/>
    </w:pPr>
    <w:rPr>
      <w:rFonts w:ascii="Arial" w:hAnsi="Arial" w:eastAsia="Arial" w:cs="Arial"/>
      <w:color w:val="595959" w:themeColor="text1" w:themeTint="A6"/>
      <w14:textFill>
        <w14:solidFill>
          <w14:schemeClr w14:val="tx1">
            <w14:lumMod w14:val="65000"/>
            <w14:lumOff w14:val="35000"/>
          </w14:schemeClr>
        </w14:solidFill>
      </w14:textFill>
    </w:rPr>
  </w:style>
  <w:style w:type="paragraph" w:styleId="12">
    <w:name w:val="heading 8"/>
    <w:basedOn w:val="1"/>
    <w:next w:val="1"/>
    <w:link w:val="171"/>
    <w:unhideWhenUsed/>
    <w:qFormat/>
    <w:uiPriority w:val="9"/>
    <w:pPr>
      <w:keepNext/>
      <w:keepLines/>
      <w:outlineLvl w:val="7"/>
    </w:pPr>
    <w:rPr>
      <w:rFonts w:ascii="Arial" w:hAnsi="Arial" w:eastAsia="Arial" w:cs="Arial"/>
      <w:i/>
      <w:iCs/>
      <w:color w:val="262626" w:themeColor="text1" w:themeTint="D9"/>
      <w14:textFill>
        <w14:solidFill>
          <w14:schemeClr w14:val="tx1">
            <w14:lumMod w14:val="85000"/>
            <w14:lumOff w14:val="15000"/>
          </w14:schemeClr>
        </w14:solidFill>
      </w14:textFill>
    </w:rPr>
  </w:style>
  <w:style w:type="paragraph" w:styleId="13">
    <w:name w:val="heading 9"/>
    <w:basedOn w:val="1"/>
    <w:next w:val="1"/>
    <w:link w:val="172"/>
    <w:unhideWhenUsed/>
    <w:qFormat/>
    <w:uiPriority w:val="9"/>
    <w:pPr>
      <w:keepNext/>
      <w:keepLines/>
      <w:outlineLvl w:val="8"/>
    </w:pPr>
    <w:rPr>
      <w:rFonts w:ascii="Arial" w:hAnsi="Arial" w:eastAsia="Arial" w:cs="Arial"/>
      <w:i/>
      <w:iCs/>
      <w:color w:val="262626" w:themeColor="text1" w:themeTint="D9"/>
      <w14:textFill>
        <w14:solidFill>
          <w14:schemeClr w14:val="tx1">
            <w14:lumMod w14:val="85000"/>
            <w14:lumOff w14:val="15000"/>
          </w14:schemeClr>
        </w14:solidFill>
      </w14:textFill>
    </w:rPr>
  </w:style>
  <w:style w:type="character" w:default="1" w:styleId="35">
    <w:name w:val="Default Paragraph Font"/>
    <w:semiHidden/>
    <w:unhideWhenUsed/>
    <w:qFormat/>
    <w:uiPriority w:val="1"/>
  </w:style>
  <w:style w:type="table" w:default="1" w:styleId="33">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qFormat/>
    <w:uiPriority w:val="99"/>
    <w:pPr>
      <w:widowControl/>
      <w:spacing w:line="360" w:lineRule="auto"/>
      <w:ind w:left="-358" w:leftChars="-128" w:firstLine="560" w:firstLineChars="200"/>
      <w:jc w:val="left"/>
    </w:pPr>
    <w:rPr>
      <w:sz w:val="28"/>
    </w:rPr>
  </w:style>
  <w:style w:type="paragraph" w:styleId="3">
    <w:name w:val="Body Text Indent"/>
    <w:basedOn w:val="1"/>
    <w:next w:val="4"/>
    <w:uiPriority w:val="99"/>
    <w:pPr>
      <w:ind w:firstLine="830" w:firstLineChars="352"/>
    </w:pPr>
    <w:rPr>
      <w:rFonts w:ascii="仿宋_GB2312" w:eastAsia="仿宋_GB2312"/>
      <w:kern w:val="0"/>
      <w:sz w:val="32"/>
      <w:szCs w:val="20"/>
    </w:rPr>
  </w:style>
  <w:style w:type="paragraph" w:styleId="4">
    <w:name w:val="envelope return"/>
    <w:basedOn w:val="1"/>
    <w:qFormat/>
    <w:uiPriority w:val="0"/>
    <w:pPr>
      <w:widowControl/>
      <w:adjustRightInd w:val="0"/>
      <w:snapToGrid w:val="0"/>
      <w:spacing w:after="200"/>
      <w:jc w:val="left"/>
    </w:pPr>
    <w:rPr>
      <w:rFonts w:ascii="Arial" w:hAnsi="Arial" w:eastAsia="微软雅黑"/>
      <w:kern w:val="0"/>
      <w:sz w:val="22"/>
      <w:szCs w:val="22"/>
    </w:rPr>
  </w:style>
  <w:style w:type="paragraph" w:styleId="14">
    <w:name w:val="toc 7"/>
    <w:basedOn w:val="1"/>
    <w:next w:val="1"/>
    <w:unhideWhenUsed/>
    <w:qFormat/>
    <w:uiPriority w:val="39"/>
    <w:pPr>
      <w:spacing w:after="100"/>
      <w:ind w:left="1320"/>
    </w:pPr>
  </w:style>
  <w:style w:type="paragraph" w:styleId="15">
    <w:name w:val="caption"/>
    <w:basedOn w:val="1"/>
    <w:next w:val="1"/>
    <w:unhideWhenUsed/>
    <w:qFormat/>
    <w:uiPriority w:val="35"/>
    <w:pPr>
      <w:spacing w:after="200"/>
    </w:pPr>
    <w:rPr>
      <w:i/>
      <w:iCs/>
      <w:color w:val="1F497D" w:themeColor="text2"/>
      <w:sz w:val="18"/>
      <w:szCs w:val="18"/>
      <w14:textFill>
        <w14:solidFill>
          <w14:schemeClr w14:val="tx2"/>
        </w14:solidFill>
      </w14:textFill>
    </w:rPr>
  </w:style>
  <w:style w:type="paragraph" w:styleId="16">
    <w:name w:val="annotation text"/>
    <w:basedOn w:val="1"/>
    <w:link w:val="417"/>
    <w:semiHidden/>
    <w:unhideWhenUsed/>
    <w:qFormat/>
    <w:uiPriority w:val="99"/>
    <w:pPr>
      <w:jc w:val="left"/>
    </w:pPr>
  </w:style>
  <w:style w:type="paragraph" w:styleId="17">
    <w:name w:val="toc 5"/>
    <w:basedOn w:val="1"/>
    <w:next w:val="1"/>
    <w:unhideWhenUsed/>
    <w:qFormat/>
    <w:uiPriority w:val="39"/>
    <w:pPr>
      <w:spacing w:after="100"/>
      <w:ind w:left="880"/>
    </w:pPr>
  </w:style>
  <w:style w:type="paragraph" w:styleId="18">
    <w:name w:val="toc 3"/>
    <w:basedOn w:val="1"/>
    <w:next w:val="1"/>
    <w:unhideWhenUsed/>
    <w:qFormat/>
    <w:uiPriority w:val="39"/>
    <w:pPr>
      <w:spacing w:after="100"/>
      <w:ind w:left="440"/>
    </w:pPr>
  </w:style>
  <w:style w:type="paragraph" w:styleId="19">
    <w:name w:val="toc 8"/>
    <w:basedOn w:val="1"/>
    <w:next w:val="1"/>
    <w:unhideWhenUsed/>
    <w:qFormat/>
    <w:uiPriority w:val="39"/>
    <w:pPr>
      <w:spacing w:after="100"/>
      <w:ind w:left="1540"/>
    </w:pPr>
  </w:style>
  <w:style w:type="paragraph" w:styleId="20">
    <w:name w:val="endnote text"/>
    <w:basedOn w:val="1"/>
    <w:link w:val="184"/>
    <w:semiHidden/>
    <w:unhideWhenUsed/>
    <w:qFormat/>
    <w:uiPriority w:val="99"/>
    <w:rPr>
      <w:sz w:val="20"/>
      <w:szCs w:val="20"/>
    </w:rPr>
  </w:style>
  <w:style w:type="paragraph" w:styleId="21">
    <w:name w:val="footer"/>
    <w:basedOn w:val="1"/>
    <w:unhideWhenUsed/>
    <w:qFormat/>
    <w:uiPriority w:val="99"/>
    <w:pPr>
      <w:tabs>
        <w:tab w:val="center" w:pos="4844"/>
        <w:tab w:val="right" w:pos="9689"/>
      </w:tabs>
    </w:pPr>
  </w:style>
  <w:style w:type="paragraph" w:styleId="22">
    <w:name w:val="header"/>
    <w:basedOn w:val="1"/>
    <w:unhideWhenUsed/>
    <w:qFormat/>
    <w:uiPriority w:val="99"/>
    <w:pPr>
      <w:tabs>
        <w:tab w:val="center" w:pos="4844"/>
        <w:tab w:val="right" w:pos="9689"/>
      </w:tabs>
    </w:pPr>
  </w:style>
  <w:style w:type="paragraph" w:styleId="23">
    <w:name w:val="toc 1"/>
    <w:basedOn w:val="1"/>
    <w:next w:val="1"/>
    <w:unhideWhenUsed/>
    <w:qFormat/>
    <w:uiPriority w:val="39"/>
    <w:pPr>
      <w:spacing w:after="100"/>
    </w:pPr>
  </w:style>
  <w:style w:type="paragraph" w:styleId="24">
    <w:name w:val="toc 4"/>
    <w:basedOn w:val="1"/>
    <w:next w:val="1"/>
    <w:unhideWhenUsed/>
    <w:qFormat/>
    <w:uiPriority w:val="39"/>
    <w:pPr>
      <w:spacing w:after="100"/>
      <w:ind w:left="660"/>
    </w:pPr>
  </w:style>
  <w:style w:type="paragraph" w:styleId="25">
    <w:name w:val="Subtitle"/>
    <w:basedOn w:val="1"/>
    <w:next w:val="1"/>
    <w:link w:val="173"/>
    <w:qFormat/>
    <w:uiPriority w:val="11"/>
    <w:rPr>
      <w:color w:val="595959" w:themeColor="text1" w:themeTint="A6"/>
      <w:spacing w:val="15"/>
      <w:sz w:val="28"/>
      <w:szCs w:val="28"/>
      <w14:textFill>
        <w14:solidFill>
          <w14:schemeClr w14:val="tx1">
            <w14:lumMod w14:val="65000"/>
            <w14:lumOff w14:val="35000"/>
          </w14:schemeClr>
        </w14:solidFill>
      </w14:textFill>
    </w:rPr>
  </w:style>
  <w:style w:type="paragraph" w:styleId="26">
    <w:name w:val="footnote text"/>
    <w:basedOn w:val="1"/>
    <w:semiHidden/>
    <w:unhideWhenUsed/>
    <w:qFormat/>
    <w:uiPriority w:val="99"/>
    <w:rPr>
      <w:sz w:val="20"/>
      <w:szCs w:val="20"/>
    </w:rPr>
  </w:style>
  <w:style w:type="paragraph" w:styleId="27">
    <w:name w:val="toc 6"/>
    <w:basedOn w:val="1"/>
    <w:next w:val="1"/>
    <w:unhideWhenUsed/>
    <w:qFormat/>
    <w:uiPriority w:val="39"/>
    <w:pPr>
      <w:spacing w:after="100"/>
      <w:ind w:left="1100"/>
    </w:pPr>
  </w:style>
  <w:style w:type="paragraph" w:styleId="28">
    <w:name w:val="table of figures"/>
    <w:basedOn w:val="1"/>
    <w:next w:val="1"/>
    <w:unhideWhenUsed/>
    <w:qFormat/>
    <w:uiPriority w:val="99"/>
  </w:style>
  <w:style w:type="paragraph" w:styleId="29">
    <w:name w:val="toc 2"/>
    <w:basedOn w:val="1"/>
    <w:next w:val="1"/>
    <w:unhideWhenUsed/>
    <w:qFormat/>
    <w:uiPriority w:val="39"/>
    <w:pPr>
      <w:spacing w:after="100"/>
      <w:ind w:left="220"/>
    </w:pPr>
  </w:style>
  <w:style w:type="paragraph" w:styleId="30">
    <w:name w:val="toc 9"/>
    <w:basedOn w:val="1"/>
    <w:next w:val="1"/>
    <w:unhideWhenUsed/>
    <w:qFormat/>
    <w:uiPriority w:val="39"/>
    <w:pPr>
      <w:spacing w:after="100"/>
      <w:ind w:left="1760"/>
    </w:pPr>
  </w:style>
  <w:style w:type="paragraph" w:styleId="31">
    <w:name w:val="Title"/>
    <w:basedOn w:val="1"/>
    <w:next w:val="1"/>
    <w:qFormat/>
    <w:uiPriority w:val="10"/>
    <w:pPr>
      <w:spacing w:after="80"/>
      <w:contextualSpacing/>
    </w:pPr>
    <w:rPr>
      <w:rFonts w:ascii="Arial" w:hAnsi="Arial" w:eastAsia="Arial" w:cs="Arial"/>
      <w:spacing w:val="-10"/>
      <w:sz w:val="56"/>
      <w:szCs w:val="56"/>
    </w:rPr>
  </w:style>
  <w:style w:type="paragraph" w:styleId="32">
    <w:name w:val="annotation subject"/>
    <w:basedOn w:val="16"/>
    <w:next w:val="16"/>
    <w:link w:val="418"/>
    <w:semiHidden/>
    <w:unhideWhenUsed/>
    <w:uiPriority w:val="99"/>
    <w:rPr>
      <w:b/>
      <w:bCs/>
    </w:rPr>
  </w:style>
  <w:style w:type="table" w:styleId="34">
    <w:name w:val="Table Grid"/>
    <w:basedOn w:val="33"/>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6">
    <w:name w:val="Strong"/>
    <w:basedOn w:val="35"/>
    <w:qFormat/>
    <w:uiPriority w:val="22"/>
    <w:rPr>
      <w:b/>
      <w:bCs/>
    </w:rPr>
  </w:style>
  <w:style w:type="character" w:styleId="37">
    <w:name w:val="endnote reference"/>
    <w:basedOn w:val="35"/>
    <w:semiHidden/>
    <w:unhideWhenUsed/>
    <w:qFormat/>
    <w:uiPriority w:val="99"/>
    <w:rPr>
      <w:vertAlign w:val="superscript"/>
    </w:rPr>
  </w:style>
  <w:style w:type="character" w:styleId="38">
    <w:name w:val="FollowedHyperlink"/>
    <w:basedOn w:val="35"/>
    <w:semiHidden/>
    <w:unhideWhenUsed/>
    <w:qFormat/>
    <w:uiPriority w:val="99"/>
    <w:rPr>
      <w:color w:val="800080" w:themeColor="followedHyperlink"/>
      <w:u w:val="single"/>
      <w14:textFill>
        <w14:solidFill>
          <w14:schemeClr w14:val="folHlink"/>
        </w14:solidFill>
      </w14:textFill>
    </w:rPr>
  </w:style>
  <w:style w:type="character" w:styleId="39">
    <w:name w:val="Emphasis"/>
    <w:basedOn w:val="35"/>
    <w:qFormat/>
    <w:uiPriority w:val="20"/>
    <w:rPr>
      <w:i/>
      <w:iCs/>
    </w:rPr>
  </w:style>
  <w:style w:type="character" w:styleId="40">
    <w:name w:val="Hyperlink"/>
    <w:basedOn w:val="35"/>
    <w:unhideWhenUsed/>
    <w:qFormat/>
    <w:uiPriority w:val="99"/>
    <w:rPr>
      <w:color w:val="0000FF" w:themeColor="hyperlink"/>
      <w:u w:val="single"/>
      <w14:textFill>
        <w14:solidFill>
          <w14:schemeClr w14:val="hlink"/>
        </w14:solidFill>
      </w14:textFill>
    </w:rPr>
  </w:style>
  <w:style w:type="character" w:styleId="41">
    <w:name w:val="annotation reference"/>
    <w:basedOn w:val="35"/>
    <w:semiHidden/>
    <w:unhideWhenUsed/>
    <w:uiPriority w:val="99"/>
    <w:rPr>
      <w:sz w:val="21"/>
      <w:szCs w:val="21"/>
    </w:rPr>
  </w:style>
  <w:style w:type="character" w:styleId="42">
    <w:name w:val="footnote reference"/>
    <w:basedOn w:val="35"/>
    <w:semiHidden/>
    <w:unhideWhenUsed/>
    <w:qFormat/>
    <w:uiPriority w:val="99"/>
    <w:rPr>
      <w:vertAlign w:val="superscript"/>
    </w:rPr>
  </w:style>
  <w:style w:type="paragraph" w:customStyle="1" w:styleId="43">
    <w:name w:val="正文缩进1"/>
    <w:basedOn w:val="1"/>
    <w:link w:val="198"/>
    <w:qFormat/>
    <w:uiPriority w:val="99"/>
    <w:pPr>
      <w:ind w:firstLine="420"/>
    </w:pPr>
    <w:rPr>
      <w:szCs w:val="20"/>
    </w:rPr>
  </w:style>
  <w:style w:type="table" w:customStyle="1" w:styleId="44">
    <w:name w:val="Table Grid Light"/>
    <w:basedOn w:val="33"/>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style>
  <w:style w:type="table" w:customStyle="1" w:styleId="45">
    <w:name w:val="无格式表格 11"/>
    <w:basedOn w:val="33"/>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46">
    <w:name w:val="无格式表格 21"/>
    <w:basedOn w:val="33"/>
    <w:qFormat/>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47">
    <w:name w:val="无格式表格 31"/>
    <w:basedOn w:val="33"/>
    <w:qFormat/>
    <w:uiPriority w:val="99"/>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48">
    <w:name w:val="无格式表格 41"/>
    <w:basedOn w:val="33"/>
    <w:qFormat/>
    <w:uiPriority w:val="99"/>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49">
    <w:name w:val="无格式表格 51"/>
    <w:basedOn w:val="33"/>
    <w:qFormat/>
    <w:uiPriority w:val="99"/>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50">
    <w:name w:val="网格表 1 浅色1"/>
    <w:basedOn w:val="33"/>
    <w:qFormat/>
    <w:uiPriority w:val="99"/>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51">
    <w:name w:val="Grid Table 1 Light - Accent 1"/>
    <w:basedOn w:val="33"/>
    <w:qFormat/>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52">
    <w:name w:val="Grid Table 1 Light - Accent 2"/>
    <w:basedOn w:val="33"/>
    <w:qFormat/>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53">
    <w:name w:val="Grid Table 1 Light - Accent 3"/>
    <w:basedOn w:val="33"/>
    <w:qFormat/>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54">
    <w:name w:val="Grid Table 1 Light - Accent 4"/>
    <w:basedOn w:val="33"/>
    <w:qFormat/>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55">
    <w:name w:val="Grid Table 1 Light - Accent 5"/>
    <w:basedOn w:val="33"/>
    <w:qFormat/>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56">
    <w:name w:val="Grid Table 1 Light - Accent 6"/>
    <w:basedOn w:val="33"/>
    <w:qFormat/>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57">
    <w:name w:val="网格表 21"/>
    <w:basedOn w:val="33"/>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58">
    <w:name w:val="Grid Table 2 - Accent 1"/>
    <w:basedOn w:val="33"/>
    <w:qFormat/>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59">
    <w:name w:val="Grid Table 2 - Accent 2"/>
    <w:basedOn w:val="33"/>
    <w:qFormat/>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60">
    <w:name w:val="Grid Table 2 - Accent 3"/>
    <w:basedOn w:val="33"/>
    <w:qFormat/>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61">
    <w:name w:val="Grid Table 2 - Accent 4"/>
    <w:basedOn w:val="33"/>
    <w:qFormat/>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62">
    <w:name w:val="Grid Table 2 - Accent 5"/>
    <w:basedOn w:val="33"/>
    <w:qFormat/>
    <w:uiPriority w:val="99"/>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63">
    <w:name w:val="Grid Table 2 - Accent 6"/>
    <w:basedOn w:val="33"/>
    <w:qFormat/>
    <w:uiPriority w:val="99"/>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64">
    <w:name w:val="网格表 31"/>
    <w:basedOn w:val="33"/>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65">
    <w:name w:val="Grid Table 3 - Accent 1"/>
    <w:basedOn w:val="33"/>
    <w:qFormat/>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66">
    <w:name w:val="Grid Table 3 - Accent 2"/>
    <w:basedOn w:val="33"/>
    <w:qFormat/>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67">
    <w:name w:val="Grid Table 3 - Accent 3"/>
    <w:basedOn w:val="33"/>
    <w:qFormat/>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68">
    <w:name w:val="Grid Table 3 - Accent 4"/>
    <w:basedOn w:val="33"/>
    <w:qFormat/>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69">
    <w:name w:val="Grid Table 3 - Accent 5"/>
    <w:basedOn w:val="33"/>
    <w:qFormat/>
    <w:uiPriority w:val="99"/>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70">
    <w:name w:val="Grid Table 3 - Accent 6"/>
    <w:basedOn w:val="33"/>
    <w:qFormat/>
    <w:uiPriority w:val="99"/>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71">
    <w:name w:val="网格表 41"/>
    <w:basedOn w:val="33"/>
    <w:qFormat/>
    <w:uiPriority w:val="59"/>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2">
    <w:name w:val="Grid Table 4 - Accent 1"/>
    <w:basedOn w:val="33"/>
    <w:qFormat/>
    <w:uiPriority w:val="5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73">
    <w:name w:val="Grid Table 4 - Accent 2"/>
    <w:basedOn w:val="33"/>
    <w:qFormat/>
    <w:uiPriority w:val="5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74">
    <w:name w:val="Grid Table 4 - Accent 3"/>
    <w:basedOn w:val="33"/>
    <w:qFormat/>
    <w:uiPriority w:val="5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75">
    <w:name w:val="Grid Table 4 - Accent 4"/>
    <w:basedOn w:val="33"/>
    <w:qFormat/>
    <w:uiPriority w:val="5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76">
    <w:name w:val="Grid Table 4 - Accent 5"/>
    <w:basedOn w:val="33"/>
    <w:qFormat/>
    <w:uiPriority w:val="5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77">
    <w:name w:val="Grid Table 4 - Accent 6"/>
    <w:basedOn w:val="33"/>
    <w:qFormat/>
    <w:uiPriority w:val="5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78">
    <w:name w:val="网格表 5 深色1"/>
    <w:basedOn w:val="33"/>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79">
    <w:name w:val="Grid Table 5 Dark- Accent 1"/>
    <w:basedOn w:val="33"/>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80">
    <w:name w:val="Grid Table 5 Dark - Accent 2"/>
    <w:basedOn w:val="33"/>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81">
    <w:name w:val="Grid Table 5 Dark - Accent 3"/>
    <w:basedOn w:val="33"/>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82">
    <w:name w:val="Grid Table 5 Dark- Accent 4"/>
    <w:basedOn w:val="33"/>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83">
    <w:name w:val="Grid Table 5 Dark - Accent 5"/>
    <w:basedOn w:val="33"/>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84">
    <w:name w:val="Grid Table 5 Dark - Accent 6"/>
    <w:basedOn w:val="33"/>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85">
    <w:name w:val="网格表 6 彩色1"/>
    <w:basedOn w:val="33"/>
    <w:qFormat/>
    <w:uiPriority w:val="99"/>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86">
    <w:name w:val="Grid Table 6 Colorful - Accent 1"/>
    <w:basedOn w:val="33"/>
    <w:qFormat/>
    <w:uiPriority w:val="99"/>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87">
    <w:name w:val="Grid Table 6 Colorful - Accent 2"/>
    <w:basedOn w:val="33"/>
    <w:qFormat/>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88">
    <w:name w:val="Grid Table 6 Colorful - Accent 3"/>
    <w:basedOn w:val="33"/>
    <w:qFormat/>
    <w:uiPriority w:val="99"/>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14:textFill>
          <w14:solidFill>
            <w14:schemeClr w14:val="accent3"/>
          </w14:solidFill>
        </w14:textFill>
      </w:rPr>
      <w:tcPr>
        <w:tcBorders>
          <w:bottom w:val="single" w:color="9BBB59" w:themeColor="accent3" w:themeTint="FE" w:sz="12" w:space="0"/>
        </w:tcBorders>
      </w:tcPr>
    </w:tblStylePr>
    <w:tblStylePr w:type="lastRow">
      <w:rPr>
        <w:b/>
        <w:color w:val="9BBB59" w:themeColor="accent3"/>
        <w14:textFill>
          <w14:solidFill>
            <w14:schemeClr w14:val="accent3"/>
          </w14:solidFill>
        </w14:textFill>
      </w:rPr>
    </w:tblStylePr>
    <w:tblStylePr w:type="firstCol">
      <w:rPr>
        <w:b/>
        <w:color w:val="9BBB59" w:themeColor="accent3"/>
        <w14:textFill>
          <w14:solidFill>
            <w14:schemeClr w14:val="accent3"/>
          </w14:solidFill>
        </w14:textFill>
      </w:rPr>
    </w:tblStylePr>
    <w:tblStylePr w:type="lastCol">
      <w:rPr>
        <w:b/>
        <w:color w:val="9BBB59" w:themeColor="accent3"/>
        <w14:textFill>
          <w14:solidFill>
            <w14:schemeClr w14:val="accent3"/>
          </w14:solidFill>
        </w14:textFill>
      </w:rPr>
    </w:tblStylePr>
    <w:tblStylePr w:type="band1Vert">
      <w:tcPr>
        <w:shd w:val="clear" w:color="EAF1DD" w:themeColor="accent3" w:themeTint="34" w:fill="EAF1DD" w:themeFill="accent3" w:themeFillTint="34"/>
      </w:tcPr>
    </w:tblStylePr>
    <w:tblStylePr w:type="band1Horz">
      <w:rPr>
        <w:rFonts w:ascii="Arial" w:hAnsi="Arial"/>
        <w:color w:val="9BBB59" w:themeColor="accent3"/>
        <w:sz w:val="22"/>
        <w14:textFill>
          <w14:solidFill>
            <w14:schemeClr w14:val="accent3"/>
          </w14:solidFill>
        </w14:textFill>
      </w:rPr>
      <w:tcPr>
        <w:shd w:val="clear" w:color="EAF1DD" w:themeColor="accent3" w:themeTint="34" w:fill="EAF1DD" w:themeFill="accent3" w:themeFillTint="34"/>
      </w:tcPr>
    </w:tblStylePr>
    <w:tblStylePr w:type="band2Horz">
      <w:rPr>
        <w:rFonts w:ascii="Arial" w:hAnsi="Arial"/>
        <w:color w:val="9BBB59" w:themeColor="accent3"/>
        <w:sz w:val="22"/>
        <w14:textFill>
          <w14:solidFill>
            <w14:schemeClr w14:val="accent3"/>
          </w14:solidFill>
        </w14:textFill>
      </w:rPr>
    </w:tblStylePr>
  </w:style>
  <w:style w:type="table" w:customStyle="1" w:styleId="89">
    <w:name w:val="Grid Table 6 Colorful - Accent 4"/>
    <w:basedOn w:val="33"/>
    <w:qFormat/>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90">
    <w:name w:val="Grid Table 6 Colorful - Accent 5"/>
    <w:basedOn w:val="33"/>
    <w:qFormat/>
    <w:uiPriority w:val="99"/>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91">
    <w:name w:val="Grid Table 6 Colorful - Accent 6"/>
    <w:basedOn w:val="33"/>
    <w:qFormat/>
    <w:uiPriority w:val="99"/>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style>
  <w:style w:type="table" w:customStyle="1" w:styleId="92">
    <w:name w:val="网格表 7 彩色1"/>
    <w:basedOn w:val="33"/>
    <w:qFormat/>
    <w:uiPriority w:val="99"/>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93">
    <w:name w:val="Grid Table 7 Colorful - Accent 1"/>
    <w:basedOn w:val="33"/>
    <w:qFormat/>
    <w:uiPriority w:val="99"/>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94">
    <w:name w:val="Grid Table 7 Colorful - Accent 2"/>
    <w:basedOn w:val="33"/>
    <w:qFormat/>
    <w:uiPriority w:val="99"/>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95">
    <w:name w:val="Grid Table 7 Colorful - Accent 3"/>
    <w:basedOn w:val="33"/>
    <w:qFormat/>
    <w:uiPriority w:val="99"/>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sz w:val="22"/>
        <w14:textFill>
          <w14:solidFill>
            <w14:schemeClr w14:val="accent3"/>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sz w:val="22"/>
        <w14:textFill>
          <w14:solidFill>
            <w14:schemeClr w14:val="accent3"/>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sz w:val="22"/>
        <w14:textFill>
          <w14:solidFill>
            <w14:schemeClr w14:val="accent3"/>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sz w:val="22"/>
        <w14:textFill>
          <w14:solidFill>
            <w14:schemeClr w14:val="accent3"/>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sz w:val="22"/>
        <w14:textFill>
          <w14:solidFill>
            <w14:schemeClr w14:val="accent3"/>
          </w14:solidFill>
        </w14:textFill>
      </w:rPr>
      <w:tcPr>
        <w:shd w:val="clear" w:color="EAF1DD" w:themeColor="accent3" w:themeTint="34" w:fill="EAF1DD" w:themeFill="accent3" w:themeFillTint="34"/>
      </w:tcPr>
    </w:tblStylePr>
    <w:tblStylePr w:type="band2Horz">
      <w:rPr>
        <w:rFonts w:ascii="Arial" w:hAnsi="Arial"/>
        <w:color w:val="9BBB59" w:themeColor="accent3"/>
        <w:sz w:val="22"/>
        <w14:textFill>
          <w14:solidFill>
            <w14:schemeClr w14:val="accent3"/>
          </w14:solidFill>
        </w14:textFill>
      </w:rPr>
    </w:tblStylePr>
  </w:style>
  <w:style w:type="table" w:customStyle="1" w:styleId="96">
    <w:name w:val="Grid Table 7 Colorful - Accent 4"/>
    <w:basedOn w:val="33"/>
    <w:qFormat/>
    <w:uiPriority w:val="99"/>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97">
    <w:name w:val="Grid Table 7 Colorful - Accent 5"/>
    <w:basedOn w:val="33"/>
    <w:qFormat/>
    <w:uiPriority w:val="99"/>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98">
    <w:name w:val="Grid Table 7 Colorful - Accent 6"/>
    <w:basedOn w:val="33"/>
    <w:qFormat/>
    <w:uiPriority w:val="99"/>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style>
  <w:style w:type="table" w:customStyle="1" w:styleId="99">
    <w:name w:val="清单表 1 浅色1"/>
    <w:basedOn w:val="33"/>
    <w:qFormat/>
    <w:uiPriority w:val="99"/>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00">
    <w:name w:val="List Table 1 Light - Accent 1"/>
    <w:basedOn w:val="33"/>
    <w:qFormat/>
    <w:uiPriority w:val="99"/>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101">
    <w:name w:val="List Table 1 Light - Accent 2"/>
    <w:basedOn w:val="33"/>
    <w:qFormat/>
    <w:uiPriority w:val="99"/>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102">
    <w:name w:val="List Table 1 Light - Accent 3"/>
    <w:basedOn w:val="33"/>
    <w:qFormat/>
    <w:uiPriority w:val="99"/>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103">
    <w:name w:val="List Table 1 Light - Accent 4"/>
    <w:basedOn w:val="33"/>
    <w:qFormat/>
    <w:uiPriority w:val="99"/>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104">
    <w:name w:val="List Table 1 Light - Accent 5"/>
    <w:basedOn w:val="33"/>
    <w:qFormat/>
    <w:uiPriority w:val="99"/>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105">
    <w:name w:val="List Table 1 Light - Accent 6"/>
    <w:basedOn w:val="33"/>
    <w:qFormat/>
    <w:uiPriority w:val="99"/>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106">
    <w:name w:val="清单表 21"/>
    <w:basedOn w:val="33"/>
    <w:qFormat/>
    <w:uiPriority w:val="99"/>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07">
    <w:name w:val="List Table 2 - Accent 1"/>
    <w:basedOn w:val="33"/>
    <w:qFormat/>
    <w:uiPriority w:val="99"/>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08">
    <w:name w:val="List Table 2 - Accent 2"/>
    <w:basedOn w:val="33"/>
    <w:qFormat/>
    <w:uiPriority w:val="99"/>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09">
    <w:name w:val="List Table 2 - Accent 3"/>
    <w:basedOn w:val="33"/>
    <w:qFormat/>
    <w:uiPriority w:val="99"/>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10">
    <w:name w:val="List Table 2 - Accent 4"/>
    <w:basedOn w:val="33"/>
    <w:qFormat/>
    <w:uiPriority w:val="99"/>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11">
    <w:name w:val="List Table 2 - Accent 5"/>
    <w:basedOn w:val="33"/>
    <w:qFormat/>
    <w:uiPriority w:val="99"/>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12">
    <w:name w:val="List Table 2 - Accent 6"/>
    <w:basedOn w:val="33"/>
    <w:qFormat/>
    <w:uiPriority w:val="99"/>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13">
    <w:name w:val="清单表 31"/>
    <w:basedOn w:val="33"/>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14">
    <w:name w:val="List Table 3 - Accent 1"/>
    <w:basedOn w:val="33"/>
    <w:qFormat/>
    <w:uiPriority w:val="99"/>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15">
    <w:name w:val="List Table 3 - Accent 2"/>
    <w:basedOn w:val="33"/>
    <w:qFormat/>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16">
    <w:name w:val="List Table 3 - Accent 3"/>
    <w:basedOn w:val="33"/>
    <w:qFormat/>
    <w:uiPriority w:val="99"/>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17">
    <w:name w:val="List Table 3 - Accent 4"/>
    <w:basedOn w:val="33"/>
    <w:qFormat/>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18">
    <w:name w:val="List Table 3 - Accent 5"/>
    <w:basedOn w:val="33"/>
    <w:qFormat/>
    <w:uiPriority w:val="99"/>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19">
    <w:name w:val="List Table 3 - Accent 6"/>
    <w:basedOn w:val="33"/>
    <w:qFormat/>
    <w:uiPriority w:val="99"/>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20">
    <w:name w:val="清单表 41"/>
    <w:basedOn w:val="33"/>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21">
    <w:name w:val="List Table 4 - Accent 1"/>
    <w:basedOn w:val="33"/>
    <w:qFormat/>
    <w:uiPriority w:val="9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22">
    <w:name w:val="List Table 4 - Accent 2"/>
    <w:basedOn w:val="33"/>
    <w:qFormat/>
    <w:uiPriority w:val="9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23">
    <w:name w:val="List Table 4 - Accent 3"/>
    <w:basedOn w:val="33"/>
    <w:qFormat/>
    <w:uiPriority w:val="9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24">
    <w:name w:val="List Table 4 - Accent 4"/>
    <w:basedOn w:val="33"/>
    <w:qFormat/>
    <w:uiPriority w:val="9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25">
    <w:name w:val="List Table 4 - Accent 5"/>
    <w:basedOn w:val="33"/>
    <w:qFormat/>
    <w:uiPriority w:val="9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26">
    <w:name w:val="List Table 4 - Accent 6"/>
    <w:basedOn w:val="33"/>
    <w:qFormat/>
    <w:uiPriority w:val="9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27">
    <w:name w:val="清单表 5 深色1"/>
    <w:basedOn w:val="33"/>
    <w:qFormat/>
    <w:uiPriority w:val="99"/>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28">
    <w:name w:val="List Table 5 Dark - Accent 1"/>
    <w:basedOn w:val="33"/>
    <w:qFormat/>
    <w:uiPriority w:val="99"/>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customStyle="1" w:styleId="129">
    <w:name w:val="List Table 5 Dark - Accent 2"/>
    <w:basedOn w:val="33"/>
    <w:qFormat/>
    <w:uiPriority w:val="99"/>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style>
  <w:style w:type="table" w:customStyle="1" w:styleId="130">
    <w:name w:val="List Table 5 Dark - Accent 3"/>
    <w:basedOn w:val="33"/>
    <w:qFormat/>
    <w:uiPriority w:val="99"/>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style>
  <w:style w:type="table" w:customStyle="1" w:styleId="131">
    <w:name w:val="List Table 5 Dark - Accent 4"/>
    <w:basedOn w:val="33"/>
    <w:qFormat/>
    <w:uiPriority w:val="99"/>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customStyle="1" w:styleId="132">
    <w:name w:val="List Table 5 Dark - Accent 5"/>
    <w:basedOn w:val="33"/>
    <w:qFormat/>
    <w:uiPriority w:val="99"/>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customStyle="1" w:styleId="133">
    <w:name w:val="List Table 5 Dark - Accent 6"/>
    <w:basedOn w:val="33"/>
    <w:qFormat/>
    <w:uiPriority w:val="99"/>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customStyle="1" w:styleId="134">
    <w:name w:val="清单表 6 彩色1"/>
    <w:basedOn w:val="33"/>
    <w:qFormat/>
    <w:uiPriority w:val="99"/>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35">
    <w:name w:val="List Table 6 Colorful - Accent 1"/>
    <w:basedOn w:val="33"/>
    <w:qFormat/>
    <w:uiPriority w:val="99"/>
    <w:tblPr>
      <w:tblBorders>
        <w:top w:val="single" w:color="4F81BD" w:themeColor="accent1" w:sz="4" w:space="0"/>
        <w:bottom w:val="single" w:color="4F81BD" w:themeColor="accent1" w:sz="4" w:space="0"/>
      </w:tblBorders>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36">
    <w:name w:val="List Table 6 Colorful - Accent 2"/>
    <w:basedOn w:val="33"/>
    <w:qFormat/>
    <w:uiPriority w:val="99"/>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37">
    <w:name w:val="List Table 6 Colorful - Accent 3"/>
    <w:basedOn w:val="33"/>
    <w:qFormat/>
    <w:uiPriority w:val="99"/>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38">
    <w:name w:val="List Table 6 Colorful - Accent 4"/>
    <w:basedOn w:val="33"/>
    <w:qFormat/>
    <w:uiPriority w:val="99"/>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39">
    <w:name w:val="List Table 6 Colorful - Accent 5"/>
    <w:basedOn w:val="33"/>
    <w:qFormat/>
    <w:uiPriority w:val="99"/>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40">
    <w:name w:val="List Table 6 Colorful - Accent 6"/>
    <w:basedOn w:val="33"/>
    <w:qFormat/>
    <w:uiPriority w:val="99"/>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41">
    <w:name w:val="清单表 7 彩色1"/>
    <w:basedOn w:val="33"/>
    <w:qFormat/>
    <w:uiPriority w:val="99"/>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42">
    <w:name w:val="List Table 7 Colorful - Accent 1"/>
    <w:basedOn w:val="33"/>
    <w:qFormat/>
    <w:uiPriority w:val="99"/>
    <w:tblPr>
      <w:tblBorders>
        <w:right w:val="single" w:color="4F81BD" w:themeColor="accent1" w:sz="4" w:space="0"/>
      </w:tblBorders>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43">
    <w:name w:val="List Table 7 Colorful - Accent 2"/>
    <w:basedOn w:val="33"/>
    <w:qFormat/>
    <w:uiPriority w:val="99"/>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44">
    <w:name w:val="List Table 7 Colorful - Accent 3"/>
    <w:basedOn w:val="33"/>
    <w:qFormat/>
    <w:uiPriority w:val="99"/>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45">
    <w:name w:val="List Table 7 Colorful - Accent 4"/>
    <w:basedOn w:val="33"/>
    <w:qFormat/>
    <w:uiPriority w:val="99"/>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46">
    <w:name w:val="List Table 7 Colorful - Accent 5"/>
    <w:basedOn w:val="33"/>
    <w:qFormat/>
    <w:uiPriority w:val="99"/>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47">
    <w:name w:val="List Table 7 Colorful - Accent 6"/>
    <w:basedOn w:val="33"/>
    <w:qFormat/>
    <w:uiPriority w:val="99"/>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48">
    <w:name w:val="Lined - Accent"/>
    <w:basedOn w:val="33"/>
    <w:qFormat/>
    <w:uiPriority w:val="99"/>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49">
    <w:name w:val="Lined - Accent 1"/>
    <w:basedOn w:val="33"/>
    <w:qFormat/>
    <w:uiPriority w:val="99"/>
    <w:rPr>
      <w:color w:val="404040"/>
    </w:r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50">
    <w:name w:val="Lined - Accent 2"/>
    <w:basedOn w:val="33"/>
    <w:qFormat/>
    <w:uiPriority w:val="99"/>
    <w:rPr>
      <w:color w:val="404040"/>
    </w:r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51">
    <w:name w:val="Lined - Accent 3"/>
    <w:basedOn w:val="33"/>
    <w:qFormat/>
    <w:uiPriority w:val="99"/>
    <w:rPr>
      <w:color w:val="404040"/>
    </w:r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52">
    <w:name w:val="Lined - Accent 4"/>
    <w:basedOn w:val="33"/>
    <w:qFormat/>
    <w:uiPriority w:val="99"/>
    <w:rPr>
      <w:color w:val="404040"/>
    </w:r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53">
    <w:name w:val="Lined - Accent 5"/>
    <w:basedOn w:val="33"/>
    <w:qFormat/>
    <w:uiPriority w:val="99"/>
    <w:rPr>
      <w:color w:val="404040"/>
    </w:r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54">
    <w:name w:val="Lined - Accent 6"/>
    <w:basedOn w:val="33"/>
    <w:qFormat/>
    <w:uiPriority w:val="99"/>
    <w:rPr>
      <w:color w:val="404040"/>
    </w:r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55">
    <w:name w:val="Bordered &amp; Lined - Accent"/>
    <w:basedOn w:val="33"/>
    <w:qFormat/>
    <w:uiPriority w:val="99"/>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56">
    <w:name w:val="Bordered &amp; Lined - Accent 1"/>
    <w:basedOn w:val="33"/>
    <w:qFormat/>
    <w:uiPriority w:val="99"/>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57">
    <w:name w:val="Bordered &amp; Lined - Accent 2"/>
    <w:basedOn w:val="33"/>
    <w:qFormat/>
    <w:uiPriority w:val="99"/>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58">
    <w:name w:val="Bordered &amp; Lined - Accent 3"/>
    <w:basedOn w:val="33"/>
    <w:qFormat/>
    <w:uiPriority w:val="99"/>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59">
    <w:name w:val="Bordered &amp; Lined - Accent 4"/>
    <w:basedOn w:val="33"/>
    <w:qFormat/>
    <w:uiPriority w:val="99"/>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60">
    <w:name w:val="Bordered &amp; Lined - Accent 5"/>
    <w:basedOn w:val="33"/>
    <w:qFormat/>
    <w:uiPriority w:val="99"/>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61">
    <w:name w:val="Bordered &amp; Lined - Accent 6"/>
    <w:basedOn w:val="33"/>
    <w:qFormat/>
    <w:uiPriority w:val="99"/>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62">
    <w:name w:val="Bordered"/>
    <w:basedOn w:val="33"/>
    <w:qFormat/>
    <w:uiPriority w:val="99"/>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63">
    <w:name w:val="Bordered - Accent 1"/>
    <w:basedOn w:val="33"/>
    <w:qFormat/>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64">
    <w:name w:val="Bordered - Accent 2"/>
    <w:basedOn w:val="33"/>
    <w:qFormat/>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65">
    <w:name w:val="Bordered - Accent 3"/>
    <w:basedOn w:val="33"/>
    <w:qFormat/>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66">
    <w:name w:val="Bordered - Accent 4"/>
    <w:basedOn w:val="33"/>
    <w:qFormat/>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67">
    <w:name w:val="Bordered - Accent 5"/>
    <w:basedOn w:val="33"/>
    <w:qFormat/>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168">
    <w:name w:val="Bordered - Accent 6"/>
    <w:basedOn w:val="33"/>
    <w:qFormat/>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169">
    <w:name w:val="标题 6 字符1"/>
    <w:basedOn w:val="35"/>
    <w:link w:val="10"/>
    <w:qFormat/>
    <w:uiPriority w:val="9"/>
    <w:rPr>
      <w:rFonts w:ascii="Arial" w:hAnsi="Arial" w:eastAsia="Arial" w:cs="Arial"/>
      <w:i/>
      <w:iCs/>
      <w:color w:val="595959" w:themeColor="text1" w:themeTint="A6"/>
      <w14:textFill>
        <w14:solidFill>
          <w14:schemeClr w14:val="tx1">
            <w14:lumMod w14:val="65000"/>
            <w14:lumOff w14:val="35000"/>
          </w14:schemeClr>
        </w14:solidFill>
      </w14:textFill>
    </w:rPr>
  </w:style>
  <w:style w:type="character" w:customStyle="1" w:styleId="170">
    <w:name w:val="标题 7 字符1"/>
    <w:basedOn w:val="35"/>
    <w:link w:val="11"/>
    <w:qFormat/>
    <w:uiPriority w:val="9"/>
    <w:rPr>
      <w:rFonts w:ascii="Arial" w:hAnsi="Arial" w:eastAsia="Arial" w:cs="Arial"/>
      <w:color w:val="595959" w:themeColor="text1" w:themeTint="A6"/>
      <w14:textFill>
        <w14:solidFill>
          <w14:schemeClr w14:val="tx1">
            <w14:lumMod w14:val="65000"/>
            <w14:lumOff w14:val="35000"/>
          </w14:schemeClr>
        </w14:solidFill>
      </w14:textFill>
    </w:rPr>
  </w:style>
  <w:style w:type="character" w:customStyle="1" w:styleId="171">
    <w:name w:val="标题 8 字符1"/>
    <w:basedOn w:val="35"/>
    <w:link w:val="12"/>
    <w:qFormat/>
    <w:uiPriority w:val="9"/>
    <w:rPr>
      <w:rFonts w:ascii="Arial" w:hAnsi="Arial" w:eastAsia="Arial" w:cs="Arial"/>
      <w:i/>
      <w:iCs/>
      <w:color w:val="262626" w:themeColor="text1" w:themeTint="D9"/>
      <w14:textFill>
        <w14:solidFill>
          <w14:schemeClr w14:val="tx1">
            <w14:lumMod w14:val="85000"/>
            <w14:lumOff w14:val="15000"/>
          </w14:schemeClr>
        </w14:solidFill>
      </w14:textFill>
    </w:rPr>
  </w:style>
  <w:style w:type="character" w:customStyle="1" w:styleId="172">
    <w:name w:val="标题 9 字符1"/>
    <w:basedOn w:val="35"/>
    <w:link w:val="13"/>
    <w:qFormat/>
    <w:uiPriority w:val="9"/>
    <w:rPr>
      <w:rFonts w:ascii="Arial" w:hAnsi="Arial" w:eastAsia="Arial" w:cs="Arial"/>
      <w:i/>
      <w:iCs/>
      <w:color w:val="262626" w:themeColor="text1" w:themeTint="D9"/>
      <w14:textFill>
        <w14:solidFill>
          <w14:schemeClr w14:val="tx1">
            <w14:lumMod w14:val="85000"/>
            <w14:lumOff w14:val="15000"/>
          </w14:schemeClr>
        </w14:solidFill>
      </w14:textFill>
    </w:rPr>
  </w:style>
  <w:style w:type="character" w:customStyle="1" w:styleId="173">
    <w:name w:val="副标题 字符1"/>
    <w:basedOn w:val="35"/>
    <w:link w:val="25"/>
    <w:qFormat/>
    <w:uiPriority w:val="11"/>
    <w:rPr>
      <w:color w:val="595959" w:themeColor="text1" w:themeTint="A6"/>
      <w:spacing w:val="15"/>
      <w:sz w:val="28"/>
      <w:szCs w:val="28"/>
      <w14:textFill>
        <w14:solidFill>
          <w14:schemeClr w14:val="tx1">
            <w14:lumMod w14:val="65000"/>
            <w14:lumOff w14:val="35000"/>
          </w14:schemeClr>
        </w14:solidFill>
      </w14:textFill>
    </w:rPr>
  </w:style>
  <w:style w:type="paragraph" w:styleId="174">
    <w:name w:val="Quote"/>
    <w:basedOn w:val="1"/>
    <w:next w:val="1"/>
    <w:link w:val="175"/>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175">
    <w:name w:val="引用 字符"/>
    <w:basedOn w:val="35"/>
    <w:link w:val="174"/>
    <w:qFormat/>
    <w:uiPriority w:val="29"/>
    <w:rPr>
      <w:i/>
      <w:iCs/>
      <w:color w:val="404040" w:themeColor="text1" w:themeTint="BF"/>
      <w14:textFill>
        <w14:solidFill>
          <w14:schemeClr w14:val="tx1">
            <w14:lumMod w14:val="75000"/>
            <w14:lumOff w14:val="25000"/>
          </w14:schemeClr>
        </w14:solidFill>
      </w14:textFill>
    </w:rPr>
  </w:style>
  <w:style w:type="character" w:customStyle="1" w:styleId="176">
    <w:name w:val="明显强调1"/>
    <w:basedOn w:val="35"/>
    <w:qFormat/>
    <w:uiPriority w:val="21"/>
    <w:rPr>
      <w:i/>
      <w:iCs/>
      <w:color w:val="376092" w:themeColor="accent1" w:themeShade="BF"/>
    </w:rPr>
  </w:style>
  <w:style w:type="paragraph" w:styleId="177">
    <w:name w:val="Intense Quote"/>
    <w:basedOn w:val="1"/>
    <w:next w:val="1"/>
    <w:link w:val="178"/>
    <w:qFormat/>
    <w:uiPriority w:val="30"/>
    <w:pPr>
      <w:pBdr>
        <w:top w:val="single" w:color="366091" w:themeColor="accent1" w:themeShade="BF" w:sz="4" w:space="10"/>
        <w:bottom w:val="single" w:color="366091" w:themeColor="accent1" w:themeShade="BF" w:sz="4" w:space="10"/>
      </w:pBdr>
      <w:spacing w:before="360" w:after="360"/>
      <w:ind w:left="864" w:right="864"/>
      <w:jc w:val="center"/>
    </w:pPr>
    <w:rPr>
      <w:i/>
      <w:iCs/>
      <w:color w:val="376092" w:themeColor="accent1" w:themeShade="BF"/>
    </w:rPr>
  </w:style>
  <w:style w:type="character" w:customStyle="1" w:styleId="178">
    <w:name w:val="明显引用 字符"/>
    <w:basedOn w:val="35"/>
    <w:link w:val="177"/>
    <w:qFormat/>
    <w:uiPriority w:val="30"/>
    <w:rPr>
      <w:i/>
      <w:iCs/>
      <w:color w:val="376092" w:themeColor="accent1" w:themeShade="BF"/>
    </w:rPr>
  </w:style>
  <w:style w:type="character" w:customStyle="1" w:styleId="179">
    <w:name w:val="明显参考1"/>
    <w:basedOn w:val="35"/>
    <w:qFormat/>
    <w:uiPriority w:val="32"/>
    <w:rPr>
      <w:b/>
      <w:bCs/>
      <w:smallCaps/>
      <w:color w:val="376092" w:themeColor="accent1" w:themeShade="BF"/>
      <w:spacing w:val="5"/>
    </w:rPr>
  </w:style>
  <w:style w:type="paragraph" w:styleId="180">
    <w:name w:val="No Spacing"/>
    <w:basedOn w:val="1"/>
    <w:qFormat/>
    <w:uiPriority w:val="1"/>
  </w:style>
  <w:style w:type="character" w:customStyle="1" w:styleId="181">
    <w:name w:val="不明显强调1"/>
    <w:basedOn w:val="35"/>
    <w:qFormat/>
    <w:uiPriority w:val="19"/>
    <w:rPr>
      <w:i/>
      <w:iCs/>
      <w:color w:val="404040" w:themeColor="text1" w:themeTint="BF"/>
      <w14:textFill>
        <w14:solidFill>
          <w14:schemeClr w14:val="tx1">
            <w14:lumMod w14:val="75000"/>
            <w14:lumOff w14:val="25000"/>
          </w14:schemeClr>
        </w14:solidFill>
      </w14:textFill>
    </w:rPr>
  </w:style>
  <w:style w:type="character" w:customStyle="1" w:styleId="182">
    <w:name w:val="不明显参考1"/>
    <w:basedOn w:val="35"/>
    <w:qFormat/>
    <w:uiPriority w:val="31"/>
    <w:rPr>
      <w:smallCaps/>
      <w:color w:val="595959" w:themeColor="text1" w:themeTint="A6"/>
      <w14:textFill>
        <w14:solidFill>
          <w14:schemeClr w14:val="tx1">
            <w14:lumMod w14:val="65000"/>
            <w14:lumOff w14:val="35000"/>
          </w14:schemeClr>
        </w14:solidFill>
      </w14:textFill>
    </w:rPr>
  </w:style>
  <w:style w:type="character" w:customStyle="1" w:styleId="183">
    <w:name w:val="书籍标题1"/>
    <w:basedOn w:val="35"/>
    <w:qFormat/>
    <w:uiPriority w:val="33"/>
    <w:rPr>
      <w:b/>
      <w:bCs/>
      <w:i/>
      <w:iCs/>
      <w:spacing w:val="5"/>
    </w:rPr>
  </w:style>
  <w:style w:type="character" w:customStyle="1" w:styleId="184">
    <w:name w:val="尾注文本 字符"/>
    <w:basedOn w:val="35"/>
    <w:link w:val="20"/>
    <w:semiHidden/>
    <w:qFormat/>
    <w:uiPriority w:val="99"/>
    <w:rPr>
      <w:sz w:val="20"/>
      <w:szCs w:val="20"/>
    </w:rPr>
  </w:style>
  <w:style w:type="character" w:styleId="185">
    <w:name w:val="Placeholder Text"/>
    <w:basedOn w:val="35"/>
    <w:semiHidden/>
    <w:qFormat/>
    <w:uiPriority w:val="99"/>
    <w:rPr>
      <w:color w:val="666666"/>
    </w:rPr>
  </w:style>
  <w:style w:type="paragraph" w:customStyle="1" w:styleId="186">
    <w:name w:val="TOC 标题1"/>
    <w:unhideWhenUsed/>
    <w:qFormat/>
    <w:uiPriority w:val="39"/>
    <w:rPr>
      <w:rFonts w:ascii="Times New Roman" w:hAnsi="Times New Roman" w:eastAsia="宋体" w:cs="Times New Roman"/>
      <w:lang w:val="en-US" w:eastAsia="zh-CN" w:bidi="ar-SA"/>
    </w:rPr>
  </w:style>
  <w:style w:type="paragraph" w:customStyle="1" w:styleId="187">
    <w:name w:val="标题 11"/>
    <w:basedOn w:val="1"/>
    <w:next w:val="1"/>
    <w:link w:val="199"/>
    <w:qFormat/>
    <w:uiPriority w:val="0"/>
    <w:pPr>
      <w:keepNext/>
      <w:keepLines/>
      <w:spacing w:before="340" w:after="330" w:line="578" w:lineRule="auto"/>
      <w:outlineLvl w:val="0"/>
    </w:pPr>
    <w:rPr>
      <w:b/>
      <w:bCs/>
      <w:sz w:val="44"/>
      <w:szCs w:val="44"/>
    </w:rPr>
  </w:style>
  <w:style w:type="paragraph" w:customStyle="1" w:styleId="188">
    <w:name w:val="标题 21"/>
    <w:basedOn w:val="1"/>
    <w:next w:val="1"/>
    <w:link w:val="200"/>
    <w:qFormat/>
    <w:uiPriority w:val="9"/>
    <w:pPr>
      <w:keepNext/>
      <w:keepLines/>
      <w:spacing w:before="260" w:after="260" w:line="416" w:lineRule="auto"/>
      <w:outlineLvl w:val="1"/>
    </w:pPr>
    <w:rPr>
      <w:rFonts w:ascii="Cambria" w:hAnsi="Cambria"/>
      <w:b/>
      <w:bCs/>
      <w:sz w:val="32"/>
      <w:szCs w:val="32"/>
    </w:rPr>
  </w:style>
  <w:style w:type="paragraph" w:customStyle="1" w:styleId="189">
    <w:name w:val="标题 31"/>
    <w:basedOn w:val="1"/>
    <w:next w:val="1"/>
    <w:link w:val="201"/>
    <w:qFormat/>
    <w:uiPriority w:val="0"/>
    <w:pPr>
      <w:keepNext/>
      <w:keepLines/>
      <w:spacing w:before="260" w:after="260" w:line="416" w:lineRule="auto"/>
      <w:outlineLvl w:val="2"/>
    </w:pPr>
    <w:rPr>
      <w:b/>
      <w:bCs/>
      <w:sz w:val="32"/>
      <w:szCs w:val="32"/>
    </w:rPr>
  </w:style>
  <w:style w:type="paragraph" w:customStyle="1" w:styleId="190">
    <w:name w:val="标题 41"/>
    <w:basedOn w:val="1"/>
    <w:next w:val="1"/>
    <w:link w:val="202"/>
    <w:qFormat/>
    <w:uiPriority w:val="9"/>
    <w:pPr>
      <w:keepNext/>
      <w:keepLines/>
      <w:spacing w:line="360" w:lineRule="auto"/>
      <w:outlineLvl w:val="3"/>
    </w:pPr>
    <w:rPr>
      <w:rFonts w:ascii="Arial" w:hAnsi="Arial"/>
      <w:b/>
      <w:bCs/>
      <w:sz w:val="28"/>
      <w:szCs w:val="28"/>
    </w:rPr>
  </w:style>
  <w:style w:type="paragraph" w:customStyle="1" w:styleId="191">
    <w:name w:val="标题 51"/>
    <w:basedOn w:val="1"/>
    <w:next w:val="43"/>
    <w:link w:val="203"/>
    <w:qFormat/>
    <w:uiPriority w:val="99"/>
    <w:pPr>
      <w:keepNext/>
      <w:keepLines/>
      <w:spacing w:before="280" w:after="290" w:line="376" w:lineRule="auto"/>
      <w:outlineLvl w:val="4"/>
    </w:pPr>
    <w:rPr>
      <w:b/>
      <w:bCs/>
      <w:sz w:val="28"/>
      <w:szCs w:val="28"/>
    </w:rPr>
  </w:style>
  <w:style w:type="paragraph" w:customStyle="1" w:styleId="192">
    <w:name w:val="标题 61"/>
    <w:basedOn w:val="1"/>
    <w:next w:val="1"/>
    <w:link w:val="204"/>
    <w:qFormat/>
    <w:uiPriority w:val="9"/>
    <w:pPr>
      <w:keepNext/>
      <w:keepLines/>
      <w:spacing w:before="240" w:after="64" w:line="317" w:lineRule="auto"/>
      <w:outlineLvl w:val="5"/>
    </w:pPr>
    <w:rPr>
      <w:rFonts w:ascii="Cambria" w:hAnsi="Cambria"/>
      <w:b/>
      <w:bCs/>
      <w:sz w:val="24"/>
    </w:rPr>
  </w:style>
  <w:style w:type="paragraph" w:customStyle="1" w:styleId="193">
    <w:name w:val="标题 71"/>
    <w:basedOn w:val="1"/>
    <w:next w:val="1"/>
    <w:link w:val="205"/>
    <w:qFormat/>
    <w:uiPriority w:val="0"/>
    <w:pPr>
      <w:keepNext/>
      <w:keepLines/>
      <w:spacing w:before="240" w:after="64" w:line="317" w:lineRule="auto"/>
      <w:outlineLvl w:val="6"/>
    </w:pPr>
    <w:rPr>
      <w:b/>
      <w:bCs/>
      <w:sz w:val="24"/>
    </w:rPr>
  </w:style>
  <w:style w:type="paragraph" w:customStyle="1" w:styleId="194">
    <w:name w:val="标题 81"/>
    <w:basedOn w:val="1"/>
    <w:next w:val="1"/>
    <w:link w:val="206"/>
    <w:qFormat/>
    <w:uiPriority w:val="9"/>
    <w:pPr>
      <w:keepNext/>
      <w:keepLines/>
      <w:spacing w:before="240" w:after="64" w:line="320" w:lineRule="auto"/>
      <w:outlineLvl w:val="7"/>
    </w:pPr>
    <w:rPr>
      <w:rFonts w:ascii="等线 Light" w:hAnsi="等线 Light" w:eastAsia="等线 Light"/>
      <w:sz w:val="24"/>
    </w:rPr>
  </w:style>
  <w:style w:type="paragraph" w:customStyle="1" w:styleId="195">
    <w:name w:val="标题 91"/>
    <w:basedOn w:val="1"/>
    <w:next w:val="1"/>
    <w:link w:val="207"/>
    <w:qFormat/>
    <w:uiPriority w:val="0"/>
    <w:pPr>
      <w:keepNext/>
      <w:keepLines/>
      <w:spacing w:before="240" w:after="64" w:line="317" w:lineRule="auto"/>
      <w:outlineLvl w:val="8"/>
    </w:pPr>
    <w:rPr>
      <w:rFonts w:ascii="Cambria" w:hAnsi="Cambria"/>
      <w:sz w:val="20"/>
      <w:szCs w:val="21"/>
    </w:rPr>
  </w:style>
  <w:style w:type="character" w:customStyle="1" w:styleId="196">
    <w:name w:val="默认段落字体1"/>
    <w:unhideWhenUsed/>
    <w:qFormat/>
    <w:uiPriority w:val="1"/>
  </w:style>
  <w:style w:type="table" w:customStyle="1" w:styleId="197">
    <w:name w:val="普通表格1"/>
    <w:unhideWhenUsed/>
    <w:qFormat/>
    <w:uiPriority w:val="99"/>
    <w:tblPr>
      <w:tblCellMar>
        <w:top w:w="0" w:type="dxa"/>
        <w:left w:w="108" w:type="dxa"/>
        <w:bottom w:w="0" w:type="dxa"/>
        <w:right w:w="108" w:type="dxa"/>
      </w:tblCellMar>
    </w:tblPr>
  </w:style>
  <w:style w:type="character" w:customStyle="1" w:styleId="198">
    <w:name w:val="正文缩进 字符"/>
    <w:link w:val="43"/>
    <w:qFormat/>
    <w:uiPriority w:val="99"/>
    <w:rPr>
      <w:sz w:val="21"/>
    </w:rPr>
  </w:style>
  <w:style w:type="character" w:customStyle="1" w:styleId="199">
    <w:name w:val="标题 1 字符"/>
    <w:link w:val="187"/>
    <w:qFormat/>
    <w:uiPriority w:val="0"/>
    <w:rPr>
      <w:b/>
      <w:bCs/>
      <w:sz w:val="44"/>
      <w:szCs w:val="44"/>
    </w:rPr>
  </w:style>
  <w:style w:type="character" w:customStyle="1" w:styleId="200">
    <w:name w:val="标题 2 字符"/>
    <w:link w:val="188"/>
    <w:qFormat/>
    <w:uiPriority w:val="9"/>
    <w:rPr>
      <w:rFonts w:ascii="Cambria" w:hAnsi="Cambria" w:eastAsia="宋体" w:cs="Times New Roman"/>
      <w:b/>
      <w:bCs/>
      <w:sz w:val="32"/>
      <w:szCs w:val="32"/>
    </w:rPr>
  </w:style>
  <w:style w:type="character" w:customStyle="1" w:styleId="201">
    <w:name w:val="标题 3 字符"/>
    <w:link w:val="189"/>
    <w:qFormat/>
    <w:uiPriority w:val="0"/>
    <w:rPr>
      <w:b/>
      <w:bCs/>
      <w:sz w:val="32"/>
      <w:szCs w:val="32"/>
    </w:rPr>
  </w:style>
  <w:style w:type="character" w:customStyle="1" w:styleId="202">
    <w:name w:val="标题 4 字符"/>
    <w:link w:val="190"/>
    <w:qFormat/>
    <w:uiPriority w:val="9"/>
    <w:rPr>
      <w:rFonts w:ascii="Arial" w:hAnsi="Arial"/>
      <w:b/>
      <w:bCs/>
      <w:sz w:val="28"/>
      <w:szCs w:val="28"/>
    </w:rPr>
  </w:style>
  <w:style w:type="character" w:customStyle="1" w:styleId="203">
    <w:name w:val="标题 5 字符"/>
    <w:link w:val="191"/>
    <w:qFormat/>
    <w:uiPriority w:val="99"/>
    <w:rPr>
      <w:rFonts w:ascii="Times New Roman" w:hAnsi="Times New Roman"/>
      <w:b/>
      <w:bCs/>
      <w:sz w:val="28"/>
      <w:szCs w:val="28"/>
    </w:rPr>
  </w:style>
  <w:style w:type="character" w:customStyle="1" w:styleId="204">
    <w:name w:val="标题 6 字符"/>
    <w:link w:val="192"/>
    <w:qFormat/>
    <w:uiPriority w:val="9"/>
    <w:rPr>
      <w:rFonts w:ascii="Cambria" w:hAnsi="Cambria"/>
      <w:b/>
      <w:bCs/>
      <w:sz w:val="24"/>
      <w:szCs w:val="24"/>
    </w:rPr>
  </w:style>
  <w:style w:type="character" w:customStyle="1" w:styleId="205">
    <w:name w:val="标题 7 字符"/>
    <w:link w:val="193"/>
    <w:qFormat/>
    <w:uiPriority w:val="0"/>
    <w:rPr>
      <w:b/>
      <w:bCs/>
      <w:sz w:val="24"/>
      <w:szCs w:val="24"/>
    </w:rPr>
  </w:style>
  <w:style w:type="character" w:customStyle="1" w:styleId="206">
    <w:name w:val="标题 8 字符"/>
    <w:link w:val="194"/>
    <w:semiHidden/>
    <w:qFormat/>
    <w:uiPriority w:val="9"/>
    <w:rPr>
      <w:rFonts w:ascii="等线 Light" w:hAnsi="等线 Light" w:eastAsia="等线 Light" w:cs="Times New Roman"/>
      <w:sz w:val="24"/>
      <w:szCs w:val="24"/>
    </w:rPr>
  </w:style>
  <w:style w:type="character" w:customStyle="1" w:styleId="207">
    <w:name w:val="标题 9 字符"/>
    <w:link w:val="195"/>
    <w:qFormat/>
    <w:uiPriority w:val="0"/>
    <w:rPr>
      <w:rFonts w:ascii="Cambria" w:hAnsi="Cambria"/>
      <w:szCs w:val="21"/>
    </w:rPr>
  </w:style>
  <w:style w:type="paragraph" w:customStyle="1" w:styleId="208">
    <w:name w:val="目录 71"/>
    <w:basedOn w:val="1"/>
    <w:next w:val="1"/>
    <w:qFormat/>
    <w:uiPriority w:val="39"/>
    <w:pPr>
      <w:ind w:left="2520"/>
    </w:pPr>
    <w:rPr>
      <w:rFonts w:ascii="Calibri" w:hAnsi="Calibri" w:cs="Calibri"/>
      <w:szCs w:val="21"/>
    </w:rPr>
  </w:style>
  <w:style w:type="paragraph" w:customStyle="1" w:styleId="209">
    <w:name w:val="列表编号1"/>
    <w:basedOn w:val="1"/>
    <w:qFormat/>
    <w:uiPriority w:val="0"/>
    <w:pPr>
      <w:widowControl/>
      <w:tabs>
        <w:tab w:val="left" w:pos="454"/>
        <w:tab w:val="left" w:pos="720"/>
        <w:tab w:val="left" w:pos="840"/>
      </w:tabs>
      <w:spacing w:after="50"/>
      <w:ind w:left="454" w:hanging="284"/>
      <w:jc w:val="left"/>
    </w:pPr>
    <w:rPr>
      <w:sz w:val="24"/>
      <w:szCs w:val="20"/>
    </w:rPr>
  </w:style>
  <w:style w:type="paragraph" w:customStyle="1" w:styleId="210">
    <w:name w:val="题注1"/>
    <w:basedOn w:val="1"/>
    <w:next w:val="1"/>
    <w:qFormat/>
    <w:uiPriority w:val="99"/>
    <w:rPr>
      <w:rFonts w:ascii="Cambria" w:hAnsi="Cambria" w:eastAsia="黑体" w:cs="Cambria"/>
      <w:sz w:val="20"/>
      <w:szCs w:val="20"/>
    </w:rPr>
  </w:style>
  <w:style w:type="paragraph" w:customStyle="1" w:styleId="211">
    <w:name w:val="文档结构图1"/>
    <w:basedOn w:val="1"/>
    <w:link w:val="212"/>
    <w:qFormat/>
    <w:uiPriority w:val="0"/>
    <w:pPr>
      <w:shd w:val="clear" w:color="auto" w:fill="000080"/>
    </w:pPr>
    <w:rPr>
      <w:sz w:val="24"/>
      <w:shd w:val="clear" w:color="auto" w:fill="000080"/>
    </w:rPr>
  </w:style>
  <w:style w:type="character" w:customStyle="1" w:styleId="212">
    <w:name w:val="文档结构图 字符"/>
    <w:link w:val="211"/>
    <w:qFormat/>
    <w:uiPriority w:val="0"/>
    <w:rPr>
      <w:sz w:val="24"/>
      <w:szCs w:val="24"/>
      <w:shd w:val="clear" w:color="auto" w:fill="000080"/>
    </w:rPr>
  </w:style>
  <w:style w:type="paragraph" w:customStyle="1" w:styleId="213">
    <w:name w:val="批注文字1"/>
    <w:basedOn w:val="1"/>
    <w:link w:val="214"/>
    <w:qFormat/>
    <w:uiPriority w:val="99"/>
    <w:pPr>
      <w:jc w:val="left"/>
    </w:pPr>
  </w:style>
  <w:style w:type="character" w:customStyle="1" w:styleId="214">
    <w:name w:val="批注文字 字符2"/>
    <w:link w:val="213"/>
    <w:qFormat/>
    <w:uiPriority w:val="99"/>
    <w:rPr>
      <w:rFonts w:ascii="Times New Roman" w:hAnsi="Times New Roman"/>
      <w:sz w:val="21"/>
      <w:szCs w:val="24"/>
    </w:rPr>
  </w:style>
  <w:style w:type="paragraph" w:customStyle="1" w:styleId="215">
    <w:name w:val="正文文本 31"/>
    <w:basedOn w:val="1"/>
    <w:link w:val="216"/>
    <w:unhideWhenUsed/>
    <w:qFormat/>
    <w:uiPriority w:val="99"/>
    <w:pPr>
      <w:spacing w:after="120"/>
    </w:pPr>
    <w:rPr>
      <w:sz w:val="16"/>
      <w:szCs w:val="16"/>
    </w:rPr>
  </w:style>
  <w:style w:type="character" w:customStyle="1" w:styleId="216">
    <w:name w:val="正文文本 3 字符"/>
    <w:link w:val="215"/>
    <w:semiHidden/>
    <w:qFormat/>
    <w:uiPriority w:val="99"/>
    <w:rPr>
      <w:sz w:val="16"/>
      <w:szCs w:val="16"/>
    </w:rPr>
  </w:style>
  <w:style w:type="paragraph" w:customStyle="1" w:styleId="217">
    <w:name w:val="正文文本1"/>
    <w:basedOn w:val="1"/>
    <w:link w:val="218"/>
    <w:unhideWhenUsed/>
    <w:qFormat/>
    <w:uiPriority w:val="99"/>
    <w:pPr>
      <w:spacing w:after="120"/>
    </w:pPr>
  </w:style>
  <w:style w:type="character" w:customStyle="1" w:styleId="218">
    <w:name w:val="正文文本 字符1"/>
    <w:link w:val="217"/>
    <w:qFormat/>
    <w:uiPriority w:val="99"/>
    <w:rPr>
      <w:rFonts w:ascii="Times New Roman" w:hAnsi="Times New Roman"/>
      <w:sz w:val="21"/>
      <w:szCs w:val="24"/>
    </w:rPr>
  </w:style>
  <w:style w:type="paragraph" w:customStyle="1" w:styleId="219">
    <w:name w:val="正文文本缩进1"/>
    <w:basedOn w:val="1"/>
    <w:link w:val="220"/>
    <w:qFormat/>
    <w:uiPriority w:val="99"/>
    <w:pPr>
      <w:ind w:firstLine="830"/>
    </w:pPr>
    <w:rPr>
      <w:rFonts w:ascii="仿宋_GB2312" w:eastAsia="仿宋_GB2312"/>
      <w:sz w:val="32"/>
      <w:szCs w:val="20"/>
    </w:rPr>
  </w:style>
  <w:style w:type="character" w:customStyle="1" w:styleId="220">
    <w:name w:val="正文文本缩进 字符"/>
    <w:link w:val="219"/>
    <w:qFormat/>
    <w:uiPriority w:val="99"/>
    <w:rPr>
      <w:rFonts w:ascii="仿宋_GB2312" w:hAnsi="Times New Roman" w:eastAsia="仿宋_GB2312" w:cs="Times New Roman"/>
      <w:sz w:val="32"/>
      <w:szCs w:val="20"/>
    </w:rPr>
  </w:style>
  <w:style w:type="paragraph" w:customStyle="1" w:styleId="221">
    <w:name w:val="列表 21"/>
    <w:basedOn w:val="1"/>
    <w:unhideWhenUsed/>
    <w:qFormat/>
    <w:uiPriority w:val="99"/>
    <w:pPr>
      <w:ind w:left="100" w:hanging="200"/>
      <w:contextualSpacing/>
    </w:pPr>
  </w:style>
  <w:style w:type="paragraph" w:customStyle="1" w:styleId="222">
    <w:name w:val="文本块1"/>
    <w:basedOn w:val="1"/>
    <w:qFormat/>
    <w:uiPriority w:val="0"/>
    <w:pPr>
      <w:ind w:left="420" w:right="33"/>
    </w:pPr>
    <w:rPr>
      <w:sz w:val="24"/>
      <w:szCs w:val="20"/>
    </w:rPr>
  </w:style>
  <w:style w:type="paragraph" w:customStyle="1" w:styleId="223">
    <w:name w:val="索引 41"/>
    <w:basedOn w:val="1"/>
    <w:next w:val="1"/>
    <w:semiHidden/>
    <w:qFormat/>
    <w:uiPriority w:val="99"/>
    <w:pPr>
      <w:ind w:left="600"/>
    </w:pPr>
    <w:rPr>
      <w:szCs w:val="21"/>
    </w:rPr>
  </w:style>
  <w:style w:type="paragraph" w:customStyle="1" w:styleId="224">
    <w:name w:val="目录 51"/>
    <w:basedOn w:val="1"/>
    <w:next w:val="1"/>
    <w:qFormat/>
    <w:uiPriority w:val="39"/>
    <w:pPr>
      <w:ind w:left="1680"/>
    </w:pPr>
    <w:rPr>
      <w:rFonts w:ascii="Calibri" w:hAnsi="Calibri" w:cs="Calibri"/>
      <w:szCs w:val="21"/>
    </w:rPr>
  </w:style>
  <w:style w:type="paragraph" w:customStyle="1" w:styleId="225">
    <w:name w:val="目录 31"/>
    <w:basedOn w:val="1"/>
    <w:next w:val="1"/>
    <w:qFormat/>
    <w:uiPriority w:val="39"/>
    <w:pPr>
      <w:ind w:left="840"/>
    </w:pPr>
    <w:rPr>
      <w:szCs w:val="21"/>
    </w:rPr>
  </w:style>
  <w:style w:type="paragraph" w:customStyle="1" w:styleId="226">
    <w:name w:val="纯文本1"/>
    <w:basedOn w:val="1"/>
    <w:link w:val="227"/>
    <w:qFormat/>
    <w:uiPriority w:val="0"/>
    <w:rPr>
      <w:rFonts w:ascii="宋体" w:hAnsi="Courier New"/>
      <w:sz w:val="20"/>
      <w:szCs w:val="21"/>
    </w:rPr>
  </w:style>
  <w:style w:type="character" w:customStyle="1" w:styleId="227">
    <w:name w:val="纯文本 字符3"/>
    <w:link w:val="226"/>
    <w:qFormat/>
    <w:uiPriority w:val="99"/>
    <w:rPr>
      <w:rFonts w:ascii="宋体" w:hAnsi="Courier New" w:eastAsia="宋体" w:cs="Courier New"/>
      <w:szCs w:val="21"/>
    </w:rPr>
  </w:style>
  <w:style w:type="paragraph" w:customStyle="1" w:styleId="228">
    <w:name w:val="目录 81"/>
    <w:basedOn w:val="1"/>
    <w:next w:val="1"/>
    <w:qFormat/>
    <w:uiPriority w:val="39"/>
    <w:pPr>
      <w:ind w:left="2940"/>
    </w:pPr>
    <w:rPr>
      <w:rFonts w:ascii="Calibri" w:hAnsi="Calibri" w:cs="Calibri"/>
      <w:szCs w:val="21"/>
    </w:rPr>
  </w:style>
  <w:style w:type="paragraph" w:customStyle="1" w:styleId="229">
    <w:name w:val="日期1"/>
    <w:basedOn w:val="1"/>
    <w:next w:val="1"/>
    <w:link w:val="230"/>
    <w:unhideWhenUsed/>
    <w:qFormat/>
    <w:uiPriority w:val="99"/>
    <w:pPr>
      <w:ind w:left="100"/>
    </w:pPr>
  </w:style>
  <w:style w:type="character" w:customStyle="1" w:styleId="230">
    <w:name w:val="日期 字符"/>
    <w:link w:val="229"/>
    <w:qFormat/>
    <w:uiPriority w:val="99"/>
    <w:rPr>
      <w:rFonts w:ascii="Times New Roman" w:hAnsi="Times New Roman"/>
      <w:sz w:val="21"/>
      <w:szCs w:val="24"/>
    </w:rPr>
  </w:style>
  <w:style w:type="paragraph" w:customStyle="1" w:styleId="231">
    <w:name w:val="正文文本缩进 21"/>
    <w:basedOn w:val="1"/>
    <w:link w:val="232"/>
    <w:qFormat/>
    <w:uiPriority w:val="99"/>
    <w:pPr>
      <w:spacing w:after="120" w:line="480" w:lineRule="auto"/>
      <w:ind w:left="420"/>
    </w:pPr>
    <w:rPr>
      <w:sz w:val="24"/>
    </w:rPr>
  </w:style>
  <w:style w:type="character" w:customStyle="1" w:styleId="232">
    <w:name w:val="正文文本缩进 2 字符"/>
    <w:link w:val="231"/>
    <w:qFormat/>
    <w:uiPriority w:val="99"/>
    <w:rPr>
      <w:sz w:val="24"/>
      <w:szCs w:val="24"/>
    </w:rPr>
  </w:style>
  <w:style w:type="paragraph" w:customStyle="1" w:styleId="233">
    <w:name w:val="批注框文本1"/>
    <w:basedOn w:val="1"/>
    <w:link w:val="234"/>
    <w:qFormat/>
    <w:uiPriority w:val="0"/>
    <w:rPr>
      <w:sz w:val="18"/>
      <w:szCs w:val="18"/>
    </w:rPr>
  </w:style>
  <w:style w:type="character" w:customStyle="1" w:styleId="234">
    <w:name w:val="批注框文本 字符"/>
    <w:link w:val="233"/>
    <w:qFormat/>
    <w:uiPriority w:val="0"/>
    <w:rPr>
      <w:sz w:val="18"/>
      <w:szCs w:val="18"/>
    </w:rPr>
  </w:style>
  <w:style w:type="paragraph" w:customStyle="1" w:styleId="235">
    <w:name w:val="页脚1"/>
    <w:basedOn w:val="1"/>
    <w:next w:val="1"/>
    <w:link w:val="236"/>
    <w:unhideWhenUsed/>
    <w:qFormat/>
    <w:uiPriority w:val="99"/>
    <w:pPr>
      <w:tabs>
        <w:tab w:val="center" w:pos="4153"/>
        <w:tab w:val="right" w:pos="8306"/>
      </w:tabs>
      <w:jc w:val="left"/>
    </w:pPr>
    <w:rPr>
      <w:sz w:val="18"/>
      <w:szCs w:val="18"/>
    </w:rPr>
  </w:style>
  <w:style w:type="character" w:customStyle="1" w:styleId="236">
    <w:name w:val="页脚 字符"/>
    <w:link w:val="235"/>
    <w:qFormat/>
    <w:uiPriority w:val="99"/>
    <w:rPr>
      <w:sz w:val="18"/>
      <w:szCs w:val="18"/>
    </w:rPr>
  </w:style>
  <w:style w:type="paragraph" w:customStyle="1" w:styleId="237">
    <w:name w:val="页眉1"/>
    <w:basedOn w:val="1"/>
    <w:link w:val="238"/>
    <w:unhideWhenUsed/>
    <w:qFormat/>
    <w:uiPriority w:val="0"/>
    <w:pPr>
      <w:pBdr>
        <w:bottom w:val="single" w:color="000000" w:sz="6" w:space="1"/>
      </w:pBdr>
      <w:tabs>
        <w:tab w:val="center" w:pos="4153"/>
        <w:tab w:val="right" w:pos="8306"/>
      </w:tabs>
      <w:jc w:val="center"/>
    </w:pPr>
    <w:rPr>
      <w:sz w:val="18"/>
      <w:szCs w:val="18"/>
    </w:rPr>
  </w:style>
  <w:style w:type="character" w:customStyle="1" w:styleId="238">
    <w:name w:val="页眉 字符"/>
    <w:link w:val="237"/>
    <w:qFormat/>
    <w:uiPriority w:val="0"/>
    <w:rPr>
      <w:sz w:val="18"/>
      <w:szCs w:val="18"/>
    </w:rPr>
  </w:style>
  <w:style w:type="paragraph" w:customStyle="1" w:styleId="239">
    <w:name w:val="目录 11"/>
    <w:basedOn w:val="1"/>
    <w:next w:val="1"/>
    <w:unhideWhenUsed/>
    <w:qFormat/>
    <w:uiPriority w:val="39"/>
  </w:style>
  <w:style w:type="paragraph" w:customStyle="1" w:styleId="240">
    <w:name w:val="目录 41"/>
    <w:basedOn w:val="1"/>
    <w:next w:val="1"/>
    <w:qFormat/>
    <w:uiPriority w:val="39"/>
    <w:pPr>
      <w:ind w:left="1260"/>
    </w:pPr>
    <w:rPr>
      <w:rFonts w:ascii="Calibri" w:hAnsi="Calibri" w:cs="Calibri"/>
      <w:szCs w:val="21"/>
    </w:rPr>
  </w:style>
  <w:style w:type="paragraph" w:customStyle="1" w:styleId="241">
    <w:name w:val="副标题1"/>
    <w:basedOn w:val="1"/>
    <w:next w:val="1"/>
    <w:link w:val="242"/>
    <w:qFormat/>
    <w:uiPriority w:val="11"/>
    <w:pPr>
      <w:spacing w:before="240" w:after="60" w:line="312" w:lineRule="auto"/>
      <w:jc w:val="center"/>
      <w:outlineLvl w:val="1"/>
    </w:pPr>
    <w:rPr>
      <w:rFonts w:ascii="Cambria" w:hAnsi="Cambria"/>
      <w:b/>
      <w:bCs/>
      <w:sz w:val="32"/>
      <w:szCs w:val="32"/>
    </w:rPr>
  </w:style>
  <w:style w:type="character" w:customStyle="1" w:styleId="242">
    <w:name w:val="副标题 字符"/>
    <w:link w:val="241"/>
    <w:qFormat/>
    <w:uiPriority w:val="11"/>
    <w:rPr>
      <w:rFonts w:ascii="Cambria" w:hAnsi="Cambria"/>
      <w:b/>
      <w:bCs/>
      <w:sz w:val="32"/>
      <w:szCs w:val="32"/>
    </w:rPr>
  </w:style>
  <w:style w:type="paragraph" w:customStyle="1" w:styleId="243">
    <w:name w:val="脚注文本1"/>
    <w:basedOn w:val="1"/>
    <w:link w:val="244"/>
    <w:qFormat/>
    <w:uiPriority w:val="0"/>
    <w:pPr>
      <w:spacing w:line="312" w:lineRule="atLeast"/>
      <w:jc w:val="left"/>
    </w:pPr>
    <w:rPr>
      <w:sz w:val="18"/>
      <w:szCs w:val="18"/>
    </w:rPr>
  </w:style>
  <w:style w:type="character" w:customStyle="1" w:styleId="244">
    <w:name w:val="脚注文本 字符"/>
    <w:link w:val="243"/>
    <w:semiHidden/>
    <w:qFormat/>
    <w:uiPriority w:val="0"/>
    <w:rPr>
      <w:sz w:val="18"/>
      <w:szCs w:val="18"/>
    </w:rPr>
  </w:style>
  <w:style w:type="paragraph" w:customStyle="1" w:styleId="245">
    <w:name w:val="目录 61"/>
    <w:basedOn w:val="1"/>
    <w:next w:val="1"/>
    <w:qFormat/>
    <w:uiPriority w:val="39"/>
    <w:pPr>
      <w:ind w:left="2100"/>
    </w:pPr>
    <w:rPr>
      <w:rFonts w:ascii="Calibri" w:hAnsi="Calibri" w:cs="Calibri"/>
      <w:szCs w:val="21"/>
    </w:rPr>
  </w:style>
  <w:style w:type="paragraph" w:customStyle="1" w:styleId="246">
    <w:name w:val="目录 21"/>
    <w:basedOn w:val="1"/>
    <w:next w:val="1"/>
    <w:unhideWhenUsed/>
    <w:qFormat/>
    <w:uiPriority w:val="39"/>
    <w:pPr>
      <w:tabs>
        <w:tab w:val="right" w:leader="dot" w:pos="8296"/>
      </w:tabs>
      <w:ind w:left="420"/>
    </w:pPr>
  </w:style>
  <w:style w:type="paragraph" w:customStyle="1" w:styleId="247">
    <w:name w:val="目录 91"/>
    <w:basedOn w:val="1"/>
    <w:next w:val="1"/>
    <w:qFormat/>
    <w:uiPriority w:val="39"/>
    <w:pPr>
      <w:ind w:left="3360"/>
    </w:pPr>
    <w:rPr>
      <w:rFonts w:ascii="Calibri" w:hAnsi="Calibri" w:cs="Calibri"/>
      <w:szCs w:val="21"/>
    </w:rPr>
  </w:style>
  <w:style w:type="paragraph" w:customStyle="1" w:styleId="248">
    <w:name w:val="HTML 预设格式1"/>
    <w:basedOn w:val="1"/>
    <w:link w:val="249"/>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sz w:val="24"/>
    </w:rPr>
  </w:style>
  <w:style w:type="character" w:customStyle="1" w:styleId="249">
    <w:name w:val="HTML 预设格式 字符"/>
    <w:link w:val="248"/>
    <w:qFormat/>
    <w:uiPriority w:val="99"/>
    <w:rPr>
      <w:rFonts w:ascii="宋体" w:hAnsi="宋体"/>
      <w:sz w:val="24"/>
      <w:szCs w:val="24"/>
    </w:rPr>
  </w:style>
  <w:style w:type="paragraph" w:customStyle="1" w:styleId="250">
    <w:name w:val="普通(网站)1"/>
    <w:basedOn w:val="1"/>
    <w:unhideWhenUsed/>
    <w:qFormat/>
    <w:uiPriority w:val="0"/>
    <w:rPr>
      <w:rFonts w:ascii="Calibri" w:hAnsi="Calibri"/>
      <w:sz w:val="24"/>
    </w:rPr>
  </w:style>
  <w:style w:type="paragraph" w:customStyle="1" w:styleId="251">
    <w:name w:val="标题1"/>
    <w:basedOn w:val="1"/>
    <w:next w:val="1"/>
    <w:link w:val="252"/>
    <w:qFormat/>
    <w:uiPriority w:val="0"/>
    <w:pPr>
      <w:spacing w:before="240" w:after="60"/>
      <w:jc w:val="center"/>
      <w:outlineLvl w:val="0"/>
    </w:pPr>
    <w:rPr>
      <w:rFonts w:ascii="Cambria" w:hAnsi="Cambria"/>
      <w:b/>
      <w:bCs/>
      <w:sz w:val="32"/>
      <w:szCs w:val="32"/>
    </w:rPr>
  </w:style>
  <w:style w:type="character" w:customStyle="1" w:styleId="252">
    <w:name w:val="标题 字符"/>
    <w:link w:val="251"/>
    <w:qFormat/>
    <w:uiPriority w:val="0"/>
    <w:rPr>
      <w:rFonts w:ascii="Cambria" w:hAnsi="Cambria"/>
      <w:b/>
      <w:bCs/>
      <w:sz w:val="32"/>
      <w:szCs w:val="32"/>
    </w:rPr>
  </w:style>
  <w:style w:type="paragraph" w:customStyle="1" w:styleId="253">
    <w:name w:val="批注主题1"/>
    <w:basedOn w:val="213"/>
    <w:next w:val="213"/>
    <w:link w:val="254"/>
    <w:qFormat/>
    <w:uiPriority w:val="0"/>
    <w:rPr>
      <w:b/>
      <w:bCs/>
    </w:rPr>
  </w:style>
  <w:style w:type="character" w:customStyle="1" w:styleId="254">
    <w:name w:val="批注主题 字符"/>
    <w:link w:val="253"/>
    <w:qFormat/>
    <w:uiPriority w:val="0"/>
    <w:rPr>
      <w:rFonts w:ascii="Times New Roman" w:hAnsi="Times New Roman"/>
      <w:b/>
      <w:bCs/>
      <w:sz w:val="21"/>
      <w:szCs w:val="24"/>
    </w:rPr>
  </w:style>
  <w:style w:type="paragraph" w:customStyle="1" w:styleId="255">
    <w:name w:val="正文首行缩进 21"/>
    <w:basedOn w:val="219"/>
    <w:unhideWhenUsed/>
    <w:qFormat/>
    <w:uiPriority w:val="99"/>
    <w:pPr>
      <w:ind w:firstLine="420"/>
    </w:pPr>
    <w:rPr>
      <w:rFonts w:ascii="Arial" w:hAnsi="Arial" w:cs="Arial"/>
    </w:rPr>
  </w:style>
  <w:style w:type="table" w:customStyle="1" w:styleId="256">
    <w:name w:val="网格型1"/>
    <w:basedOn w:val="197"/>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57">
    <w:name w:val="要点1"/>
    <w:qFormat/>
    <w:uiPriority w:val="22"/>
    <w:rPr>
      <w:b/>
      <w:bCs/>
    </w:rPr>
  </w:style>
  <w:style w:type="character" w:customStyle="1" w:styleId="258">
    <w:name w:val="尾注引用1"/>
    <w:unhideWhenUsed/>
    <w:qFormat/>
    <w:uiPriority w:val="99"/>
    <w:rPr>
      <w:vertAlign w:val="superscript"/>
    </w:rPr>
  </w:style>
  <w:style w:type="character" w:customStyle="1" w:styleId="259">
    <w:name w:val="页码1"/>
    <w:qFormat/>
    <w:uiPriority w:val="99"/>
  </w:style>
  <w:style w:type="character" w:customStyle="1" w:styleId="260">
    <w:name w:val="已访问的超链接1"/>
    <w:qFormat/>
    <w:uiPriority w:val="99"/>
    <w:rPr>
      <w:color w:val="800080"/>
      <w:u w:val="single"/>
    </w:rPr>
  </w:style>
  <w:style w:type="character" w:customStyle="1" w:styleId="261">
    <w:name w:val="强调1"/>
    <w:qFormat/>
    <w:uiPriority w:val="99"/>
    <w:rPr>
      <w:i/>
      <w:iCs/>
    </w:rPr>
  </w:style>
  <w:style w:type="character" w:customStyle="1" w:styleId="262">
    <w:name w:val="超链接1"/>
    <w:unhideWhenUsed/>
    <w:qFormat/>
    <w:uiPriority w:val="99"/>
    <w:rPr>
      <w:color w:val="0000FF"/>
      <w:u w:val="single"/>
    </w:rPr>
  </w:style>
  <w:style w:type="character" w:customStyle="1" w:styleId="263">
    <w:name w:val="批注引用1"/>
    <w:qFormat/>
    <w:uiPriority w:val="0"/>
    <w:rPr>
      <w:sz w:val="21"/>
      <w:szCs w:val="21"/>
    </w:rPr>
  </w:style>
  <w:style w:type="character" w:customStyle="1" w:styleId="264">
    <w:name w:val="脚注引用1"/>
    <w:unhideWhenUsed/>
    <w:qFormat/>
    <w:uiPriority w:val="0"/>
    <w:rPr>
      <w:vertAlign w:val="superscript"/>
    </w:rPr>
  </w:style>
  <w:style w:type="character" w:customStyle="1" w:styleId="265">
    <w:name w:val="Heading 1 Char"/>
    <w:qFormat/>
    <w:uiPriority w:val="99"/>
    <w:rPr>
      <w:rFonts w:eastAsia="宋体"/>
      <w:b/>
      <w:bCs/>
      <w:sz w:val="44"/>
      <w:szCs w:val="44"/>
      <w:lang w:val="en-US" w:eastAsia="zh-CN"/>
    </w:rPr>
  </w:style>
  <w:style w:type="character" w:customStyle="1" w:styleId="266">
    <w:name w:val="批注文字 Char Char"/>
    <w:qFormat/>
    <w:uiPriority w:val="99"/>
    <w:rPr>
      <w:rFonts w:ascii="宋体" w:hAnsi="Times New Roman" w:eastAsia="宋体" w:cs="宋体"/>
      <w:sz w:val="20"/>
      <w:szCs w:val="20"/>
    </w:rPr>
  </w:style>
  <w:style w:type="character" w:customStyle="1" w:styleId="267">
    <w:name w:val="Body text|5_"/>
    <w:link w:val="268"/>
    <w:qFormat/>
    <w:uiPriority w:val="0"/>
    <w:rPr>
      <w:rFonts w:ascii="宋体" w:hAnsi="宋体" w:cs="宋体"/>
      <w:sz w:val="52"/>
      <w:szCs w:val="52"/>
      <w:lang w:val="zh-CN" w:bidi="zh-CN"/>
    </w:rPr>
  </w:style>
  <w:style w:type="paragraph" w:customStyle="1" w:styleId="268">
    <w:name w:val="Body text|5"/>
    <w:basedOn w:val="1"/>
    <w:link w:val="267"/>
    <w:qFormat/>
    <w:uiPriority w:val="0"/>
    <w:pPr>
      <w:jc w:val="center"/>
    </w:pPr>
    <w:rPr>
      <w:rFonts w:ascii="宋体" w:hAnsi="宋体" w:cs="宋体"/>
      <w:sz w:val="52"/>
      <w:szCs w:val="52"/>
      <w:lang w:val="zh-CN" w:bidi="zh-CN"/>
    </w:rPr>
  </w:style>
  <w:style w:type="character" w:customStyle="1" w:styleId="269">
    <w:name w:val="Body text|4_"/>
    <w:link w:val="270"/>
    <w:qFormat/>
    <w:uiPriority w:val="0"/>
    <w:rPr>
      <w:rFonts w:ascii="宋体" w:hAnsi="宋体" w:cs="宋体"/>
      <w:b/>
      <w:bCs/>
      <w:sz w:val="17"/>
      <w:szCs w:val="17"/>
      <w:lang w:val="zh-CN" w:bidi="zh-CN"/>
    </w:rPr>
  </w:style>
  <w:style w:type="paragraph" w:customStyle="1" w:styleId="270">
    <w:name w:val="Body text|4"/>
    <w:basedOn w:val="1"/>
    <w:link w:val="269"/>
    <w:qFormat/>
    <w:uiPriority w:val="0"/>
    <w:pPr>
      <w:spacing w:line="281" w:lineRule="exact"/>
      <w:jc w:val="center"/>
    </w:pPr>
    <w:rPr>
      <w:rFonts w:ascii="宋体" w:hAnsi="宋体" w:cs="宋体"/>
      <w:b/>
      <w:bCs/>
      <w:sz w:val="17"/>
      <w:szCs w:val="17"/>
      <w:lang w:val="zh-CN" w:bidi="zh-CN"/>
    </w:rPr>
  </w:style>
  <w:style w:type="character" w:customStyle="1" w:styleId="271">
    <w:name w:val="标题 4 Char"/>
    <w:qFormat/>
    <w:uiPriority w:val="9"/>
    <w:rPr>
      <w:rFonts w:ascii="Arial" w:hAnsi="Arial"/>
      <w:b/>
      <w:bCs/>
      <w:sz w:val="28"/>
      <w:szCs w:val="28"/>
    </w:rPr>
  </w:style>
  <w:style w:type="character" w:customStyle="1" w:styleId="272">
    <w:name w:val="标题 8 Char"/>
    <w:qFormat/>
    <w:uiPriority w:val="9"/>
    <w:rPr>
      <w:rFonts w:ascii="Arial" w:hAnsi="Arial" w:eastAsia="黑体"/>
      <w:sz w:val="24"/>
      <w:szCs w:val="24"/>
    </w:rPr>
  </w:style>
  <w:style w:type="character" w:customStyle="1" w:styleId="273">
    <w:name w:val="正文文本 (2) + 间距 0 pt2"/>
    <w:qFormat/>
    <w:uiPriority w:val="0"/>
    <w:rPr>
      <w:rFonts w:ascii="MingLiU" w:hAnsi="MingLiU" w:eastAsia="MingLiU" w:cs="MingLiU"/>
      <w:color w:val="000000"/>
      <w:spacing w:val="0"/>
      <w:position w:val="0"/>
      <w:sz w:val="22"/>
      <w:szCs w:val="22"/>
      <w:u w:val="none"/>
      <w:shd w:val="clear" w:color="auto" w:fill="FFFFFF"/>
      <w:lang w:val="zh-CN" w:eastAsia="zh-CN" w:bidi="zh-CN"/>
    </w:rPr>
  </w:style>
  <w:style w:type="character" w:customStyle="1" w:styleId="274">
    <w:name w:val="标题5 Char Char"/>
    <w:link w:val="275"/>
    <w:qFormat/>
    <w:uiPriority w:val="99"/>
    <w:rPr>
      <w:rFonts w:ascii="Arial" w:hAnsi="Arial" w:cs="Arial"/>
      <w:b/>
      <w:bCs/>
      <w:sz w:val="32"/>
      <w:szCs w:val="32"/>
    </w:rPr>
  </w:style>
  <w:style w:type="paragraph" w:customStyle="1" w:styleId="275">
    <w:name w:val="标题5"/>
    <w:basedOn w:val="189"/>
    <w:link w:val="274"/>
    <w:qFormat/>
    <w:uiPriority w:val="99"/>
    <w:pPr>
      <w:spacing w:line="413" w:lineRule="auto"/>
    </w:pPr>
    <w:rPr>
      <w:rFonts w:ascii="Arial" w:hAnsi="Arial"/>
    </w:rPr>
  </w:style>
  <w:style w:type="character" w:customStyle="1" w:styleId="276">
    <w:name w:val="Body text|6_"/>
    <w:link w:val="277"/>
    <w:qFormat/>
    <w:uiPriority w:val="0"/>
    <w:rPr>
      <w:rFonts w:ascii="Arial" w:hAnsi="Arial" w:eastAsia="Arial" w:cs="Arial"/>
      <w:lang w:val="zh-CN"/>
    </w:rPr>
  </w:style>
  <w:style w:type="paragraph" w:customStyle="1" w:styleId="277">
    <w:name w:val="Body text|6"/>
    <w:basedOn w:val="1"/>
    <w:link w:val="276"/>
    <w:qFormat/>
    <w:uiPriority w:val="0"/>
    <w:pPr>
      <w:ind w:hanging="2220"/>
      <w:jc w:val="left"/>
    </w:pPr>
    <w:rPr>
      <w:rFonts w:ascii="Arial" w:hAnsi="Arial" w:eastAsia="Arial"/>
      <w:sz w:val="20"/>
      <w:szCs w:val="20"/>
      <w:lang w:val="zh-CN"/>
    </w:rPr>
  </w:style>
  <w:style w:type="character" w:customStyle="1" w:styleId="278">
    <w:name w:val="明显强调11"/>
    <w:qFormat/>
    <w:uiPriority w:val="99"/>
    <w:rPr>
      <w:b/>
      <w:bCs/>
      <w:i/>
      <w:iCs/>
      <w:color w:val="4F81BD"/>
    </w:rPr>
  </w:style>
  <w:style w:type="character" w:customStyle="1" w:styleId="279">
    <w:name w:val="正文文本 字符"/>
    <w:qFormat/>
    <w:uiPriority w:val="0"/>
    <w:rPr>
      <w:rFonts w:ascii="Times New Roman" w:hAnsi="Times New Roman"/>
      <w:sz w:val="21"/>
      <w:szCs w:val="24"/>
    </w:rPr>
  </w:style>
  <w:style w:type="character" w:customStyle="1" w:styleId="280">
    <w:name w:val="Char Char19"/>
    <w:qFormat/>
    <w:uiPriority w:val="99"/>
    <w:rPr>
      <w:rFonts w:ascii="Arial" w:hAnsi="Arial" w:eastAsia="宋体" w:cs="Arial"/>
      <w:b/>
      <w:bCs/>
      <w:sz w:val="28"/>
      <w:szCs w:val="28"/>
    </w:rPr>
  </w:style>
  <w:style w:type="character" w:customStyle="1" w:styleId="281">
    <w:name w:val="引用 Char"/>
    <w:link w:val="282"/>
    <w:qFormat/>
    <w:uiPriority w:val="99"/>
    <w:rPr>
      <w:i/>
      <w:iCs/>
      <w:color w:val="000000"/>
    </w:rPr>
  </w:style>
  <w:style w:type="paragraph" w:customStyle="1" w:styleId="282">
    <w:name w:val="引用1"/>
    <w:basedOn w:val="1"/>
    <w:next w:val="1"/>
    <w:link w:val="281"/>
    <w:qFormat/>
    <w:uiPriority w:val="99"/>
    <w:rPr>
      <w:i/>
      <w:iCs/>
      <w:color w:val="000000"/>
      <w:sz w:val="20"/>
      <w:szCs w:val="20"/>
    </w:rPr>
  </w:style>
  <w:style w:type="character" w:customStyle="1" w:styleId="283">
    <w:name w:val="Heading #1|1_"/>
    <w:link w:val="284"/>
    <w:qFormat/>
    <w:uiPriority w:val="0"/>
    <w:rPr>
      <w:rFonts w:ascii="宋体" w:hAnsi="宋体" w:cs="宋体"/>
      <w:sz w:val="38"/>
      <w:szCs w:val="38"/>
      <w:lang w:val="zh-CN" w:bidi="zh-CN"/>
    </w:rPr>
  </w:style>
  <w:style w:type="paragraph" w:customStyle="1" w:styleId="284">
    <w:name w:val="Heading #1|1"/>
    <w:basedOn w:val="1"/>
    <w:link w:val="283"/>
    <w:qFormat/>
    <w:uiPriority w:val="0"/>
    <w:pPr>
      <w:spacing w:after="440" w:line="564" w:lineRule="exact"/>
      <w:jc w:val="center"/>
      <w:outlineLvl w:val="0"/>
    </w:pPr>
    <w:rPr>
      <w:rFonts w:ascii="宋体" w:hAnsi="宋体" w:cs="宋体"/>
      <w:sz w:val="38"/>
      <w:szCs w:val="38"/>
      <w:lang w:val="zh-CN" w:bidi="zh-CN"/>
    </w:rPr>
  </w:style>
  <w:style w:type="character" w:customStyle="1" w:styleId="285">
    <w:name w:val="日期 Char1"/>
    <w:qFormat/>
    <w:uiPriority w:val="99"/>
    <w:rPr>
      <w:rFonts w:ascii="Times New Roman" w:hAnsi="Times New Roman" w:eastAsia="宋体" w:cs="Times New Roman"/>
      <w:sz w:val="24"/>
      <w:szCs w:val="24"/>
    </w:rPr>
  </w:style>
  <w:style w:type="character" w:customStyle="1" w:styleId="286">
    <w:name w:val="标题 Char1"/>
    <w:qFormat/>
    <w:uiPriority w:val="99"/>
    <w:rPr>
      <w:rFonts w:ascii="Cambria" w:hAnsi="Cambria" w:eastAsia="宋体" w:cs="Cambria"/>
      <w:b/>
      <w:bCs/>
      <w:sz w:val="32"/>
      <w:szCs w:val="32"/>
    </w:rPr>
  </w:style>
  <w:style w:type="character" w:customStyle="1" w:styleId="287">
    <w:name w:val="文档结构图 Char1"/>
    <w:qFormat/>
    <w:uiPriority w:val="99"/>
    <w:rPr>
      <w:rFonts w:ascii="宋体" w:hAnsi="Times New Roman" w:eastAsia="宋体" w:cs="宋体"/>
      <w:sz w:val="18"/>
      <w:szCs w:val="18"/>
    </w:rPr>
  </w:style>
  <w:style w:type="character" w:customStyle="1" w:styleId="288">
    <w:name w:val="占位符文本1"/>
    <w:unhideWhenUsed/>
    <w:qFormat/>
    <w:uiPriority w:val="99"/>
    <w:rPr>
      <w:color w:val="808080"/>
    </w:rPr>
  </w:style>
  <w:style w:type="character" w:customStyle="1" w:styleId="289">
    <w:name w:val="Document Map Char"/>
    <w:qFormat/>
    <w:uiPriority w:val="99"/>
    <w:rPr>
      <w:rFonts w:eastAsia="宋体"/>
      <w:sz w:val="24"/>
      <w:szCs w:val="24"/>
      <w:lang w:val="en-US" w:eastAsia="zh-CN"/>
    </w:rPr>
  </w:style>
  <w:style w:type="character" w:customStyle="1" w:styleId="290">
    <w:name w:val="Balloon Text Char"/>
    <w:qFormat/>
    <w:uiPriority w:val="99"/>
    <w:rPr>
      <w:sz w:val="18"/>
      <w:szCs w:val="18"/>
    </w:rPr>
  </w:style>
  <w:style w:type="character" w:customStyle="1" w:styleId="291">
    <w:name w:val="Table of contents|1_"/>
    <w:link w:val="292"/>
    <w:qFormat/>
    <w:uiPriority w:val="0"/>
    <w:rPr>
      <w:rFonts w:ascii="宋体" w:hAnsi="宋体" w:cs="宋体"/>
      <w:lang w:val="zh-CN" w:bidi="zh-CN"/>
    </w:rPr>
  </w:style>
  <w:style w:type="paragraph" w:customStyle="1" w:styleId="292">
    <w:name w:val="Table of contents|1"/>
    <w:basedOn w:val="1"/>
    <w:link w:val="291"/>
    <w:qFormat/>
    <w:uiPriority w:val="0"/>
    <w:pPr>
      <w:spacing w:after="100"/>
      <w:ind w:firstLine="600"/>
      <w:jc w:val="left"/>
    </w:pPr>
    <w:rPr>
      <w:rFonts w:ascii="宋体" w:hAnsi="宋体" w:cs="宋体"/>
      <w:sz w:val="20"/>
      <w:szCs w:val="20"/>
      <w:lang w:val="zh-CN" w:bidi="zh-CN"/>
    </w:rPr>
  </w:style>
  <w:style w:type="character" w:customStyle="1" w:styleId="293">
    <w:name w:val="Char Char23"/>
    <w:qFormat/>
    <w:uiPriority w:val="99"/>
    <w:rPr>
      <w:rFonts w:eastAsia="宋体"/>
      <w:b/>
      <w:bCs/>
      <w:sz w:val="44"/>
      <w:szCs w:val="44"/>
      <w:lang w:val="en-US" w:eastAsia="zh-CN"/>
    </w:rPr>
  </w:style>
  <w:style w:type="character" w:customStyle="1" w:styleId="294">
    <w:name w:val="明显参考11"/>
    <w:qFormat/>
    <w:uiPriority w:val="99"/>
    <w:rPr>
      <w:b/>
      <w:bCs/>
      <w:smallCaps/>
      <w:color w:val="000000"/>
      <w:spacing w:val="5"/>
      <w:u w:val="single"/>
    </w:rPr>
  </w:style>
  <w:style w:type="character" w:customStyle="1" w:styleId="295">
    <w:name w:val="Char Char24"/>
    <w:qFormat/>
    <w:uiPriority w:val="99"/>
    <w:rPr>
      <w:rFonts w:eastAsia="宋体"/>
      <w:b/>
      <w:bCs/>
      <w:sz w:val="44"/>
      <w:szCs w:val="44"/>
      <w:lang w:val="en-US" w:eastAsia="zh-CN"/>
    </w:rPr>
  </w:style>
  <w:style w:type="character" w:customStyle="1" w:styleId="296">
    <w:name w:val="批注主题 Char1"/>
    <w:qFormat/>
    <w:uiPriority w:val="99"/>
    <w:rPr>
      <w:rFonts w:ascii="Times New Roman" w:hAnsi="Times New Roman" w:eastAsia="宋体" w:cs="Times New Roman"/>
      <w:b/>
      <w:bCs/>
      <w:sz w:val="24"/>
      <w:szCs w:val="24"/>
    </w:rPr>
  </w:style>
  <w:style w:type="character" w:customStyle="1" w:styleId="297">
    <w:name w:val="Header or footer|1_"/>
    <w:link w:val="298"/>
    <w:qFormat/>
    <w:uiPriority w:val="0"/>
    <w:rPr>
      <w:sz w:val="17"/>
      <w:szCs w:val="17"/>
      <w:lang w:val="zh-CN" w:bidi="zh-CN"/>
    </w:rPr>
  </w:style>
  <w:style w:type="paragraph" w:customStyle="1" w:styleId="298">
    <w:name w:val="Header or footer|1"/>
    <w:basedOn w:val="1"/>
    <w:link w:val="297"/>
    <w:qFormat/>
    <w:uiPriority w:val="0"/>
    <w:pPr>
      <w:jc w:val="center"/>
    </w:pPr>
    <w:rPr>
      <w:sz w:val="17"/>
      <w:szCs w:val="17"/>
      <w:lang w:val="zh-CN" w:bidi="zh-CN"/>
    </w:rPr>
  </w:style>
  <w:style w:type="character" w:customStyle="1" w:styleId="299">
    <w:name w:val="不明显强调11"/>
    <w:qFormat/>
    <w:uiPriority w:val="99"/>
    <w:rPr>
      <w:i/>
      <w:iCs/>
      <w:color w:val="808080"/>
    </w:rPr>
  </w:style>
  <w:style w:type="character" w:customStyle="1" w:styleId="300">
    <w:name w:val="批注框文本 Char1"/>
    <w:qFormat/>
    <w:uiPriority w:val="99"/>
    <w:rPr>
      <w:rFonts w:ascii="Times New Roman" w:hAnsi="Times New Roman" w:eastAsia="宋体" w:cs="Times New Roman"/>
      <w:sz w:val="18"/>
      <w:szCs w:val="18"/>
    </w:rPr>
  </w:style>
  <w:style w:type="character" w:customStyle="1" w:styleId="301">
    <w:name w:val="Heading #2|1_"/>
    <w:link w:val="302"/>
    <w:qFormat/>
    <w:uiPriority w:val="0"/>
    <w:rPr>
      <w:rFonts w:ascii="宋体" w:hAnsi="宋体" w:cs="宋体"/>
      <w:sz w:val="34"/>
      <w:szCs w:val="34"/>
      <w:lang w:val="zh-CN" w:bidi="zh-CN"/>
    </w:rPr>
  </w:style>
  <w:style w:type="paragraph" w:customStyle="1" w:styleId="302">
    <w:name w:val="Heading #2|1"/>
    <w:basedOn w:val="1"/>
    <w:link w:val="301"/>
    <w:qFormat/>
    <w:uiPriority w:val="0"/>
    <w:pPr>
      <w:spacing w:after="900"/>
      <w:jc w:val="center"/>
      <w:outlineLvl w:val="1"/>
    </w:pPr>
    <w:rPr>
      <w:rFonts w:ascii="宋体" w:hAnsi="宋体" w:cs="宋体"/>
      <w:sz w:val="34"/>
      <w:szCs w:val="34"/>
      <w:lang w:val="zh-CN" w:bidi="zh-CN"/>
    </w:rPr>
  </w:style>
  <w:style w:type="character" w:customStyle="1" w:styleId="303">
    <w:name w:val="批注文字 Char"/>
    <w:qFormat/>
    <w:uiPriority w:val="0"/>
    <w:rPr>
      <w:rFonts w:ascii="Times New Roman" w:hAnsi="Times New Roman"/>
      <w:sz w:val="21"/>
      <w:szCs w:val="24"/>
    </w:rPr>
  </w:style>
  <w:style w:type="character" w:customStyle="1" w:styleId="304">
    <w:name w:val="Comment Text Char"/>
    <w:qFormat/>
    <w:uiPriority w:val="99"/>
    <w:rPr>
      <w:sz w:val="24"/>
      <w:szCs w:val="24"/>
    </w:rPr>
  </w:style>
  <w:style w:type="character" w:customStyle="1" w:styleId="305">
    <w:name w:val="Char Char22"/>
    <w:qFormat/>
    <w:uiPriority w:val="99"/>
    <w:rPr>
      <w:rFonts w:ascii="Times New Roman" w:hAnsi="Times New Roman" w:eastAsia="宋体" w:cs="Times New Roman"/>
      <w:b/>
      <w:bCs/>
      <w:sz w:val="44"/>
      <w:szCs w:val="44"/>
    </w:rPr>
  </w:style>
  <w:style w:type="character" w:customStyle="1" w:styleId="306">
    <w:name w:val="Footer Char"/>
    <w:qFormat/>
    <w:uiPriority w:val="99"/>
    <w:rPr>
      <w:rFonts w:eastAsia="宋体"/>
      <w:sz w:val="18"/>
      <w:szCs w:val="18"/>
      <w:lang w:val="en-US" w:eastAsia="zh-CN"/>
    </w:rPr>
  </w:style>
  <w:style w:type="character" w:customStyle="1" w:styleId="307">
    <w:name w:val="纯文本 字符1"/>
    <w:qFormat/>
    <w:uiPriority w:val="0"/>
    <w:rPr>
      <w:rFonts w:ascii="宋体" w:hAnsi="Courier New"/>
    </w:rPr>
  </w:style>
  <w:style w:type="character" w:customStyle="1" w:styleId="308">
    <w:name w:val="Comment Text Char1"/>
    <w:qFormat/>
    <w:uiPriority w:val="99"/>
    <w:rPr>
      <w:sz w:val="24"/>
      <w:szCs w:val="24"/>
    </w:rPr>
  </w:style>
  <w:style w:type="character" w:customStyle="1" w:styleId="309">
    <w:name w:val="批注文字 字符1"/>
    <w:qFormat/>
    <w:uiPriority w:val="0"/>
    <w:rPr>
      <w:rFonts w:ascii="Times New Roman" w:hAnsi="Times New Roman"/>
      <w:sz w:val="21"/>
      <w:szCs w:val="24"/>
    </w:rPr>
  </w:style>
  <w:style w:type="character" w:customStyle="1" w:styleId="310">
    <w:name w:val="Heading #4|1_"/>
    <w:link w:val="311"/>
    <w:qFormat/>
    <w:uiPriority w:val="0"/>
    <w:rPr>
      <w:rFonts w:ascii="宋体" w:hAnsi="宋体" w:cs="宋体"/>
      <w:lang w:val="zh-CN" w:bidi="zh-CN"/>
    </w:rPr>
  </w:style>
  <w:style w:type="paragraph" w:customStyle="1" w:styleId="311">
    <w:name w:val="Heading #4|1"/>
    <w:basedOn w:val="1"/>
    <w:link w:val="310"/>
    <w:qFormat/>
    <w:uiPriority w:val="0"/>
    <w:pPr>
      <w:spacing w:after="120"/>
      <w:jc w:val="left"/>
      <w:outlineLvl w:val="3"/>
    </w:pPr>
    <w:rPr>
      <w:rFonts w:ascii="宋体" w:hAnsi="宋体" w:cs="宋体"/>
      <w:sz w:val="20"/>
      <w:szCs w:val="20"/>
      <w:lang w:val="zh-CN" w:bidi="zh-CN"/>
    </w:rPr>
  </w:style>
  <w:style w:type="character" w:customStyle="1" w:styleId="312">
    <w:name w:val="正文2 Char Char"/>
    <w:link w:val="313"/>
    <w:qFormat/>
    <w:uiPriority w:val="0"/>
    <w:rPr>
      <w:sz w:val="24"/>
    </w:rPr>
  </w:style>
  <w:style w:type="paragraph" w:customStyle="1" w:styleId="313">
    <w:name w:val="正文2"/>
    <w:basedOn w:val="1"/>
    <w:link w:val="312"/>
    <w:qFormat/>
    <w:uiPriority w:val="0"/>
    <w:pPr>
      <w:spacing w:before="156" w:line="360" w:lineRule="auto"/>
      <w:ind w:firstLine="510"/>
    </w:pPr>
    <w:rPr>
      <w:sz w:val="24"/>
      <w:szCs w:val="20"/>
    </w:rPr>
  </w:style>
  <w:style w:type="character" w:customStyle="1" w:styleId="314">
    <w:name w:val="Heading 3 Char"/>
    <w:qFormat/>
    <w:uiPriority w:val="99"/>
    <w:rPr>
      <w:b/>
      <w:bCs/>
      <w:sz w:val="32"/>
      <w:szCs w:val="32"/>
    </w:rPr>
  </w:style>
  <w:style w:type="character" w:customStyle="1" w:styleId="315">
    <w:name w:val="未处理的提及1"/>
    <w:unhideWhenUsed/>
    <w:qFormat/>
    <w:uiPriority w:val="99"/>
    <w:rPr>
      <w:color w:val="605E5C"/>
      <w:shd w:val="clear" w:color="auto" w:fill="E1DFDD"/>
    </w:rPr>
  </w:style>
  <w:style w:type="character" w:customStyle="1" w:styleId="316">
    <w:name w:val="Heading 2 Char"/>
    <w:qFormat/>
    <w:uiPriority w:val="99"/>
    <w:rPr>
      <w:rFonts w:ascii="Arial" w:hAnsi="Arial" w:eastAsia="黑体" w:cs="Arial"/>
      <w:b/>
      <w:bCs/>
      <w:sz w:val="32"/>
      <w:szCs w:val="32"/>
      <w:lang w:val="en-US" w:eastAsia="zh-CN"/>
    </w:rPr>
  </w:style>
  <w:style w:type="character" w:customStyle="1" w:styleId="317">
    <w:name w:val="正文文本 (19) + 间距 0 pt"/>
    <w:qFormat/>
    <w:uiPriority w:val="99"/>
    <w:rPr>
      <w:rFonts w:ascii="MingLiU" w:hAnsi="MingLiU" w:eastAsia="MingLiU" w:cs="MingLiU"/>
      <w:b/>
      <w:bCs/>
      <w:color w:val="000000"/>
      <w:spacing w:val="0"/>
      <w:position w:val="0"/>
      <w:sz w:val="22"/>
      <w:szCs w:val="22"/>
      <w:u w:val="none"/>
      <w:lang w:val="zh-CN" w:eastAsia="zh-CN"/>
    </w:rPr>
  </w:style>
  <w:style w:type="character" w:customStyle="1" w:styleId="318">
    <w:name w:val="脚注文本 Char"/>
    <w:qFormat/>
    <w:uiPriority w:val="0"/>
    <w:rPr>
      <w:sz w:val="18"/>
      <w:szCs w:val="18"/>
    </w:rPr>
  </w:style>
  <w:style w:type="character" w:customStyle="1" w:styleId="319">
    <w:name w:val="Char Char21"/>
    <w:qFormat/>
    <w:uiPriority w:val="99"/>
    <w:rPr>
      <w:rFonts w:ascii="Arial" w:hAnsi="Arial" w:eastAsia="黑体" w:cs="Arial"/>
      <w:b/>
      <w:bCs/>
      <w:sz w:val="32"/>
      <w:szCs w:val="32"/>
    </w:rPr>
  </w:style>
  <w:style w:type="character" w:customStyle="1" w:styleId="320">
    <w:name w:val="apple-style-span"/>
    <w:qFormat/>
    <w:uiPriority w:val="0"/>
  </w:style>
  <w:style w:type="character" w:customStyle="1" w:styleId="321">
    <w:name w:val="标题 Char2"/>
    <w:qFormat/>
    <w:uiPriority w:val="99"/>
    <w:rPr>
      <w:rFonts w:ascii="Cambria" w:hAnsi="Cambria" w:eastAsia="宋体" w:cs="Cambria"/>
      <w:b/>
      <w:bCs/>
      <w:sz w:val="32"/>
      <w:szCs w:val="32"/>
    </w:rPr>
  </w:style>
  <w:style w:type="character" w:customStyle="1" w:styleId="322">
    <w:name w:val="textcontents"/>
    <w:qFormat/>
    <w:uiPriority w:val="99"/>
  </w:style>
  <w:style w:type="character" w:customStyle="1" w:styleId="323">
    <w:name w:val="明显引用 Char1"/>
    <w:qFormat/>
    <w:uiPriority w:val="99"/>
    <w:rPr>
      <w:rFonts w:ascii="Times New Roman" w:hAnsi="Times New Roman" w:eastAsia="宋体" w:cs="Times New Roman"/>
      <w:b/>
      <w:bCs/>
      <w:i/>
      <w:iCs/>
      <w:color w:val="4F81BD"/>
      <w:sz w:val="24"/>
      <w:szCs w:val="24"/>
    </w:rPr>
  </w:style>
  <w:style w:type="character" w:customStyle="1" w:styleId="324">
    <w:name w:val="Header or footer|2_"/>
    <w:link w:val="325"/>
    <w:qFormat/>
    <w:uiPriority w:val="0"/>
    <w:rPr>
      <w:lang w:val="zh-CN" w:bidi="zh-CN"/>
    </w:rPr>
  </w:style>
  <w:style w:type="paragraph" w:customStyle="1" w:styleId="325">
    <w:name w:val="Header or footer|2"/>
    <w:basedOn w:val="1"/>
    <w:link w:val="324"/>
    <w:qFormat/>
    <w:uiPriority w:val="0"/>
    <w:pPr>
      <w:jc w:val="left"/>
    </w:pPr>
    <w:rPr>
      <w:sz w:val="20"/>
      <w:szCs w:val="20"/>
      <w:lang w:val="zh-CN" w:bidi="zh-CN"/>
    </w:rPr>
  </w:style>
  <w:style w:type="character" w:customStyle="1" w:styleId="326">
    <w:name w:val="Table caption|1_"/>
    <w:link w:val="327"/>
    <w:qFormat/>
    <w:uiPriority w:val="0"/>
    <w:rPr>
      <w:rFonts w:ascii="宋体" w:hAnsi="宋体" w:cs="宋体"/>
      <w:lang w:val="zh-CN" w:bidi="zh-CN"/>
    </w:rPr>
  </w:style>
  <w:style w:type="paragraph" w:customStyle="1" w:styleId="327">
    <w:name w:val="Table caption|1"/>
    <w:basedOn w:val="1"/>
    <w:link w:val="326"/>
    <w:qFormat/>
    <w:uiPriority w:val="0"/>
    <w:pPr>
      <w:jc w:val="left"/>
    </w:pPr>
    <w:rPr>
      <w:rFonts w:ascii="宋体" w:hAnsi="宋体" w:cs="宋体"/>
      <w:sz w:val="20"/>
      <w:szCs w:val="20"/>
      <w:lang w:val="zh-CN" w:bidi="zh-CN"/>
    </w:rPr>
  </w:style>
  <w:style w:type="character" w:customStyle="1" w:styleId="328">
    <w:name w:val="正文文本 (26) + 间距 0 pt"/>
    <w:qFormat/>
    <w:uiPriority w:val="0"/>
    <w:rPr>
      <w:rFonts w:ascii="宋体" w:hAnsi="宋体" w:eastAsia="宋体" w:cs="宋体"/>
      <w:color w:val="000000"/>
      <w:spacing w:val="0"/>
      <w:position w:val="0"/>
      <w:sz w:val="22"/>
      <w:szCs w:val="22"/>
      <w:u w:val="none"/>
      <w:lang w:val="zh-CN" w:eastAsia="zh-CN" w:bidi="zh-CN"/>
    </w:rPr>
  </w:style>
  <w:style w:type="character" w:customStyle="1" w:styleId="329">
    <w:name w:val="Char Char20"/>
    <w:qFormat/>
    <w:uiPriority w:val="99"/>
    <w:rPr>
      <w:rFonts w:ascii="Times New Roman" w:hAnsi="Times New Roman" w:eastAsia="宋体" w:cs="Times New Roman"/>
      <w:b/>
      <w:bCs/>
      <w:sz w:val="32"/>
      <w:szCs w:val="32"/>
    </w:rPr>
  </w:style>
  <w:style w:type="character" w:customStyle="1" w:styleId="330">
    <w:name w:val="Other|1_"/>
    <w:link w:val="331"/>
    <w:qFormat/>
    <w:uiPriority w:val="0"/>
    <w:rPr>
      <w:rFonts w:ascii="宋体" w:hAnsi="宋体" w:cs="宋体"/>
      <w:lang w:val="zh-CN" w:bidi="zh-CN"/>
    </w:rPr>
  </w:style>
  <w:style w:type="paragraph" w:customStyle="1" w:styleId="331">
    <w:name w:val="Other|1"/>
    <w:basedOn w:val="1"/>
    <w:link w:val="330"/>
    <w:qFormat/>
    <w:uiPriority w:val="0"/>
    <w:pPr>
      <w:spacing w:line="360" w:lineRule="auto"/>
      <w:ind w:firstLine="400"/>
      <w:jc w:val="left"/>
    </w:pPr>
    <w:rPr>
      <w:rFonts w:ascii="宋体" w:hAnsi="宋体" w:cs="宋体"/>
      <w:sz w:val="20"/>
      <w:szCs w:val="20"/>
      <w:lang w:val="zh-CN" w:bidi="zh-CN"/>
    </w:rPr>
  </w:style>
  <w:style w:type="character" w:customStyle="1" w:styleId="332">
    <w:name w:val="标题 2 Char"/>
    <w:qFormat/>
    <w:uiPriority w:val="0"/>
    <w:rPr>
      <w:rFonts w:ascii="Cambria" w:hAnsi="Cambria" w:eastAsia="宋体" w:cs="Times New Roman"/>
      <w:b/>
      <w:bCs/>
      <w:sz w:val="32"/>
      <w:szCs w:val="32"/>
    </w:rPr>
  </w:style>
  <w:style w:type="character" w:customStyle="1" w:styleId="333">
    <w:name w:val="批注文字 Char2"/>
    <w:qFormat/>
    <w:uiPriority w:val="0"/>
    <w:rPr>
      <w:rFonts w:ascii="Times New Roman" w:hAnsi="Times New Roman"/>
      <w:sz w:val="21"/>
      <w:szCs w:val="24"/>
    </w:rPr>
  </w:style>
  <w:style w:type="character" w:customStyle="1" w:styleId="334">
    <w:name w:val="Header Char"/>
    <w:qFormat/>
    <w:uiPriority w:val="99"/>
    <w:rPr>
      <w:rFonts w:eastAsia="宋体"/>
      <w:sz w:val="18"/>
      <w:szCs w:val="18"/>
      <w:lang w:val="en-US" w:eastAsia="zh-CN"/>
    </w:rPr>
  </w:style>
  <w:style w:type="character" w:customStyle="1" w:styleId="335">
    <w:name w:val="Char Char6"/>
    <w:qFormat/>
    <w:uiPriority w:val="99"/>
    <w:rPr>
      <w:rFonts w:eastAsia="宋体"/>
      <w:b/>
      <w:bCs/>
      <w:sz w:val="44"/>
      <w:szCs w:val="44"/>
      <w:lang w:val="en-US" w:eastAsia="zh-CN"/>
    </w:rPr>
  </w:style>
  <w:style w:type="character" w:customStyle="1" w:styleId="336">
    <w:name w:val="不明显参考11"/>
    <w:qFormat/>
    <w:uiPriority w:val="99"/>
    <w:rPr>
      <w:smallCaps/>
      <w:color w:val="000000"/>
      <w:u w:val="single"/>
    </w:rPr>
  </w:style>
  <w:style w:type="character" w:customStyle="1" w:styleId="337">
    <w:name w:val="Char Char18"/>
    <w:qFormat/>
    <w:uiPriority w:val="99"/>
    <w:rPr>
      <w:rFonts w:ascii="Times New Roman" w:hAnsi="Times New Roman" w:eastAsia="宋体" w:cs="Times New Roman"/>
      <w:b/>
      <w:bCs/>
      <w:sz w:val="28"/>
      <w:szCs w:val="28"/>
    </w:rPr>
  </w:style>
  <w:style w:type="character" w:customStyle="1" w:styleId="338">
    <w:name w:val="引用 Char1"/>
    <w:qFormat/>
    <w:uiPriority w:val="99"/>
    <w:rPr>
      <w:rFonts w:ascii="Times New Roman" w:hAnsi="Times New Roman" w:eastAsia="宋体" w:cs="Times New Roman"/>
      <w:i/>
      <w:iCs/>
      <w:color w:val="000000"/>
      <w:sz w:val="24"/>
      <w:szCs w:val="24"/>
    </w:rPr>
  </w:style>
  <w:style w:type="character" w:customStyle="1" w:styleId="339">
    <w:name w:val="标题 2 Char1"/>
    <w:qFormat/>
    <w:uiPriority w:val="9"/>
    <w:rPr>
      <w:rFonts w:ascii="Cambria" w:hAnsi="Cambria" w:eastAsia="宋体" w:cs="Times New Roman"/>
      <w:b/>
      <w:bCs/>
      <w:sz w:val="32"/>
      <w:szCs w:val="32"/>
    </w:rPr>
  </w:style>
  <w:style w:type="character" w:customStyle="1" w:styleId="340">
    <w:name w:val="Body text|3_"/>
    <w:link w:val="341"/>
    <w:qFormat/>
    <w:uiPriority w:val="0"/>
    <w:rPr>
      <w:rFonts w:ascii="宋体" w:hAnsi="宋体" w:cs="宋体"/>
      <w:lang w:val="zh-CN" w:bidi="zh-CN"/>
    </w:rPr>
  </w:style>
  <w:style w:type="paragraph" w:customStyle="1" w:styleId="341">
    <w:name w:val="Body text|3"/>
    <w:basedOn w:val="1"/>
    <w:link w:val="340"/>
    <w:qFormat/>
    <w:uiPriority w:val="0"/>
    <w:pPr>
      <w:spacing w:after="340"/>
      <w:jc w:val="left"/>
    </w:pPr>
    <w:rPr>
      <w:rFonts w:ascii="宋体" w:hAnsi="宋体" w:cs="宋体"/>
      <w:sz w:val="20"/>
      <w:szCs w:val="20"/>
      <w:lang w:val="zh-CN" w:bidi="zh-CN"/>
    </w:rPr>
  </w:style>
  <w:style w:type="character" w:customStyle="1" w:styleId="342">
    <w:name w:val="纯文本 字符2"/>
    <w:qFormat/>
    <w:uiPriority w:val="0"/>
    <w:rPr>
      <w:rFonts w:ascii="宋体" w:hAnsi="Courier New" w:eastAsia="宋体" w:cs="Courier New"/>
      <w:szCs w:val="21"/>
    </w:rPr>
  </w:style>
  <w:style w:type="character" w:customStyle="1" w:styleId="343">
    <w:name w:val="Body text|1_"/>
    <w:link w:val="344"/>
    <w:qFormat/>
    <w:uiPriority w:val="0"/>
    <w:rPr>
      <w:rFonts w:ascii="宋体" w:hAnsi="宋体" w:cs="宋体"/>
      <w:sz w:val="21"/>
      <w:lang w:val="zh-CN" w:bidi="zh-CN"/>
    </w:rPr>
  </w:style>
  <w:style w:type="paragraph" w:customStyle="1" w:styleId="344">
    <w:name w:val="Body text|1"/>
    <w:basedOn w:val="1"/>
    <w:link w:val="343"/>
    <w:qFormat/>
    <w:uiPriority w:val="0"/>
    <w:pPr>
      <w:spacing w:line="360" w:lineRule="auto"/>
      <w:ind w:firstLine="400"/>
    </w:pPr>
    <w:rPr>
      <w:rFonts w:ascii="宋体" w:hAnsi="宋体" w:cs="宋体"/>
      <w:szCs w:val="20"/>
      <w:lang w:val="zh-CN" w:bidi="zh-CN"/>
    </w:rPr>
  </w:style>
  <w:style w:type="character" w:customStyle="1" w:styleId="345">
    <w:name w:val="Body text|2_"/>
    <w:link w:val="346"/>
    <w:qFormat/>
    <w:uiPriority w:val="0"/>
    <w:rPr>
      <w:sz w:val="21"/>
    </w:rPr>
  </w:style>
  <w:style w:type="paragraph" w:customStyle="1" w:styleId="346">
    <w:name w:val="Body text|2"/>
    <w:basedOn w:val="1"/>
    <w:link w:val="345"/>
    <w:qFormat/>
    <w:uiPriority w:val="0"/>
    <w:pPr>
      <w:spacing w:after="30"/>
      <w:ind w:firstLine="420"/>
      <w:jc w:val="left"/>
    </w:pPr>
    <w:rPr>
      <w:szCs w:val="20"/>
    </w:rPr>
  </w:style>
  <w:style w:type="character" w:customStyle="1" w:styleId="347">
    <w:name w:val="Footnote Text Char"/>
    <w:qFormat/>
    <w:uiPriority w:val="99"/>
    <w:rPr>
      <w:rFonts w:eastAsia="宋体"/>
      <w:sz w:val="18"/>
      <w:szCs w:val="18"/>
      <w:lang w:val="en-US" w:eastAsia="zh-CN"/>
    </w:rPr>
  </w:style>
  <w:style w:type="character" w:customStyle="1" w:styleId="348">
    <w:name w:val="标题 1 字符1"/>
    <w:qFormat/>
    <w:uiPriority w:val="0"/>
    <w:rPr>
      <w:b/>
      <w:bCs/>
      <w:sz w:val="44"/>
      <w:szCs w:val="44"/>
    </w:rPr>
  </w:style>
  <w:style w:type="character" w:customStyle="1" w:styleId="349">
    <w:name w:val="标题 3 Char"/>
    <w:qFormat/>
    <w:uiPriority w:val="0"/>
    <w:rPr>
      <w:b/>
      <w:bCs/>
      <w:sz w:val="32"/>
      <w:szCs w:val="32"/>
    </w:rPr>
  </w:style>
  <w:style w:type="character" w:customStyle="1" w:styleId="350">
    <w:name w:val="正文文本 Char"/>
    <w:qFormat/>
    <w:uiPriority w:val="0"/>
    <w:rPr>
      <w:rFonts w:ascii="Times New Roman" w:hAnsi="Times New Roman"/>
      <w:sz w:val="21"/>
      <w:szCs w:val="24"/>
    </w:rPr>
  </w:style>
  <w:style w:type="character" w:customStyle="1" w:styleId="351">
    <w:name w:val="样式 宋体 小四 加粗 黑色"/>
    <w:qFormat/>
    <w:uiPriority w:val="0"/>
    <w:rPr>
      <w:rFonts w:ascii="宋体" w:hAnsi="宋体"/>
      <w:b/>
      <w:bCs/>
      <w:color w:val="000000"/>
      <w:sz w:val="24"/>
    </w:rPr>
  </w:style>
  <w:style w:type="character" w:customStyle="1" w:styleId="352">
    <w:name w:val="Body Text Indent 2 Char"/>
    <w:qFormat/>
    <w:uiPriority w:val="99"/>
    <w:rPr>
      <w:rFonts w:eastAsia="宋体"/>
      <w:sz w:val="24"/>
      <w:szCs w:val="24"/>
      <w:lang w:val="en-US" w:eastAsia="zh-CN"/>
    </w:rPr>
  </w:style>
  <w:style w:type="character" w:customStyle="1" w:styleId="353">
    <w:name w:val="纯文本 字符"/>
    <w:qFormat/>
    <w:uiPriority w:val="0"/>
    <w:rPr>
      <w:rFonts w:ascii="宋体" w:hAnsi="Courier New" w:eastAsia="宋体" w:cs="Courier New"/>
      <w:szCs w:val="21"/>
    </w:rPr>
  </w:style>
  <w:style w:type="character" w:customStyle="1" w:styleId="354">
    <w:name w:val="Char Char91"/>
    <w:qFormat/>
    <w:uiPriority w:val="99"/>
    <w:rPr>
      <w:rFonts w:eastAsia="宋体"/>
      <w:b/>
      <w:bCs/>
      <w:sz w:val="44"/>
      <w:szCs w:val="44"/>
      <w:lang w:val="en-US" w:eastAsia="zh-CN"/>
    </w:rPr>
  </w:style>
  <w:style w:type="character" w:customStyle="1" w:styleId="355">
    <w:name w:val="Heading 3 Char1"/>
    <w:qFormat/>
    <w:uiPriority w:val="99"/>
    <w:rPr>
      <w:rFonts w:eastAsia="宋体"/>
      <w:b/>
      <w:bCs/>
      <w:sz w:val="32"/>
      <w:szCs w:val="32"/>
      <w:lang w:val="en-US" w:eastAsia="zh-CN"/>
    </w:rPr>
  </w:style>
  <w:style w:type="character" w:customStyle="1" w:styleId="356">
    <w:name w:val="Char Char9"/>
    <w:qFormat/>
    <w:uiPriority w:val="99"/>
    <w:rPr>
      <w:rFonts w:eastAsia="宋体"/>
      <w:b/>
      <w:bCs/>
      <w:sz w:val="44"/>
      <w:szCs w:val="44"/>
      <w:lang w:val="en-US" w:eastAsia="zh-CN"/>
    </w:rPr>
  </w:style>
  <w:style w:type="character" w:customStyle="1" w:styleId="357">
    <w:name w:val="批注文字 字符"/>
    <w:qFormat/>
    <w:uiPriority w:val="0"/>
    <w:rPr>
      <w:rFonts w:ascii="Times New Roman" w:hAnsi="Times New Roman"/>
      <w:sz w:val="21"/>
      <w:szCs w:val="24"/>
    </w:rPr>
  </w:style>
  <w:style w:type="character" w:customStyle="1" w:styleId="358">
    <w:name w:val="Plain Text Char"/>
    <w:qFormat/>
    <w:uiPriority w:val="99"/>
    <w:rPr>
      <w:rFonts w:ascii="宋体" w:hAnsi="Courier New" w:eastAsia="宋体" w:cs="宋体"/>
      <w:sz w:val="24"/>
      <w:szCs w:val="24"/>
    </w:rPr>
  </w:style>
  <w:style w:type="character" w:customStyle="1" w:styleId="359">
    <w:name w:val="书籍标题11"/>
    <w:qFormat/>
    <w:uiPriority w:val="99"/>
    <w:rPr>
      <w:b/>
      <w:bCs/>
      <w:smallCaps/>
      <w:spacing w:val="5"/>
    </w:rPr>
  </w:style>
  <w:style w:type="character" w:customStyle="1" w:styleId="360">
    <w:name w:val="明显引用 Char"/>
    <w:link w:val="361"/>
    <w:qFormat/>
    <w:uiPriority w:val="99"/>
    <w:rPr>
      <w:b/>
      <w:bCs/>
      <w:i/>
      <w:iCs/>
      <w:color w:val="4F81BD"/>
    </w:rPr>
  </w:style>
  <w:style w:type="paragraph" w:customStyle="1" w:styleId="361">
    <w:name w:val="明显引用1"/>
    <w:basedOn w:val="1"/>
    <w:next w:val="1"/>
    <w:link w:val="360"/>
    <w:qFormat/>
    <w:uiPriority w:val="99"/>
    <w:pPr>
      <w:pBdr>
        <w:bottom w:val="single" w:color="4F81BD" w:sz="4" w:space="4"/>
      </w:pBdr>
      <w:spacing w:before="200" w:after="280"/>
      <w:ind w:left="936" w:right="936"/>
    </w:pPr>
    <w:rPr>
      <w:b/>
      <w:bCs/>
      <w:i/>
      <w:iCs/>
      <w:color w:val="4F81BD"/>
      <w:sz w:val="20"/>
      <w:szCs w:val="20"/>
    </w:rPr>
  </w:style>
  <w:style w:type="character" w:customStyle="1" w:styleId="362">
    <w:name w:val="Body Text Indent Char"/>
    <w:qFormat/>
    <w:uiPriority w:val="99"/>
    <w:rPr>
      <w:rFonts w:ascii="宋体" w:hAnsi="宋体" w:eastAsia="宋体" w:cs="宋体"/>
      <w:sz w:val="21"/>
      <w:szCs w:val="21"/>
      <w:lang w:val="en-US" w:eastAsia="zh-CN"/>
    </w:rPr>
  </w:style>
  <w:style w:type="character" w:customStyle="1" w:styleId="363">
    <w:name w:val="正文文本 (2) + 间距 0 pt"/>
    <w:qFormat/>
    <w:uiPriority w:val="99"/>
    <w:rPr>
      <w:rFonts w:ascii="MingLiU" w:hAnsi="MingLiU" w:eastAsia="MingLiU" w:cs="MingLiU"/>
      <w:color w:val="000000"/>
      <w:spacing w:val="0"/>
      <w:position w:val="0"/>
      <w:sz w:val="22"/>
      <w:szCs w:val="22"/>
      <w:u w:val="none"/>
      <w:shd w:val="clear" w:color="auto" w:fill="FFFFFF"/>
      <w:lang w:val="zh-CN" w:eastAsia="zh-CN"/>
    </w:rPr>
  </w:style>
  <w:style w:type="character" w:customStyle="1" w:styleId="364">
    <w:name w:val="Title Char"/>
    <w:qFormat/>
    <w:uiPriority w:val="99"/>
    <w:rPr>
      <w:rFonts w:ascii="Cambria" w:hAnsi="Cambria" w:cs="Cambria"/>
      <w:b/>
      <w:bCs/>
      <w:sz w:val="32"/>
      <w:szCs w:val="32"/>
    </w:rPr>
  </w:style>
  <w:style w:type="character" w:customStyle="1" w:styleId="365">
    <w:name w:val="Date Char"/>
    <w:qFormat/>
    <w:uiPriority w:val="99"/>
    <w:rPr>
      <w:rFonts w:eastAsia="宋体"/>
      <w:sz w:val="24"/>
      <w:szCs w:val="24"/>
      <w:lang w:val="en-US" w:eastAsia="zh-CN"/>
    </w:rPr>
  </w:style>
  <w:style w:type="character" w:customStyle="1" w:styleId="366">
    <w:name w:val="纯文本 Char"/>
    <w:qFormat/>
    <w:uiPriority w:val="0"/>
    <w:rPr>
      <w:rFonts w:ascii="宋体" w:hAnsi="Courier New" w:eastAsia="宋体" w:cs="Courier New"/>
      <w:szCs w:val="21"/>
    </w:rPr>
  </w:style>
  <w:style w:type="character" w:customStyle="1" w:styleId="367">
    <w:name w:val="Heading 5 Char"/>
    <w:qFormat/>
    <w:uiPriority w:val="99"/>
    <w:rPr>
      <w:rFonts w:eastAsia="宋体"/>
      <w:b/>
      <w:bCs/>
      <w:sz w:val="28"/>
      <w:szCs w:val="28"/>
      <w:lang w:val="en-US" w:eastAsia="zh-CN"/>
    </w:rPr>
  </w:style>
  <w:style w:type="character" w:customStyle="1" w:styleId="368">
    <w:name w:val="Comment Subject Char"/>
    <w:qFormat/>
    <w:uiPriority w:val="99"/>
    <w:rPr>
      <w:b/>
      <w:bCs/>
      <w:sz w:val="24"/>
      <w:szCs w:val="24"/>
    </w:rPr>
  </w:style>
  <w:style w:type="character" w:customStyle="1" w:styleId="369">
    <w:name w:val="Heading #3|1_"/>
    <w:link w:val="370"/>
    <w:qFormat/>
    <w:uiPriority w:val="0"/>
    <w:rPr>
      <w:rFonts w:ascii="宋体" w:hAnsi="宋体" w:cs="宋体"/>
      <w:sz w:val="28"/>
      <w:szCs w:val="28"/>
      <w:lang w:val="zh-CN" w:bidi="zh-CN"/>
    </w:rPr>
  </w:style>
  <w:style w:type="paragraph" w:customStyle="1" w:styleId="370">
    <w:name w:val="Heading #3|1"/>
    <w:basedOn w:val="1"/>
    <w:link w:val="369"/>
    <w:qFormat/>
    <w:uiPriority w:val="0"/>
    <w:pPr>
      <w:spacing w:after="570"/>
      <w:jc w:val="center"/>
      <w:outlineLvl w:val="2"/>
    </w:pPr>
    <w:rPr>
      <w:rFonts w:ascii="宋体" w:hAnsi="宋体" w:cs="宋体"/>
      <w:sz w:val="28"/>
      <w:szCs w:val="28"/>
      <w:lang w:val="zh-CN" w:bidi="zh-CN"/>
    </w:rPr>
  </w:style>
  <w:style w:type="character" w:customStyle="1" w:styleId="371">
    <w:name w:val="Char Char181"/>
    <w:qFormat/>
    <w:uiPriority w:val="99"/>
    <w:rPr>
      <w:b/>
      <w:bCs/>
      <w:sz w:val="44"/>
      <w:szCs w:val="44"/>
    </w:rPr>
  </w:style>
  <w:style w:type="character" w:customStyle="1" w:styleId="372">
    <w:name w:val="Heading 4 Char"/>
    <w:qFormat/>
    <w:uiPriority w:val="99"/>
    <w:rPr>
      <w:rFonts w:ascii="Arial" w:hAnsi="Arial" w:eastAsia="宋体" w:cs="Arial"/>
      <w:b/>
      <w:bCs/>
      <w:sz w:val="28"/>
      <w:szCs w:val="28"/>
      <w:lang w:val="en-US" w:eastAsia="zh-CN"/>
    </w:rPr>
  </w:style>
  <w:style w:type="character" w:customStyle="1" w:styleId="373">
    <w:name w:val="标题4 Char Char"/>
    <w:link w:val="374"/>
    <w:qFormat/>
    <w:uiPriority w:val="99"/>
    <w:rPr>
      <w:rFonts w:ascii="Arial" w:hAnsi="Arial" w:cs="Arial"/>
      <w:b/>
      <w:bCs/>
      <w:sz w:val="32"/>
      <w:szCs w:val="32"/>
    </w:rPr>
  </w:style>
  <w:style w:type="paragraph" w:customStyle="1" w:styleId="374">
    <w:name w:val="标题4"/>
    <w:basedOn w:val="188"/>
    <w:next w:val="223"/>
    <w:link w:val="373"/>
    <w:qFormat/>
    <w:uiPriority w:val="99"/>
    <w:pPr>
      <w:spacing w:before="60" w:after="60" w:line="413" w:lineRule="auto"/>
    </w:pPr>
    <w:rPr>
      <w:rFonts w:ascii="Arial" w:hAnsi="Arial"/>
    </w:rPr>
  </w:style>
  <w:style w:type="character" w:customStyle="1" w:styleId="375">
    <w:name w:val="Body text|7_"/>
    <w:link w:val="376"/>
    <w:qFormat/>
    <w:uiPriority w:val="0"/>
    <w:rPr>
      <w:rFonts w:ascii="Courier New" w:hAnsi="Courier New" w:eastAsia="Courier New" w:cs="Courier New"/>
      <w:b/>
      <w:bCs/>
      <w:sz w:val="8"/>
      <w:szCs w:val="8"/>
      <w:lang w:val="zh-CN"/>
    </w:rPr>
  </w:style>
  <w:style w:type="paragraph" w:customStyle="1" w:styleId="376">
    <w:name w:val="Body text|7"/>
    <w:basedOn w:val="1"/>
    <w:link w:val="375"/>
    <w:qFormat/>
    <w:uiPriority w:val="0"/>
    <w:pPr>
      <w:ind w:hanging="1760"/>
      <w:jc w:val="left"/>
    </w:pPr>
    <w:rPr>
      <w:rFonts w:ascii="Courier New" w:hAnsi="Courier New" w:eastAsia="Courier New"/>
      <w:b/>
      <w:bCs/>
      <w:sz w:val="8"/>
      <w:szCs w:val="8"/>
      <w:lang w:val="zh-CN"/>
    </w:rPr>
  </w:style>
  <w:style w:type="paragraph" w:customStyle="1" w:styleId="377">
    <w:name w:val="flNote"/>
    <w:basedOn w:val="1"/>
    <w:qFormat/>
    <w:uiPriority w:val="99"/>
    <w:pPr>
      <w:spacing w:before="320" w:after="160" w:line="360" w:lineRule="atLeast"/>
      <w:jc w:val="center"/>
    </w:pPr>
    <w:rPr>
      <w:rFonts w:ascii="Arial" w:eastAsia="黑体" w:cs="Arial"/>
      <w:sz w:val="30"/>
      <w:szCs w:val="30"/>
    </w:rPr>
  </w:style>
  <w:style w:type="paragraph" w:customStyle="1" w:styleId="378">
    <w:name w:val="正正正正"/>
    <w:basedOn w:val="217"/>
    <w:qFormat/>
    <w:uiPriority w:val="1"/>
    <w:pPr>
      <w:tabs>
        <w:tab w:val="left" w:pos="2812"/>
        <w:tab w:val="left" w:pos="3986"/>
      </w:tabs>
      <w:spacing w:after="0" w:line="360" w:lineRule="exact"/>
      <w:ind w:firstLine="200"/>
    </w:pPr>
    <w:rPr>
      <w:rFonts w:ascii="Calibri" w:hAnsi="Calibri"/>
      <w:sz w:val="20"/>
      <w:szCs w:val="21"/>
      <w:lang w:eastAsia="en-US"/>
    </w:rPr>
  </w:style>
  <w:style w:type="paragraph" w:customStyle="1" w:styleId="379">
    <w:name w:val="正文_2"/>
    <w:qFormat/>
    <w:uiPriority w:val="0"/>
    <w:pPr>
      <w:widowControl w:val="0"/>
      <w:jc w:val="both"/>
    </w:pPr>
    <w:rPr>
      <w:rFonts w:ascii="Calibri" w:hAnsi="Calibri" w:eastAsia="宋体" w:cs="Times New Roman"/>
      <w:sz w:val="21"/>
      <w:szCs w:val="22"/>
      <w:lang w:val="en-US" w:eastAsia="zh-CN" w:bidi="ar-SA"/>
    </w:rPr>
  </w:style>
  <w:style w:type="paragraph" w:customStyle="1" w:styleId="380">
    <w:name w:val="正文文本 (19)"/>
    <w:basedOn w:val="1"/>
    <w:qFormat/>
    <w:uiPriority w:val="99"/>
    <w:pPr>
      <w:shd w:val="clear" w:color="auto" w:fill="FFFFFF"/>
      <w:spacing w:line="559" w:lineRule="exact"/>
    </w:pPr>
    <w:rPr>
      <w:rFonts w:ascii="MingLiU" w:hAnsi="MingLiU" w:eastAsia="MingLiU"/>
      <w:b/>
      <w:bCs/>
      <w:spacing w:val="10"/>
    </w:rPr>
  </w:style>
  <w:style w:type="paragraph" w:customStyle="1" w:styleId="381">
    <w:name w:val="Default"/>
    <w:qFormat/>
    <w:uiPriority w:val="99"/>
    <w:pPr>
      <w:widowControl w:val="0"/>
    </w:pPr>
    <w:rPr>
      <w:rFonts w:ascii="Times New Roman" w:hAnsi="Times New Roman" w:eastAsia="宋体" w:cs="Times New Roman"/>
      <w:color w:val="000000"/>
      <w:sz w:val="24"/>
      <w:szCs w:val="24"/>
      <w:lang w:val="en-US" w:eastAsia="zh-CN" w:bidi="ar-SA"/>
    </w:rPr>
  </w:style>
  <w:style w:type="paragraph" w:customStyle="1" w:styleId="382">
    <w:name w:val="表内文字"/>
    <w:basedOn w:val="1"/>
    <w:qFormat/>
    <w:uiPriority w:val="0"/>
    <w:pPr>
      <w:spacing w:before="50" w:after="50"/>
      <w:jc w:val="center"/>
    </w:pPr>
    <w:rPr>
      <w:rFonts w:ascii="仿宋_GB2312" w:hAnsi="宋体" w:eastAsia="仿宋_GB2312"/>
      <w:b/>
      <w:color w:val="000000"/>
      <w:sz w:val="32"/>
      <w:szCs w:val="32"/>
    </w:rPr>
  </w:style>
  <w:style w:type="paragraph" w:customStyle="1" w:styleId="383">
    <w:name w:val="表格文字"/>
    <w:basedOn w:val="219"/>
    <w:qFormat/>
    <w:uiPriority w:val="0"/>
    <w:pPr>
      <w:spacing w:before="25" w:after="25"/>
      <w:jc w:val="left"/>
    </w:pPr>
    <w:rPr>
      <w:bCs/>
      <w:spacing w:val="10"/>
      <w:sz w:val="24"/>
    </w:rPr>
  </w:style>
  <w:style w:type="paragraph" w:customStyle="1" w:styleId="384">
    <w:name w:val="正文_0_0"/>
    <w:qFormat/>
    <w:uiPriority w:val="0"/>
    <w:pPr>
      <w:widowControl w:val="0"/>
      <w:jc w:val="both"/>
    </w:pPr>
    <w:rPr>
      <w:rFonts w:ascii="Calibri" w:hAnsi="Calibri" w:eastAsia="宋体" w:cs="Times New Roman"/>
      <w:sz w:val="21"/>
      <w:szCs w:val="22"/>
      <w:lang w:val="en-US" w:eastAsia="zh-CN" w:bidi="ar-SA"/>
    </w:rPr>
  </w:style>
  <w:style w:type="paragraph" w:customStyle="1" w:styleId="385">
    <w:name w:val="无间隔1"/>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386">
    <w:name w:val="Table Paragraph"/>
    <w:basedOn w:val="1"/>
    <w:qFormat/>
    <w:uiPriority w:val="1"/>
    <w:pPr>
      <w:jc w:val="left"/>
    </w:pPr>
    <w:rPr>
      <w:rFonts w:ascii="Calibri" w:hAnsi="Calibri"/>
      <w:sz w:val="22"/>
      <w:szCs w:val="22"/>
      <w:lang w:eastAsia="en-US"/>
    </w:rPr>
  </w:style>
  <w:style w:type="paragraph" w:customStyle="1" w:styleId="387">
    <w:name w:val="Char"/>
    <w:basedOn w:val="1"/>
    <w:qFormat/>
    <w:uiPriority w:val="99"/>
    <w:pPr>
      <w:widowControl/>
      <w:spacing w:after="160" w:line="240" w:lineRule="exact"/>
      <w:jc w:val="left"/>
    </w:pPr>
    <w:rPr>
      <w:szCs w:val="21"/>
    </w:rPr>
  </w:style>
  <w:style w:type="paragraph" w:customStyle="1" w:styleId="388">
    <w:name w:val="样式1"/>
    <w:basedOn w:val="1"/>
    <w:next w:val="190"/>
    <w:qFormat/>
    <w:uiPriority w:val="99"/>
    <w:pPr>
      <w:spacing w:line="360" w:lineRule="auto"/>
      <w:ind w:firstLine="420"/>
    </w:pPr>
    <w:rPr>
      <w:rFonts w:ascii="宋体" w:hAnsi="宋体" w:cs="宋体"/>
      <w:szCs w:val="21"/>
    </w:rPr>
  </w:style>
  <w:style w:type="paragraph" w:customStyle="1" w:styleId="389">
    <w:name w:val="样式 标题 2 + Times New Roman 四号 非加粗 段前: 5 磅 段后: 0 磅 行距: 固定值 20..."/>
    <w:basedOn w:val="188"/>
    <w:qFormat/>
    <w:uiPriority w:val="99"/>
    <w:pPr>
      <w:spacing w:before="100" w:after="0" w:line="400" w:lineRule="exact"/>
    </w:pPr>
    <w:rPr>
      <w:rFonts w:ascii="Times New Roman" w:hAnsi="Times New Roman" w:eastAsia="黑体"/>
      <w:b w:val="0"/>
      <w:bCs w:val="0"/>
      <w:sz w:val="28"/>
      <w:szCs w:val="28"/>
      <w:lang w:val="zh-CN"/>
    </w:rPr>
  </w:style>
  <w:style w:type="paragraph" w:customStyle="1" w:styleId="390">
    <w:name w:val="Char Char Char Char"/>
    <w:basedOn w:val="1"/>
    <w:qFormat/>
    <w:uiPriority w:val="99"/>
    <w:pPr>
      <w:widowControl/>
      <w:spacing w:line="500" w:lineRule="exact"/>
      <w:outlineLvl w:val="2"/>
    </w:pPr>
    <w:rPr>
      <w:rFonts w:ascii="黑体" w:hAnsi="Verdana" w:eastAsia="黑体" w:cs="黑体"/>
      <w:sz w:val="28"/>
      <w:szCs w:val="28"/>
      <w:lang w:eastAsia="en-US"/>
    </w:rPr>
  </w:style>
  <w:style w:type="paragraph" w:customStyle="1" w:styleId="391">
    <w:name w:val="BodyText1"/>
    <w:basedOn w:val="1"/>
    <w:qFormat/>
    <w:uiPriority w:val="0"/>
    <w:pPr>
      <w:spacing w:line="380" w:lineRule="exact"/>
    </w:pPr>
    <w:rPr>
      <w:sz w:val="24"/>
    </w:rPr>
  </w:style>
  <w:style w:type="paragraph" w:customStyle="1" w:styleId="392">
    <w:name w:val="样式 标题 3 + (中文) 黑体 小四 非加粗 段前: 7.8 磅 段后: 0 磅 行距: 固定值 20 磅"/>
    <w:basedOn w:val="189"/>
    <w:qFormat/>
    <w:uiPriority w:val="99"/>
    <w:pPr>
      <w:spacing w:before="0" w:after="0" w:line="400" w:lineRule="exact"/>
    </w:pPr>
    <w:rPr>
      <w:rFonts w:eastAsia="黑体"/>
      <w:b w:val="0"/>
      <w:bCs w:val="0"/>
      <w:lang w:val="zh-CN"/>
    </w:rPr>
  </w:style>
  <w:style w:type="paragraph" w:customStyle="1" w:styleId="393">
    <w:name w:val="_Style 37"/>
    <w:basedOn w:val="1"/>
    <w:next w:val="1"/>
    <w:qFormat/>
    <w:uiPriority w:val="99"/>
    <w:rPr>
      <w:szCs w:val="21"/>
    </w:rPr>
  </w:style>
  <w:style w:type="paragraph" w:customStyle="1" w:styleId="394">
    <w:name w:val="2-2ji"/>
    <w:basedOn w:val="188"/>
    <w:qFormat/>
    <w:uiPriority w:val="99"/>
    <w:pPr>
      <w:spacing w:before="0" w:after="0" w:line="360" w:lineRule="auto"/>
      <w:jc w:val="center"/>
    </w:pPr>
    <w:rPr>
      <w:rFonts w:ascii="宋体" w:hAnsi="宋体" w:cs="宋体"/>
      <w:sz w:val="36"/>
      <w:szCs w:val="36"/>
      <w:lang w:val="zh-CN"/>
    </w:rPr>
  </w:style>
  <w:style w:type="paragraph" w:customStyle="1" w:styleId="395">
    <w:name w:val="TOC 标题11"/>
    <w:basedOn w:val="187"/>
    <w:next w:val="1"/>
    <w:qFormat/>
    <w:uiPriority w:val="99"/>
    <w:pPr>
      <w:spacing w:line="576" w:lineRule="auto"/>
      <w:outlineLvl w:val="9"/>
    </w:pPr>
    <w:rPr>
      <w:rFonts w:ascii="Calibri" w:hAnsi="Calibri" w:eastAsia="黑体" w:cs="Calibri"/>
      <w:lang w:val="zh-CN"/>
    </w:rPr>
  </w:style>
  <w:style w:type="paragraph" w:customStyle="1" w:styleId="396">
    <w:name w:val="Char1"/>
    <w:basedOn w:val="1"/>
    <w:qFormat/>
    <w:uiPriority w:val="99"/>
    <w:pPr>
      <w:widowControl/>
      <w:spacing w:after="160" w:line="240" w:lineRule="exact"/>
      <w:jc w:val="left"/>
    </w:pPr>
    <w:rPr>
      <w:szCs w:val="21"/>
    </w:rPr>
  </w:style>
  <w:style w:type="paragraph" w:customStyle="1" w:styleId="397">
    <w:name w:val="p0"/>
    <w:basedOn w:val="1"/>
    <w:qFormat/>
    <w:uiPriority w:val="0"/>
    <w:pPr>
      <w:widowControl/>
    </w:pPr>
    <w:rPr>
      <w:rFonts w:ascii="Calibri" w:hAnsi="Calibri" w:cs="Calibri"/>
      <w:szCs w:val="21"/>
    </w:rPr>
  </w:style>
  <w:style w:type="paragraph" w:customStyle="1" w:styleId="398">
    <w:name w:val="Char Char Char Char Char Char Char"/>
    <w:basedOn w:val="1"/>
    <w:qFormat/>
    <w:uiPriority w:val="99"/>
    <w:pPr>
      <w:widowControl/>
      <w:spacing w:after="160" w:line="240" w:lineRule="exact"/>
      <w:jc w:val="left"/>
    </w:pPr>
    <w:rPr>
      <w:szCs w:val="21"/>
    </w:rPr>
  </w:style>
  <w:style w:type="paragraph" w:customStyle="1" w:styleId="399">
    <w:name w:val="1"/>
    <w:basedOn w:val="1"/>
    <w:next w:val="1"/>
    <w:qFormat/>
    <w:uiPriority w:val="99"/>
    <w:rPr>
      <w:szCs w:val="21"/>
    </w:rPr>
  </w:style>
  <w:style w:type="paragraph" w:customStyle="1" w:styleId="400">
    <w:name w:val="正文1"/>
    <w:basedOn w:val="1"/>
    <w:qFormat/>
    <w:uiPriority w:val="0"/>
    <w:pPr>
      <w:spacing w:line="360" w:lineRule="auto"/>
      <w:ind w:firstLine="200"/>
      <w:jc w:val="left"/>
    </w:pPr>
    <w:rPr>
      <w:rFonts w:ascii="Times New Roman)" w:hAnsi="Times New Roman)" w:eastAsia="宋体正文"/>
      <w:color w:val="000000"/>
      <w:sz w:val="24"/>
      <w:lang w:eastAsia="en-US" w:bidi="en-US"/>
    </w:rPr>
  </w:style>
  <w:style w:type="paragraph" w:customStyle="1" w:styleId="401">
    <w:name w:val="修订1"/>
    <w:qFormat/>
    <w:uiPriority w:val="99"/>
    <w:rPr>
      <w:rFonts w:ascii="Times New Roman" w:hAnsi="Times New Roman" w:eastAsia="宋体" w:cs="Times New Roman"/>
      <w:sz w:val="21"/>
      <w:szCs w:val="21"/>
      <w:lang w:val="en-US" w:eastAsia="zh-CN" w:bidi="ar-SA"/>
    </w:rPr>
  </w:style>
  <w:style w:type="paragraph" w:customStyle="1" w:styleId="402">
    <w:name w:val="_Style 1"/>
    <w:basedOn w:val="1"/>
    <w:qFormat/>
    <w:uiPriority w:val="99"/>
    <w:pPr>
      <w:ind w:firstLine="420"/>
      <w:jc w:val="left"/>
    </w:pPr>
    <w:rPr>
      <w:rFonts w:ascii="Times New Roman)" w:hAnsi="Times New Roman)" w:eastAsia="宋体正文"/>
      <w:color w:val="000000"/>
      <w:lang w:eastAsia="en-US" w:bidi="en-US"/>
    </w:rPr>
  </w:style>
  <w:style w:type="paragraph" w:customStyle="1" w:styleId="403">
    <w:name w:val="修订11"/>
    <w:qFormat/>
    <w:uiPriority w:val="99"/>
    <w:rPr>
      <w:rFonts w:ascii="Times New Roman" w:hAnsi="Times New Roman" w:eastAsia="宋体" w:cs="Times New Roman"/>
      <w:sz w:val="21"/>
      <w:szCs w:val="21"/>
      <w:lang w:val="en-US" w:eastAsia="zh-CN" w:bidi="ar-SA"/>
    </w:rPr>
  </w:style>
  <w:style w:type="paragraph" w:customStyle="1" w:styleId="404">
    <w:name w:val="列出段落1"/>
    <w:basedOn w:val="1"/>
    <w:qFormat/>
    <w:uiPriority w:val="99"/>
    <w:pPr>
      <w:ind w:firstLine="420"/>
    </w:pPr>
    <w:rPr>
      <w:rFonts w:ascii="Calibri" w:hAnsi="Calibri" w:cs="Calibri"/>
      <w:szCs w:val="21"/>
    </w:rPr>
  </w:style>
  <w:style w:type="paragraph" w:customStyle="1" w:styleId="405">
    <w:name w:val="无间隔111"/>
    <w:qFormat/>
    <w:uiPriority w:val="99"/>
    <w:pPr>
      <w:widowControl w:val="0"/>
      <w:jc w:val="both"/>
    </w:pPr>
    <w:rPr>
      <w:rFonts w:ascii="Times New Roman" w:hAnsi="Times New Roman" w:eastAsia="宋体" w:cs="Times New Roman"/>
      <w:sz w:val="21"/>
      <w:szCs w:val="21"/>
      <w:lang w:val="en-US" w:eastAsia="zh-CN" w:bidi="ar-SA"/>
    </w:rPr>
  </w:style>
  <w:style w:type="paragraph" w:customStyle="1" w:styleId="406">
    <w:name w:val="正文_1"/>
    <w:qFormat/>
    <w:uiPriority w:val="99"/>
    <w:pPr>
      <w:widowControl w:val="0"/>
      <w:jc w:val="both"/>
    </w:pPr>
    <w:rPr>
      <w:rFonts w:ascii="Times New Roman" w:hAnsi="Times New Roman" w:eastAsia="宋体" w:cs="Times New Roman"/>
      <w:sz w:val="21"/>
      <w:szCs w:val="21"/>
      <w:lang w:val="en-US" w:eastAsia="zh-CN" w:bidi="ar-SA"/>
    </w:rPr>
  </w:style>
  <w:style w:type="paragraph" w:customStyle="1" w:styleId="407">
    <w:name w:val="列出段落2"/>
    <w:basedOn w:val="1"/>
    <w:qFormat/>
    <w:uiPriority w:val="99"/>
    <w:pPr>
      <w:ind w:firstLine="420"/>
    </w:pPr>
    <w:rPr>
      <w:rFonts w:ascii="Calibri" w:hAnsi="Calibri" w:cs="Calibri"/>
      <w:szCs w:val="21"/>
    </w:rPr>
  </w:style>
  <w:style w:type="paragraph" w:customStyle="1" w:styleId="408">
    <w:name w:val="列表段落1"/>
    <w:basedOn w:val="1"/>
    <w:qFormat/>
    <w:uiPriority w:val="99"/>
    <w:pPr>
      <w:ind w:firstLine="420"/>
    </w:pPr>
  </w:style>
  <w:style w:type="paragraph" w:customStyle="1" w:styleId="409">
    <w:name w:val="首行缩进"/>
    <w:basedOn w:val="1"/>
    <w:qFormat/>
    <w:uiPriority w:val="99"/>
    <w:pPr>
      <w:ind w:firstLine="480"/>
    </w:pPr>
    <w:rPr>
      <w:lang w:val="zh-CN"/>
    </w:rPr>
  </w:style>
  <w:style w:type="paragraph" w:customStyle="1" w:styleId="410">
    <w:name w:val="正文文本 (2)4"/>
    <w:basedOn w:val="1"/>
    <w:qFormat/>
    <w:uiPriority w:val="0"/>
    <w:pPr>
      <w:shd w:val="clear" w:color="auto" w:fill="FFFFFF"/>
      <w:spacing w:before="300" w:line="439" w:lineRule="exact"/>
    </w:pPr>
    <w:rPr>
      <w:rFonts w:ascii="MingLiU" w:hAnsi="MingLiU" w:eastAsia="MingLiU"/>
      <w:spacing w:val="20"/>
      <w:sz w:val="22"/>
      <w:szCs w:val="22"/>
      <w:shd w:val="clear" w:color="auto" w:fill="FFFFFF"/>
    </w:rPr>
  </w:style>
  <w:style w:type="paragraph" w:styleId="411">
    <w:name w:val="List Paragraph"/>
    <w:basedOn w:val="1"/>
    <w:qFormat/>
    <w:uiPriority w:val="99"/>
    <w:pPr>
      <w:ind w:firstLine="420"/>
    </w:pPr>
    <w:rPr>
      <w:rFonts w:ascii="Calibri" w:hAnsi="Calibri"/>
      <w:szCs w:val="21"/>
    </w:rPr>
  </w:style>
  <w:style w:type="paragraph" w:customStyle="1" w:styleId="412">
    <w:name w:val="无间隔11"/>
    <w:qFormat/>
    <w:uiPriority w:val="99"/>
    <w:pPr>
      <w:widowControl w:val="0"/>
      <w:jc w:val="both"/>
    </w:pPr>
    <w:rPr>
      <w:rFonts w:ascii="Times New Roman" w:hAnsi="Times New Roman" w:eastAsia="宋体" w:cs="Times New Roman"/>
      <w:sz w:val="21"/>
      <w:szCs w:val="21"/>
      <w:lang w:val="en-US" w:eastAsia="zh-CN" w:bidi="ar-SA"/>
    </w:rPr>
  </w:style>
  <w:style w:type="paragraph" w:customStyle="1" w:styleId="413">
    <w:name w:val="reader-word-layer"/>
    <w:basedOn w:val="1"/>
    <w:qFormat/>
    <w:uiPriority w:val="99"/>
    <w:pPr>
      <w:widowControl/>
      <w:spacing w:before="100" w:beforeAutospacing="1" w:after="100" w:afterAutospacing="1"/>
      <w:jc w:val="left"/>
    </w:pPr>
    <w:rPr>
      <w:rFonts w:ascii="宋体" w:hAnsi="宋体" w:cs="宋体"/>
      <w:sz w:val="24"/>
    </w:rPr>
  </w:style>
  <w:style w:type="paragraph" w:customStyle="1" w:styleId="414">
    <w:name w:val="默认段落字体 Para Char Char Char Char Char Char Char Char Char1 Char Char Char Char"/>
    <w:basedOn w:val="1"/>
    <w:qFormat/>
    <w:uiPriority w:val="0"/>
    <w:rPr>
      <w:rFonts w:ascii="Tahoma" w:hAnsi="Tahoma"/>
      <w:sz w:val="24"/>
      <w:szCs w:val="20"/>
    </w:rPr>
  </w:style>
  <w:style w:type="paragraph" w:customStyle="1" w:styleId="415">
    <w:name w:val="空半行"/>
    <w:basedOn w:val="1"/>
    <w:qFormat/>
    <w:uiPriority w:val="99"/>
    <w:pPr>
      <w:spacing w:line="120" w:lineRule="exact"/>
    </w:pPr>
    <w:rPr>
      <w:rFonts w:eastAsia="仿宋_GB2312"/>
      <w:color w:val="FFFFFF"/>
      <w:sz w:val="30"/>
      <w:szCs w:val="30"/>
    </w:rPr>
  </w:style>
  <w:style w:type="table" w:customStyle="1" w:styleId="416">
    <w:name w:val="Table Normal"/>
    <w:unhideWhenUsed/>
    <w:qFormat/>
    <w:uiPriority w:val="0"/>
    <w:tblPr>
      <w:tblCellMar>
        <w:top w:w="0" w:type="dxa"/>
        <w:left w:w="0" w:type="dxa"/>
        <w:bottom w:w="0" w:type="dxa"/>
        <w:right w:w="0" w:type="dxa"/>
      </w:tblCellMar>
    </w:tblPr>
  </w:style>
  <w:style w:type="character" w:customStyle="1" w:styleId="417">
    <w:name w:val="批注文字 字符3"/>
    <w:basedOn w:val="35"/>
    <w:link w:val="16"/>
    <w:semiHidden/>
    <w:qFormat/>
    <w:uiPriority w:val="99"/>
    <w:rPr>
      <w:sz w:val="21"/>
      <w:szCs w:val="24"/>
    </w:rPr>
  </w:style>
  <w:style w:type="character" w:customStyle="1" w:styleId="418">
    <w:name w:val="批注主题 字符1"/>
    <w:basedOn w:val="417"/>
    <w:link w:val="32"/>
    <w:semiHidden/>
    <w:qFormat/>
    <w:uiPriority w:val="99"/>
    <w:rPr>
      <w:b/>
      <w:bCs/>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wmf"/><Relationship Id="rId16" Type="http://schemas.openxmlformats.org/officeDocument/2006/relationships/oleObject" Target="embeddings/oleObject1.bin"/><Relationship Id="rId15" Type="http://schemas.openxmlformats.org/officeDocument/2006/relationships/theme" Target="theme/theme1.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header" Target="header3.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黑体"/>
        <a:cs typeface="Arial"/>
      </a:majorFont>
      <a:minorFont>
        <a:latin typeface="Arial"/>
        <a:ea typeface="宋体"/>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广西云龙招</Company>
  <Pages>155</Pages>
  <Words>29745</Words>
  <Characters>31421</Characters>
  <Lines>866</Lines>
  <Paragraphs>243</Paragraphs>
  <TotalTime>0</TotalTime>
  <ScaleCrop>false</ScaleCrop>
  <LinksUpToDate>false</LinksUpToDate>
  <CharactersWithSpaces>31731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2020-07-13T02:59:00Z</dcterms:created>
  <dc:creator>唐</dc:creator>
  <cp:lastModifiedBy>Administrator</cp:lastModifiedBy>
  <dcterms:modified xsi:type="dcterms:W3CDTF">2026-05-29T10:38:57Z</dcterms:modified>
  <dc:title>竞争性谈判</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eyJoZGlkIjoiMzc0NmYyNmJlNDUwZmQyODg0NmIzODNjMTlmMDFjMTQiLCJ1c2VySWQiOiIzNTkzMDQzMjgifQ==</vt:lpwstr>
  </property>
  <property fmtid="{D5CDD505-2E9C-101B-9397-08002B2CF9AE}" pid="3" name="KSOProductBuildVer">
    <vt:lpwstr>2052-12.1.0.26375</vt:lpwstr>
  </property>
  <property fmtid="{D5CDD505-2E9C-101B-9397-08002B2CF9AE}" pid="4" name="ICV">
    <vt:lpwstr>8BBB7B41C90445129743252DB192A6E5_13</vt:lpwstr>
  </property>
</Properties>
</file>