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72"/>
        </w:rPr>
        <w:t>太仓市政府采购</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72"/>
        </w:rPr>
        <w:t> </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hint="eastAsia" w:ascii="宋体" w:hAnsi="宋体" w:cs="宋体"/>
          <w:b/>
          <w:kern w:val="0"/>
          <w:sz w:val="72"/>
        </w:rPr>
        <w:t xml:space="preserve">单 一 </w:t>
      </w:r>
      <w:r>
        <w:rPr>
          <w:rFonts w:ascii="宋体" w:hAnsi="宋体" w:cs="宋体"/>
          <w:b/>
          <w:kern w:val="0"/>
          <w:sz w:val="72"/>
        </w:rPr>
        <w:t>来</w:t>
      </w:r>
      <w:r>
        <w:rPr>
          <w:rFonts w:hint="eastAsia" w:ascii="宋体" w:hAnsi="宋体" w:cs="宋体"/>
          <w:b/>
          <w:kern w:val="0"/>
          <w:sz w:val="72"/>
        </w:rPr>
        <w:t xml:space="preserve"> </w:t>
      </w:r>
      <w:r>
        <w:rPr>
          <w:rFonts w:ascii="宋体" w:hAnsi="宋体" w:cs="宋体"/>
          <w:b/>
          <w:kern w:val="0"/>
          <w:sz w:val="72"/>
        </w:rPr>
        <w:t>源 文 件</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ind w:firstLine="630"/>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jc w:val="right"/>
        <w:rPr>
          <w:rFonts w:ascii="Arial" w:hAnsi="Arial" w:eastAsia="Arial"/>
          <w:kern w:val="0"/>
          <w:sz w:val="22"/>
        </w:rPr>
      </w:pPr>
      <w:r>
        <w:rPr>
          <w:rFonts w:ascii="宋体" w:hAnsi="宋体" w:cs="宋体"/>
          <w:kern w:val="0"/>
          <w:sz w:val="32"/>
        </w:rPr>
        <w:t> </w:t>
      </w:r>
    </w:p>
    <w:p>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cs="宋体"/>
          <w:b/>
          <w:kern w:val="0"/>
          <w:sz w:val="36"/>
        </w:rPr>
      </w:pPr>
      <w:r>
        <w:rPr>
          <w:rFonts w:ascii="宋体" w:hAnsi="宋体" w:cs="宋体"/>
          <w:b/>
          <w:kern w:val="0"/>
          <w:sz w:val="36"/>
        </w:rPr>
        <w:t>项目编号：</w:t>
      </w:r>
      <w:r>
        <w:rPr>
          <w:rFonts w:hint="eastAsia" w:ascii="宋体" w:hAnsi="宋体" w:cs="宋体"/>
          <w:b/>
          <w:kern w:val="0"/>
          <w:sz w:val="36"/>
        </w:rPr>
        <w:t>JSZC-320585-JZCG-D2026-0035</w:t>
      </w:r>
    </w:p>
    <w:p>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cs="宋体"/>
          <w:b/>
          <w:kern w:val="0"/>
          <w:sz w:val="36"/>
        </w:rPr>
      </w:pPr>
      <w:r>
        <w:rPr>
          <w:rFonts w:ascii="宋体" w:hAnsi="宋体" w:cs="宋体"/>
          <w:b/>
          <w:kern w:val="0"/>
          <w:sz w:val="36"/>
        </w:rPr>
        <w:t>项目名称：</w:t>
      </w:r>
      <w:r>
        <w:rPr>
          <w:rFonts w:hint="eastAsia" w:ascii="宋体" w:hAnsi="宋体" w:cs="宋体"/>
          <w:b/>
          <w:kern w:val="0"/>
          <w:sz w:val="36"/>
        </w:rPr>
        <w:t>太仓市“一网通办”平台（六期）</w:t>
      </w:r>
    </w:p>
    <w:p>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cs="宋体"/>
          <w:b/>
          <w:kern w:val="0"/>
          <w:sz w:val="36"/>
        </w:rPr>
      </w:pPr>
      <w:r>
        <w:rPr>
          <w:rFonts w:ascii="宋体" w:hAnsi="宋体" w:cs="宋体"/>
          <w:b/>
          <w:kern w:val="0"/>
          <w:sz w:val="36"/>
        </w:rPr>
        <w:t>采购单位：</w:t>
      </w:r>
      <w:r>
        <w:rPr>
          <w:rFonts w:hint="eastAsia" w:ascii="宋体" w:hAnsi="宋体" w:cs="宋体"/>
          <w:b/>
          <w:kern w:val="0"/>
          <w:sz w:val="36"/>
        </w:rPr>
        <w:t>太仓市数据局</w:t>
      </w:r>
    </w:p>
    <w:p>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kern w:val="0"/>
          <w:sz w:val="22"/>
        </w:rPr>
      </w:pPr>
      <w:r>
        <w:rPr>
          <w:rFonts w:ascii="宋体" w:hAnsi="宋体" w:cs="宋体"/>
          <w:b/>
          <w:kern w:val="0"/>
          <w:sz w:val="36"/>
        </w:rPr>
        <w:t>采购项目类别：服务类</w:t>
      </w:r>
    </w:p>
    <w:p>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kern w:val="0"/>
          <w:sz w:val="22"/>
        </w:rPr>
      </w:pPr>
      <w:r>
        <w:rPr>
          <w:rFonts w:ascii="宋体" w:hAnsi="宋体" w:cs="宋体"/>
          <w:b/>
          <w:kern w:val="0"/>
          <w:sz w:val="36"/>
        </w:rPr>
        <w:t>标的所属行业：</w:t>
      </w:r>
      <w:r>
        <w:rPr>
          <w:rFonts w:hint="eastAsia" w:ascii="宋体" w:hAnsi="宋体" w:cs="宋体"/>
          <w:b/>
          <w:kern w:val="0"/>
          <w:sz w:val="36"/>
        </w:rPr>
        <w:t>软件和信息技术服务业</w:t>
      </w:r>
    </w:p>
    <w:p>
      <w:pPr>
        <w:widowControl/>
        <w:pBdr>
          <w:top w:val="none" w:color="000000" w:sz="0" w:space="0"/>
          <w:left w:val="none" w:color="000000" w:sz="0" w:space="0"/>
          <w:bottom w:val="none" w:color="000000" w:sz="0" w:space="0"/>
          <w:right w:val="none" w:color="000000" w:sz="0" w:space="0"/>
        </w:pBdr>
        <w:spacing w:line="580" w:lineRule="exact"/>
        <w:rPr>
          <w:rFonts w:hint="eastAsia" w:ascii="宋体" w:hAnsi="宋体" w:cs="宋体"/>
          <w:kern w:val="0"/>
          <w:sz w:val="28"/>
        </w:rPr>
      </w:pPr>
      <w:r>
        <w:rPr>
          <w:rFonts w:ascii="宋体" w:hAnsi="宋体" w:cs="宋体"/>
          <w:kern w:val="0"/>
          <w:sz w:val="28"/>
        </w:rPr>
        <w:t> </w:t>
      </w:r>
    </w:p>
    <w:p>
      <w:pPr>
        <w:spacing w:after="200" w:line="276" w:lineRule="auto"/>
        <w:rPr>
          <w:rFonts w:hint="eastAsia" w:ascii="宋体" w:hAnsi="宋体" w:cs="宋体"/>
          <w:sz w:val="28"/>
          <w:szCs w:val="18"/>
        </w:rPr>
      </w:pPr>
    </w:p>
    <w:p>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kern w:val="0"/>
          <w:sz w:val="22"/>
        </w:rPr>
      </w:pPr>
      <w:r>
        <w:rPr>
          <w:rFonts w:ascii="宋体" w:hAnsi="宋体" w:cs="宋体"/>
          <w:kern w:val="0"/>
          <w:sz w:val="44"/>
        </w:rPr>
        <w:t> 苏州市公共资源交易中心太仓分中心</w:t>
      </w:r>
    </w:p>
    <w:p>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kern w:val="0"/>
          <w:sz w:val="22"/>
        </w:rPr>
      </w:pPr>
      <w:r>
        <w:rPr>
          <w:rFonts w:hint="eastAsia" w:ascii="宋体" w:hAnsi="宋体" w:cs="宋体"/>
          <w:kern w:val="0"/>
          <w:sz w:val="44"/>
        </w:rPr>
        <w:t>2026年5月</w:t>
      </w:r>
      <w:r>
        <w:rPr>
          <w:rFonts w:ascii="宋体" w:hAnsi="宋体" w:cs="宋体"/>
          <w:kern w:val="0"/>
          <w:sz w:val="44"/>
        </w:rPr>
        <w:br w:type="page" w:clear="all"/>
      </w:r>
    </w:p>
    <w:p>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kern w:val="0"/>
          <w:sz w:val="30"/>
        </w:rPr>
      </w:pPr>
      <w:r>
        <w:rPr>
          <w:rFonts w:ascii="宋体" w:hAnsi="宋体" w:cs="宋体"/>
          <w:b/>
          <w:kern w:val="0"/>
          <w:sz w:val="36"/>
        </w:rPr>
        <w:t>目</w:t>
      </w:r>
      <w:r>
        <w:rPr>
          <w:rFonts w:hint="eastAsia" w:ascii="宋体" w:hAnsi="宋体" w:cs="宋体"/>
          <w:b/>
          <w:kern w:val="0"/>
          <w:sz w:val="36"/>
        </w:rPr>
        <w:t xml:space="preserve"> </w:t>
      </w:r>
      <w:r>
        <w:rPr>
          <w:rFonts w:ascii="宋体" w:hAnsi="宋体" w:cs="宋体"/>
          <w:b/>
          <w:kern w:val="0"/>
          <w:sz w:val="36"/>
        </w:rPr>
        <w:t>录</w:t>
      </w:r>
    </w:p>
    <w:p>
      <w:pPr>
        <w:snapToGrid w:val="0"/>
        <w:spacing w:after="200" w:line="276" w:lineRule="auto"/>
        <w:rPr>
          <w:rFonts w:hint="eastAsia" w:ascii="宋体" w:hAnsi="宋体" w:cs="宋体"/>
          <w:sz w:val="30"/>
          <w:szCs w:val="24"/>
        </w:rPr>
      </w:pP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第一部分 单一来源采购邀请函</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第二部分 单一来源采购文件需求</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第三部分 单一来源采购程序</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第四部分 成交原则</w:t>
      </w:r>
    </w:p>
    <w:p>
      <w:pPr>
        <w:widowControl/>
        <w:spacing w:after="200"/>
        <w:ind w:firstLine="720" w:firstLineChars="200"/>
        <w:jc w:val="left"/>
        <w:rPr>
          <w:rFonts w:ascii="宋体" w:hAnsi="宋体" w:eastAsia="Arial"/>
          <w:kern w:val="0"/>
          <w:sz w:val="36"/>
        </w:rPr>
      </w:pPr>
      <w:r>
        <w:rPr>
          <w:rFonts w:hint="eastAsia" w:ascii="宋体" w:hAnsi="宋体" w:eastAsia="Arial"/>
          <w:kern w:val="0"/>
          <w:sz w:val="36"/>
        </w:rPr>
        <w:t>第五部分 合同条款</w:t>
      </w:r>
    </w:p>
    <w:p>
      <w:pPr>
        <w:widowControl/>
        <w:spacing w:after="200"/>
        <w:ind w:firstLine="720" w:firstLineChars="200"/>
        <w:jc w:val="left"/>
        <w:rPr>
          <w:rFonts w:ascii="宋体" w:hAnsi="宋体" w:eastAsia="Arial"/>
          <w:kern w:val="0"/>
          <w:sz w:val="36"/>
          <w:lang w:eastAsia="en-US"/>
        </w:rPr>
      </w:pPr>
      <w:r>
        <w:rPr>
          <w:rFonts w:hint="eastAsia" w:ascii="宋体" w:hAnsi="宋体" w:eastAsia="Arial"/>
          <w:kern w:val="0"/>
          <w:sz w:val="36"/>
          <w:lang w:eastAsia="en-US"/>
        </w:rPr>
        <w:t>第六部分 响应文件格式</w:t>
      </w:r>
    </w:p>
    <w:p>
      <w:pPr>
        <w:snapToGrid w:val="0"/>
        <w:spacing w:after="200" w:line="276" w:lineRule="auto"/>
        <w:rPr>
          <w:rFonts w:hint="eastAsia" w:ascii="宋体" w:hAnsi="宋体" w:cs="宋体"/>
          <w:sz w:val="30"/>
          <w:szCs w:val="24"/>
        </w:rPr>
      </w:pP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kern w:val="0"/>
          <w:sz w:val="22"/>
        </w:rPr>
      </w:pPr>
      <w:r>
        <w:rPr>
          <w:rFonts w:ascii="宋体" w:hAnsi="宋体" w:cs="宋体"/>
          <w:kern w:val="0"/>
        </w:rPr>
        <w:t> </w:t>
      </w:r>
      <w:r>
        <w:rPr>
          <w:rFonts w:ascii="Arial" w:hAnsi="Arial" w:eastAsia="Arial"/>
          <w:kern w:val="0"/>
          <w:sz w:val="22"/>
        </w:rPr>
        <w:br w:type="page" w:clear="all"/>
      </w:r>
    </w:p>
    <w:p>
      <w:pPr>
        <w:widowControl/>
        <w:numPr>
          <w:ilvl w:val="0"/>
          <w:numId w:val="5"/>
        </w:numPr>
        <w:pBdr>
          <w:top w:val="none" w:color="000000" w:sz="0" w:space="0"/>
          <w:left w:val="none" w:color="000000" w:sz="0" w:space="0"/>
          <w:bottom w:val="none" w:color="000000" w:sz="0" w:space="0"/>
          <w:right w:val="none" w:color="000000" w:sz="0" w:space="0"/>
        </w:pBdr>
        <w:spacing w:before="240" w:after="240" w:line="276" w:lineRule="auto"/>
        <w:jc w:val="center"/>
        <w:rPr>
          <w:rFonts w:hint="eastAsia" w:ascii="宋体" w:hAnsi="宋体" w:cs="宋体"/>
          <w:b/>
          <w:kern w:val="0"/>
          <w:sz w:val="44"/>
        </w:rPr>
      </w:pPr>
      <w:r>
        <w:rPr>
          <w:rFonts w:hint="eastAsia" w:ascii="宋体" w:hAnsi="宋体" w:cs="宋体"/>
          <w:b/>
          <w:kern w:val="0"/>
          <w:sz w:val="44"/>
        </w:rPr>
        <w:t>单一来源采购邀请函</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苏州中格软件有限公司：</w:t>
      </w:r>
    </w:p>
    <w:tbl>
      <w:tblPr>
        <w:tblStyle w:val="17"/>
        <w:tblW w:w="906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063"/>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06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项目概况</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太仓市“一网通办”平台（六期）JSZC-320585-JZCG-D2026-0035招标项目的潜在投标人应在“苏采云”系统（网址：http://jszfcg.jsczt.cn/）自行下载 获取招标文件，并于</w:t>
            </w:r>
            <w:bookmarkStart w:id="213" w:name="_GoBack"/>
            <w:bookmarkEnd w:id="213"/>
            <w:r>
              <w:rPr>
                <w:rFonts w:hint="eastAsia" w:ascii="仿宋" w:hAnsi="仿宋" w:eastAsia="仿宋" w:cs="仿宋"/>
                <w:kern w:val="0"/>
                <w:szCs w:val="24"/>
                <w:lang w:eastAsia="zh-CN"/>
              </w:rPr>
              <w:t>2026-5-28</w:t>
            </w:r>
            <w:r>
              <w:rPr>
                <w:rFonts w:hint="eastAsia" w:ascii="仿宋" w:hAnsi="仿宋" w:eastAsia="仿宋" w:cs="仿宋"/>
                <w:kern w:val="0"/>
                <w:szCs w:val="24"/>
              </w:rPr>
              <w:t xml:space="preserve"> 09:30 （北京时间）前递交投标文件。</w:t>
            </w:r>
          </w:p>
        </w:tc>
      </w:tr>
    </w:tbl>
    <w:p>
      <w:pPr>
        <w:shd w:val="clear" w:color="auto" w:fill="FFFFFF"/>
        <w:spacing w:line="23" w:lineRule="atLeast"/>
        <w:outlineLvl w:val="1"/>
        <w:rPr>
          <w:rFonts w:hint="eastAsia" w:ascii="宋体" w:hAnsi="宋体" w:cs="宋体"/>
          <w:sz w:val="34"/>
        </w:rPr>
      </w:pPr>
      <w:r>
        <w:rPr>
          <w:rFonts w:ascii="黑体" w:hAnsi="宋体" w:eastAsia="黑体" w:cs="黑体"/>
          <w:b/>
          <w:sz w:val="28"/>
          <w:szCs w:val="28"/>
          <w:shd w:val="clear" w:color="auto" w:fill="FFFFFF"/>
        </w:rPr>
        <w:t>一、项目基本情况</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bookmarkStart w:id="0" w:name="OLE_LINK5"/>
      <w:r>
        <w:rPr>
          <w:rFonts w:hint="eastAsia" w:ascii="仿宋" w:hAnsi="仿宋" w:eastAsia="仿宋" w:cs="仿宋"/>
          <w:kern w:val="0"/>
          <w:szCs w:val="24"/>
        </w:rPr>
        <w:t>项目编号：JSZC-320585-JZCG-D2026-0035</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项目名称：太仓市“一网通办”平台（六期）</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预算金额：245 万元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最高限价（如有）：无</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bookmarkStart w:id="1" w:name="OLE_LINK3"/>
      <w:r>
        <w:rPr>
          <w:rFonts w:hint="eastAsia" w:ascii="仿宋" w:hAnsi="仿宋" w:eastAsia="仿宋" w:cs="仿宋"/>
          <w:kern w:val="0"/>
          <w:szCs w:val="24"/>
        </w:rPr>
        <w:t>采购方式：</w:t>
      </w:r>
      <w:bookmarkEnd w:id="1"/>
      <w:r>
        <w:rPr>
          <w:rFonts w:hint="eastAsia" w:ascii="仿宋" w:hAnsi="仿宋" w:eastAsia="仿宋" w:cs="仿宋"/>
          <w:kern w:val="0"/>
          <w:szCs w:val="24"/>
        </w:rPr>
        <w:t>单一来源 </w:t>
      </w:r>
    </w:p>
    <w:bookmarkEnd w:id="0"/>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采购需求：</w:t>
      </w:r>
      <w:bookmarkStart w:id="2" w:name="OLE_LINK7"/>
      <w:r>
        <w:rPr>
          <w:rFonts w:hint="eastAsia" w:ascii="仿宋" w:hAnsi="仿宋" w:eastAsia="仿宋" w:cs="仿宋"/>
          <w:kern w:val="0"/>
          <w:szCs w:val="24"/>
        </w:rPr>
        <w:t>为全面推进政务服务数字化转型，太仓市“一网通办”平台建设项目（六期）通过构建全市统一的“AI+政务服务”能力支撑体系，项目底层采用“基础支撑+数智底座”架构，筑牢智能化服务根基。进一步拓展AI+应用场景，打造智能导服、政务助手、政务慧审等6个智慧服务组件，梳理上线20个高频政务服务场景，覆盖单事项、一件事、不动产业务等领域，实现智能问答、辅助审批、材料自动生成与审查等智能化能力。强化落实高效办成一件事，包括落地投资促产一类事，对接固定资产投资、开工及验收全流程服务；建设“人才房票一件事”，支持人才按实际情况申请对应房票，助力精准购房；并预留4个未来省市要求建设的“一件事”拓展接口。开展事项全生命周期管理，构建覆盖事项创建、维护、归档及标准化管理的全流程平台；开展人才特色服务建设，推进企业库、人才库、项目库、奖补库“四库联动”，实现人才适配、需求对接与补贴资质自动校验，支撑多轮次审核，开发“太仓青年人才礼遇小程序”，提供人才认定、补贴发放全流程服务，优化人才服务体验。此外，对一网通办平台中已建成并投入使用的子系统及全市投放的自助服务设备进行为期一年的运维保障服务。具体内容详见第三部分项目需求。</w:t>
      </w:r>
    </w:p>
    <w:bookmarkEnd w:id="2"/>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合同履行期限：建设工期为3个月。合同签订后的3个月内完成软件系统研发和联调测试，在运行系统及自助一体机运维期限1年。</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本项目（是/否）接受联合体投标：不接受联合体</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二、申请人的资格要求</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（一）满足《中华人民共和国政府采购法》第二十二条规定；</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1.具有独立承担民事责任的能力证明。包括法人或者其他组织的营业执照等证明文件，自然人的身份证明；</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2.具有良好的商业信誉和健全的财务会计制度证明。</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3.具备履行合同所必需的设备和专业技术能力的证明材料或承诺；</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4.依法缴纳税收和社会保障资金的相关资料；</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5.参加政府采购活动前三年内在经营活动中没有重大违法记录的书面声明函；</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6.法律、行政法规规定的其他条件</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（二）落实政府采购政策需满足的资格要求：</w:t>
      </w:r>
    </w:p>
    <w:p>
      <w:pPr>
        <w:widowControl/>
        <w:pBdr>
          <w:top w:val="none" w:color="000000" w:sz="0" w:space="0"/>
          <w:left w:val="none" w:color="000000" w:sz="0" w:space="0"/>
          <w:bottom w:val="none" w:color="000000" w:sz="0" w:space="0"/>
          <w:right w:val="none" w:color="000000" w:sz="0" w:space="0"/>
        </w:pBdr>
        <w:spacing w:line="480" w:lineRule="atLeast"/>
        <w:ind w:firstLine="482" w:firstLineChars="200"/>
        <w:jc w:val="left"/>
        <w:rPr>
          <w:rFonts w:hint="eastAsia" w:ascii="仿宋" w:hAnsi="仿宋" w:eastAsia="仿宋" w:cs="仿宋"/>
          <w:kern w:val="0"/>
          <w:szCs w:val="24"/>
        </w:rPr>
      </w:pPr>
      <w:bookmarkStart w:id="3" w:name="OLE_LINK6"/>
      <w:r>
        <w:rPr>
          <w:rFonts w:hint="eastAsia" w:ascii="仿宋" w:hAnsi="仿宋" w:eastAsia="仿宋" w:cs="仿宋"/>
          <w:b/>
          <w:bCs/>
          <w:kern w:val="0"/>
          <w:szCs w:val="24"/>
        </w:rPr>
        <w:t>本项目专门面向中小企业采购，</w:t>
      </w:r>
      <w:r>
        <w:rPr>
          <w:rFonts w:hint="eastAsia" w:ascii="仿宋" w:hAnsi="仿宋" w:eastAsia="仿宋" w:cs="仿宋"/>
          <w:kern w:val="0"/>
          <w:szCs w:val="24"/>
        </w:rPr>
        <w:t>投标人必须提供《中小企业声明函》或《残疾人福利性单位声明函》或由省级以上监狱管理局、戒毒管理局（含新疆生产建设兵团）出具的属于监狱企业的证明文件。</w:t>
      </w:r>
      <w:bookmarkEnd w:id="3"/>
    </w:p>
    <w:p>
      <w:pPr>
        <w:pStyle w:val="14"/>
        <w:numPr>
          <w:ilvl w:val="0"/>
          <w:numId w:val="6"/>
        </w:numPr>
        <w:spacing w:beforeAutospacing="0" w:afterAutospacing="0" w:line="480" w:lineRule="atLeast"/>
        <w:rPr>
          <w:rFonts w:hint="eastAsia" w:ascii="仿宋" w:hAnsi="仿宋" w:eastAsia="仿宋" w:cs="仿宋"/>
        </w:rPr>
      </w:pPr>
      <w:r>
        <w:rPr>
          <w:rFonts w:hint="eastAsia" w:ascii="仿宋" w:hAnsi="仿宋" w:eastAsia="仿宋" w:cs="仿宋"/>
        </w:rPr>
        <w:t>本项目的特定资格要求：</w:t>
      </w:r>
    </w:p>
    <w:p>
      <w:pPr>
        <w:pStyle w:val="14"/>
        <w:spacing w:beforeAutospacing="0" w:afterAutospacing="0" w:line="480" w:lineRule="atLeast"/>
        <w:rPr>
          <w:rFonts w:hint="eastAsia" w:ascii="仿宋" w:hAnsi="仿宋" w:eastAsia="仿宋" w:cs="仿宋"/>
        </w:rPr>
      </w:pPr>
      <w:r>
        <w:rPr>
          <w:rFonts w:hint="eastAsia" w:ascii="仿宋" w:hAnsi="仿宋" w:eastAsia="仿宋" w:cs="仿宋"/>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（四）拒绝下述供应商参加本次采购活动：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1、供应商单位负责人为同一人或者存在直接控股、管理关系的不同供应商，不得参加同一合同项下的政府采购活动。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2、凡为采购项目提供整体设计、规范编制或者项目管理、监理、检测等服务的供应商，不得再参加本项目的采购活动。</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3、法人的分支机构不得参加投标（除银行、保险、石油石化、电力、电信等行业特殊情况外）</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三、获取招标文件</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时间：自招标文件公告发布之日起5个工作日</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地点：“苏采云”系统（网址：http://jszfcg.jsczt.cn/）自行下载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方式：自行下载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售价：0.00元 </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四、提交投标文件截止时间、开标时间和地点</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lang w:eastAsia="zh-CN"/>
        </w:rPr>
        <w:t>2026-5-28</w:t>
      </w:r>
      <w:r>
        <w:rPr>
          <w:rFonts w:hint="eastAsia" w:ascii="仿宋" w:hAnsi="仿宋" w:eastAsia="仿宋" w:cs="仿宋"/>
          <w:kern w:val="0"/>
          <w:szCs w:val="24"/>
        </w:rPr>
        <w:t xml:space="preserve"> 09:30 （北京时间）</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地点：苏采云系统 </w:t>
      </w:r>
    </w:p>
    <w:p>
      <w:pPr>
        <w:shd w:val="clear" w:color="auto" w:fill="FFFFFF"/>
        <w:spacing w:line="23" w:lineRule="atLeast"/>
        <w:outlineLvl w:val="1"/>
        <w:rPr>
          <w:rFonts w:hint="eastAsia" w:ascii="宋体" w:hAnsi="宋体" w:cs="宋体"/>
          <w:sz w:val="34"/>
        </w:rPr>
      </w:pPr>
      <w:r>
        <w:rPr>
          <w:rFonts w:hint="eastAsia" w:ascii="黑体" w:hAnsi="宋体" w:eastAsia="黑体" w:cs="黑体"/>
          <w:b/>
          <w:sz w:val="28"/>
          <w:szCs w:val="28"/>
          <w:shd w:val="clear" w:color="auto" w:fill="FFFFFF"/>
        </w:rPr>
        <w:t>五、公告期限</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自本公告发布之日起5个工作日。</w:t>
      </w:r>
    </w:p>
    <w:p>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六、其他补充事宜</w:t>
      </w:r>
    </w:p>
    <w:p>
      <w:pPr>
        <w:widowControl/>
        <w:spacing w:line="480" w:lineRule="exact"/>
        <w:rPr>
          <w:rFonts w:hint="eastAsia" w:ascii="仿宋" w:hAnsi="仿宋" w:eastAsia="仿宋" w:cs="仿宋"/>
          <w:szCs w:val="24"/>
        </w:rPr>
      </w:pPr>
      <w:r>
        <w:rPr>
          <w:rFonts w:hint="eastAsia" w:ascii="仿宋" w:hAnsi="仿宋" w:eastAsia="仿宋" w:cs="仿宋"/>
          <w:szCs w:val="24"/>
        </w:rPr>
        <w:t>1、本项目需要使用CA数字证书制作、上传电子投标文件完成电子投标，请供应商在参加投标活动前办理好CA数字证书申领及电子签章等操作。</w:t>
      </w:r>
    </w:p>
    <w:p>
      <w:pPr>
        <w:widowControl/>
        <w:spacing w:line="480" w:lineRule="exact"/>
        <w:rPr>
          <w:rFonts w:hint="eastAsia" w:ascii="仿宋" w:hAnsi="仿宋" w:eastAsia="仿宋" w:cs="仿宋"/>
          <w:b/>
          <w:szCs w:val="24"/>
        </w:rPr>
      </w:pPr>
      <w:r>
        <w:rPr>
          <w:rFonts w:hint="eastAsia" w:ascii="仿宋" w:hAnsi="仿宋" w:eastAsia="仿宋" w:cs="仿宋"/>
          <w:b/>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widowControl/>
        <w:spacing w:line="480" w:lineRule="exact"/>
        <w:rPr>
          <w:rFonts w:hint="eastAsia" w:ascii="仿宋" w:hAnsi="仿宋" w:eastAsia="仿宋" w:cs="仿宋"/>
          <w:szCs w:val="24"/>
        </w:rPr>
      </w:pPr>
      <w:r>
        <w:rPr>
          <w:rFonts w:ascii="仿宋" w:hAnsi="仿宋" w:eastAsia="仿宋" w:cs="仿宋"/>
          <w:b/>
          <w:szCs w:val="24"/>
        </w:rPr>
        <w:t>3</w:t>
      </w:r>
      <w:r>
        <w:rPr>
          <w:rFonts w:hint="eastAsia" w:ascii="仿宋" w:hAnsi="仿宋" w:eastAsia="仿宋" w:cs="仿宋"/>
          <w:b/>
          <w:szCs w:val="24"/>
        </w:rPr>
        <w:t>、本项目采用不见面开标，投标人开标时无需到开标现场进行解密，采取网上开标大厅解密电子投标文件，投标人远程解密要求如下：</w:t>
      </w:r>
    </w:p>
    <w:p>
      <w:pPr>
        <w:widowControl/>
        <w:spacing w:line="480" w:lineRule="exact"/>
        <w:rPr>
          <w:rFonts w:hint="eastAsia" w:ascii="仿宋" w:hAnsi="仿宋" w:eastAsia="仿宋" w:cs="仿宋"/>
          <w:szCs w:val="24"/>
        </w:rPr>
      </w:pPr>
      <w:r>
        <w:rPr>
          <w:rFonts w:hint="eastAsia" w:ascii="仿宋" w:hAnsi="仿宋" w:eastAsia="仿宋" w:cs="仿宋"/>
          <w:szCs w:val="24"/>
        </w:rPr>
        <w:t>1）投标人使用CA数字证书进行远程解密，解密的CA数字证书与生成加密电子投标文件时的CA数字证书需为同一个CA数字证书，否则无法解密，造成的后果由投标人自行负责。</w:t>
      </w:r>
    </w:p>
    <w:p>
      <w:pPr>
        <w:widowControl/>
        <w:spacing w:line="480" w:lineRule="exact"/>
        <w:rPr>
          <w:rFonts w:hint="eastAsia" w:ascii="仿宋" w:hAnsi="仿宋" w:eastAsia="仿宋" w:cs="仿宋"/>
          <w:szCs w:val="24"/>
        </w:rPr>
      </w:pPr>
      <w:r>
        <w:rPr>
          <w:rFonts w:hint="eastAsia" w:ascii="仿宋" w:hAnsi="仿宋" w:eastAsia="仿宋" w:cs="仿宋"/>
          <w:szCs w:val="24"/>
        </w:rPr>
        <w:t>2）投标人登录苏采云系统，点击开标大厅，选择开标项目，完成不见面开标流程。</w:t>
      </w:r>
    </w:p>
    <w:p>
      <w:pPr>
        <w:widowControl/>
        <w:spacing w:line="480" w:lineRule="exact"/>
        <w:rPr>
          <w:rFonts w:hint="eastAsia" w:ascii="仿宋" w:hAnsi="仿宋" w:eastAsia="仿宋" w:cs="仿宋"/>
          <w:szCs w:val="24"/>
        </w:rPr>
      </w:pPr>
      <w:r>
        <w:rPr>
          <w:rFonts w:hint="eastAsia" w:ascii="仿宋" w:hAnsi="仿宋" w:eastAsia="仿宋" w:cs="仿宋"/>
          <w:szCs w:val="24"/>
        </w:rPr>
        <w:t>3）投标截止时间后根据系统提示解密电子投标文件。</w:t>
      </w:r>
      <w:r>
        <w:rPr>
          <w:rFonts w:hint="eastAsia" w:ascii="仿宋" w:hAnsi="仿宋" w:eastAsia="仿宋" w:cs="仿宋"/>
          <w:b/>
          <w:szCs w:val="24"/>
        </w:rPr>
        <w:t>解密时间为15分钟，</w:t>
      </w:r>
      <w:r>
        <w:rPr>
          <w:rFonts w:hint="eastAsia" w:ascii="仿宋" w:hAnsi="仿宋" w:eastAsia="仿宋" w:cs="仿宋"/>
          <w:szCs w:val="24"/>
        </w:rPr>
        <w:t>未在规定时间内完成解密，其投标文件将被拒绝，不参与后续投标流程。</w:t>
      </w:r>
    </w:p>
    <w:p>
      <w:pPr>
        <w:widowControl/>
        <w:spacing w:line="480" w:lineRule="exact"/>
        <w:rPr>
          <w:rFonts w:hint="eastAsia" w:ascii="仿宋" w:hAnsi="仿宋" w:eastAsia="仿宋" w:cs="仿宋"/>
          <w:szCs w:val="24"/>
        </w:rPr>
      </w:pPr>
      <w:r>
        <w:rPr>
          <w:rFonts w:hint="eastAsia" w:ascii="仿宋" w:hAnsi="仿宋" w:eastAsia="仿宋" w:cs="仿宋"/>
          <w:szCs w:val="24"/>
        </w:rPr>
        <w:t>4）在开标、评标过程中投标单位代表须在网上不见面开标系统中保持在线状态，以应对可能发生的澄清、说明等回复，由于投标单位代表不在线所造成的一切后果由投标人自行承担。</w:t>
      </w:r>
    </w:p>
    <w:p>
      <w:pPr>
        <w:widowControl/>
        <w:spacing w:line="480" w:lineRule="exact"/>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b/>
          <w:szCs w:val="24"/>
        </w:rPr>
        <w:t>有关苏采云系统驱动安装，</w:t>
      </w:r>
      <w:r>
        <w:rPr>
          <w:rFonts w:hint="eastAsia" w:ascii="仿宋" w:hAnsi="仿宋" w:eastAsia="仿宋" w:cs="仿宋"/>
          <w:szCs w:val="24"/>
        </w:rPr>
        <w:t>登录苏州政府采购网，点击页面底部苏采云图标，进入苏采云政府采购一体化平台，点击“驱动下载”，下载</w:t>
      </w:r>
      <w:r>
        <w:rPr>
          <w:rFonts w:hint="eastAsia" w:ascii="仿宋" w:hAnsi="仿宋" w:eastAsia="仿宋" w:cs="仿宋"/>
          <w:b/>
          <w:szCs w:val="24"/>
        </w:rPr>
        <w:t>“政务CA、方正签章控件驱动安装包及安装说明”</w:t>
      </w:r>
      <w:r>
        <w:rPr>
          <w:rFonts w:hint="eastAsia" w:ascii="仿宋" w:hAnsi="仿宋" w:eastAsia="仿宋" w:cs="仿宋"/>
          <w:szCs w:val="24"/>
        </w:rPr>
        <w:t>文件，按要求安装驱动。</w:t>
      </w:r>
    </w:p>
    <w:p>
      <w:pPr>
        <w:widowControl/>
        <w:spacing w:line="480" w:lineRule="exact"/>
        <w:rPr>
          <w:rFonts w:hint="eastAsia" w:ascii="仿宋" w:hAnsi="仿宋" w:eastAsia="仿宋" w:cs="仿宋"/>
          <w:szCs w:val="24"/>
        </w:rPr>
      </w:pPr>
      <w:r>
        <w:rPr>
          <w:rFonts w:hint="eastAsia" w:ascii="仿宋" w:hAnsi="仿宋" w:eastAsia="仿宋" w:cs="仿宋"/>
          <w:szCs w:val="24"/>
        </w:rPr>
        <w:t>5、</w:t>
      </w:r>
      <w:r>
        <w:rPr>
          <w:rFonts w:hint="eastAsia" w:ascii="仿宋" w:hAnsi="仿宋" w:eastAsia="仿宋" w:cs="仿宋"/>
          <w:b/>
          <w:szCs w:val="24"/>
        </w:rPr>
        <w:t>有关供应商注册、报名、下载电子招标文件、制作上传电子投标文件</w:t>
      </w:r>
      <w:r>
        <w:rPr>
          <w:rFonts w:hint="eastAsia" w:ascii="仿宋" w:hAnsi="仿宋" w:eastAsia="仿宋" w:cs="仿宋"/>
          <w:szCs w:val="24"/>
        </w:rPr>
        <w:t>、不见面开标及其他注意事项登录苏州政府采购网，在“下载中心”栏目下载“</w:t>
      </w:r>
      <w:r>
        <w:rPr>
          <w:rFonts w:hint="eastAsia" w:ascii="仿宋" w:hAnsi="仿宋" w:eastAsia="仿宋" w:cs="仿宋"/>
          <w:b/>
          <w:szCs w:val="24"/>
        </w:rPr>
        <w:t>苏采云系统供应商操作</w:t>
      </w:r>
      <w:r>
        <w:rPr>
          <w:rFonts w:hint="eastAsia" w:ascii="仿宋" w:hAnsi="仿宋" w:eastAsia="仿宋" w:cs="仿宋"/>
          <w:b/>
          <w:bCs/>
          <w:szCs w:val="24"/>
        </w:rPr>
        <w:t>手册</w:t>
      </w:r>
      <w:r>
        <w:rPr>
          <w:rFonts w:hint="eastAsia" w:ascii="仿宋" w:hAnsi="仿宋" w:eastAsia="仿宋" w:cs="仿宋"/>
          <w:szCs w:val="24"/>
        </w:rPr>
        <w:t>”查阅。</w:t>
      </w:r>
    </w:p>
    <w:p>
      <w:pPr>
        <w:widowControl/>
        <w:spacing w:line="480" w:lineRule="exact"/>
        <w:rPr>
          <w:rFonts w:hint="eastAsia" w:ascii="仿宋" w:hAnsi="仿宋" w:eastAsia="仿宋" w:cs="仿宋"/>
          <w:szCs w:val="24"/>
        </w:rPr>
      </w:pPr>
      <w:r>
        <w:rPr>
          <w:rFonts w:hint="eastAsia" w:ascii="仿宋" w:hAnsi="仿宋" w:eastAsia="仿宋" w:cs="仿宋"/>
          <w:szCs w:val="24"/>
        </w:rPr>
        <w:t>6、有关办理CA数字申领及电子签章事项，登录苏州政府采购网，点击页面底部苏采云图标，进入苏采云政府采购一体化平台，下载“新CA办理指南”文件查阅。</w:t>
      </w:r>
    </w:p>
    <w:p>
      <w:pPr>
        <w:widowControl/>
        <w:spacing w:line="480" w:lineRule="exact"/>
        <w:rPr>
          <w:rFonts w:hint="eastAsia" w:ascii="仿宋" w:hAnsi="仿宋" w:eastAsia="仿宋" w:cs="仿宋"/>
          <w:szCs w:val="24"/>
        </w:rPr>
      </w:pPr>
      <w:r>
        <w:rPr>
          <w:rFonts w:hint="eastAsia" w:ascii="仿宋" w:hAnsi="仿宋" w:eastAsia="仿宋" w:cs="仿宋"/>
          <w:szCs w:val="24"/>
        </w:rPr>
        <w:t>7、有关电子投标制作技术疑问，请咨询苏采云软件公司客服：18261002950、0512-69820854、0519-86722802</w:t>
      </w:r>
    </w:p>
    <w:p>
      <w:pPr>
        <w:widowControl/>
        <w:spacing w:line="480" w:lineRule="exact"/>
        <w:rPr>
          <w:rFonts w:hint="eastAsia" w:ascii="仿宋" w:hAnsi="仿宋" w:eastAsia="仿宋" w:cs="仿宋"/>
          <w:szCs w:val="24"/>
        </w:rPr>
      </w:pPr>
      <w:r>
        <w:rPr>
          <w:rFonts w:hint="eastAsia" w:ascii="仿宋" w:hAnsi="仿宋" w:eastAsia="仿宋" w:cs="仿宋"/>
          <w:szCs w:val="24"/>
        </w:rPr>
        <w:t>8、政府采购监督电话：0512-53512539</w:t>
      </w:r>
    </w:p>
    <w:p>
      <w:pPr>
        <w:widowControl/>
        <w:spacing w:line="480" w:lineRule="exact"/>
        <w:rPr>
          <w:rFonts w:hint="eastAsia" w:ascii="仿宋" w:hAnsi="仿宋" w:eastAsia="仿宋" w:cs="仿宋"/>
          <w:szCs w:val="24"/>
        </w:rPr>
      </w:pPr>
      <w:r>
        <w:rPr>
          <w:rFonts w:hint="eastAsia" w:ascii="仿宋" w:hAnsi="仿宋" w:eastAsia="仿宋" w:cs="仿宋"/>
          <w:szCs w:val="24"/>
        </w:rPr>
        <w:t>9、本次招标投标保证金：本项目无须缴纳投标保证金。</w:t>
      </w:r>
    </w:p>
    <w:p>
      <w:pPr>
        <w:spacing w:line="480" w:lineRule="atLeast"/>
        <w:outlineLvl w:val="1"/>
        <w:rPr>
          <w:rFonts w:hint="eastAsia" w:ascii="仿宋" w:hAnsi="仿宋" w:eastAsia="仿宋" w:cs="仿宋"/>
          <w:szCs w:val="24"/>
        </w:rPr>
      </w:pPr>
      <w:r>
        <w:rPr>
          <w:rFonts w:hint="eastAsia" w:ascii="仿宋" w:hAnsi="仿宋" w:eastAsia="仿宋" w:cs="仿宋"/>
          <w:szCs w:val="24"/>
        </w:rPr>
        <w:t>10、政府采购信用融资政策：中标供应商可凭政府采购合同办理融资贷款，详情请见江苏政府采购网“政采贷”专栏。</w:t>
      </w:r>
      <w:r>
        <w:rPr>
          <w:rFonts w:hint="eastAsia" w:ascii="仿宋" w:hAnsi="仿宋" w:eastAsia="仿宋" w:cs="仿宋"/>
          <w:szCs w:val="24"/>
        </w:rPr>
        <w:br w:type="textWrapping"/>
      </w:r>
      <w:r>
        <w:rPr>
          <w:rFonts w:hint="eastAsia" w:ascii="仿宋" w:hAnsi="仿宋" w:eastAsia="仿宋" w:cs="仿宋"/>
          <w:szCs w:val="24"/>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pPr>
        <w:spacing w:line="480" w:lineRule="atLeast"/>
        <w:outlineLvl w:val="1"/>
        <w:rPr>
          <w:rFonts w:ascii="Arial" w:hAnsi="Arial" w:eastAsia="Arial" w:cs="Arial"/>
          <w:sz w:val="34"/>
        </w:rPr>
      </w:pPr>
      <w:r>
        <w:rPr>
          <w:rFonts w:hint="eastAsia" w:ascii="黑体" w:hAnsi="宋体" w:eastAsia="黑体" w:cs="黑体"/>
          <w:b/>
          <w:sz w:val="28"/>
          <w:szCs w:val="28"/>
          <w:shd w:val="clear" w:color="auto" w:fill="FFFFFF"/>
        </w:rPr>
        <w:t>七、对本次招标提出询问，请按以下方式联系</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1.采购人信息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单位名称：太仓市数据局</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单位地址：太仓市县府东街99号3号楼</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 xml:space="preserve">联系人：严建祥 </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联系电话 ：0512-53595067</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2.采购代理机构信息（如有）</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单位名称：苏州市公共资源交易中心太仓分中心</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单位地址：太仓市万金北路88号3栋2楼</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联系人：周萌</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联系电话：0512-53890581</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3.项目联系方式</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项目联系人：周萌</w:t>
      </w:r>
    </w:p>
    <w:p>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Cs w:val="24"/>
        </w:rPr>
      </w:pPr>
      <w:r>
        <w:rPr>
          <w:rFonts w:hint="eastAsia" w:ascii="仿宋" w:hAnsi="仿宋" w:eastAsia="仿宋" w:cs="仿宋"/>
          <w:kern w:val="0"/>
          <w:szCs w:val="24"/>
        </w:rPr>
        <w:t>电话：0512-53890581</w:t>
      </w:r>
    </w:p>
    <w:p>
      <w:pPr>
        <w:tabs>
          <w:tab w:val="center" w:pos="7143"/>
          <w:tab w:val="right" w:pos="14287"/>
        </w:tabs>
        <w:rPr>
          <w:rFonts w:ascii="Arial" w:hAnsi="Arial" w:eastAsia="Arial"/>
          <w:sz w:val="22"/>
        </w:rPr>
      </w:pPr>
    </w:p>
    <w:p>
      <w:pPr>
        <w:widowControl/>
        <w:spacing w:after="200" w:line="276" w:lineRule="auto"/>
        <w:jc w:val="left"/>
        <w:rPr>
          <w:rFonts w:hint="eastAsia" w:ascii="宋体" w:hAnsi="宋体" w:cs="宋体"/>
          <w:b/>
          <w:kern w:val="0"/>
          <w:sz w:val="44"/>
        </w:rPr>
      </w:pPr>
      <w:r>
        <w:rPr>
          <w:rFonts w:ascii="宋体" w:hAnsi="宋体" w:cs="宋体"/>
          <w:b/>
          <w:kern w:val="0"/>
          <w:sz w:val="44"/>
        </w:rPr>
        <w:br w:type="page"/>
      </w:r>
    </w:p>
    <w:p>
      <w:pPr>
        <w:widowControl/>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cs="宋体"/>
          <w:b/>
          <w:kern w:val="0"/>
          <w:sz w:val="44"/>
        </w:rPr>
      </w:pPr>
      <w:r>
        <w:rPr>
          <w:rFonts w:ascii="宋体" w:hAnsi="宋体" w:cs="宋体"/>
          <w:b/>
          <w:kern w:val="0"/>
          <w:sz w:val="44"/>
        </w:rPr>
        <w:t>第二部分  </w:t>
      </w:r>
      <w:r>
        <w:rPr>
          <w:rFonts w:hint="eastAsia" w:ascii="宋体" w:hAnsi="宋体" w:cs="宋体"/>
          <w:b/>
          <w:kern w:val="0"/>
          <w:sz w:val="44"/>
        </w:rPr>
        <w:t>响应供应商须知</w:t>
      </w:r>
    </w:p>
    <w:p>
      <w:pPr>
        <w:spacing w:line="440" w:lineRule="exact"/>
        <w:jc w:val="left"/>
        <w:rPr>
          <w:rFonts w:ascii="宋体" w:hAnsi="Arial" w:eastAsia="Arial"/>
          <w:sz w:val="18"/>
          <w:szCs w:val="18"/>
        </w:rPr>
      </w:pPr>
    </w:p>
    <w:p>
      <w:pPr>
        <w:widowControl/>
        <w:spacing w:line="440" w:lineRule="exact"/>
        <w:jc w:val="left"/>
        <w:rPr>
          <w:rFonts w:hint="eastAsia" w:ascii="宋体" w:hAnsi="宋体" w:cs="宋体"/>
          <w:kern w:val="0"/>
          <w:szCs w:val="24"/>
        </w:rPr>
      </w:pPr>
      <w:r>
        <w:rPr>
          <w:rFonts w:hint="eastAsia" w:ascii="宋体" w:hAnsi="宋体" w:cs="宋体"/>
          <w:b/>
          <w:kern w:val="0"/>
          <w:szCs w:val="24"/>
        </w:rPr>
        <w:t>一、说明和释义</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 说明</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1.1本采购文件仅适用于苏州市公共资源交易中心太仓分中心组织的采购活动。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1.2本次采购活动及因本次采购产生的合同受中国法律制约和保护。</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1.3本采购文件的解释权属于采购人。</w:t>
      </w:r>
    </w:p>
    <w:p>
      <w:pPr>
        <w:widowControl/>
        <w:spacing w:line="440" w:lineRule="exact"/>
        <w:jc w:val="left"/>
        <w:rPr>
          <w:rFonts w:hint="eastAsia" w:ascii="宋体" w:hAnsi="宋体" w:cs="宋体"/>
          <w:b/>
          <w:kern w:val="0"/>
          <w:szCs w:val="24"/>
        </w:rPr>
      </w:pPr>
      <w:r>
        <w:rPr>
          <w:rFonts w:hint="eastAsia" w:ascii="宋体" w:hAnsi="宋体" w:cs="宋体"/>
          <w:b/>
          <w:kern w:val="0"/>
          <w:szCs w:val="24"/>
        </w:rPr>
        <w:t>2. 词语释义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2.1采购代理机构：具体组织实施采购活动的法人。本项目采购代理机构是苏州市公共资源交易中心太仓分中心。</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2.2响应供应商：经认定有资格响应采购，参加响应竞争的法人或其他组织和自然人。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2.3响应：响应供应商根据采购人或采购代理机构发布的采购文件，编制响应文件并按规定响应的行为。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2.4合同：采供双方根据采购文件和成交的响应文件及成交通知书规定的内容签署的以书面形式所达成的协议，包括所有的附件、附录和构成协议的所有文件。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2.5甲方（采购方）：合同中明确规定的实际购买货物和服务的法人或其他组织和自然人（采购人）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2.6乙方（供应商）：合同中规定的向采购方提供货物和服务的法人或其他组织和自然人（成交人）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2.7货物：系指乙方按采购文件规定，应向甲方提供的一切设备、备品、备件、工具、手册及其它有关技术资料和材料。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2.8服务：系指本次采购文件规定乙方应承担的与提供货物和服务有关的辅助服务，比如运输、保险、安装、调试、验收、提供技术援助、培训、配合措施、维修响应及合同中规定乙方应承担的其它义务。</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2.9知识产权：指专利权、商标权、著作权等无形财产专有权的统称。</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2.10天：日历日。</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2.11交货地点：合同中明确约定的乙方提交的货物和服务最终到达地点。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2.12 合同价款：根据合同规定，乙方在正确地履行合同义务后甲方应支付乙方的价款。</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2.13 产地：货物开采、生长、生产、最终制造、加工或提供服务的来源地。</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2.14不可抗力：不能预见、不能避免并且不能克服的客观情况。</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2.15 实质性响应：满足有关本次采购标的、数量、质量、价款或者报酬、履行期限、履行地点和方式、违约责任和解决争议方法等要求。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2.17进口产品：指通过中国海关报关验收进入中国境内且产自境外的产品。</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2.18书面形式：指书面文字、合同书、信件和传真等可以有形地表现所载内容的形式。</w:t>
      </w:r>
    </w:p>
    <w:p>
      <w:pPr>
        <w:widowControl/>
        <w:spacing w:line="440" w:lineRule="exact"/>
        <w:jc w:val="left"/>
        <w:rPr>
          <w:rFonts w:hint="eastAsia" w:ascii="宋体" w:hAnsi="宋体" w:cs="宋体"/>
          <w:b/>
          <w:kern w:val="0"/>
          <w:szCs w:val="24"/>
        </w:rPr>
      </w:pPr>
      <w:r>
        <w:rPr>
          <w:rFonts w:hint="eastAsia" w:ascii="宋体" w:hAnsi="宋体" w:cs="宋体"/>
          <w:b/>
          <w:kern w:val="0"/>
          <w:szCs w:val="24"/>
        </w:rPr>
        <w:t>二、 响应供应商</w:t>
      </w:r>
    </w:p>
    <w:p>
      <w:pPr>
        <w:widowControl/>
        <w:spacing w:line="440" w:lineRule="exact"/>
        <w:jc w:val="left"/>
        <w:rPr>
          <w:rFonts w:hint="eastAsia" w:ascii="宋体" w:hAnsi="宋体" w:cs="宋体"/>
          <w:b/>
          <w:kern w:val="0"/>
          <w:szCs w:val="24"/>
        </w:rPr>
      </w:pPr>
      <w:r>
        <w:rPr>
          <w:rFonts w:hint="eastAsia" w:ascii="宋体" w:hAnsi="宋体" w:cs="宋体"/>
          <w:b/>
          <w:kern w:val="0"/>
          <w:szCs w:val="24"/>
        </w:rPr>
        <w:t>3. 合格响应供应商的基本条件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3.1符合《中华人民共和国政府采购法》第二十二条第一款之规定；</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3.2满足本文件实质性条款的规定。</w:t>
      </w:r>
    </w:p>
    <w:p>
      <w:pPr>
        <w:widowControl/>
        <w:spacing w:line="440" w:lineRule="exact"/>
        <w:jc w:val="left"/>
        <w:rPr>
          <w:rFonts w:hint="eastAsia" w:ascii="宋体" w:hAnsi="宋体" w:cs="宋体"/>
          <w:b/>
          <w:kern w:val="0"/>
          <w:szCs w:val="24"/>
        </w:rPr>
      </w:pPr>
      <w:r>
        <w:rPr>
          <w:rFonts w:hint="eastAsia" w:ascii="宋体" w:hAnsi="宋体" w:cs="宋体"/>
          <w:b/>
          <w:kern w:val="0"/>
          <w:szCs w:val="24"/>
        </w:rPr>
        <w:t>4．合格响应供应商的特定条件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4.1 按采购公告规定。</w:t>
      </w:r>
    </w:p>
    <w:p>
      <w:pPr>
        <w:widowControl/>
        <w:spacing w:line="440" w:lineRule="exact"/>
        <w:jc w:val="left"/>
        <w:rPr>
          <w:rFonts w:hint="eastAsia" w:ascii="宋体" w:hAnsi="宋体" w:cs="宋体"/>
          <w:b/>
          <w:kern w:val="0"/>
          <w:szCs w:val="24"/>
        </w:rPr>
      </w:pPr>
      <w:r>
        <w:rPr>
          <w:rFonts w:hint="eastAsia" w:ascii="宋体" w:hAnsi="宋体" w:cs="宋体"/>
          <w:b/>
          <w:kern w:val="0"/>
          <w:szCs w:val="24"/>
        </w:rPr>
        <w:t>5. 响应供应商代表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5.1指全权代表响应供应商参加响应活动并签署响应文件的人，如果响应供应商代表不是法人代表，须持有《法人代表授权委托书》（详见统一格式）。</w:t>
      </w:r>
    </w:p>
    <w:p>
      <w:pPr>
        <w:widowControl/>
        <w:spacing w:line="440" w:lineRule="exact"/>
        <w:jc w:val="left"/>
        <w:rPr>
          <w:rFonts w:hint="eastAsia" w:ascii="宋体" w:hAnsi="宋体" w:cs="宋体"/>
          <w:b/>
          <w:kern w:val="0"/>
          <w:szCs w:val="24"/>
        </w:rPr>
      </w:pPr>
      <w:r>
        <w:rPr>
          <w:rFonts w:hint="eastAsia" w:ascii="宋体" w:hAnsi="宋体" w:cs="宋体"/>
          <w:b/>
          <w:kern w:val="0"/>
          <w:szCs w:val="24"/>
        </w:rPr>
        <w:t>6. 联合响应</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6.1按采购公告规定。</w:t>
      </w:r>
    </w:p>
    <w:p>
      <w:pPr>
        <w:widowControl/>
        <w:spacing w:line="440" w:lineRule="exact"/>
        <w:jc w:val="left"/>
        <w:rPr>
          <w:rFonts w:hint="eastAsia" w:ascii="宋体" w:hAnsi="宋体" w:cs="宋体"/>
          <w:b/>
          <w:kern w:val="0"/>
          <w:szCs w:val="24"/>
        </w:rPr>
      </w:pPr>
      <w:r>
        <w:rPr>
          <w:rFonts w:hint="eastAsia" w:ascii="宋体" w:hAnsi="宋体" w:cs="宋体"/>
          <w:b/>
          <w:kern w:val="0"/>
          <w:szCs w:val="24"/>
        </w:rPr>
        <w:t xml:space="preserve">7. 响应费用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7.1响应供应商应自行承担所有准备及参加响应的相关费用。不论响应结果如何，采购代理机构在任何情况下均无义务也无责任承担这些费用。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7.2 本次采购项目不收取标书费及成交服务费，请响应供应商在响应时充分考虑这一因素。</w:t>
      </w:r>
    </w:p>
    <w:p>
      <w:pPr>
        <w:widowControl/>
        <w:spacing w:line="440" w:lineRule="exact"/>
        <w:jc w:val="left"/>
        <w:rPr>
          <w:rFonts w:hint="eastAsia" w:ascii="宋体" w:hAnsi="宋体" w:cs="宋体"/>
          <w:b/>
          <w:kern w:val="0"/>
          <w:szCs w:val="24"/>
        </w:rPr>
      </w:pPr>
      <w:r>
        <w:rPr>
          <w:rFonts w:hint="eastAsia" w:ascii="宋体" w:hAnsi="宋体" w:cs="宋体"/>
          <w:b/>
          <w:kern w:val="0"/>
          <w:szCs w:val="24"/>
        </w:rPr>
        <w:t>三、采购文件说明</w:t>
      </w:r>
    </w:p>
    <w:p>
      <w:pPr>
        <w:widowControl/>
        <w:spacing w:line="440" w:lineRule="exact"/>
        <w:jc w:val="left"/>
        <w:rPr>
          <w:rFonts w:hint="eastAsia" w:ascii="宋体" w:hAnsi="宋体" w:cs="宋体"/>
          <w:b/>
          <w:kern w:val="0"/>
          <w:szCs w:val="24"/>
        </w:rPr>
      </w:pPr>
      <w:r>
        <w:rPr>
          <w:rFonts w:hint="eastAsia" w:ascii="宋体" w:hAnsi="宋体" w:cs="宋体"/>
          <w:b/>
          <w:kern w:val="0"/>
          <w:szCs w:val="24"/>
        </w:rPr>
        <w:t>8. 采购文件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8.2采购文件及其更正文件不是直接从采购代理机构或指定媒体获得的，采购代理机构对采购文件及其补遗的真实性、完整性不承担任何责任。</w:t>
      </w:r>
    </w:p>
    <w:p>
      <w:pPr>
        <w:widowControl/>
        <w:spacing w:line="440" w:lineRule="exact"/>
        <w:jc w:val="left"/>
        <w:rPr>
          <w:rFonts w:hint="eastAsia" w:ascii="宋体" w:hAnsi="宋体" w:cs="宋体"/>
          <w:b/>
          <w:kern w:val="0"/>
          <w:szCs w:val="24"/>
        </w:rPr>
      </w:pPr>
      <w:r>
        <w:rPr>
          <w:rFonts w:hint="eastAsia" w:ascii="宋体" w:hAnsi="宋体" w:cs="宋体"/>
          <w:b/>
          <w:kern w:val="0"/>
          <w:szCs w:val="24"/>
        </w:rPr>
        <w:t>9. 采购文件的澄清</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9.1响应供应商在获取采购文件后，若有疑问，应于网上响应截止时间之前，在网上业务系统向采购代理机构提出，采购代理机构将在业务系统上予以解答。</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9.2如有必要，问题答复将以“变更公告”形式由采购代理机构按照本须知第10条的规定发出。</w:t>
      </w:r>
    </w:p>
    <w:p>
      <w:pPr>
        <w:widowControl/>
        <w:spacing w:line="440" w:lineRule="exact"/>
        <w:jc w:val="left"/>
        <w:rPr>
          <w:rFonts w:hint="eastAsia" w:ascii="宋体" w:hAnsi="宋体" w:cs="宋体"/>
          <w:kern w:val="0"/>
          <w:szCs w:val="24"/>
        </w:rPr>
      </w:pPr>
      <w:r>
        <w:rPr>
          <w:rFonts w:hint="eastAsia" w:ascii="宋体" w:hAnsi="宋体" w:cs="宋体"/>
          <w:b/>
          <w:kern w:val="0"/>
          <w:szCs w:val="24"/>
        </w:rPr>
        <w:t>10.采购文件的修改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10.1采购代理机构无论出于自己的考虑，还是出于对响应供应商提问的澄清，均可对已发出的采购文件用</w:t>
      </w:r>
      <w:r>
        <w:rPr>
          <w:rFonts w:hint="eastAsia" w:ascii="宋体" w:hAnsi="宋体" w:cs="宋体"/>
          <w:kern w:val="0"/>
          <w:szCs w:val="24"/>
          <w:lang w:val="zh-CN"/>
        </w:rPr>
        <w:t>补充文件的方式</w:t>
      </w:r>
      <w:r>
        <w:rPr>
          <w:rFonts w:hint="eastAsia" w:ascii="宋体" w:hAnsi="宋体" w:cs="宋体"/>
          <w:kern w:val="0"/>
          <w:szCs w:val="24"/>
        </w:rPr>
        <w:t>进行必要澄清或者修改。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10.2为使响应供应商有足够的时间按采购文件的修改要求考虑修正响应文件，或出于其他原因，采购代理机构有权推迟响应截止日期和开标日期，并将此变更以补充通知的形式在网上发布公告。</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10.3采购文件的更正（含澄清、修改等）内容与原采购文件在同一内容上表述不一致时，以发出日期最接近开标时间的公告为准。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10.4采购文件的更正（含澄清、修改等）内容将在苏州政府采购网发布，请响应供应商及时查询，更正（含澄清、修改等）内容作为采购文件的组成部分，对响应供应商起约束作用。</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10.5采购文件若有最新的答疑文件，响应供应商必须下载并使用该文件制作新的电子响应文件，否则将无法完成电子响应文件的上传及响应。</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11.质疑</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11.2 提出质疑的供应商应当是参与所质疑项目采购活动的供应商，未参加响应活动的供应商或在响应活动中自身权益未受到损害的供应商所提出的质疑不予受理。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11.3上述应知其权益受到损害之日是指：</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11.3.1对采购文件提出质疑的，为获取采购文件或者采购文件公告期限届满之日起计算；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11.3.2对采购过程提出质疑的，自采购程序环节结束之日起计算；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11.3.3对成交结果提出质疑的，自成交结果公告期限届满之日起计算。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 供应商提出质疑应当提交质疑函和必要的证明材料。质疑函应当包括下列内容：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11.4.1 供应商的姓名或者名称、地址、邮编、联系人及联系电话；</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11.4.2 质疑项目的名称、编号；</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11.4.3 具体、明确的质疑事项和与质疑事项相关的请求；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11.4.4 事实依据；</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11.4.5 必要的法律依据；</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11.4.6 提出质疑的日期。</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 xml:space="preserve">11.5质疑函的格式和内容应当符合财政部《政府采购供应商质疑函范本》 </w:t>
      </w:r>
      <w:bookmarkStart w:id="4" w:name="baidusnap5"/>
      <w:bookmarkEnd w:id="4"/>
      <w:r>
        <w:rPr>
          <w:rFonts w:hint="eastAsia" w:ascii="宋体" w:hAnsi="宋体" w:cs="宋体"/>
          <w:kern w:val="0"/>
          <w:szCs w:val="24"/>
        </w:rPr>
        <w:t>要求，质疑函范本在财政部官网上提供下载。</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 提交质疑函同时应当附如下证明材料：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11.6.1对采购文件提出质疑的供应商提供参加本项目的</w:t>
      </w:r>
      <w:r>
        <w:rPr>
          <w:rFonts w:hint="eastAsia" w:ascii="宋体" w:hAnsi="宋体" w:cs="宋体"/>
          <w:b/>
          <w:bCs/>
          <w:kern w:val="0"/>
          <w:szCs w:val="24"/>
        </w:rPr>
        <w:t>《投标供应商确认函》</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11.6.2质疑供应商的营业执照复印件加盖单位公章；</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11.6.3质疑供应商法定代表人身份证复印件加盖单位公章；</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11.6.4质疑供应商若委托代理人进行质疑的，提供法人授权委托书及代理人身份证复印件加盖单位公章，授权委托书应载明代理人的姓名或者名称、代理事项、具体权限、期限和相关事项；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 xml:space="preserve">11.7 供应商为自然人的，应当由本人签字；供应商为法人或者其他组织的，应当由法定代表人、主要负责人，或者其授权代表签字或者盖章，并加盖公章。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11.8供应商对采购项目技术、商务及其他要求，以及评审细则、标准提出询问或质疑的，应向采购人提出；供应商对采购过程及成交结果提出询问或质疑的，应向采购机代理构提出；</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11.9 供应商如对本项目提出质疑须在法定质疑期内一次性提出针对同一采购程序环节的质疑。</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rPr>
      </w:pPr>
      <w:r>
        <w:rPr>
          <w:rFonts w:ascii="宋体" w:hAnsi="宋体" w:cs="宋体"/>
        </w:rPr>
        <w:t>11.1</w:t>
      </w:r>
      <w:r>
        <w:rPr>
          <w:rFonts w:hint="eastAsia" w:ascii="宋体" w:hAnsi="宋体" w:cs="宋体"/>
        </w:rPr>
        <w:t>0</w:t>
      </w:r>
      <w:r>
        <w:rPr>
          <w:rFonts w:ascii="宋体" w:hAnsi="宋体" w:cs="宋体"/>
        </w:rPr>
        <w:t xml:space="preserve"> </w:t>
      </w:r>
      <w:r>
        <w:rPr>
          <w:rFonts w:hint="eastAsia" w:ascii="宋体" w:hAnsi="宋体" w:cs="宋体"/>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rPr>
        <w:t>（即《投标供应商确认函》）</w:t>
      </w:r>
      <w:r>
        <w:rPr>
          <w:rFonts w:hint="eastAsia" w:ascii="宋体" w:hAnsi="宋体" w:cs="宋体"/>
        </w:rPr>
        <w:t>与质疑函一起递交，否则不予受理。</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11.11 接受质疑函联系方式见采购公告联系事项。</w:t>
      </w:r>
    </w:p>
    <w:p>
      <w:pPr>
        <w:widowControl/>
        <w:spacing w:line="440" w:lineRule="exact"/>
        <w:jc w:val="left"/>
        <w:rPr>
          <w:rFonts w:hint="eastAsia" w:ascii="宋体" w:hAnsi="宋体" w:cs="宋体"/>
          <w:b/>
          <w:kern w:val="0"/>
          <w:szCs w:val="24"/>
        </w:rPr>
      </w:pPr>
      <w:r>
        <w:rPr>
          <w:rFonts w:hint="eastAsia" w:ascii="宋体" w:hAnsi="宋体" w:cs="宋体"/>
          <w:b/>
          <w:kern w:val="0"/>
          <w:szCs w:val="24"/>
        </w:rPr>
        <w:t>四、 响应文件说明</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12、提示与要求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12.1响应供应商应仔细阅读采购文件的所有内容，按采购文件的要求提供响应文件，并保证所提供的全部资料的真实性，以使其响应对采购文件做出实质性响应，否则，其响应可能被拒绝。</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12.2无论是否递交响应文件，响应供应商都应将采购文件及以后的所有通知、文件等视为保密文件。</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13. 响应文件计量单位和使用文字</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13.1响应文件中所使用的计量单位，除采购文件中有特殊要求外，均应使用中华人民共和国法定计量单位。</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14. 知识产权</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 响应文件的组成和顺序</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15.1报价部分（详见响应文件格式）：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15.1.1《开标一览表》(统一格式)；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15.1.2响应报价明细表；</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15.2 响应正文部分（包含资质证明和技术部分）</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15.2.1资质证明文件部分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15.2.1.1关于资格文件的声明函（详见文件格式）；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15.2.1.2响应承诺函（详见响应文件格式）；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15.2.1.3响应单位营业执照副本或三证合一营业执照复印件；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15.2.1.4响应供应商参加本次政府采购活动前的财务状况报告或者银行出具的资信证明；</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15.2.1.5响应供应商根据项目需求提供履行合同所必需的设备和专业技术能力的证明材料；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15.2.1.6响应供应商参加本次政府采购活动前半年（至少一个月）依法缴纳税收和社会保障资金的证明材料；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15.2.1.7响应供应商参加政府采购活动前三年在经营活动中没有重大违法记录的书面申明（详见文件格式）；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15.2.1.8响应供应商证明其符合采购文件规定的响应供应商特定资格条件的证书、证明和文件材料；（如有）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15.2.1.9响应供应商基本情况表（详见文件格式）；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15.2.1.10响应供应商法定代表人身份证复印件；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15.2.1.11响应供应商法定代表人授权委托书原件（如有授权）（详见文件格式）；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15.2.1.12响应供应商授权代理人身份证复印件（如有授权）；</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15.2.1.13中小企业声明函；</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15.2.1.14残疾人福利性单位声明函（如有）；</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15.2.1.15其他可以证明响应供应商资信、资质和货物、服务质量的证书、文件、推荐信等资料；（如有）</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15.2.2技术部分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15.2.2.1服务要求偏离表（详见文件格式）；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15.2.2.2商务要求偏离表（详见文件格式）；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lang w:val="zh-CN"/>
        </w:rPr>
      </w:pPr>
      <w:r>
        <w:rPr>
          <w:rFonts w:hint="eastAsia" w:ascii="宋体" w:hAnsi="宋体" w:cs="宋体"/>
          <w:kern w:val="0"/>
          <w:szCs w:val="24"/>
        </w:rPr>
        <w:t>15.2.2.3项目的技术及服务方案；</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15.2.2.4售后服务内容；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15.2.2.5采购文件中要求提供的其他相关材料；</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15.2.2.6其他需响应供应商对本次响应的详细说明（响应供应商视各自的情况自行编制）；</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cs="宋体"/>
          <w:b/>
          <w:bCs/>
          <w:kern w:val="0"/>
          <w:szCs w:val="24"/>
        </w:rPr>
        <w:t>。</w:t>
      </w:r>
    </w:p>
    <w:p>
      <w:pPr>
        <w:widowControl/>
        <w:spacing w:line="440" w:lineRule="exact"/>
        <w:jc w:val="left"/>
        <w:rPr>
          <w:rFonts w:hint="eastAsia" w:ascii="宋体" w:hAnsi="宋体" w:cs="宋体"/>
          <w:dstrike/>
          <w:kern w:val="0"/>
          <w:szCs w:val="24"/>
        </w:rPr>
      </w:pPr>
      <w:r>
        <w:rPr>
          <w:rFonts w:hint="eastAsia" w:ascii="宋体" w:hAnsi="宋体" w:cs="宋体"/>
          <w:b/>
          <w:kern w:val="0"/>
          <w:szCs w:val="24"/>
        </w:rPr>
        <w:t>15.3响应文件由15.1、15.2款规定的内容共同组成。</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16. 响应文件编制要求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16.1</w:t>
      </w:r>
      <w:r>
        <w:rPr>
          <w:rFonts w:hint="eastAsia" w:ascii="宋体" w:hAnsi="宋体" w:cs="宋体"/>
          <w:b/>
          <w:kern w:val="0"/>
          <w:szCs w:val="24"/>
        </w:rPr>
        <w:t>电子响应文件编制要求：</w:t>
      </w:r>
      <w:r>
        <w:rPr>
          <w:rFonts w:hint="eastAsia" w:ascii="宋体" w:hAnsi="宋体" w:cs="宋体"/>
          <w:kern w:val="0"/>
          <w:szCs w:val="24"/>
        </w:rPr>
        <w:t>响应人应使用</w:t>
      </w:r>
      <w:r>
        <w:rPr>
          <w:rFonts w:hint="eastAsia" w:ascii="宋体" w:hAnsi="宋体" w:cs="宋体"/>
          <w:b/>
          <w:kern w:val="0"/>
          <w:szCs w:val="24"/>
        </w:rPr>
        <w:t>采购文件要求的响应文件制作软件制作电子响应文件</w:t>
      </w:r>
      <w:r>
        <w:rPr>
          <w:rFonts w:hint="eastAsia" w:ascii="宋体" w:hAnsi="宋体" w:cs="宋体"/>
          <w:kern w:val="0"/>
          <w:szCs w:val="24"/>
        </w:rPr>
        <w:t>，电子响应文件按采购文件规定的格式制作，如果未按要求制作上传，可能导致响应无效。</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17. 响应报价（编制）要求的说明</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17.3 一项响应内容只允许一个报价，采购代理机构不接受任何有选择性的响应报价。</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17.4响应文件报价中的单价和总价全部采用人民币表示，除非合同的特殊条款另有规定。</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17.5最低的响应报价或最高的折扣比例是成交的重要条件，但不是成交的唯一条件。</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18. 响应保证金</w:t>
      </w:r>
    </w:p>
    <w:p>
      <w:pPr>
        <w:widowControl/>
        <w:spacing w:line="440" w:lineRule="exact"/>
        <w:jc w:val="left"/>
        <w:rPr>
          <w:rFonts w:hint="eastAsia" w:ascii="宋体" w:hAnsi="宋体" w:cs="宋体"/>
          <w:kern w:val="0"/>
          <w:szCs w:val="24"/>
        </w:rPr>
      </w:pPr>
      <w:r>
        <w:rPr>
          <w:rFonts w:hint="eastAsia" w:ascii="宋体" w:hAnsi="宋体" w:cs="宋体"/>
          <w:kern w:val="0"/>
          <w:szCs w:val="24"/>
        </w:rPr>
        <w:t>本项目无须缴纳响应保证金。</w:t>
      </w:r>
    </w:p>
    <w:p>
      <w:pPr>
        <w:widowControl/>
        <w:spacing w:line="440" w:lineRule="exact"/>
        <w:jc w:val="left"/>
        <w:rPr>
          <w:rFonts w:hint="eastAsia" w:ascii="宋体" w:hAnsi="宋体" w:cs="宋体"/>
          <w:b/>
          <w:kern w:val="0"/>
          <w:szCs w:val="24"/>
        </w:rPr>
      </w:pPr>
      <w:r>
        <w:rPr>
          <w:rFonts w:hint="eastAsia" w:ascii="宋体" w:hAnsi="宋体" w:cs="宋体"/>
          <w:b/>
          <w:kern w:val="0"/>
          <w:szCs w:val="24"/>
        </w:rPr>
        <w:t>19. 响应文件的有效期</w:t>
      </w:r>
    </w:p>
    <w:p>
      <w:pPr>
        <w:widowControl/>
        <w:spacing w:line="440" w:lineRule="exact"/>
        <w:jc w:val="left"/>
        <w:rPr>
          <w:rFonts w:hint="eastAsia" w:ascii="宋体" w:hAnsi="宋体" w:cs="宋体"/>
          <w:kern w:val="0"/>
          <w:szCs w:val="24"/>
        </w:rPr>
      </w:pPr>
      <w:r>
        <w:rPr>
          <w:rFonts w:hint="eastAsia" w:ascii="宋体" w:hAnsi="宋体" w:cs="宋体"/>
          <w:kern w:val="0"/>
          <w:szCs w:val="24"/>
        </w:rPr>
        <w:t>19.1在本采购文件规定的开标之日起九十（90）天内，响应供应商所提交的响应文件应保持有效。</w:t>
      </w:r>
      <w:r>
        <w:rPr>
          <w:rFonts w:hint="eastAsia" w:ascii="宋体" w:hAnsi="宋体" w:cs="宋体"/>
          <w:b/>
          <w:kern w:val="0"/>
          <w:szCs w:val="24"/>
        </w:rPr>
        <w:t>有效期短于这个规定期限的响应文件，将被认定为未实质性响应采购文件要求。</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pPr>
        <w:widowControl/>
        <w:spacing w:line="440" w:lineRule="exact"/>
        <w:jc w:val="left"/>
        <w:rPr>
          <w:rFonts w:hint="eastAsia" w:ascii="宋体" w:hAnsi="宋体" w:cs="宋体"/>
          <w:b/>
          <w:kern w:val="0"/>
          <w:szCs w:val="24"/>
        </w:rPr>
      </w:pPr>
      <w:r>
        <w:rPr>
          <w:rFonts w:hint="eastAsia" w:ascii="宋体" w:hAnsi="宋体" w:cs="宋体"/>
          <w:b/>
          <w:kern w:val="0"/>
          <w:szCs w:val="24"/>
        </w:rPr>
        <w:t>五、响应文件的提交、撤回和修改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20. 响应文件的上传、提交</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20.1响应供应商应将制作好的加密电子响应文件按要求在响应截止时间前上传到交易系统平台中。</w:t>
      </w:r>
    </w:p>
    <w:p>
      <w:pPr>
        <w:widowControl/>
        <w:spacing w:line="440" w:lineRule="exact"/>
        <w:jc w:val="left"/>
        <w:rPr>
          <w:rFonts w:hint="eastAsia" w:ascii="宋体" w:hAnsi="宋体" w:cs="宋体"/>
          <w:b/>
          <w:kern w:val="0"/>
          <w:szCs w:val="24"/>
        </w:rPr>
      </w:pPr>
      <w:r>
        <w:rPr>
          <w:rFonts w:hint="eastAsia" w:ascii="宋体" w:hAnsi="宋体" w:cs="宋体"/>
          <w:b/>
          <w:kern w:val="0"/>
          <w:szCs w:val="24"/>
        </w:rPr>
        <w:t>21. 响应截止时间</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21.1电子响应文件必须按采购公告中规定的网上响应截止时间前提交，否则响应无效。</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21.2采购代理机构推迟响应截止时间时，应以更正公告的形式，通知所有响应供应商。在这种情况下，采购代理机构和响应供应商的权利和义务将受到新的截止期的约束。</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21.3在响应截止时间止，采购代理机构于本项目（或标段）收到的电子响应文件少于一份的，采购代理机构有权宣布本项目（或标段）采购失败。</w:t>
      </w:r>
    </w:p>
    <w:p>
      <w:pPr>
        <w:widowControl/>
        <w:spacing w:line="440" w:lineRule="exact"/>
        <w:jc w:val="left"/>
        <w:rPr>
          <w:rFonts w:hint="eastAsia" w:ascii="宋体" w:hAnsi="宋体" w:cs="宋体"/>
          <w:b/>
          <w:kern w:val="0"/>
          <w:szCs w:val="24"/>
        </w:rPr>
      </w:pPr>
      <w:r>
        <w:rPr>
          <w:rFonts w:hint="eastAsia" w:ascii="宋体" w:hAnsi="宋体" w:cs="宋体"/>
          <w:b/>
          <w:kern w:val="0"/>
          <w:szCs w:val="24"/>
        </w:rPr>
        <w:t>22. 响应文件的修改和撤回</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22.1响应供应商在提交响应文件截止时间前，可对其响应文件进行撤回或修改。</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23.2开标后响应供应商不得撤回响应。</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六、响应和评审</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23. 单一来源采购仪式</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23.1采购代理机构按采购公告规定的时间、地点主持不见面采购活动。采购仪式由采购代理机构、采购人等主持。</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23.2</w:t>
      </w:r>
      <w:r>
        <w:rPr>
          <w:rFonts w:hint="eastAsia" w:ascii="宋体" w:hAnsi="宋体" w:cs="宋体"/>
          <w:b/>
          <w:kern w:val="0"/>
          <w:szCs w:val="24"/>
        </w:rPr>
        <w:t>参加采购活动的响应法定代表人或授权代理人须在项目开始前登录苏采云不见面开标系统，进入网上不见面开标大厅，做好相关准备工作。</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23.3单一来源采购</w:t>
      </w:r>
      <w:r>
        <w:rPr>
          <w:rFonts w:hint="eastAsia" w:ascii="宋体" w:hAnsi="宋体" w:eastAsia="Arial"/>
          <w:kern w:val="0"/>
          <w:szCs w:val="24"/>
        </w:rPr>
        <w:t>活动开始后，按照采购流程，响应供应商在规定的解密时间内解密响应文件，</w:t>
      </w:r>
      <w:r>
        <w:rPr>
          <w:rFonts w:hint="eastAsia" w:ascii="宋体" w:hAnsi="宋体" w:eastAsia="Arial"/>
          <w:b/>
          <w:kern w:val="0"/>
          <w:szCs w:val="24"/>
        </w:rPr>
        <w:t>解密时间为15分钟，</w:t>
      </w:r>
      <w:r>
        <w:rPr>
          <w:rFonts w:hint="eastAsia" w:ascii="宋体" w:hAnsi="宋体" w:eastAsia="Arial"/>
          <w:kern w:val="0"/>
          <w:szCs w:val="24"/>
        </w:rPr>
        <w:t>因自身原因导致解密失败的，由响应供应商自行承担向相关责任。</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23.4响应人代表对采购仪式过程和记录有疑义，以及认为采购人、采购代理机构相关工作人员有需要回避的情形的，</w:t>
      </w:r>
      <w:r>
        <w:rPr>
          <w:rFonts w:hint="eastAsia" w:ascii="宋体" w:hAnsi="宋体" w:cs="宋体"/>
          <w:b/>
          <w:kern w:val="0"/>
          <w:szCs w:val="24"/>
        </w:rPr>
        <w:t>应通过不见面开标大厅提出</w:t>
      </w:r>
      <w:r>
        <w:rPr>
          <w:rFonts w:hint="eastAsia" w:ascii="宋体" w:hAnsi="宋体" w:cs="宋体"/>
          <w:kern w:val="0"/>
          <w:szCs w:val="24"/>
        </w:rPr>
        <w:t>询问或者回避申请。采购人、采购代理机构对响应人代表提出的询问或者回避申请应当及时处理。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b/>
          <w:kern w:val="0"/>
          <w:szCs w:val="24"/>
        </w:rPr>
        <w:t>24. 评审小组</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hint="eastAsia" w:ascii="宋体" w:hAnsi="宋体" w:cs="宋体"/>
          <w:kern w:val="0"/>
          <w:szCs w:val="24"/>
        </w:rPr>
        <w:t>24.1评审小组由采购人或委托采购代理机构依法组建，负责本项目</w:t>
      </w:r>
      <w:r>
        <w:rPr>
          <w:rFonts w:ascii="宋体" w:hAnsi="宋体" w:cs="宋体"/>
          <w:kern w:val="0"/>
          <w:szCs w:val="24"/>
        </w:rPr>
        <w:t>的评审事务。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24.2评审小组独立履行下列职责：</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24.2.1审查响应文件是否符合</w:t>
      </w:r>
      <w:r>
        <w:rPr>
          <w:rFonts w:hint="eastAsia" w:ascii="宋体" w:hAnsi="宋体" w:cs="宋体"/>
          <w:kern w:val="0"/>
          <w:szCs w:val="24"/>
        </w:rPr>
        <w:t>采购文件</w:t>
      </w:r>
      <w:r>
        <w:rPr>
          <w:rFonts w:ascii="宋体" w:hAnsi="宋体" w:cs="宋体"/>
          <w:kern w:val="0"/>
          <w:szCs w:val="24"/>
        </w:rPr>
        <w:t>的要求，并作出评价；</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24.2.2可以要求响应供应商对响应文件有关事项作出解释或澄清；</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24.2.3推荐成交候选供应商名单，或者受采购人委托按照事先确定的办法直接确定</w:t>
      </w:r>
      <w:r>
        <w:rPr>
          <w:rFonts w:hint="eastAsia" w:ascii="宋体" w:hAnsi="宋体" w:cs="宋体"/>
          <w:kern w:val="0"/>
          <w:szCs w:val="24"/>
        </w:rPr>
        <w:t>成交供应商</w:t>
      </w:r>
      <w:r>
        <w:rPr>
          <w:rFonts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24.2.4向采购代理机构或者有关部门报告非法干预评审工作的行为；</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24.3评审小组成员应当履行下列义务：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24.3.1遵纪守法，客观、公正、廉洁地履行职责；</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24.3.2按照</w:t>
      </w:r>
      <w:r>
        <w:rPr>
          <w:rFonts w:hint="eastAsia" w:ascii="宋体" w:hAnsi="宋体" w:cs="宋体"/>
          <w:kern w:val="0"/>
          <w:szCs w:val="24"/>
        </w:rPr>
        <w:t>采购文件</w:t>
      </w:r>
      <w:r>
        <w:rPr>
          <w:rFonts w:ascii="宋体" w:hAnsi="宋体" w:cs="宋体"/>
          <w:kern w:val="0"/>
          <w:szCs w:val="24"/>
        </w:rPr>
        <w:t>规定的评审办法和评审标准进行评审，对评审意见承担个人责任；</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24.3.3对评审过程和结果，以及响应人的商业秘密保密；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24.3.4参与评审报告的起草；</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24.3.5配合采购代理机构答复响应供应商提出的质疑；</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24.3.6配合相关部门的投诉处理工作；</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25. 评审内容的保密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25.1公开开标后，直到宣布授予</w:t>
      </w:r>
      <w:r>
        <w:rPr>
          <w:rFonts w:hint="eastAsia" w:ascii="宋体" w:hAnsi="宋体" w:cs="宋体"/>
          <w:kern w:val="0"/>
          <w:szCs w:val="24"/>
        </w:rPr>
        <w:t>成交供应商</w:t>
      </w:r>
      <w:r>
        <w:rPr>
          <w:rFonts w:ascii="宋体" w:hAnsi="宋体" w:cs="宋体"/>
          <w:kern w:val="0"/>
          <w:szCs w:val="24"/>
        </w:rPr>
        <w:t>合同为止，凡属于审查、澄清、评价和比较响应的所有资料，有关授予合同的信息都不应向响应人或与评审无关的其他人泄露。</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25.2 在响应文件的审查、澄清、评价和比较以及授予合同的过程中，响应人对采购代理机构和评审小组成员施加影响的任何行为，都将取消其响应资格。</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25.3在评审期间，采购代理机构将通过指定联络人与响应人进行联系。</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26.对</w:t>
      </w:r>
      <w:r>
        <w:rPr>
          <w:rFonts w:hint="eastAsia" w:ascii="宋体" w:hAnsi="宋体" w:cs="宋体"/>
          <w:b/>
          <w:kern w:val="0"/>
          <w:szCs w:val="24"/>
        </w:rPr>
        <w:t>响应文件</w:t>
      </w:r>
      <w:r>
        <w:rPr>
          <w:rFonts w:ascii="宋体" w:hAnsi="宋体" w:cs="宋体"/>
          <w:b/>
          <w:kern w:val="0"/>
          <w:szCs w:val="24"/>
        </w:rPr>
        <w:t>初审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w:t>
      </w:r>
      <w:r>
        <w:rPr>
          <w:rFonts w:hint="eastAsia" w:ascii="宋体" w:hAnsi="宋体" w:cs="宋体"/>
          <w:kern w:val="0"/>
          <w:szCs w:val="24"/>
        </w:rPr>
        <w:t>响应文件</w:t>
      </w:r>
      <w:r>
        <w:rPr>
          <w:rFonts w:ascii="宋体" w:hAnsi="宋体" w:cs="宋体"/>
          <w:kern w:val="0"/>
          <w:szCs w:val="24"/>
        </w:rPr>
        <w:t>初审分为资格性检查和符合性检查。</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26.1.1资格性检查。依据法律法规和</w:t>
      </w:r>
      <w:r>
        <w:rPr>
          <w:rFonts w:hint="eastAsia" w:ascii="宋体" w:hAnsi="宋体" w:cs="宋体"/>
          <w:kern w:val="0"/>
          <w:szCs w:val="24"/>
        </w:rPr>
        <w:t>采购文件</w:t>
      </w:r>
      <w:r>
        <w:rPr>
          <w:rFonts w:ascii="宋体" w:hAnsi="宋体" w:cs="宋体"/>
          <w:kern w:val="0"/>
          <w:szCs w:val="24"/>
        </w:rPr>
        <w:t>的规定，采购人或者采购代理机构依法对响应人的资格进行审查。对</w:t>
      </w:r>
      <w:r>
        <w:rPr>
          <w:rFonts w:hint="eastAsia" w:ascii="宋体" w:hAnsi="宋体" w:cs="宋体"/>
          <w:kern w:val="0"/>
          <w:szCs w:val="24"/>
        </w:rPr>
        <w:t>响应文件</w:t>
      </w:r>
      <w:r>
        <w:rPr>
          <w:rFonts w:ascii="宋体" w:hAnsi="宋体" w:cs="宋体"/>
          <w:kern w:val="0"/>
          <w:szCs w:val="24"/>
        </w:rPr>
        <w:t>中的资格证明等进行审查，以确定响应供应商是否具备响应资格。</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 关于信用记录查询：</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26.1.2.1查询时间：评审开始前</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26.1.2.2查询渠道：通过“信用中国”网站、中国政府采购网等渠道查询相关主体信用记录。</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26.1.2.4信用记录使用规则：评审小组在对供应商进行资格性审查时，应根据查询结果对供应商的不良信用记录逐项甄别确认。</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26.1.3符合性检查。依据</w:t>
      </w:r>
      <w:r>
        <w:rPr>
          <w:rFonts w:hint="eastAsia" w:ascii="宋体" w:hAnsi="宋体" w:cs="宋体"/>
          <w:kern w:val="0"/>
          <w:szCs w:val="24"/>
        </w:rPr>
        <w:t>采购文件</w:t>
      </w:r>
      <w:r>
        <w:rPr>
          <w:rFonts w:ascii="宋体" w:hAnsi="宋体" w:cs="宋体"/>
          <w:kern w:val="0"/>
          <w:szCs w:val="24"/>
        </w:rPr>
        <w:t>的规定，从</w:t>
      </w:r>
      <w:r>
        <w:rPr>
          <w:rFonts w:hint="eastAsia" w:ascii="宋体" w:hAnsi="宋体" w:cs="宋体"/>
          <w:kern w:val="0"/>
          <w:szCs w:val="24"/>
        </w:rPr>
        <w:t>响应文件</w:t>
      </w:r>
      <w:r>
        <w:rPr>
          <w:rFonts w:ascii="宋体" w:hAnsi="宋体" w:cs="宋体"/>
          <w:kern w:val="0"/>
          <w:szCs w:val="24"/>
        </w:rPr>
        <w:t>的有效性、完整性和对</w:t>
      </w:r>
      <w:r>
        <w:rPr>
          <w:rFonts w:hint="eastAsia" w:ascii="宋体" w:hAnsi="宋体" w:cs="宋体"/>
          <w:kern w:val="0"/>
          <w:szCs w:val="24"/>
        </w:rPr>
        <w:t>采购文件</w:t>
      </w:r>
      <w:r>
        <w:rPr>
          <w:rFonts w:ascii="宋体" w:hAnsi="宋体" w:cs="宋体"/>
          <w:kern w:val="0"/>
          <w:szCs w:val="24"/>
        </w:rPr>
        <w:t>的响应程度进行审查，以确定是否对</w:t>
      </w:r>
      <w:r>
        <w:rPr>
          <w:rFonts w:hint="eastAsia" w:ascii="宋体" w:hAnsi="宋体" w:cs="宋体"/>
          <w:kern w:val="0"/>
          <w:szCs w:val="24"/>
        </w:rPr>
        <w:t>采购文件</w:t>
      </w:r>
      <w:r>
        <w:rPr>
          <w:rFonts w:ascii="宋体" w:hAnsi="宋体" w:cs="宋体"/>
          <w:kern w:val="0"/>
          <w:szCs w:val="24"/>
        </w:rPr>
        <w:t>的实质性要求作出响应。</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26.2开标后，评审小组将审查</w:t>
      </w:r>
      <w:r>
        <w:rPr>
          <w:rFonts w:hint="eastAsia" w:ascii="宋体" w:hAnsi="宋体" w:cs="宋体"/>
          <w:kern w:val="0"/>
          <w:szCs w:val="24"/>
        </w:rPr>
        <w:t>响应文件</w:t>
      </w:r>
      <w:r>
        <w:rPr>
          <w:rFonts w:ascii="宋体" w:hAnsi="宋体" w:cs="宋体"/>
          <w:kern w:val="0"/>
          <w:szCs w:val="24"/>
        </w:rPr>
        <w:t>是否实质性响应</w:t>
      </w:r>
      <w:r>
        <w:rPr>
          <w:rFonts w:hint="eastAsia" w:ascii="宋体" w:hAnsi="宋体" w:cs="宋体"/>
          <w:kern w:val="0"/>
          <w:szCs w:val="24"/>
        </w:rPr>
        <w:t>采购文件</w:t>
      </w:r>
      <w:r>
        <w:rPr>
          <w:rFonts w:ascii="宋体" w:hAnsi="宋体" w:cs="宋体"/>
          <w:kern w:val="0"/>
          <w:szCs w:val="24"/>
        </w:rPr>
        <w:t>的要求、内容是否完整、价格构成有无计算错误、文件签署是否齐全等。</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26.3在详细评审之前，评审小组将首先审查每份响应书是否实质响应了</w:t>
      </w:r>
      <w:r>
        <w:rPr>
          <w:rFonts w:hint="eastAsia" w:ascii="宋体" w:hAnsi="宋体" w:cs="宋体"/>
          <w:kern w:val="0"/>
          <w:szCs w:val="24"/>
        </w:rPr>
        <w:t>采购文件</w:t>
      </w:r>
      <w:r>
        <w:rPr>
          <w:rFonts w:ascii="宋体" w:hAnsi="宋体" w:cs="宋体"/>
          <w:kern w:val="0"/>
          <w:szCs w:val="24"/>
        </w:rPr>
        <w:t>的要求。实质上的响应应该是与</w:t>
      </w:r>
      <w:r>
        <w:rPr>
          <w:rFonts w:hint="eastAsia" w:ascii="宋体" w:hAnsi="宋体" w:cs="宋体"/>
          <w:kern w:val="0"/>
          <w:szCs w:val="24"/>
        </w:rPr>
        <w:t>采购文件</w:t>
      </w:r>
      <w:r>
        <w:rPr>
          <w:rFonts w:ascii="宋体" w:hAnsi="宋体" w:cs="宋体"/>
          <w:kern w:val="0"/>
          <w:szCs w:val="24"/>
        </w:rPr>
        <w:t>的全部条款、条件和规格相符，没有重大偏离或保留。所谓重大偏离或保留是指影响合同的供货范围、质量和性能等；或者在实质上与</w:t>
      </w:r>
      <w:r>
        <w:rPr>
          <w:rFonts w:hint="eastAsia" w:ascii="宋体" w:hAnsi="宋体" w:cs="宋体"/>
          <w:kern w:val="0"/>
          <w:szCs w:val="24"/>
        </w:rPr>
        <w:t>采购文件</w:t>
      </w:r>
      <w:r>
        <w:rPr>
          <w:rFonts w:ascii="宋体" w:hAnsi="宋体" w:cs="宋体"/>
          <w:kern w:val="0"/>
          <w:szCs w:val="24"/>
        </w:rPr>
        <w:t>不一致〔如货物和服务的质量、数量明显不能满足</w:t>
      </w:r>
      <w:r>
        <w:rPr>
          <w:rFonts w:hint="eastAsia" w:ascii="宋体" w:hAnsi="宋体" w:cs="宋体"/>
          <w:kern w:val="0"/>
          <w:szCs w:val="24"/>
        </w:rPr>
        <w:t>采购文件</w:t>
      </w:r>
      <w:r>
        <w:rPr>
          <w:rFonts w:ascii="宋体" w:hAnsi="宋体" w:cs="宋体"/>
          <w:kern w:val="0"/>
          <w:szCs w:val="24"/>
        </w:rPr>
        <w:t>的要求〕，而且限制了合同中买方的权利或响应单位的义务。这些偏离或保留将会对其他实质上响应要求的响应单位的竞争地位产生不公正的影响。</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26.4</w:t>
      </w:r>
      <w:r>
        <w:rPr>
          <w:rFonts w:hint="eastAsia" w:ascii="宋体" w:hAnsi="宋体" w:cs="宋体"/>
          <w:kern w:val="0"/>
          <w:szCs w:val="24"/>
        </w:rPr>
        <w:t>采购文件</w:t>
      </w:r>
      <w:r>
        <w:rPr>
          <w:rFonts w:ascii="宋体" w:hAnsi="宋体" w:cs="宋体"/>
          <w:kern w:val="0"/>
          <w:szCs w:val="24"/>
        </w:rPr>
        <w:t>提供的工艺、材料、设备、参考的商标或样本目录号码等仅作为说明并没有限制性，响应供应商在响应中可以选用替代标准，但这些替代标准要优于或相当于技术规格中要求的标准，以满足采购单位的需要。</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26.5评审小组将允许修改响应中不构成重大偏离的微小的、非正规、不一致或不规则的地方，但这些修改不能影响任何响应单位的名次相应排列。响应单位不得对</w:t>
      </w:r>
      <w:r>
        <w:rPr>
          <w:rFonts w:hint="eastAsia" w:ascii="宋体" w:hAnsi="宋体" w:cs="宋体"/>
          <w:kern w:val="0"/>
          <w:szCs w:val="24"/>
        </w:rPr>
        <w:t>采购文件</w:t>
      </w:r>
      <w:r>
        <w:rPr>
          <w:rFonts w:ascii="宋体" w:hAnsi="宋体" w:cs="宋体"/>
          <w:kern w:val="0"/>
          <w:szCs w:val="24"/>
        </w:rPr>
        <w:t>进行实质性修改，否则</w:t>
      </w:r>
      <w:r>
        <w:rPr>
          <w:rFonts w:hint="eastAsia" w:ascii="宋体" w:hAnsi="宋体" w:cs="宋体"/>
          <w:kern w:val="0"/>
          <w:szCs w:val="24"/>
        </w:rPr>
        <w:t>响应文件</w:t>
      </w:r>
      <w:r>
        <w:rPr>
          <w:rFonts w:ascii="宋体" w:hAnsi="宋体" w:cs="宋体"/>
          <w:kern w:val="0"/>
          <w:szCs w:val="24"/>
        </w:rPr>
        <w:t>将被拒绝。</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26.6评审小组将对确定为实质性响应的响应进行审核，看其是否有计算上或累加上的算术错误，修正错误的原则如下：</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26.6.1</w:t>
      </w:r>
      <w:r>
        <w:rPr>
          <w:rFonts w:hint="eastAsia" w:ascii="宋体" w:hAnsi="宋体" w:cs="宋体"/>
          <w:kern w:val="0"/>
          <w:szCs w:val="24"/>
        </w:rPr>
        <w:t>响应文件</w:t>
      </w:r>
      <w:r>
        <w:rPr>
          <w:rFonts w:ascii="宋体" w:hAnsi="宋体" w:cs="宋体"/>
          <w:kern w:val="0"/>
          <w:szCs w:val="24"/>
        </w:rPr>
        <w:t>中开标一览表（报价表）内容与</w:t>
      </w:r>
      <w:r>
        <w:rPr>
          <w:rFonts w:hint="eastAsia" w:ascii="宋体" w:hAnsi="宋体" w:cs="宋体"/>
          <w:kern w:val="0"/>
          <w:szCs w:val="24"/>
        </w:rPr>
        <w:t>响应文件</w:t>
      </w:r>
      <w:r>
        <w:rPr>
          <w:rFonts w:ascii="宋体" w:hAnsi="宋体" w:cs="宋体"/>
          <w:kern w:val="0"/>
          <w:szCs w:val="24"/>
        </w:rPr>
        <w:t>中相应内容不一致的，以开标一览表（报价表）为准；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26.6.2大写金额和小写金额不一致的，以大写金额为准；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26.6.3单价金额小数点或者百分比有明显错位的，以开标一览表的总价为准，并修改单价；</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26.6.4总价金额与按单价汇总金额不一致的，以单价金额计算结果为准。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同时出现两种以上不一致的，按照前款规定的顺序修正。修正后的报价按照本须知26.6条规定经响应人确认后产生约束力，响应人不确认的，其响应无效。</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7评标委员会认为投标人的报价明显低于其他通过符合性审查投标人的报价，有可能影响产品质量或者不能诚信履约的，根据财政部《关于推动解决政府采购异常低价问题的通知》（财库〔</w:t>
      </w:r>
      <w:r>
        <w:rPr>
          <w:rFonts w:ascii="宋体" w:hAnsi="宋体" w:cs="宋体"/>
          <w:kern w:val="0"/>
          <w:szCs w:val="24"/>
        </w:rPr>
        <w:t>2026</w:t>
      </w:r>
      <w:r>
        <w:rPr>
          <w:rFonts w:hint="eastAsia" w:ascii="宋体" w:hAnsi="宋体" w:cs="宋体"/>
          <w:kern w:val="0"/>
          <w:szCs w:val="24"/>
        </w:rPr>
        <w:t>〕2号），应当要求其在不见面开标大厅内合理的时间内提供说明，必要时提交相关证明材料：投标人不能证明其报价合理性的，评标委员会应当将其作为无效投标处理。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异常低价投标（响应）审查的情形和具体要求如下：</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7.1</w:t>
      </w:r>
      <w:r>
        <w:rPr>
          <w:rFonts w:ascii="宋体" w:hAnsi="宋体" w:cs="宋体"/>
          <w:kern w:val="0"/>
          <w:szCs w:val="24"/>
        </w:rPr>
        <w:t xml:space="preserve"> </w:t>
      </w:r>
      <w:r>
        <w:rPr>
          <w:rFonts w:hint="eastAsia" w:ascii="宋体" w:hAnsi="宋体" w:cs="宋体"/>
          <w:kern w:val="0"/>
          <w:szCs w:val="24"/>
        </w:rPr>
        <w:t>投标（响应）报价低于全部通过符合性审查供应商投标（响应）报价平均值</w:t>
      </w:r>
      <w:r>
        <w:rPr>
          <w:rFonts w:ascii="宋体" w:hAnsi="宋体" w:cs="宋体"/>
          <w:kern w:val="0"/>
          <w:szCs w:val="24"/>
        </w:rPr>
        <w:t>50%</w:t>
      </w:r>
      <w:r>
        <w:rPr>
          <w:rFonts w:hint="eastAsia" w:ascii="宋体" w:hAnsi="宋体" w:cs="宋体"/>
          <w:kern w:val="0"/>
          <w:szCs w:val="24"/>
        </w:rPr>
        <w:t>的，即投标（响应）报价</w:t>
      </w:r>
      <w:r>
        <w:rPr>
          <w:rFonts w:ascii="宋体" w:hAnsi="宋体" w:cs="宋体"/>
          <w:kern w:val="0"/>
          <w:szCs w:val="24"/>
        </w:rPr>
        <w:t>&lt;</w:t>
      </w:r>
      <w:r>
        <w:rPr>
          <w:rFonts w:hint="eastAsia" w:ascii="宋体" w:hAnsi="宋体" w:cs="宋体"/>
          <w:kern w:val="0"/>
          <w:szCs w:val="24"/>
        </w:rPr>
        <w:t>全部通过符合性审查供应商投标（响应）报价平均值</w:t>
      </w:r>
      <w:r>
        <w:rPr>
          <w:rFonts w:ascii="宋体" w:hAnsi="宋体" w:cs="宋体"/>
          <w:kern w:val="0"/>
          <w:szCs w:val="24"/>
        </w:rPr>
        <w:t>×50%</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w:t>
      </w:r>
      <w:r>
        <w:rPr>
          <w:rFonts w:ascii="宋体" w:hAnsi="宋体" w:cs="宋体"/>
          <w:kern w:val="0"/>
          <w:szCs w:val="24"/>
        </w:rPr>
        <w:t xml:space="preserve">.2 </w:t>
      </w:r>
      <w:r>
        <w:rPr>
          <w:rFonts w:hint="eastAsia" w:ascii="宋体" w:hAnsi="宋体" w:cs="宋体"/>
          <w:kern w:val="0"/>
          <w:szCs w:val="24"/>
        </w:rPr>
        <w:t>投标（响应）报价低于通过符合性审查的次低报价供应商投标（响应）报价</w:t>
      </w:r>
      <w:r>
        <w:rPr>
          <w:rFonts w:ascii="宋体" w:hAnsi="宋体" w:cs="宋体"/>
          <w:kern w:val="0"/>
          <w:szCs w:val="24"/>
        </w:rPr>
        <w:t>50%</w:t>
      </w:r>
      <w:r>
        <w:rPr>
          <w:rFonts w:hint="eastAsia" w:ascii="宋体" w:hAnsi="宋体" w:cs="宋体"/>
          <w:kern w:val="0"/>
          <w:szCs w:val="24"/>
        </w:rPr>
        <w:t>的，即投标（响应）报价</w:t>
      </w:r>
      <w:r>
        <w:rPr>
          <w:rFonts w:ascii="宋体" w:hAnsi="宋体" w:cs="宋体"/>
          <w:kern w:val="0"/>
          <w:szCs w:val="24"/>
        </w:rPr>
        <w:t>&lt;</w:t>
      </w:r>
      <w:r>
        <w:rPr>
          <w:rFonts w:hint="eastAsia" w:ascii="宋体" w:hAnsi="宋体" w:cs="宋体"/>
          <w:kern w:val="0"/>
          <w:szCs w:val="24"/>
        </w:rPr>
        <w:t>通过符合性审查的次低报价供应商投标（响应）报价</w:t>
      </w:r>
      <w:r>
        <w:rPr>
          <w:rFonts w:ascii="宋体" w:hAnsi="宋体" w:cs="宋体"/>
          <w:kern w:val="0"/>
          <w:szCs w:val="24"/>
        </w:rPr>
        <w:t>×50%</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w:t>
      </w:r>
      <w:r>
        <w:rPr>
          <w:rFonts w:ascii="宋体" w:hAnsi="宋体" w:cs="宋体"/>
          <w:kern w:val="0"/>
          <w:szCs w:val="24"/>
        </w:rPr>
        <w:t xml:space="preserve">.3 </w:t>
      </w:r>
      <w:r>
        <w:rPr>
          <w:rFonts w:hint="eastAsia" w:ascii="宋体" w:hAnsi="宋体" w:cs="宋体"/>
          <w:kern w:val="0"/>
          <w:szCs w:val="24"/>
        </w:rPr>
        <w:t>投标（响应）报价低于采购项目最高限价</w:t>
      </w:r>
      <w:r>
        <w:rPr>
          <w:rFonts w:ascii="宋体" w:hAnsi="宋体" w:cs="宋体"/>
          <w:kern w:val="0"/>
          <w:szCs w:val="24"/>
        </w:rPr>
        <w:t>45%</w:t>
      </w:r>
      <w:r>
        <w:rPr>
          <w:rFonts w:hint="eastAsia" w:ascii="宋体" w:hAnsi="宋体" w:cs="宋体"/>
          <w:kern w:val="0"/>
          <w:szCs w:val="24"/>
        </w:rPr>
        <w:t>的，即投标（响应）报价</w:t>
      </w:r>
      <w:r>
        <w:rPr>
          <w:rFonts w:ascii="宋体" w:hAnsi="宋体" w:cs="宋体"/>
          <w:kern w:val="0"/>
          <w:szCs w:val="24"/>
        </w:rPr>
        <w:t>&lt;</w:t>
      </w:r>
      <w:r>
        <w:rPr>
          <w:rFonts w:hint="eastAsia" w:ascii="宋体" w:hAnsi="宋体" w:cs="宋体"/>
          <w:kern w:val="0"/>
          <w:szCs w:val="24"/>
        </w:rPr>
        <w:t>采购项目最高限价</w:t>
      </w:r>
      <w:r>
        <w:rPr>
          <w:rFonts w:ascii="宋体" w:hAnsi="宋体" w:cs="宋体"/>
          <w:kern w:val="0"/>
          <w:szCs w:val="24"/>
        </w:rPr>
        <w:t>×45%</w:t>
      </w:r>
      <w:r>
        <w:rPr>
          <w:rFonts w:hint="eastAsia"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w:t>
      </w:r>
      <w:r>
        <w:rPr>
          <w:rFonts w:ascii="宋体" w:hAnsi="宋体" w:cs="宋体"/>
          <w:kern w:val="0"/>
          <w:szCs w:val="24"/>
        </w:rPr>
        <w:t>.</w:t>
      </w:r>
      <w:r>
        <w:rPr>
          <w:rFonts w:hint="eastAsia" w:ascii="宋体" w:hAnsi="宋体" w:cs="宋体"/>
          <w:kern w:val="0"/>
          <w:szCs w:val="24"/>
        </w:rPr>
        <w:t>7</w:t>
      </w:r>
      <w:r>
        <w:rPr>
          <w:rFonts w:ascii="宋体" w:hAnsi="宋体" w:cs="宋体"/>
          <w:kern w:val="0"/>
          <w:szCs w:val="24"/>
        </w:rPr>
        <w:t xml:space="preserve">.4 </w:t>
      </w:r>
      <w:r>
        <w:rPr>
          <w:rFonts w:hint="eastAsia" w:ascii="宋体" w:hAnsi="宋体" w:cs="宋体"/>
          <w:kern w:val="0"/>
          <w:szCs w:val="24"/>
        </w:rPr>
        <w:t>评审委员会基于专业判断，认为供应商报价过低，有可能影响产品质量或者不能诚信履约的其他情形。</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26.8</w:t>
      </w:r>
      <w:r>
        <w:rPr>
          <w:rFonts w:ascii="宋体" w:hAnsi="宋体" w:cs="宋体"/>
          <w:kern w:val="0"/>
          <w:szCs w:val="24"/>
        </w:rPr>
        <w:t xml:space="preserve"> </w:t>
      </w:r>
      <w:r>
        <w:rPr>
          <w:rFonts w:hint="eastAsia" w:ascii="宋体" w:hAnsi="宋体" w:cs="宋体"/>
          <w:kern w:val="0"/>
          <w:szCs w:val="24"/>
        </w:rPr>
        <w:t>评审委员会启动异常低价投标（响应）审查后，属于前述第</w:t>
      </w:r>
      <w:r>
        <w:rPr>
          <w:rFonts w:ascii="宋体" w:hAnsi="宋体" w:cs="宋体"/>
          <w:kern w:val="0"/>
          <w:szCs w:val="24"/>
        </w:rPr>
        <w:t>1</w:t>
      </w:r>
      <w:r>
        <w:rPr>
          <w:rFonts w:hint="eastAsia" w:ascii="宋体" w:hAnsi="宋体" w:cs="宋体"/>
          <w:kern w:val="0"/>
          <w:szCs w:val="24"/>
        </w:rPr>
        <w:t>项至第</w:t>
      </w:r>
      <w:r>
        <w:rPr>
          <w:rFonts w:ascii="宋体" w:hAnsi="宋体" w:cs="宋体"/>
          <w:kern w:val="0"/>
          <w:szCs w:val="24"/>
        </w:rPr>
        <w:t>4</w:t>
      </w:r>
      <w:r>
        <w:rPr>
          <w:rFonts w:hint="eastAsia" w:ascii="宋体" w:hAnsi="宋体" w:cs="宋体"/>
          <w:kern w:val="0"/>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kern w:val="0"/>
          <w:szCs w:val="24"/>
        </w:rPr>
        <w:t>30</w:t>
      </w:r>
      <w:r>
        <w:rPr>
          <w:rFonts w:hint="eastAsia" w:ascii="宋体" w:hAnsi="宋体" w:cs="宋体"/>
          <w:kern w:val="0"/>
          <w:szCs w:val="24"/>
        </w:rPr>
        <w:t>分钟。其中，属于第</w:t>
      </w:r>
      <w:r>
        <w:rPr>
          <w:rFonts w:ascii="宋体" w:hAnsi="宋体" w:cs="宋体"/>
          <w:kern w:val="0"/>
          <w:szCs w:val="24"/>
        </w:rPr>
        <w:t>3</w:t>
      </w:r>
      <w:r>
        <w:rPr>
          <w:rFonts w:hint="eastAsia" w:ascii="宋体" w:hAnsi="宋体" w:cs="宋体"/>
          <w:kern w:val="0"/>
          <w:szCs w:val="24"/>
        </w:rPr>
        <w:t>项情形，供应商已随投标（响应）文件一并提交相关书面说明及必要的证明材料的，在评审现场可不再重复提交。</w:t>
      </w:r>
      <w:r>
        <w:rPr>
          <w:rFonts w:ascii="宋体" w:hAnsi="宋体" w:cs="宋体"/>
          <w:kern w:val="0"/>
          <w:szCs w:val="24"/>
        </w:rPr>
        <w:br w:type="textWrapping"/>
      </w:r>
      <w:r>
        <w:rPr>
          <w:rFonts w:hint="eastAsia" w:ascii="宋体" w:hAnsi="宋体" w:cs="宋体"/>
          <w:kern w:val="0"/>
          <w:szCs w:val="24"/>
        </w:rPr>
        <w:t>26.</w:t>
      </w:r>
      <w:r>
        <w:rPr>
          <w:rFonts w:ascii="宋体" w:hAnsi="宋体" w:cs="宋体"/>
          <w:kern w:val="0"/>
          <w:szCs w:val="24"/>
        </w:rPr>
        <w:t xml:space="preserve">9 </w:t>
      </w:r>
      <w:r>
        <w:rPr>
          <w:rFonts w:hint="eastAsia" w:ascii="宋体" w:hAnsi="宋体" w:cs="宋体"/>
          <w:kern w:val="0"/>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26.10评审小组将拒绝被确定为非实质性的响应，响应人不能通过修正或撤销不符之处而使其响应成为实质性的响应。</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27.响应的澄清</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27.1在</w:t>
      </w:r>
      <w:r>
        <w:rPr>
          <w:rFonts w:hint="eastAsia" w:ascii="宋体" w:hAnsi="宋体" w:cs="宋体"/>
          <w:kern w:val="0"/>
          <w:szCs w:val="24"/>
        </w:rPr>
        <w:t>响应文件</w:t>
      </w:r>
      <w:r>
        <w:rPr>
          <w:rFonts w:ascii="宋体" w:hAnsi="宋体" w:cs="宋体"/>
          <w:kern w:val="0"/>
          <w:szCs w:val="24"/>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cs="宋体"/>
          <w:kern w:val="0"/>
          <w:szCs w:val="24"/>
        </w:rPr>
        <w:t>响应文件</w:t>
      </w:r>
      <w:r>
        <w:rPr>
          <w:rFonts w:ascii="宋体" w:hAnsi="宋体" w:cs="宋体"/>
          <w:kern w:val="0"/>
          <w:szCs w:val="24"/>
        </w:rPr>
        <w:t>的范围或者改变</w:t>
      </w:r>
      <w:r>
        <w:rPr>
          <w:rFonts w:hint="eastAsia" w:ascii="宋体" w:hAnsi="宋体" w:cs="宋体"/>
          <w:kern w:val="0"/>
          <w:szCs w:val="24"/>
        </w:rPr>
        <w:t>响应文件</w:t>
      </w:r>
      <w:r>
        <w:rPr>
          <w:rFonts w:ascii="宋体" w:hAnsi="宋体" w:cs="宋体"/>
          <w:kern w:val="0"/>
          <w:szCs w:val="24"/>
        </w:rPr>
        <w:t>的实质性内容。</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28.无效响应和废标</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 xml:space="preserve">28.1无效响应的具体情形有：  </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28.1.1响应文件未按采购文件要求签署、盖章或电子签章的；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28.1.2不具备采购文件中规定的资格要求的；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28.1.3报价超过采购文件中规定的预算金额或者最高限价的；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28.1.4响应文件含有采购人不能接受的附加条件的；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28.1.5法律、法规和采购文件规定的其他无效情形。</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 在采购中，出现下列情形之一的，应予废标：</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28.2.1出现影响采购公正的违法、违规行为的；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28.2.2响应供应商的报价均超过了采购预算，采购人不能支付的；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28.2.3因重大变故，采购任务取消的。</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28.3 废标后，采购人应当将废标理由通知所有响应供应商。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 xml:space="preserve">29. </w:t>
      </w:r>
      <w:r>
        <w:rPr>
          <w:rFonts w:hint="eastAsia" w:ascii="宋体" w:hAnsi="宋体" w:cs="宋体"/>
          <w:b/>
          <w:kern w:val="0"/>
          <w:szCs w:val="24"/>
        </w:rPr>
        <w:t>响应文件</w:t>
      </w:r>
      <w:r>
        <w:rPr>
          <w:rFonts w:ascii="宋体" w:hAnsi="宋体" w:cs="宋体"/>
          <w:b/>
          <w:kern w:val="0"/>
          <w:szCs w:val="24"/>
        </w:rPr>
        <w:t>的评价和比较</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29.1评审小组按</w:t>
      </w:r>
      <w:r>
        <w:rPr>
          <w:rFonts w:hint="eastAsia" w:ascii="宋体" w:hAnsi="宋体" w:cs="宋体"/>
          <w:kern w:val="0"/>
          <w:szCs w:val="24"/>
        </w:rPr>
        <w:t>采购文件</w:t>
      </w:r>
      <w:r>
        <w:rPr>
          <w:rFonts w:ascii="宋体" w:hAnsi="宋体" w:cs="宋体"/>
          <w:kern w:val="0"/>
          <w:szCs w:val="24"/>
        </w:rPr>
        <w:t>规定的评审方法和标准，仅对资格性检查和符合性检查合格的</w:t>
      </w:r>
      <w:r>
        <w:rPr>
          <w:rFonts w:hint="eastAsia" w:ascii="宋体" w:hAnsi="宋体" w:cs="宋体"/>
          <w:kern w:val="0"/>
          <w:szCs w:val="24"/>
        </w:rPr>
        <w:t>响应文件</w:t>
      </w:r>
      <w:r>
        <w:rPr>
          <w:rFonts w:ascii="宋体" w:hAnsi="宋体" w:cs="宋体"/>
          <w:kern w:val="0"/>
          <w:szCs w:val="24"/>
        </w:rPr>
        <w:t>进行商务和技术评估，综合比较与评价。</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29.2评价和比较采用综合评分法，评审小组严格按照</w:t>
      </w:r>
      <w:r>
        <w:rPr>
          <w:rFonts w:hint="eastAsia" w:ascii="宋体" w:hAnsi="宋体" w:cs="宋体"/>
          <w:kern w:val="0"/>
          <w:szCs w:val="24"/>
        </w:rPr>
        <w:t>采购文件</w:t>
      </w:r>
      <w:r>
        <w:rPr>
          <w:rFonts w:ascii="宋体" w:hAnsi="宋体" w:cs="宋体"/>
          <w:kern w:val="0"/>
          <w:szCs w:val="24"/>
        </w:rPr>
        <w:t>的要求、条件、评分标准，对响应单位所提供货物和服务的先进性、可靠性、售后服务承诺、质量保证承诺等实质性响应内容进行比较报价，同时考虑以下因素：    </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29.2.1服务的质量保证（保障）内容；</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29.2.2服务配备的人员；</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29.2.3响应者的资信情况和履约能力；</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29.2.4响应者提供的其他优惠条件；</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29.2.5参与本项目政府采购工作的态度及信誉；</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29.2.6最低的响应报价或最高的折扣比例是成交的重要条件，但不是唯一条件。</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七、授予合同</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 xml:space="preserve">30. </w:t>
      </w:r>
      <w:r>
        <w:rPr>
          <w:rFonts w:hint="eastAsia" w:ascii="宋体" w:hAnsi="宋体" w:cs="宋体"/>
          <w:b/>
          <w:kern w:val="0"/>
          <w:szCs w:val="24"/>
        </w:rPr>
        <w:t>成交供应商</w:t>
      </w:r>
      <w:r>
        <w:rPr>
          <w:rFonts w:ascii="宋体" w:hAnsi="宋体" w:cs="宋体"/>
          <w:b/>
          <w:kern w:val="0"/>
          <w:szCs w:val="24"/>
        </w:rPr>
        <w:t>的确认          </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30.1评审小组按</w:t>
      </w:r>
      <w:r>
        <w:rPr>
          <w:rFonts w:hint="eastAsia" w:ascii="宋体" w:hAnsi="宋体" w:cs="宋体"/>
          <w:kern w:val="0"/>
          <w:szCs w:val="24"/>
        </w:rPr>
        <w:t>采购文件</w:t>
      </w:r>
      <w:r>
        <w:rPr>
          <w:rFonts w:ascii="宋体" w:hAnsi="宋体" w:cs="宋体"/>
          <w:kern w:val="0"/>
          <w:szCs w:val="24"/>
        </w:rPr>
        <w:t>规定的评审方法和标准进行详细评审后，按采购人的委托向采购人推荐成交候选单位或根据采购人授权直接确定</w:t>
      </w:r>
      <w:r>
        <w:rPr>
          <w:rFonts w:hint="eastAsia" w:ascii="宋体" w:hAnsi="宋体" w:cs="宋体"/>
          <w:kern w:val="0"/>
          <w:szCs w:val="24"/>
        </w:rPr>
        <w:t>成交供应商</w:t>
      </w:r>
      <w:r>
        <w:rPr>
          <w:rFonts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30.2经评审小组评审并确定</w:t>
      </w:r>
      <w:r>
        <w:rPr>
          <w:rFonts w:hint="eastAsia" w:ascii="宋体" w:hAnsi="宋体" w:cs="宋体"/>
          <w:kern w:val="0"/>
          <w:szCs w:val="24"/>
        </w:rPr>
        <w:t>成交供应商</w:t>
      </w:r>
      <w:r>
        <w:rPr>
          <w:rFonts w:ascii="宋体" w:hAnsi="宋体" w:cs="宋体"/>
          <w:kern w:val="0"/>
          <w:szCs w:val="24"/>
        </w:rPr>
        <w:t>后，采购人或授权采购代理机构将在规定的时间内将成交结果在相关媒体上予以公告。</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30.4质疑函递交地点及联系方式详见公告内容</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31. 合同授予标准</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31.1采购人将把合同授予其</w:t>
      </w:r>
      <w:r>
        <w:rPr>
          <w:rFonts w:hint="eastAsia" w:ascii="宋体" w:hAnsi="宋体" w:cs="宋体"/>
          <w:kern w:val="0"/>
          <w:szCs w:val="24"/>
        </w:rPr>
        <w:t>响应文件</w:t>
      </w:r>
      <w:r>
        <w:rPr>
          <w:rFonts w:ascii="宋体" w:hAnsi="宋体" w:cs="宋体"/>
          <w:kern w:val="0"/>
          <w:szCs w:val="24"/>
        </w:rPr>
        <w:t>在实质上响应</w:t>
      </w:r>
      <w:r>
        <w:rPr>
          <w:rFonts w:hint="eastAsia" w:ascii="宋体" w:hAnsi="宋体" w:cs="宋体"/>
          <w:kern w:val="0"/>
          <w:szCs w:val="24"/>
        </w:rPr>
        <w:t>采购文件</w:t>
      </w:r>
      <w:r>
        <w:rPr>
          <w:rFonts w:ascii="宋体" w:hAnsi="宋体" w:cs="宋体"/>
          <w:kern w:val="0"/>
          <w:szCs w:val="24"/>
        </w:rPr>
        <w:t>要求和按本须知规定评选出的响应人。确定为成交的响应人必须具有实施本合同的能力和资源。</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31.2政府采购合同履行中，采购人需追加与合同标的物相同的货物、工程或者服务的，在不改变合同其他条款的前提下，可以与</w:t>
      </w:r>
      <w:r>
        <w:rPr>
          <w:rFonts w:hint="eastAsia" w:ascii="宋体" w:hAnsi="宋体" w:cs="宋体"/>
          <w:kern w:val="0"/>
          <w:szCs w:val="24"/>
        </w:rPr>
        <w:t>成交供应商</w:t>
      </w:r>
      <w:r>
        <w:rPr>
          <w:rFonts w:ascii="宋体" w:hAnsi="宋体" w:cs="宋体"/>
          <w:kern w:val="0"/>
          <w:szCs w:val="24"/>
        </w:rPr>
        <w:t>签订补充合同，但所有补充合同的采购金额不得超过原合同采购金额的百分之十。</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 xml:space="preserve">32. </w:t>
      </w:r>
      <w:r>
        <w:rPr>
          <w:rFonts w:hint="eastAsia" w:ascii="宋体" w:hAnsi="宋体" w:cs="宋体"/>
          <w:b/>
          <w:kern w:val="0"/>
          <w:szCs w:val="24"/>
        </w:rPr>
        <w:t>成交通知书</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32.1确定出</w:t>
      </w:r>
      <w:r>
        <w:rPr>
          <w:rFonts w:hint="eastAsia" w:ascii="宋体" w:hAnsi="宋体" w:cs="宋体"/>
          <w:kern w:val="0"/>
          <w:szCs w:val="24"/>
        </w:rPr>
        <w:t>成交供应商</w:t>
      </w:r>
      <w:r>
        <w:rPr>
          <w:rFonts w:ascii="宋体" w:hAnsi="宋体" w:cs="宋体"/>
          <w:kern w:val="0"/>
          <w:szCs w:val="24"/>
        </w:rPr>
        <w:t>后</w:t>
      </w:r>
      <w:r>
        <w:rPr>
          <w:rFonts w:hint="eastAsia" w:ascii="宋体" w:hAnsi="宋体" w:cs="宋体"/>
          <w:kern w:val="0"/>
          <w:szCs w:val="24"/>
        </w:rPr>
        <w:t>响应文件</w:t>
      </w:r>
      <w:r>
        <w:rPr>
          <w:rFonts w:ascii="宋体" w:hAnsi="宋体" w:cs="宋体"/>
          <w:kern w:val="0"/>
          <w:szCs w:val="24"/>
        </w:rPr>
        <w:t>有效期截止前，采购代理机构应当向</w:t>
      </w:r>
      <w:r>
        <w:rPr>
          <w:rFonts w:hint="eastAsia" w:ascii="宋体" w:hAnsi="宋体" w:cs="宋体"/>
          <w:kern w:val="0"/>
          <w:szCs w:val="24"/>
        </w:rPr>
        <w:t>成交供应商</w:t>
      </w:r>
      <w:r>
        <w:rPr>
          <w:rFonts w:ascii="宋体" w:hAnsi="宋体" w:cs="宋体"/>
          <w:kern w:val="0"/>
          <w:szCs w:val="24"/>
        </w:rPr>
        <w:t>发出</w:t>
      </w:r>
      <w:r>
        <w:rPr>
          <w:rFonts w:hint="eastAsia" w:ascii="宋体" w:hAnsi="宋体" w:cs="宋体"/>
          <w:kern w:val="0"/>
          <w:szCs w:val="24"/>
        </w:rPr>
        <w:t>成交通知书</w:t>
      </w:r>
      <w:r>
        <w:rPr>
          <w:rFonts w:ascii="宋体" w:hAnsi="宋体" w:cs="宋体"/>
          <w:kern w:val="0"/>
          <w:szCs w:val="24"/>
        </w:rPr>
        <w:t>，</w:t>
      </w:r>
      <w:r>
        <w:rPr>
          <w:rFonts w:hint="eastAsia" w:ascii="宋体" w:hAnsi="宋体" w:cs="宋体"/>
          <w:kern w:val="0"/>
          <w:szCs w:val="24"/>
        </w:rPr>
        <w:t>成交通知书</w:t>
      </w:r>
      <w:r>
        <w:rPr>
          <w:rFonts w:ascii="宋体" w:hAnsi="宋体" w:cs="宋体"/>
          <w:kern w:val="0"/>
          <w:szCs w:val="24"/>
        </w:rPr>
        <w:t>对采购人和</w:t>
      </w:r>
      <w:r>
        <w:rPr>
          <w:rFonts w:hint="eastAsia" w:ascii="宋体" w:hAnsi="宋体" w:cs="宋体"/>
          <w:kern w:val="0"/>
          <w:szCs w:val="24"/>
        </w:rPr>
        <w:t>成交供应商</w:t>
      </w:r>
      <w:r>
        <w:rPr>
          <w:rFonts w:ascii="宋体" w:hAnsi="宋体" w:cs="宋体"/>
          <w:kern w:val="0"/>
          <w:szCs w:val="24"/>
        </w:rPr>
        <w:t>具有同等法律效力。</w:t>
      </w:r>
      <w:r>
        <w:rPr>
          <w:rFonts w:hint="eastAsia" w:ascii="宋体" w:hAnsi="宋体" w:cs="宋体"/>
          <w:kern w:val="0"/>
          <w:szCs w:val="24"/>
        </w:rPr>
        <w:t>成交通知书</w:t>
      </w:r>
      <w:r>
        <w:rPr>
          <w:rFonts w:ascii="宋体" w:hAnsi="宋体" w:cs="宋体"/>
          <w:kern w:val="0"/>
          <w:szCs w:val="24"/>
        </w:rPr>
        <w:t>发出后，采购人改变成交结果，或者</w:t>
      </w:r>
      <w:r>
        <w:rPr>
          <w:rFonts w:hint="eastAsia" w:ascii="宋体" w:hAnsi="宋体" w:cs="宋体"/>
          <w:kern w:val="0"/>
          <w:szCs w:val="24"/>
        </w:rPr>
        <w:t>成交供应商</w:t>
      </w:r>
      <w:r>
        <w:rPr>
          <w:rFonts w:ascii="宋体" w:hAnsi="宋体" w:cs="宋体"/>
          <w:kern w:val="0"/>
          <w:szCs w:val="24"/>
        </w:rPr>
        <w:t>放弃成交，应当承担相应的法律责任。</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32.2</w:t>
      </w:r>
      <w:r>
        <w:rPr>
          <w:rFonts w:hint="eastAsia" w:ascii="宋体" w:hAnsi="宋体" w:cs="宋体"/>
          <w:b/>
          <w:kern w:val="0"/>
          <w:szCs w:val="24"/>
        </w:rPr>
        <w:t>成交通知书</w:t>
      </w:r>
      <w:r>
        <w:rPr>
          <w:rFonts w:ascii="宋体" w:hAnsi="宋体" w:cs="宋体"/>
          <w:b/>
          <w:kern w:val="0"/>
          <w:szCs w:val="24"/>
        </w:rPr>
        <w:t>在成交公告发布后将发布在苏采云系统中，</w:t>
      </w:r>
      <w:r>
        <w:rPr>
          <w:rFonts w:hint="eastAsia" w:ascii="宋体" w:hAnsi="宋体" w:cs="宋体"/>
          <w:b/>
          <w:kern w:val="0"/>
          <w:szCs w:val="24"/>
        </w:rPr>
        <w:t>成交通知书</w:t>
      </w:r>
      <w:r>
        <w:rPr>
          <w:rFonts w:ascii="宋体" w:hAnsi="宋体" w:cs="宋体"/>
          <w:b/>
          <w:kern w:val="0"/>
          <w:szCs w:val="24"/>
        </w:rPr>
        <w:t>发布之日视为</w:t>
      </w:r>
      <w:r>
        <w:rPr>
          <w:rFonts w:hint="eastAsia" w:ascii="宋体" w:hAnsi="宋体" w:cs="宋体"/>
          <w:b/>
          <w:kern w:val="0"/>
          <w:szCs w:val="24"/>
        </w:rPr>
        <w:t>成交供应商</w:t>
      </w:r>
      <w:r>
        <w:rPr>
          <w:rFonts w:ascii="宋体" w:hAnsi="宋体" w:cs="宋体"/>
          <w:b/>
          <w:kern w:val="0"/>
          <w:szCs w:val="24"/>
        </w:rPr>
        <w:t>领取之日，</w:t>
      </w:r>
      <w:r>
        <w:rPr>
          <w:rFonts w:hint="eastAsia" w:ascii="宋体" w:hAnsi="宋体" w:cs="宋体"/>
          <w:b/>
          <w:kern w:val="0"/>
          <w:szCs w:val="24"/>
        </w:rPr>
        <w:t>成交供应商自</w:t>
      </w:r>
      <w:r>
        <w:rPr>
          <w:rFonts w:ascii="宋体" w:hAnsi="宋体" w:cs="宋体"/>
          <w:b/>
          <w:kern w:val="0"/>
          <w:szCs w:val="24"/>
        </w:rPr>
        <w:t>领取之日</w:t>
      </w:r>
      <w:r>
        <w:rPr>
          <w:rFonts w:hint="eastAsia" w:ascii="宋体" w:hAnsi="宋体" w:cs="宋体"/>
          <w:b/>
          <w:kern w:val="0"/>
          <w:szCs w:val="24"/>
        </w:rPr>
        <w:t>起3</w:t>
      </w:r>
      <w:r>
        <w:rPr>
          <w:rFonts w:ascii="宋体" w:hAnsi="宋体" w:cs="宋体"/>
          <w:b/>
          <w:kern w:val="0"/>
          <w:szCs w:val="24"/>
        </w:rPr>
        <w:t>0日内自行在苏采云系统中下载打印。</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rPr>
      </w:pPr>
      <w:r>
        <w:rPr>
          <w:rFonts w:ascii="宋体" w:hAnsi="宋体" w:cs="宋体"/>
          <w:b/>
        </w:rPr>
        <w:t>32.3</w:t>
      </w:r>
      <w:r>
        <w:rPr>
          <w:rFonts w:hint="eastAsia" w:ascii="宋体" w:hAnsi="宋体" w:cs="宋体"/>
        </w:rPr>
        <w:t>因系统存储空间有限，自中标结果公告届满之日起30日后，“苏采云”系统不再保证提供下载中标通知书服务,因未及时下载而造成的不利后果由中标供应商自行承担。</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32.4</w:t>
      </w:r>
      <w:r>
        <w:rPr>
          <w:rFonts w:hint="eastAsia" w:ascii="宋体" w:hAnsi="宋体" w:cs="宋体"/>
          <w:kern w:val="0"/>
          <w:szCs w:val="24"/>
        </w:rPr>
        <w:t>成交通知书</w:t>
      </w:r>
      <w:r>
        <w:rPr>
          <w:rFonts w:ascii="宋体" w:hAnsi="宋体" w:cs="宋体"/>
        </w:rPr>
        <w:t>将成为合同的组成部分。</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32.5采购代理机构对</w:t>
      </w:r>
      <w:r>
        <w:rPr>
          <w:rFonts w:ascii="宋体" w:hAnsi="宋体" w:cs="宋体"/>
          <w:kern w:val="0"/>
          <w:szCs w:val="24"/>
        </w:rPr>
        <w:t>未</w:t>
      </w:r>
      <w:r>
        <w:rPr>
          <w:rFonts w:hint="eastAsia" w:ascii="宋体" w:hAnsi="宋体" w:cs="宋体"/>
          <w:kern w:val="0"/>
          <w:szCs w:val="24"/>
        </w:rPr>
        <w:t>成交</w:t>
      </w:r>
      <w:r>
        <w:rPr>
          <w:rFonts w:ascii="宋体" w:hAnsi="宋体" w:cs="宋体"/>
        </w:rPr>
        <w:t>供应商不承担解释未中标原因的义务。</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b/>
          <w:kern w:val="0"/>
          <w:szCs w:val="24"/>
        </w:rPr>
        <w:t>33.履约保证金</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33.1</w:t>
      </w:r>
      <w:r>
        <w:rPr>
          <w:rFonts w:hint="eastAsia" w:ascii="宋体" w:hAnsi="宋体" w:cs="宋体"/>
          <w:kern w:val="0"/>
          <w:szCs w:val="24"/>
        </w:rPr>
        <w:t>成交供应商</w:t>
      </w:r>
      <w:r>
        <w:rPr>
          <w:rFonts w:ascii="宋体" w:hAnsi="宋体" w:cs="宋体"/>
          <w:kern w:val="0"/>
          <w:szCs w:val="24"/>
        </w:rPr>
        <w:t>按合同约定要求提交履约保证金。</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33.2履约保证金用以约束供应商在合同履行中的行为，弥补合同执行中由于自身行为可能给采购人带来的各种损失。</w:t>
      </w:r>
    </w:p>
    <w:p>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kern w:val="0"/>
          <w:szCs w:val="24"/>
        </w:rPr>
      </w:pPr>
      <w:r>
        <w:rPr>
          <w:rFonts w:ascii="宋体" w:hAnsi="宋体" w:cs="宋体"/>
          <w:kern w:val="0"/>
          <w:szCs w:val="24"/>
        </w:rPr>
        <w:t>33.3履约保证金（无息）将在</w:t>
      </w:r>
      <w:r>
        <w:rPr>
          <w:rFonts w:hint="eastAsia" w:ascii="宋体" w:hAnsi="宋体" w:cs="宋体"/>
          <w:kern w:val="0"/>
          <w:szCs w:val="24"/>
        </w:rPr>
        <w:t>成交供应商</w:t>
      </w:r>
      <w:r>
        <w:rPr>
          <w:rFonts w:ascii="宋体" w:hAnsi="宋体" w:cs="宋体"/>
          <w:kern w:val="0"/>
          <w:szCs w:val="24"/>
        </w:rPr>
        <w:t>合同履行完毕且质保期满后，采购人在五个工作日内退返</w:t>
      </w:r>
      <w:r>
        <w:rPr>
          <w:rFonts w:hint="eastAsia" w:ascii="宋体" w:hAnsi="宋体" w:cs="宋体"/>
          <w:kern w:val="0"/>
          <w:szCs w:val="24"/>
        </w:rPr>
        <w:t>成交供应商</w:t>
      </w:r>
      <w:r>
        <w:rPr>
          <w:rFonts w:ascii="宋体" w:hAnsi="宋体" w:cs="宋体"/>
          <w:kern w:val="0"/>
          <w:szCs w:val="24"/>
        </w:rPr>
        <w:t>。</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 合同的签订</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34.2成交供应商应按成交通知书中规定，由法定代表人或授权代理人与采购人代表签订合同，否则按放弃成交权处理。</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34.3签订合同及合同条款应以采购文件和成交供应商的响应文件及其澄清文件为依据。</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hint="eastAsia" w:ascii="宋体" w:hAnsi="宋体" w:cs="宋体"/>
          <w:kern w:val="0"/>
          <w:szCs w:val="24"/>
        </w:rPr>
        <w:t>34.4成交人无正当理由拒签合同的，或在签订合同时向采购人提出附加条件或者更改合同实质性内容的，采购人可取消其成交资格，同时由成交人承担相应的法律责任</w:t>
      </w:r>
    </w:p>
    <w:p>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kern w:val="0"/>
          <w:szCs w:val="24"/>
        </w:rPr>
      </w:pPr>
      <w:r>
        <w:rPr>
          <w:rFonts w:ascii="宋体" w:hAnsi="宋体" w:cs="宋体"/>
          <w:kern w:val="0"/>
          <w:szCs w:val="24"/>
        </w:rPr>
        <w:t>34.5签订合同后，</w:t>
      </w:r>
      <w:r>
        <w:rPr>
          <w:rFonts w:hint="eastAsia" w:ascii="宋体" w:hAnsi="宋体" w:cs="宋体"/>
          <w:kern w:val="0"/>
          <w:szCs w:val="24"/>
        </w:rPr>
        <w:t>成交人</w:t>
      </w:r>
      <w:r>
        <w:rPr>
          <w:rFonts w:ascii="宋体" w:hAnsi="宋体" w:cs="宋体"/>
          <w:kern w:val="0"/>
          <w:szCs w:val="24"/>
        </w:rPr>
        <w:t>不得将货物及其他相关服务进行转包。未经采购人同意，</w:t>
      </w:r>
      <w:r>
        <w:rPr>
          <w:rFonts w:hint="eastAsia" w:ascii="宋体" w:hAnsi="宋体" w:cs="宋体"/>
          <w:kern w:val="0"/>
          <w:szCs w:val="24"/>
        </w:rPr>
        <w:t>成交人</w:t>
      </w:r>
      <w:r>
        <w:rPr>
          <w:rFonts w:ascii="宋体" w:hAnsi="宋体" w:cs="宋体"/>
          <w:kern w:val="0"/>
          <w:szCs w:val="24"/>
        </w:rPr>
        <w:t>也不得采用分包的形式履行合同，否则采购人有权终止合同。转包或分包造成采购人</w:t>
      </w:r>
      <w:r>
        <w:rPr>
          <w:rFonts w:hint="eastAsia" w:ascii="宋体" w:hAnsi="宋体" w:cs="宋体"/>
          <w:kern w:val="0"/>
          <w:szCs w:val="24"/>
        </w:rPr>
        <w:t>损失的，成交人应承担相应赔偿责任。</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szCs w:val="24"/>
        </w:rPr>
      </w:pPr>
      <w:r>
        <w:rPr>
          <w:rFonts w:hint="eastAsia" w:ascii="宋体" w:hAnsi="宋体" w:cs="宋体"/>
          <w:b/>
          <w:color w:val="000000"/>
          <w:szCs w:val="24"/>
        </w:rPr>
        <w:t>八、政府采购相关政策</w:t>
      </w:r>
    </w:p>
    <w:p>
      <w:pPr>
        <w:pBdr>
          <w:top w:val="none" w:color="000000" w:sz="0" w:space="0"/>
          <w:left w:val="none" w:color="000000" w:sz="0" w:space="0"/>
          <w:bottom w:val="none" w:color="000000" w:sz="0" w:space="0"/>
          <w:right w:val="none" w:color="000000" w:sz="0" w:space="0"/>
        </w:pBdr>
        <w:spacing w:line="440" w:lineRule="exact"/>
        <w:jc w:val="left"/>
        <w:outlineLvl w:val="3"/>
      </w:pPr>
      <w:r>
        <w:rPr>
          <w:rFonts w:ascii="宋体" w:hAnsi="宋体" w:cs="宋体"/>
          <w:b/>
        </w:rPr>
        <w:t>3</w:t>
      </w:r>
      <w:r>
        <w:rPr>
          <w:rFonts w:hint="eastAsia" w:ascii="宋体" w:hAnsi="宋体" w:cs="宋体"/>
          <w:b/>
        </w:rPr>
        <w:t>5</w:t>
      </w:r>
      <w:r>
        <w:rPr>
          <w:rFonts w:ascii="宋体" w:hAnsi="宋体" w:cs="宋体"/>
          <w:b/>
        </w:rPr>
        <w:t>本项目专门面向中小企业采购，执行以下相关政策：</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rPr>
      </w:pPr>
      <w:r>
        <w:rPr>
          <w:rFonts w:hint="eastAsia" w:ascii="宋体" w:hAnsi="宋体" w:cs="宋体"/>
        </w:rPr>
        <w:t>根据《政府采购促进中小企业发展管理办法》（财库﹝</w:t>
      </w:r>
      <w:r>
        <w:rPr>
          <w:rFonts w:ascii="宋体" w:hAnsi="宋体" w:cs="宋体"/>
        </w:rPr>
        <w:t>2020﹞46号）</w:t>
      </w:r>
      <w:r>
        <w:rPr>
          <w:rFonts w:hint="eastAsia" w:ascii="宋体" w:hAnsi="宋体" w:cs="宋体"/>
        </w:rPr>
        <w:t>规定，</w:t>
      </w:r>
      <w:r>
        <w:rPr>
          <w:rFonts w:ascii="宋体" w:hAnsi="宋体" w:cs="宋体"/>
        </w:rPr>
        <w:t>第二条 本办法所称中小企业，是指在中华人民共和国境内依法设立，依据国务院批准的中小企业划分标准确定的中型企业、小型企业和微型企业，</w:t>
      </w:r>
      <w:r>
        <w:rPr>
          <w:rFonts w:ascii="宋体" w:hAnsi="宋体" w:cs="宋体"/>
          <w:b/>
          <w:bCs/>
        </w:rPr>
        <w:t>但与大企业的负责人为同一人，或者与大企业存在直接控股、管理关系的除外</w:t>
      </w:r>
      <w:r>
        <w:rPr>
          <w:rFonts w:ascii="宋体" w:hAnsi="宋体" w:cs="宋体"/>
        </w:rPr>
        <w:t>。符合中小企业划分标准的个体工商户，在政府采购活动中视同中小企业。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cs="宋体"/>
          <w:b/>
        </w:rPr>
        <w:t>否则视为投标无效。</w:t>
      </w:r>
    </w:p>
    <w:p>
      <w:pPr>
        <w:pBdr>
          <w:top w:val="none" w:color="000000" w:sz="0" w:space="0"/>
          <w:left w:val="none" w:color="000000" w:sz="0" w:space="0"/>
          <w:bottom w:val="none" w:color="000000" w:sz="0" w:space="0"/>
          <w:right w:val="none" w:color="000000" w:sz="0" w:space="0"/>
        </w:pBdr>
        <w:spacing w:line="440" w:lineRule="exact"/>
        <w:jc w:val="left"/>
        <w:outlineLvl w:val="4"/>
      </w:pPr>
      <w:r>
        <w:rPr>
          <w:rFonts w:ascii="宋体" w:hAnsi="宋体" w:cs="宋体"/>
        </w:rPr>
        <w:t>3</w:t>
      </w:r>
      <w:r>
        <w:rPr>
          <w:rFonts w:hint="eastAsia" w:ascii="宋体" w:hAnsi="宋体" w:cs="宋体"/>
        </w:rPr>
        <w:t>5</w:t>
      </w:r>
      <w:r>
        <w:rPr>
          <w:rFonts w:ascii="宋体" w:hAnsi="宋体" w:cs="宋体"/>
        </w:rPr>
        <w:t>.1.1中小企业划分：</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（1）符合中小企业划分标准的个体工商户，在政府采购活动中视同中小企业。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（2）中小企业划分标准详见“工信部联企业〔2011〕300号通知”</w:t>
      </w:r>
    </w:p>
    <w:p>
      <w:pPr>
        <w:pBdr>
          <w:top w:val="none" w:color="000000" w:sz="0" w:space="0"/>
          <w:left w:val="none" w:color="000000" w:sz="0" w:space="0"/>
          <w:bottom w:val="none" w:color="000000" w:sz="0" w:space="0"/>
          <w:right w:val="none" w:color="000000" w:sz="0" w:space="0"/>
        </w:pBdr>
        <w:spacing w:line="440" w:lineRule="exact"/>
        <w:jc w:val="left"/>
        <w:outlineLvl w:val="4"/>
      </w:pPr>
      <w:r>
        <w:rPr>
          <w:rFonts w:ascii="宋体" w:hAnsi="宋体" w:cs="宋体"/>
        </w:rPr>
        <w:t>3</w:t>
      </w:r>
      <w:r>
        <w:rPr>
          <w:rFonts w:hint="eastAsia" w:ascii="宋体" w:hAnsi="宋体" w:cs="宋体"/>
        </w:rPr>
        <w:t>5</w:t>
      </w:r>
      <w:r>
        <w:rPr>
          <w:rFonts w:ascii="宋体" w:hAnsi="宋体" w:cs="宋体"/>
        </w:rPr>
        <w:t>.1.2残疾人福利性单位政策：</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根据《关于促进残疾人就业政府采购政策的通知》（财库〔2017〕141号）规定，投标人若为残疾人福利性单位的，提供残疾人福利性单位声明函的，视同小微型企业。残疾人福利性单位属于小微型企业的，不重复认定。</w:t>
      </w:r>
    </w:p>
    <w:p>
      <w:pPr>
        <w:pBdr>
          <w:top w:val="none" w:color="000000" w:sz="0" w:space="0"/>
          <w:left w:val="none" w:color="000000" w:sz="0" w:space="0"/>
          <w:bottom w:val="none" w:color="000000" w:sz="0" w:space="0"/>
          <w:right w:val="none" w:color="000000" w:sz="0" w:space="0"/>
        </w:pBdr>
        <w:spacing w:line="440" w:lineRule="exact"/>
        <w:jc w:val="left"/>
        <w:outlineLvl w:val="4"/>
      </w:pPr>
      <w:r>
        <w:rPr>
          <w:rFonts w:ascii="宋体" w:hAnsi="宋体" w:cs="宋体"/>
        </w:rPr>
        <w:t>3</w:t>
      </w:r>
      <w:r>
        <w:rPr>
          <w:rFonts w:hint="eastAsia" w:ascii="宋体" w:hAnsi="宋体" w:cs="宋体"/>
        </w:rPr>
        <w:t>5</w:t>
      </w:r>
      <w:r>
        <w:rPr>
          <w:rFonts w:ascii="宋体" w:hAnsi="宋体" w:cs="宋体"/>
        </w:rPr>
        <w:t>.1.3监狱企业发展政策：</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w:t>
      </w:r>
      <w:r>
        <w:rPr>
          <w:rFonts w:hint="eastAsia" w:ascii="宋体" w:hAnsi="宋体" w:cs="宋体"/>
        </w:rPr>
        <w:t>5</w:t>
      </w:r>
      <w:r>
        <w:rPr>
          <w:rFonts w:ascii="宋体" w:hAnsi="宋体" w:cs="宋体"/>
        </w:rPr>
        <w:t>.1.4、中标、成交供应商享受规定的中小企业扶持政策的，其声明函及相关证明材料应当随中标、成交结果同时公告，接受社会监督。</w:t>
      </w:r>
    </w:p>
    <w:p>
      <w:pPr>
        <w:pBdr>
          <w:top w:val="none" w:color="000000" w:sz="0" w:space="0"/>
          <w:left w:val="none" w:color="000000" w:sz="0" w:space="0"/>
          <w:bottom w:val="none" w:color="000000" w:sz="0" w:space="0"/>
          <w:right w:val="none" w:color="000000" w:sz="0" w:space="0"/>
        </w:pBdr>
        <w:spacing w:line="440" w:lineRule="exact"/>
        <w:jc w:val="left"/>
      </w:pPr>
      <w:r>
        <w:rPr>
          <w:rFonts w:ascii="宋体" w:hAnsi="宋体" w:cs="宋体"/>
        </w:rPr>
        <w:t>3</w:t>
      </w:r>
      <w:r>
        <w:rPr>
          <w:rFonts w:hint="eastAsia" w:ascii="宋体" w:hAnsi="宋体" w:cs="宋体"/>
        </w:rPr>
        <w:t>5</w:t>
      </w:r>
      <w:r>
        <w:rPr>
          <w:rFonts w:ascii="宋体" w:hAnsi="宋体" w:cs="宋体"/>
        </w:rPr>
        <w:t>.1.5、</w:t>
      </w:r>
      <w:r>
        <w:rPr>
          <w:rFonts w:ascii="宋体" w:hAnsi="宋体" w:cs="宋体"/>
          <w:b/>
        </w:rPr>
        <w:t>专门面向中小企业采购的项目，不再执行价格评审优惠的扶持政策。</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bCs/>
        </w:rPr>
      </w:pPr>
      <w:r>
        <w:rPr>
          <w:rFonts w:hint="eastAsia" w:ascii="宋体" w:hAnsi="宋体" w:cs="宋体"/>
          <w:b/>
          <w:bCs/>
        </w:rPr>
        <w:t>36、节能产品和环境标志产品</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kern w:val="0"/>
          <w:szCs w:val="24"/>
        </w:rPr>
      </w:pPr>
      <w:r>
        <w:rPr>
          <w:rFonts w:hint="eastAsia" w:ascii="宋体" w:hAnsi="宋体" w:cs="宋体"/>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color w:val="000000"/>
          <w:szCs w:val="24"/>
        </w:rPr>
      </w:pPr>
      <w:r>
        <w:rPr>
          <w:rFonts w:hint="eastAsia" w:ascii="宋体" w:hAnsi="宋体" w:cs="宋体"/>
          <w:b/>
          <w:color w:val="000000"/>
          <w:szCs w:val="24"/>
        </w:rPr>
        <w:t>37.绿色数据中心政策</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color w:val="000000"/>
          <w:szCs w:val="24"/>
        </w:rPr>
      </w:pPr>
      <w:r>
        <w:rPr>
          <w:rFonts w:hint="eastAsia" w:ascii="宋体" w:hAnsi="宋体" w:cs="宋体"/>
          <w:color w:val="000000"/>
          <w:szCs w:val="24"/>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pBdr>
          <w:top w:val="none" w:color="000000" w:sz="0" w:space="0"/>
          <w:left w:val="none" w:color="000000" w:sz="0" w:space="0"/>
          <w:bottom w:val="none" w:color="000000" w:sz="0" w:space="0"/>
          <w:right w:val="none" w:color="000000" w:sz="0" w:space="0"/>
        </w:pBdr>
        <w:spacing w:after="0" w:line="440" w:lineRule="exact"/>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t>38.商品包装、快递包装政策</w:t>
      </w:r>
    </w:p>
    <w:p>
      <w:pPr>
        <w:pBdr>
          <w:top w:val="none" w:color="000000" w:sz="0" w:space="0"/>
          <w:left w:val="none" w:color="000000" w:sz="0" w:space="0"/>
          <w:bottom w:val="none" w:color="000000" w:sz="0" w:space="0"/>
          <w:right w:val="none" w:color="000000" w:sz="0" w:space="0"/>
        </w:pBdr>
        <w:spacing w:after="0" w:line="440" w:lineRule="exact"/>
        <w:ind w:firstLine="480"/>
        <w:rPr>
          <w:rFonts w:cs="宋体" w:asciiTheme="minorEastAsia" w:hAnsiTheme="minorEastAsia" w:eastAsiaTheme="minorEastAsia"/>
          <w:b/>
          <w:sz w:val="24"/>
          <w:lang w:eastAsia="zh-CN"/>
        </w:rPr>
      </w:pPr>
      <w:r>
        <w:rPr>
          <w:rFonts w:asciiTheme="minorEastAsia" w:hAnsiTheme="minorEastAsia" w:eastAsiaTheme="minorEastAsia"/>
          <w:sz w:val="24"/>
          <w:lang w:eastAsia="zh-CN"/>
        </w:rPr>
        <w:t xml:space="preserve">38.1 </w:t>
      </w:r>
      <w:r>
        <w:rPr>
          <w:rFonts w:hint="eastAsia" w:asciiTheme="minorEastAsia" w:hAnsiTheme="minorEastAsia" w:eastAsiaTheme="minorEastAsia"/>
          <w:sz w:val="24"/>
          <w:lang w:eastAsia="zh-CN"/>
        </w:rPr>
        <w:t>依据</w:t>
      </w:r>
      <w:r>
        <w:rPr>
          <w:rFonts w:asciiTheme="minorEastAsia" w:hAnsiTheme="minorEastAsia" w:eastAsiaTheme="minorEastAsia"/>
          <w:sz w:val="24"/>
          <w:lang w:eastAsia="zh-CN"/>
        </w:rPr>
        <w:t>《关于印发〈商品包装政府采购需求标准（试行）〉、〈快递包装政府采购需求标准（试行）〉的通知》（财办库〔2020〕123号）</w:t>
      </w:r>
      <w:r>
        <w:rPr>
          <w:rFonts w:hint="eastAsia" w:asciiTheme="minorEastAsia" w:hAnsiTheme="minorEastAsia" w:eastAsiaTheme="minorEastAsia"/>
          <w:sz w:val="24"/>
          <w:lang w:eastAsia="zh-CN"/>
        </w:rPr>
        <w:t>文件</w:t>
      </w:r>
      <w:r>
        <w:rPr>
          <w:rFonts w:asciiTheme="minorEastAsia" w:hAnsiTheme="minorEastAsia" w:eastAsiaTheme="minorEastAsia"/>
          <w:sz w:val="24"/>
          <w:lang w:eastAsia="zh-CN"/>
        </w:rPr>
        <w:t>精神</w:t>
      </w:r>
      <w:r>
        <w:rPr>
          <w:rFonts w:hint="eastAsia" w:asciiTheme="minorEastAsia" w:hAnsiTheme="minorEastAsia" w:eastAsiaTheme="minorEastAsia"/>
          <w:sz w:val="24"/>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pPr>
        <w:pBdr>
          <w:top w:val="none" w:color="000000" w:sz="0" w:space="0"/>
          <w:left w:val="none" w:color="000000" w:sz="0" w:space="0"/>
          <w:bottom w:val="none" w:color="000000" w:sz="0" w:space="0"/>
          <w:right w:val="none" w:color="000000" w:sz="0" w:space="0"/>
        </w:pBdr>
        <w:spacing w:after="0" w:line="440" w:lineRule="exact"/>
        <w:rPr>
          <w:rFonts w:hint="eastAsia"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39.采购本国产品的支持政策</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b/>
          <w:bCs/>
          <w:sz w:val="24"/>
          <w:lang w:eastAsia="zh-CN"/>
        </w:rPr>
      </w:pPr>
      <w:r>
        <w:rPr>
          <w:rFonts w:hint="eastAsia" w:asciiTheme="minorEastAsia" w:hAnsiTheme="minorEastAsia" w:eastAsiaTheme="minorEastAsia"/>
          <w:sz w:val="24"/>
          <w:lang w:eastAsia="zh-CN"/>
        </w:rPr>
        <w:t>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对本国产品的报价给予20%的价格扣除，用扣除后的价格参与评审。</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39.5 供应商需按照招标文件的要求提供《关于符合本国产品标准的声明函》（以下简称《声明函》），</w:t>
      </w:r>
      <w:r>
        <w:rPr>
          <w:rFonts w:hint="eastAsia" w:asciiTheme="minorEastAsia" w:hAnsiTheme="minorEastAsia" w:eastAsiaTheme="minorEastAsia"/>
          <w:b/>
          <w:bCs/>
          <w:sz w:val="24"/>
          <w:lang w:eastAsia="zh-CN"/>
        </w:rPr>
        <w:t>如不提供将不享受本国产品价格评审优惠。</w:t>
      </w:r>
    </w:p>
    <w:p>
      <w:pPr>
        <w:pBdr>
          <w:top w:val="none" w:color="000000" w:sz="0" w:space="0"/>
          <w:left w:val="none" w:color="000000" w:sz="0" w:space="0"/>
          <w:bottom w:val="none" w:color="000000" w:sz="0" w:space="0"/>
          <w:right w:val="none" w:color="000000" w:sz="0" w:space="0"/>
        </w:pBdr>
        <w:spacing w:after="0" w:line="440" w:lineRule="exact"/>
        <w:ind w:firstLine="482" w:firstLineChars="200"/>
        <w:rPr>
          <w:rFonts w:hint="eastAsia"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39.6 供应商需在《声明函》中逐一、准确填写产品名称、厂名、生产厂址三项信息（《声明函》中标注“ / ”的地方无需填写），三项信息中任意一项未填写的视为该项产品不符合本国产品标准，不享受本国产品价格评审优惠。</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pBdr>
          <w:top w:val="none" w:color="000000" w:sz="0" w:space="0"/>
          <w:left w:val="none" w:color="000000" w:sz="0" w:space="0"/>
          <w:bottom w:val="none" w:color="000000" w:sz="0" w:space="0"/>
          <w:right w:val="none" w:color="000000" w:sz="0" w:space="0"/>
        </w:pBdr>
        <w:spacing w:after="0" w:line="440" w:lineRule="exact"/>
        <w:rPr>
          <w:rFonts w:hint="eastAsia"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九、其他事项</w:t>
      </w:r>
    </w:p>
    <w:p>
      <w:pPr>
        <w:pBdr>
          <w:top w:val="none" w:color="000000" w:sz="0" w:space="0"/>
          <w:left w:val="none" w:color="000000" w:sz="0" w:space="0"/>
          <w:bottom w:val="none" w:color="000000" w:sz="0" w:space="0"/>
          <w:right w:val="none" w:color="000000" w:sz="0" w:space="0"/>
        </w:pBdr>
        <w:spacing w:after="0" w:line="440" w:lineRule="exact"/>
        <w:rPr>
          <w:rFonts w:hint="eastAsia"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40. 监督和公证</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40.1政府有关监督部门将对招投标全过程进行监督。</w:t>
      </w:r>
    </w:p>
    <w:p>
      <w:pPr>
        <w:pBdr>
          <w:top w:val="none" w:color="000000" w:sz="0" w:space="0"/>
          <w:left w:val="none" w:color="000000" w:sz="0" w:space="0"/>
          <w:bottom w:val="none" w:color="000000" w:sz="0" w:space="0"/>
          <w:right w:val="none" w:color="000000" w:sz="0" w:space="0"/>
        </w:pBdr>
        <w:spacing w:after="0" w:line="440" w:lineRule="exact"/>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40.2采购代理机构的招标过程将依采购人申请，通过公证机关进行公证。</w:t>
      </w:r>
    </w:p>
    <w:p>
      <w:pPr>
        <w:pBdr>
          <w:top w:val="none" w:color="000000" w:sz="0" w:space="0"/>
          <w:left w:val="none" w:color="000000" w:sz="0" w:space="0"/>
          <w:bottom w:val="none" w:color="000000" w:sz="0" w:space="0"/>
          <w:right w:val="none" w:color="000000" w:sz="0" w:space="0"/>
        </w:pBdr>
        <w:spacing w:after="0" w:line="440" w:lineRule="exact"/>
        <w:rPr>
          <w:rFonts w:hint="eastAsia" w:asciiTheme="minorEastAsia" w:hAnsiTheme="minorEastAsia" w:eastAsiaTheme="minorEastAsia"/>
          <w:b/>
          <w:bCs/>
          <w:sz w:val="24"/>
          <w:lang w:eastAsia="zh-CN"/>
        </w:rPr>
      </w:pPr>
      <w:r>
        <w:rPr>
          <w:rFonts w:hint="eastAsia" w:asciiTheme="minorEastAsia" w:hAnsiTheme="minorEastAsia" w:eastAsiaTheme="minorEastAsia"/>
          <w:b/>
          <w:bCs/>
          <w:sz w:val="24"/>
          <w:lang w:eastAsia="zh-CN"/>
        </w:rPr>
        <w:t>41.未尽事宜</w:t>
      </w:r>
    </w:p>
    <w:p>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szCs w:val="24"/>
        </w:rPr>
      </w:pPr>
      <w:r>
        <w:rPr>
          <w:rFonts w:hint="eastAsia" w:asciiTheme="minorEastAsia" w:hAnsiTheme="minorEastAsia" w:eastAsiaTheme="minorEastAsia"/>
          <w:sz w:val="24"/>
          <w:lang w:eastAsia="zh-CN"/>
        </w:rPr>
        <w:t>按《中华人民共和国政府采购法》及其他有关法律法规的规定执行。</w:t>
      </w:r>
    </w:p>
    <w:p>
      <w:pPr>
        <w:jc w:val="center"/>
        <w:rPr>
          <w:rFonts w:hint="eastAsia" w:ascii="宋体" w:hAnsi="宋体" w:cs="宋体"/>
          <w:sz w:val="36"/>
          <w:szCs w:val="36"/>
        </w:rPr>
      </w:pPr>
    </w:p>
    <w:p>
      <w:pPr>
        <w:jc w:val="center"/>
        <w:rPr>
          <w:rFonts w:hint="eastAsia" w:ascii="宋体" w:hAnsi="宋体" w:cs="宋体"/>
          <w:sz w:val="36"/>
          <w:szCs w:val="36"/>
        </w:rPr>
      </w:pPr>
    </w:p>
    <w:p>
      <w:pPr>
        <w:jc w:val="center"/>
        <w:rPr>
          <w:rFonts w:hint="eastAsia" w:ascii="宋体" w:hAnsi="宋体" w:cs="宋体"/>
          <w:sz w:val="36"/>
          <w:szCs w:val="36"/>
        </w:rPr>
      </w:pPr>
    </w:p>
    <w:p>
      <w:pPr>
        <w:jc w:val="center"/>
        <w:rPr>
          <w:rFonts w:hint="eastAsia" w:ascii="宋体" w:hAnsi="宋体" w:cs="宋体"/>
          <w:b/>
          <w:sz w:val="44"/>
        </w:rPr>
      </w:pPr>
    </w:p>
    <w:p>
      <w:pPr>
        <w:jc w:val="center"/>
        <w:rPr>
          <w:rFonts w:hint="eastAsia" w:ascii="宋体" w:hAnsi="宋体" w:cs="宋体"/>
          <w:b/>
          <w:sz w:val="44"/>
        </w:rPr>
      </w:pPr>
    </w:p>
    <w:p>
      <w:pPr>
        <w:jc w:val="center"/>
        <w:rPr>
          <w:rFonts w:hint="eastAsia" w:ascii="宋体" w:hAnsi="宋体" w:cs="宋体"/>
          <w:b/>
          <w:sz w:val="44"/>
        </w:rPr>
      </w:pPr>
    </w:p>
    <w:p>
      <w:pPr>
        <w:jc w:val="center"/>
        <w:rPr>
          <w:rFonts w:hint="eastAsia" w:ascii="宋体" w:hAnsi="宋体" w:cs="宋体"/>
          <w:b/>
          <w:sz w:val="44"/>
        </w:rPr>
      </w:pPr>
    </w:p>
    <w:p>
      <w:pPr>
        <w:spacing w:line="500" w:lineRule="atLeast"/>
        <w:jc w:val="center"/>
        <w:rPr>
          <w:rFonts w:hint="eastAsia" w:ascii="宋体" w:hAnsi="宋体" w:cs="宋体"/>
          <w:b/>
          <w:sz w:val="44"/>
        </w:rPr>
      </w:pPr>
    </w:p>
    <w:p>
      <w:pPr>
        <w:spacing w:line="500" w:lineRule="atLeast"/>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rPr>
          <w:rFonts w:hint="eastAsia" w:ascii="宋体" w:hAnsi="宋体" w:cs="宋体"/>
          <w:b/>
          <w:sz w:val="44"/>
        </w:rPr>
      </w:pPr>
    </w:p>
    <w:p>
      <w:pPr>
        <w:spacing w:line="480" w:lineRule="exact"/>
        <w:jc w:val="center"/>
      </w:pPr>
      <w:r>
        <w:rPr>
          <w:rFonts w:hint="eastAsia" w:ascii="宋体" w:hAnsi="宋体" w:cs="宋体"/>
          <w:b/>
          <w:sz w:val="44"/>
        </w:rPr>
        <w:t>第三部分 单一来源采购文件需求</w:t>
      </w:r>
    </w:p>
    <w:p>
      <w:pPr>
        <w:spacing w:line="480" w:lineRule="exact"/>
      </w:pPr>
    </w:p>
    <w:p>
      <w:pPr>
        <w:pStyle w:val="3"/>
        <w:spacing w:line="480" w:lineRule="exact"/>
        <w:rPr>
          <w:rFonts w:hint="eastAsia" w:ascii="宋体" w:hAnsi="宋体" w:cs="宋体"/>
        </w:rPr>
      </w:pPr>
      <w:bookmarkStart w:id="5" w:name="_Toc13642116"/>
      <w:r>
        <w:rPr>
          <w:rFonts w:hint="eastAsia" w:ascii="宋体" w:hAnsi="宋体" w:cs="宋体"/>
        </w:rPr>
        <w:t>建设背景</w:t>
      </w:r>
    </w:p>
    <w:p>
      <w:pPr>
        <w:pStyle w:val="8"/>
        <w:spacing w:line="480" w:lineRule="exact"/>
        <w:ind w:firstLine="480"/>
      </w:pPr>
      <w:r>
        <w:rPr>
          <w:rFonts w:hint="eastAsia"/>
        </w:rPr>
        <w:t>《国务院关于深入实施“人工智能+”行动的意见》、《国务院关于进一步优化政务服务提升行政效能推动“高效办成一件事”的指导意见》等文件明确提出，要深化人工智能在政务服务领域的融合应用，推动更多事项“一件事一次办”，持续提升政务服务标准化、规范化、便利化水平。江苏省《数字经济高质量发展三年行动计划（2025—2027年）》、《深化智慧城市发展推进城市全域数字化转型的实施方案（2025—2027年）》及苏州市《高水平建设“人工智能+”创新发展试验区的若干措施》等政策，强调要以数字化转型为引领，加快政务服务模式创新，强化跨部门、跨层级数据共享和业务协同，打造更具竞争力的政务服务环境。</w:t>
      </w:r>
    </w:p>
    <w:p>
      <w:pPr>
        <w:pStyle w:val="8"/>
        <w:spacing w:line="480" w:lineRule="exact"/>
        <w:ind w:firstLine="480"/>
      </w:pPr>
      <w:r>
        <w:rPr>
          <w:rFonts w:hint="eastAsia"/>
        </w:rPr>
        <w:t>为深入贯彻落实苏州高水平建设“人工智能+”创新发展试验区决策部署，积极抢抓人工智能发展新机遇，全力打造新质生产力，根据《苏州市加快推动“人工智能+”应用高水平建设“人工智能+”创新发展试验区行动方案》，太仓市结合本地实际，制定了《太仓市“人工智能+”创新发展行动方案(2025-2027年)》，明确提出，要加快构建政务服务AI能力支撑体系，建成太仓市政务服务智慧中枢，推动政务服务由人力服务型向人机交互型转变，实现智能客服、智能预填、智能预审、智能审批等服务功能，全面提升数字化政务服务水平。</w:t>
      </w:r>
    </w:p>
    <w:p>
      <w:pPr>
        <w:pStyle w:val="8"/>
        <w:spacing w:line="480" w:lineRule="exact"/>
        <w:ind w:firstLine="480"/>
      </w:pPr>
      <w:r>
        <w:rPr>
          <w:rFonts w:hint="eastAsia"/>
        </w:rPr>
        <w:t>从本地实际需求出发，随着企业和群众对政务服务的便捷性、智能化要求不断提高，现有“一网通办”平台在AI深度应用、事项全生命周期管理、跨场景业务协同等方面仍有优化空间。例如，部分审批流程仍存在环节繁琐、材料重复提交等问题；人工智能在智能导服、政务慧审等场景的应用深度不足；事项管理的标准化、动态化水平有待提升。此外，面对投资促产、项目建设等重点工作，需要更高效的“一件事”集成服务来加速项目落地、激发市场活力。</w:t>
      </w:r>
    </w:p>
    <w:p>
      <w:pPr>
        <w:pStyle w:val="8"/>
        <w:spacing w:line="480" w:lineRule="exact"/>
        <w:ind w:firstLine="480"/>
      </w:pPr>
      <w:r>
        <w:rPr>
          <w:rFonts w:hint="eastAsia"/>
        </w:rPr>
        <w:t>在此背景下，太仓市数据局启动“一网通办”平台升级项目建设，旨在通过深化AI技术融合应用、优化“高效办成一件事”流程、构建事项全生命周期管理体系等举措，进一步打破数据壁垒、简化办事流程、提升服务智能化水平，为企业和群众提供更优质、高效、便捷的政务服务。同时在人才创新创业服务平台一期建设基础上，聚焦企业库、人才库、项目库和奖补库的四库联动赋能，实现企业与人才精准匹配、人才与项目高效对接、奖补资质自动校验，优化人才服务体验，助力太仓市吸引和留住更多优秀人才，推动地方经济社会高质量发展，更好地适应数字经济时代政务服务创新发展的要求。</w:t>
      </w:r>
    </w:p>
    <w:p>
      <w:pPr>
        <w:pStyle w:val="8"/>
        <w:spacing w:line="480" w:lineRule="exact"/>
        <w:ind w:firstLine="480"/>
      </w:pPr>
      <w:r>
        <w:rPr>
          <w:rFonts w:hint="eastAsia"/>
        </w:rPr>
        <w:t>同时，太仓市已建成投用一窗式智能服务系统、窗口接件客户交互系统、不动产集成服务平台、“互联网 + 监管” 系统、电子证照库、审管执信一体化平台等十余套政务服务核心系统，覆盖市、镇、村（社区）三级政务服务场景，是企业群众办事、部门协同审批、政府智慧监管的关键支撑。上述系统长期稳定运行是政务服务不间断的基础保障，现有免费运维服务即将到期，亟需开展标准化、专业化、常态化系统运维，确保历史系统兼容适配、数据安全流转、业务连续办理，避免因系统故障、版本不兼容、数据异常等问题影响办事效率与服务体验。</w:t>
      </w:r>
    </w:p>
    <w:p>
      <w:pPr>
        <w:pStyle w:val="8"/>
        <w:spacing w:line="480" w:lineRule="exact"/>
        <w:ind w:firstLine="480"/>
      </w:pPr>
      <w:r>
        <w:rPr>
          <w:rFonts w:hint="eastAsia"/>
        </w:rPr>
        <w:t>此外，全市已投放 98 台政务服务自助一体机（含自助一体机 69 台、自助电脑端 29 台），覆盖市政务服务中心、镇（街道）便民服务中心、村（社区）服务站点，实现群众就近办、自助办、随时办。为保障自助服务终端全天候、全功能、高可靠运行，持续优化基层政务服务可及性，亟需同步开展全市自助服务设备全周期运维管理，实现硬件巡检、故障抢修、耗材更换、系统升级、资产管控一体化服务。</w:t>
      </w:r>
    </w:p>
    <w:p>
      <w:pPr>
        <w:pStyle w:val="3"/>
        <w:spacing w:line="480" w:lineRule="exact"/>
        <w:rPr>
          <w:rFonts w:hint="eastAsia" w:ascii="宋体" w:hAnsi="宋体" w:cs="宋体"/>
        </w:rPr>
      </w:pPr>
      <w:r>
        <w:rPr>
          <w:rFonts w:hint="eastAsia" w:ascii="宋体" w:hAnsi="宋体" w:cs="宋体"/>
        </w:rPr>
        <w:t>建设目标</w:t>
      </w:r>
    </w:p>
    <w:p>
      <w:pPr>
        <w:spacing w:line="480" w:lineRule="exact"/>
        <w:ind w:firstLine="482" w:firstLineChars="200"/>
        <w:rPr>
          <w:b/>
          <w:bCs/>
        </w:rPr>
      </w:pPr>
      <w:r>
        <w:rPr>
          <w:rFonts w:hint="eastAsia"/>
          <w:b/>
          <w:bCs/>
        </w:rPr>
        <w:t>（一）平台建设目标</w:t>
      </w:r>
    </w:p>
    <w:p>
      <w:pPr>
        <w:spacing w:line="480" w:lineRule="exact"/>
        <w:ind w:firstLine="480" w:firstLineChars="200"/>
      </w:pPr>
      <w:r>
        <w:rPr>
          <w:rFonts w:hint="eastAsia"/>
        </w:rPr>
        <w:t>本项目以 AI 技术与政务服务深度融合为核心，旨在构建全市统一的“AI + 政务服务”能力支撑体系，全面推进政务服务数字化转型。</w:t>
      </w:r>
    </w:p>
    <w:p>
      <w:pPr>
        <w:spacing w:line="480" w:lineRule="exact"/>
        <w:ind w:firstLine="480" w:firstLineChars="200"/>
      </w:pPr>
      <w:r>
        <w:rPr>
          <w:rFonts w:hint="eastAsia"/>
        </w:rPr>
        <w:t>项目底层采用“基础支撑 + 数智底座”架构，筑牢智能化服务根基。基础支撑涵盖安全支撑与模型管理模块，通过敏感数据脱敏、隐私合规处理构建安全防护体系，同时实现 AI 模型全生命周期管控，保障模型高效接入使用。数智底座包括整合智能体应用管理、材料审查（升级）、智能校验等八大模块，提供 AI 能力标准化接入调度、材料自动化审查、对话式办理等核心能力，形成 “中枢驱动、全域协同” 架构。</w:t>
      </w:r>
    </w:p>
    <w:p>
      <w:pPr>
        <w:spacing w:line="480" w:lineRule="exact"/>
        <w:ind w:firstLine="480" w:firstLineChars="200"/>
      </w:pPr>
      <w:r>
        <w:rPr>
          <w:rFonts w:hint="eastAsia"/>
        </w:rPr>
        <w:t>强化落实高效办成一件事，包括落地投资促产一类事，对接固定资产投资、开工及验收全流程服务；建设“人才房票一件事”，支持人才按实际情况申请对应房票，助力精准购房；并预留4个未来省市要求建设的“一件事”拓展接口。拓展AI + 应用场景，打造智能导服、政务助手、政务慧审等6个智慧服务组件，梳理上线20个高频政务服务场景，覆盖单事项、一件事、不动产业务等领域，实现智能问答、辅助审批、材料自动生成与审查等智能化能力。</w:t>
      </w:r>
    </w:p>
    <w:p>
      <w:pPr>
        <w:spacing w:line="480" w:lineRule="exact"/>
        <w:ind w:firstLine="480" w:firstLineChars="200"/>
      </w:pPr>
      <w:r>
        <w:rPr>
          <w:rFonts w:hint="eastAsia"/>
        </w:rPr>
        <w:t>开展事项全生命周期管理，构建覆盖事项创建、维护、归档及标准化管理的全流程平台，实现事项动态更新、全过程跟踪与多系统高效协同，提升管理规范性与透明度。</w:t>
      </w:r>
    </w:p>
    <w:p>
      <w:pPr>
        <w:spacing w:line="480" w:lineRule="exact"/>
        <w:ind w:firstLine="480" w:firstLineChars="200"/>
      </w:pPr>
      <w:r>
        <w:rPr>
          <w:rFonts w:hint="eastAsia"/>
        </w:rPr>
        <w:t>开展人才特色服务建设，推进企业库、人才库、项目库、奖补库 “四库联动”，实现人才适配、需求对接与补贴资质自动校验，支撑多轮次审核，开发“太仓青年人才礼遇小程序”，提供人才认定、补贴发放全流程服务，优化人才服务体验。</w:t>
      </w:r>
    </w:p>
    <w:p>
      <w:pPr>
        <w:spacing w:line="480" w:lineRule="exact"/>
        <w:ind w:firstLine="482" w:firstLineChars="200"/>
        <w:rPr>
          <w:b/>
          <w:bCs/>
        </w:rPr>
      </w:pPr>
      <w:r>
        <w:rPr>
          <w:rFonts w:hint="eastAsia"/>
          <w:b/>
          <w:bCs/>
        </w:rPr>
        <w:t>（二）在运行系统运维目标</w:t>
      </w:r>
    </w:p>
    <w:p>
      <w:pPr>
        <w:spacing w:line="480" w:lineRule="exact"/>
        <w:ind w:firstLine="480" w:firstLineChars="200"/>
      </w:pPr>
      <w:r>
        <w:rPr>
          <w:rFonts w:hint="eastAsia"/>
        </w:rPr>
        <w:t>承担由苏州中格公司历年承接开发的所有在运行业务系统的日常运维服务，确保7×24 小时连续稳定运行，实现系统兼容适配、性能优化、数据安全、故障快速处置；建立标准化运维体系，包含日常巡检、系统管理、数据库维护、网络安全保障、应急处置、定期培训与运维报告，确保历史系统与新建平台无缝对接、数据双向互通、业务协同顺畅；通过专业化运维降低系统故障发生率，提升政务服务整体连续性与可靠性，满足企业群众全天候办事需求。</w:t>
      </w:r>
    </w:p>
    <w:p>
      <w:pPr>
        <w:spacing w:line="480" w:lineRule="exact"/>
        <w:ind w:firstLine="480" w:firstLineChars="200"/>
      </w:pPr>
      <w:r>
        <w:rPr>
          <w:rFonts w:hint="eastAsia"/>
        </w:rPr>
        <w:t>注意：此处运维要求只针对在运行系统且该系统业务不在当年升级范围内。</w:t>
      </w:r>
    </w:p>
    <w:p>
      <w:pPr>
        <w:spacing w:line="480" w:lineRule="exact"/>
        <w:ind w:firstLine="482" w:firstLineChars="200"/>
        <w:rPr>
          <w:b/>
          <w:bCs/>
        </w:rPr>
      </w:pPr>
      <w:r>
        <w:rPr>
          <w:rFonts w:hint="eastAsia"/>
          <w:b/>
          <w:bCs/>
        </w:rPr>
        <w:t>（三）</w:t>
      </w:r>
      <w:r>
        <w:rPr>
          <w:rFonts w:hint="eastAsia" w:ascii="宋体" w:hAnsi="宋体" w:cs="宋体"/>
          <w:b/>
          <w:bCs/>
        </w:rPr>
        <w:t>自助一体机</w:t>
      </w:r>
      <w:r>
        <w:rPr>
          <w:rFonts w:hint="eastAsia"/>
          <w:b/>
          <w:bCs/>
        </w:rPr>
        <w:t>运维目标</w:t>
      </w:r>
    </w:p>
    <w:p>
      <w:pPr>
        <w:spacing w:line="480" w:lineRule="exact"/>
        <w:ind w:firstLine="480" w:firstLineChars="200"/>
      </w:pPr>
      <w:r>
        <w:rPr>
          <w:rFonts w:hint="eastAsia"/>
        </w:rPr>
        <w:t>实现全市政务服务自助一体机规范化运维管理，完成设备巡检、硬件维修、系统升级、耗材更换、外观保洁、资产台账与智能化监控；建立 7×24 小时应急响应机制，确保故障快速修复、设备正常可用；通过点位优化、频率调整、数据分析提升自助设备使用率与服务效能，实现自助服务 “就近可办、随时能办、一次办好”；同步完成运维期内新增自助设备的纳入管理，构建覆盖市、镇、村（社区）三级的自助服务运维保障网络。</w:t>
      </w:r>
    </w:p>
    <w:p>
      <w:pPr>
        <w:pStyle w:val="3"/>
        <w:spacing w:line="480" w:lineRule="exact"/>
        <w:rPr>
          <w:rFonts w:hint="eastAsia" w:ascii="宋体" w:hAnsi="宋体" w:cs="宋体"/>
        </w:rPr>
      </w:pPr>
      <w:r>
        <w:rPr>
          <w:rFonts w:hint="eastAsia" w:ascii="宋体" w:hAnsi="宋体" w:cs="宋体"/>
        </w:rPr>
        <w:t>建设依据</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《国务院关于深入实施“人工智能+”行动的意见》（国发〔2025〕11号）</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《政务领域人工智能大模型部署应用指引》</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《政务数据共享条例》</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《中华人民共和国国民经济和社会发展第十四个五年规划和2035年远景目标纲要》</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中央网络安全和信息化委员会《“十四五”国家信息化规划》</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《国务院关于进一步优化政务服务提升行政效能推动“高效办成一件事”的指导意见》（国发〔2024〕3号）</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《国务院关于在线政务服务的若干规定》</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《江苏省“人工智能＋”行动方案》</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《省政府办公厅关于印发江苏省数字经济高质量发展三年行动计划（2025—2027年）的通知》（苏政办发〔2025〕26号）</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《省数据局关于印发江苏省深化智慧城市发展推进城市全域数字化转型的实施方案（2025—2027年）的通知》（苏数发〔2025〕24号）</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《江苏省优化营商环境行动计划》</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市政府关于印发苏州市高水平建设“人工智能+”创新发展试验区的若干措施的通知（苏府规字〔2025〕5号）</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《苏州市数字经济“十四五”发展规划》</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《太仓市“人工智能+”创新发展行动方案（2025—2027年）》（太政办〔2025〕9号）</w:t>
      </w:r>
    </w:p>
    <w:p>
      <w:pPr>
        <w:widowControl/>
        <w:numPr>
          <w:ilvl w:val="0"/>
          <w:numId w:val="7"/>
        </w:numPr>
        <w:spacing w:line="480" w:lineRule="exact"/>
        <w:ind w:left="0" w:firstLine="420"/>
        <w:jc w:val="left"/>
        <w:rPr>
          <w:rFonts w:hint="eastAsia" w:ascii="宋体" w:hAnsi="宋体" w:cs="宋体"/>
          <w:szCs w:val="24"/>
        </w:rPr>
      </w:pPr>
      <w:r>
        <w:rPr>
          <w:rFonts w:hint="eastAsia" w:ascii="宋体" w:hAnsi="宋体" w:cs="宋体"/>
          <w:szCs w:val="24"/>
        </w:rPr>
        <w:t>《关于实施江苏省高层次人才培养计划（“333工程”）的意见》</w:t>
      </w:r>
    </w:p>
    <w:p>
      <w:pPr>
        <w:pStyle w:val="3"/>
        <w:spacing w:line="480" w:lineRule="exact"/>
        <w:rPr>
          <w:rFonts w:hint="eastAsia" w:ascii="宋体" w:hAnsi="宋体" w:cs="宋体"/>
        </w:rPr>
      </w:pPr>
      <w:r>
        <w:rPr>
          <w:rFonts w:hint="eastAsia" w:ascii="宋体" w:hAnsi="宋体" w:cs="宋体"/>
        </w:rPr>
        <w:t>建设要求</w:t>
      </w:r>
    </w:p>
    <w:p>
      <w:pPr>
        <w:pStyle w:val="4"/>
        <w:numPr>
          <w:ilvl w:val="0"/>
          <w:numId w:val="0"/>
        </w:numPr>
        <w:spacing w:line="480" w:lineRule="exact"/>
        <w:ind w:firstLine="482" w:firstLineChars="200"/>
        <w:rPr>
          <w:rFonts w:hint="eastAsia" w:ascii="宋体" w:hAnsi="宋体" w:cs="宋体"/>
        </w:rPr>
      </w:pPr>
      <w:r>
        <w:rPr>
          <w:rFonts w:hint="eastAsia" w:ascii="宋体" w:hAnsi="宋体" w:cs="宋体"/>
        </w:rPr>
        <w:t>（一）设计原则</w:t>
      </w:r>
    </w:p>
    <w:bookmarkEnd w:id="5"/>
    <w:p>
      <w:pPr>
        <w:spacing w:line="480" w:lineRule="exact"/>
        <w:ind w:firstLine="480" w:firstLineChars="200"/>
        <w:rPr>
          <w:rFonts w:hint="eastAsia" w:ascii="宋体" w:hAnsi="宋体" w:cs="宋体"/>
        </w:rPr>
      </w:pPr>
      <w:r>
        <w:rPr>
          <w:rFonts w:hint="eastAsia" w:ascii="宋体" w:hAnsi="宋体" w:cs="宋体"/>
        </w:rPr>
        <w:t>为确保系统的建设成功与可持续发展，在系统的建设与技术方案设计时应遵循如下的原则：</w:t>
      </w:r>
    </w:p>
    <w:p>
      <w:pPr>
        <w:pStyle w:val="23"/>
        <w:numPr>
          <w:ilvl w:val="0"/>
          <w:numId w:val="8"/>
        </w:numPr>
        <w:spacing w:line="480" w:lineRule="exact"/>
        <w:ind w:firstLine="480" w:firstLineChars="200"/>
        <w:rPr>
          <w:rFonts w:hint="eastAsia" w:ascii="宋体" w:hAnsi="宋体" w:cs="宋体"/>
        </w:rPr>
      </w:pPr>
      <w:r>
        <w:rPr>
          <w:rFonts w:hint="eastAsia" w:ascii="宋体" w:hAnsi="宋体" w:cs="宋体"/>
        </w:rPr>
        <w:t>标准化原则</w:t>
      </w:r>
    </w:p>
    <w:p>
      <w:pPr>
        <w:spacing w:line="480" w:lineRule="exact"/>
        <w:ind w:firstLine="480" w:firstLineChars="200"/>
        <w:rPr>
          <w:rFonts w:hint="eastAsia" w:ascii="宋体" w:hAnsi="宋体" w:cs="宋体"/>
        </w:rPr>
      </w:pPr>
      <w:r>
        <w:rPr>
          <w:rFonts w:hint="eastAsia" w:ascii="宋体" w:hAnsi="宋体" w:cs="宋体"/>
        </w:rPr>
        <w:t>软件设计严格执行国家有关软件工程和行业标准，保证系统质量，提供完整、准确、详细的开发文档。系统建设中充分考虑了“标准和开放”的原则，要支持各种相应的软硬件接口，使之具有灵活性和延展性，具备与多种系统互连互通的特性，在结构上实现真正开放。平台广泛采用遵循国际标准的系统和产品，以便于与其他网络系统的互联和扩展，同时易于向今后的先进技术实现迁移，充分保护用户的现有投资，其综合反映在可移植性、互操作性、系统独立性和集成性。</w:t>
      </w:r>
    </w:p>
    <w:p>
      <w:pPr>
        <w:pStyle w:val="23"/>
        <w:numPr>
          <w:ilvl w:val="0"/>
          <w:numId w:val="8"/>
        </w:numPr>
        <w:spacing w:line="480" w:lineRule="exact"/>
        <w:ind w:firstLine="480" w:firstLineChars="200"/>
        <w:rPr>
          <w:rFonts w:hint="eastAsia" w:ascii="宋体" w:hAnsi="宋体" w:cs="宋体"/>
        </w:rPr>
      </w:pPr>
      <w:r>
        <w:rPr>
          <w:rFonts w:hint="eastAsia" w:ascii="宋体" w:hAnsi="宋体" w:cs="宋体"/>
        </w:rPr>
        <w:t>先进性原则</w:t>
      </w:r>
    </w:p>
    <w:p>
      <w:pPr>
        <w:spacing w:line="480" w:lineRule="exact"/>
        <w:ind w:firstLine="480" w:firstLineChars="200"/>
        <w:rPr>
          <w:rFonts w:hint="eastAsia" w:ascii="宋体" w:hAnsi="宋体" w:cs="宋体"/>
        </w:rPr>
      </w:pPr>
      <w:r>
        <w:rPr>
          <w:rFonts w:hint="eastAsia" w:ascii="宋体" w:hAnsi="宋体" w:cs="宋体"/>
        </w:rPr>
        <w:t>系统构成必须采用成熟、具有国内先进水平，并符合国际发展趋势的技术、软件产品和设备。在设计过程中充分依照国际上的规范、标准，借鉴国内外目前成熟的主流网络和综合信息系统的体系结构，以保证系统具有较长的生命力和扩展能力。保证先进性的同时还要保证技术的稳定、安全性。</w:t>
      </w:r>
    </w:p>
    <w:p>
      <w:pPr>
        <w:pStyle w:val="23"/>
        <w:numPr>
          <w:ilvl w:val="0"/>
          <w:numId w:val="8"/>
        </w:numPr>
        <w:spacing w:line="480" w:lineRule="exact"/>
        <w:ind w:firstLine="480" w:firstLineChars="200"/>
        <w:rPr>
          <w:rFonts w:hint="eastAsia" w:ascii="宋体" w:hAnsi="宋体" w:cs="宋体"/>
        </w:rPr>
      </w:pPr>
      <w:r>
        <w:rPr>
          <w:rFonts w:hint="eastAsia" w:ascii="宋体" w:hAnsi="宋体" w:cs="宋体"/>
        </w:rPr>
        <w:t>成熟性原则</w:t>
      </w:r>
    </w:p>
    <w:p>
      <w:pPr>
        <w:spacing w:line="480" w:lineRule="exact"/>
        <w:ind w:firstLine="480" w:firstLineChars="200"/>
        <w:rPr>
          <w:rFonts w:hint="eastAsia" w:ascii="宋体" w:hAnsi="宋体" w:cs="宋体"/>
        </w:rPr>
      </w:pPr>
      <w:r>
        <w:rPr>
          <w:rFonts w:hint="eastAsia" w:ascii="宋体" w:hAnsi="宋体" w:cs="宋体"/>
        </w:rPr>
        <w:t>系统要采用国际主流、成熟的体系架构来构建，实现跨平台的应用。确保系统符合信息化技术发展的趋势，具有明显的技术先进性。从技术层面讲，项目建设立足于先进技术，以SOA架构思想为指导，上构建一个合理、开放和基于标准的系统，使系统不但能够满足当前的需求，而且能够满足以后的发展。在保证系统实用性的前提下，最大程度的提高系统的安全性、可升级性、平台无关性和可扩展性。项目建设中所选用的软硬件系统可以方便地实现集成，使集成的应用系统降低系统维护的难度和要求，也方便用户日后的应用和管理。</w:t>
      </w:r>
    </w:p>
    <w:p>
      <w:pPr>
        <w:pStyle w:val="23"/>
        <w:numPr>
          <w:ilvl w:val="0"/>
          <w:numId w:val="8"/>
        </w:numPr>
        <w:spacing w:line="480" w:lineRule="exact"/>
        <w:ind w:firstLine="480" w:firstLineChars="200"/>
        <w:rPr>
          <w:rFonts w:hint="eastAsia" w:ascii="宋体" w:hAnsi="宋体" w:cs="宋体"/>
        </w:rPr>
      </w:pPr>
      <w:r>
        <w:rPr>
          <w:rFonts w:hint="eastAsia" w:ascii="宋体" w:hAnsi="宋体" w:cs="宋体"/>
        </w:rPr>
        <w:t>高可靠/高安全性原则</w:t>
      </w:r>
    </w:p>
    <w:p>
      <w:pPr>
        <w:spacing w:line="480" w:lineRule="exact"/>
        <w:ind w:firstLine="480" w:firstLineChars="200"/>
        <w:rPr>
          <w:rFonts w:hint="eastAsia" w:ascii="宋体" w:hAnsi="宋体" w:cs="宋体"/>
        </w:rPr>
      </w:pPr>
      <w:r>
        <w:rPr>
          <w:rFonts w:hint="eastAsia" w:ascii="宋体" w:hAnsi="宋体" w:cs="宋体"/>
        </w:rPr>
        <w:t>应用软件应符合本地统一安全认证体系和统一用户管理体系要求，和现有平台实行统一权限管理，并支持分级授权,并提供较完善的数据加密机制和日志跟踪与分析功能。</w:t>
      </w:r>
    </w:p>
    <w:p>
      <w:pPr>
        <w:pStyle w:val="23"/>
        <w:numPr>
          <w:ilvl w:val="0"/>
          <w:numId w:val="8"/>
        </w:numPr>
        <w:spacing w:line="480" w:lineRule="exact"/>
        <w:ind w:firstLine="480" w:firstLineChars="200"/>
        <w:rPr>
          <w:rFonts w:hint="eastAsia" w:ascii="宋体" w:hAnsi="宋体" w:cs="宋体"/>
        </w:rPr>
      </w:pPr>
      <w:r>
        <w:rPr>
          <w:rFonts w:hint="eastAsia" w:ascii="宋体" w:hAnsi="宋体" w:cs="宋体"/>
        </w:rPr>
        <w:t>可扩展性原则</w:t>
      </w:r>
    </w:p>
    <w:p>
      <w:pPr>
        <w:spacing w:line="480" w:lineRule="exact"/>
        <w:ind w:firstLine="480" w:firstLineChars="200"/>
        <w:rPr>
          <w:rFonts w:hint="eastAsia" w:ascii="宋体" w:hAnsi="宋体" w:cs="宋体"/>
        </w:rPr>
      </w:pPr>
      <w:r>
        <w:rPr>
          <w:rFonts w:hint="eastAsia" w:ascii="宋体" w:hAnsi="宋体" w:cs="宋体"/>
        </w:rPr>
        <w:t>为适应将来的发展，系统应具有良好的可扩展性，系统可以实现服务不间断的升级和应用扩展。充分考虑业务规模和结构的发展变化，系统规模的扩大和保护投资。系统构架和应用开发均具备可扩展性，能够随着应用的逐步完善和信息量的逐渐增加不断地进行扩展，整个系统可以平滑地过渡到升级后的新系统中。同时在软件系统的开发中，各个功能模块可重复利用，降低系统扩展的复杂性。</w:t>
      </w:r>
    </w:p>
    <w:p>
      <w:pPr>
        <w:pStyle w:val="23"/>
        <w:numPr>
          <w:ilvl w:val="0"/>
          <w:numId w:val="8"/>
        </w:numPr>
        <w:spacing w:line="480" w:lineRule="exact"/>
        <w:ind w:firstLine="480" w:firstLineChars="200"/>
        <w:rPr>
          <w:rFonts w:hint="eastAsia" w:ascii="宋体" w:hAnsi="宋体" w:cs="宋体"/>
        </w:rPr>
      </w:pPr>
      <w:r>
        <w:rPr>
          <w:rFonts w:hint="eastAsia" w:ascii="宋体" w:hAnsi="宋体" w:cs="宋体"/>
        </w:rPr>
        <w:t>适用性原则</w:t>
      </w:r>
    </w:p>
    <w:p>
      <w:pPr>
        <w:spacing w:line="480" w:lineRule="exact"/>
        <w:ind w:firstLine="480" w:firstLineChars="200"/>
        <w:rPr>
          <w:rFonts w:hint="eastAsia" w:ascii="宋体" w:hAnsi="宋体" w:cs="宋体"/>
        </w:rPr>
      </w:pPr>
      <w:r>
        <w:rPr>
          <w:rFonts w:hint="eastAsia" w:ascii="宋体" w:hAnsi="宋体" w:cs="宋体"/>
        </w:rPr>
        <w:t>本次项目将遵循实用性建设原则，要能够充分利用现有投资，包括软硬件环境和业务系统。对于原有的业务数据接入整合可通过标准化接入方式，即以服务的形式进行改造式接入；或通过非标准化接入方式，即通过松耦合式的接口连接方式实现，两种方式均可实现对原有数据的充分利用。</w:t>
      </w:r>
    </w:p>
    <w:p>
      <w:pPr>
        <w:pStyle w:val="23"/>
        <w:numPr>
          <w:ilvl w:val="0"/>
          <w:numId w:val="8"/>
        </w:numPr>
        <w:spacing w:line="480" w:lineRule="exact"/>
        <w:ind w:firstLine="480" w:firstLineChars="200"/>
        <w:rPr>
          <w:rFonts w:hint="eastAsia" w:ascii="宋体" w:hAnsi="宋体" w:cs="宋体"/>
        </w:rPr>
      </w:pPr>
      <w:r>
        <w:rPr>
          <w:rFonts w:hint="eastAsia" w:ascii="宋体" w:hAnsi="宋体" w:cs="宋体"/>
        </w:rPr>
        <w:t>界面友好性原则</w:t>
      </w:r>
    </w:p>
    <w:p>
      <w:pPr>
        <w:pStyle w:val="8"/>
        <w:spacing w:line="480" w:lineRule="exact"/>
        <w:ind w:firstLine="480"/>
        <w:rPr>
          <w:rFonts w:hint="eastAsia" w:ascii="宋体" w:hAnsi="宋体" w:cs="宋体"/>
        </w:rPr>
      </w:pPr>
      <w:r>
        <w:rPr>
          <w:rFonts w:hint="eastAsia" w:ascii="宋体" w:hAnsi="宋体" w:cs="宋体"/>
        </w:rPr>
        <w:t>保证用户界面友好。采用交互式人机会话操作，显示画面清晰明了，操作简便，尽量减少人工输入数据量，数据输出格式美观、易读、适用，具有灵活的选择组件，提供完善的联机帮助。界面设计美观大方，操作简单易用，管理方便高效。所有操作都应在尽可能少的步骤内完成，避免不必要的操作步骤。应用系统对用户的操作顺序、输入的数据进行正确性检查，并以显著方式提示错误信息。</w:t>
      </w:r>
    </w:p>
    <w:p>
      <w:pPr>
        <w:pStyle w:val="4"/>
        <w:numPr>
          <w:ilvl w:val="0"/>
          <w:numId w:val="0"/>
        </w:numPr>
        <w:spacing w:line="480" w:lineRule="exact"/>
        <w:ind w:firstLine="482" w:firstLineChars="200"/>
        <w:rPr>
          <w:rFonts w:hint="eastAsia" w:ascii="宋体" w:hAnsi="宋体" w:cs="宋体"/>
        </w:rPr>
      </w:pPr>
      <w:r>
        <w:rPr>
          <w:rFonts w:hint="eastAsia" w:ascii="宋体" w:hAnsi="宋体" w:cs="宋体"/>
        </w:rPr>
        <w:t>（二）总体技术要求</w:t>
      </w:r>
    </w:p>
    <w:p>
      <w:pPr>
        <w:pStyle w:val="8"/>
        <w:spacing w:line="480" w:lineRule="exact"/>
        <w:ind w:firstLine="480"/>
        <w:rPr>
          <w:rFonts w:hint="eastAsia" w:ascii="宋体" w:hAnsi="宋体" w:cs="宋体"/>
        </w:rPr>
      </w:pPr>
      <w:r>
        <w:rPr>
          <w:rFonts w:hint="eastAsia" w:ascii="宋体" w:hAnsi="宋体" w:cs="宋体"/>
        </w:rPr>
        <w:t>系统应基于本项目建设要求，结合太仓市政务环境实际，提供总体架构、网络架构等方面设计，并提供合理的运行环境规划。在技术指标上应满足以下要求：</w:t>
      </w:r>
    </w:p>
    <w:p>
      <w:pPr>
        <w:pStyle w:val="8"/>
        <w:numPr>
          <w:ilvl w:val="0"/>
          <w:numId w:val="9"/>
        </w:numPr>
        <w:spacing w:line="480" w:lineRule="exact"/>
        <w:ind w:firstLine="480"/>
        <w:rPr>
          <w:rFonts w:hint="eastAsia" w:ascii="宋体" w:hAnsi="宋体" w:cs="宋体"/>
        </w:rPr>
      </w:pPr>
      <w:r>
        <w:rPr>
          <w:rFonts w:hint="eastAsia" w:ascii="宋体" w:hAnsi="宋体" w:cs="宋体"/>
        </w:rPr>
        <w:t>为了保障太仓市政务服务技术体系一致性和后续的延展性，项目需采用J2EE技术路线进行开发，系统架构设计层面以面向对象思想，进行构件化设计，做到系统灵活扩展。前端技术层面应使用标准化的CSS样式设计表、JavaScript脚本代码，能够支持主流浏览器。</w:t>
      </w:r>
    </w:p>
    <w:p>
      <w:pPr>
        <w:pStyle w:val="8"/>
        <w:numPr>
          <w:ilvl w:val="0"/>
          <w:numId w:val="9"/>
        </w:numPr>
        <w:spacing w:line="480" w:lineRule="exact"/>
        <w:ind w:firstLine="480"/>
        <w:rPr>
          <w:rFonts w:hint="eastAsia" w:ascii="宋体" w:hAnsi="宋体" w:cs="宋体"/>
        </w:rPr>
      </w:pPr>
      <w:r>
        <w:rPr>
          <w:rFonts w:hint="eastAsia" w:ascii="宋体" w:hAnsi="宋体" w:cs="宋体"/>
        </w:rPr>
        <w:t>系统稳定性与性能要求：系统稳定性方面，需要7×24小时不停机运行，系统维护、数据维护等工作必须在线执行；系统性能方面，应达到支持200个用户并发请求，当100个用户并发请求同一个中等复杂度的事物时，响应时间不超过5秒；在网络稳定的环境下系统交互体验要好，系统响应时间应小于3秒。</w:t>
      </w:r>
    </w:p>
    <w:p>
      <w:pPr>
        <w:pStyle w:val="8"/>
        <w:numPr>
          <w:ilvl w:val="0"/>
          <w:numId w:val="9"/>
        </w:numPr>
        <w:spacing w:line="480" w:lineRule="exact"/>
        <w:ind w:firstLine="480"/>
        <w:rPr>
          <w:rFonts w:hint="eastAsia" w:ascii="宋体" w:hAnsi="宋体" w:cs="宋体"/>
        </w:rPr>
      </w:pPr>
      <w:r>
        <w:rPr>
          <w:rFonts w:hint="eastAsia" w:ascii="宋体" w:hAnsi="宋体" w:cs="宋体"/>
        </w:rPr>
        <w:t>系统安全性要求：按照《信息安全技术 网络安全等级保护定级指南》（GB/T 22240-2020）中关于第三级系统的相关要求，同时遵循我市电子政务信息化安全管理的相关规定。</w:t>
      </w:r>
    </w:p>
    <w:p>
      <w:pPr>
        <w:pStyle w:val="8"/>
        <w:numPr>
          <w:ilvl w:val="0"/>
          <w:numId w:val="10"/>
        </w:numPr>
        <w:spacing w:line="480" w:lineRule="exact"/>
        <w:ind w:firstLine="480"/>
        <w:rPr>
          <w:rFonts w:hint="eastAsia" w:ascii="宋体" w:hAnsi="宋体" w:cs="宋体"/>
        </w:rPr>
      </w:pPr>
      <w:r>
        <w:rPr>
          <w:rFonts w:hint="eastAsia" w:ascii="宋体" w:hAnsi="宋体" w:cs="宋体"/>
        </w:rPr>
        <w:t>系统在建设过程中，应从技术和管理两个层面出发，制定全面的安全设计方案。技术防护方面应涵盖物理安全、网络安全、主机安全、应用安全、数据安全等关键领域，确保业务数据的安全性以及系统运行环境的稳定与可控。</w:t>
      </w:r>
    </w:p>
    <w:p>
      <w:pPr>
        <w:pStyle w:val="8"/>
        <w:numPr>
          <w:ilvl w:val="0"/>
          <w:numId w:val="10"/>
        </w:numPr>
        <w:spacing w:line="480" w:lineRule="exact"/>
        <w:ind w:firstLine="480"/>
        <w:rPr>
          <w:rFonts w:hint="eastAsia" w:ascii="宋体" w:hAnsi="宋体" w:cs="宋体"/>
        </w:rPr>
      </w:pPr>
      <w:r>
        <w:rPr>
          <w:rFonts w:hint="eastAsia" w:ascii="宋体" w:hAnsi="宋体" w:cs="宋体"/>
        </w:rPr>
        <w:t>鉴于当前网络安全威胁主要来自互联网侧，本项目需要提供能够跨网访问的应用安全访问网关，说明安全访问流程以及设计思路，并从网关逻辑架构、内部结构、网络部署、网关功能设计（包括但不限于认证鉴权、服务路由、协议转换、熔断限流、负载均衡等）方面提供切实可行的安全管控方案。</w:t>
      </w:r>
    </w:p>
    <w:p>
      <w:pPr>
        <w:pStyle w:val="8"/>
        <w:numPr>
          <w:ilvl w:val="0"/>
          <w:numId w:val="9"/>
        </w:numPr>
        <w:spacing w:line="480" w:lineRule="exact"/>
        <w:ind w:firstLine="480"/>
        <w:rPr>
          <w:rFonts w:hint="eastAsia" w:ascii="宋体" w:hAnsi="宋体" w:cs="宋体"/>
        </w:rPr>
      </w:pPr>
      <w:r>
        <w:rPr>
          <w:rFonts w:hint="eastAsia" w:ascii="宋体" w:hAnsi="宋体" w:cs="宋体"/>
        </w:rPr>
        <w:t>信创要求：根据《“十四五”数字经济发展规划》加快推动数字产业化，增强关键技术创新能力，提升核心产业竞争力的要求，系统建设应支持国产基础平台的部署。</w:t>
      </w:r>
    </w:p>
    <w:p>
      <w:pPr>
        <w:pStyle w:val="4"/>
        <w:numPr>
          <w:ilvl w:val="0"/>
          <w:numId w:val="11"/>
        </w:numPr>
        <w:spacing w:line="480" w:lineRule="exact"/>
        <w:ind w:firstLine="482" w:firstLineChars="200"/>
      </w:pPr>
      <w:r>
        <w:rPr>
          <w:rFonts w:hint="eastAsia" w:ascii="宋体" w:hAnsi="宋体" w:cs="宋体"/>
        </w:rPr>
        <w:t>平台建设要求</w:t>
      </w:r>
    </w:p>
    <w:p>
      <w:pPr>
        <w:pStyle w:val="26"/>
        <w:snapToGrid/>
        <w:spacing w:line="480" w:lineRule="exact"/>
        <w:ind w:firstLine="480" w:firstLineChars="200"/>
        <w:rPr>
          <w:rFonts w:hint="eastAsia" w:ascii="宋体" w:hAnsi="宋体" w:cs="宋体"/>
          <w:szCs w:val="24"/>
        </w:rPr>
      </w:pPr>
      <w:r>
        <w:rPr>
          <w:rFonts w:hint="eastAsia" w:ascii="宋体" w:hAnsi="宋体" w:cs="宋体"/>
          <w:szCs w:val="24"/>
        </w:rPr>
        <w:t>本项目在前五期太仓市“一网通办”平台建设基础上，进行AI能力深度集成、高效办成一件事、事项全生命周期管理、人才服务升级、AI+应用场景拓展等建设，赋能政务服务智能化转型与精准化创新，引领数字政务创新发展新范式。</w:t>
      </w:r>
    </w:p>
    <w:p>
      <w:pPr>
        <w:numPr>
          <w:ilvl w:val="0"/>
          <w:numId w:val="12"/>
        </w:numPr>
        <w:spacing w:line="480" w:lineRule="exact"/>
        <w:ind w:left="0" w:firstLine="482" w:firstLineChars="200"/>
        <w:rPr>
          <w:rFonts w:hint="eastAsia" w:ascii="宋体" w:hAnsi="宋体" w:cs="宋体"/>
          <w:b/>
          <w:bCs/>
          <w:szCs w:val="24"/>
        </w:rPr>
      </w:pPr>
      <w:r>
        <w:rPr>
          <w:rFonts w:hint="eastAsia" w:ascii="宋体" w:hAnsi="宋体" w:cs="宋体"/>
          <w:b/>
          <w:bCs/>
          <w:szCs w:val="24"/>
        </w:rPr>
        <w:t>数智底座</w:t>
      </w:r>
    </w:p>
    <w:p>
      <w:pPr>
        <w:spacing w:line="480" w:lineRule="exact"/>
        <w:ind w:firstLine="480" w:firstLineChars="200"/>
      </w:pPr>
      <w:r>
        <w:rPr>
          <w:rFonts w:hint="eastAsia"/>
        </w:rPr>
        <w:t>构建统一的AI大模型应用平台，主要功能包括智能体应用管理、材料审查（升级）、智能校验、智能客服套件、聊天办系列组件、数字人服务、语音服务（升级）及知识库管理。</w:t>
      </w:r>
    </w:p>
    <w:p>
      <w:pPr>
        <w:pStyle w:val="26"/>
        <w:numPr>
          <w:ilvl w:val="0"/>
          <w:numId w:val="13"/>
        </w:numPr>
        <w:snapToGrid/>
        <w:spacing w:line="480" w:lineRule="exact"/>
        <w:ind w:firstLine="480" w:firstLineChars="200"/>
      </w:pPr>
      <w:r>
        <w:rPr>
          <w:rFonts w:hint="eastAsia"/>
        </w:rPr>
        <w:t>智能体应用管理：提供统一的AI应用生命周期管理服务，支持应用展示与检索、可视化流程编排、注册与管理、第三方集成、版本控制、应用调度控制、发布与分享。</w:t>
      </w:r>
    </w:p>
    <w:p>
      <w:pPr>
        <w:numPr>
          <w:ilvl w:val="0"/>
          <w:numId w:val="13"/>
        </w:numPr>
        <w:spacing w:line="480" w:lineRule="exact"/>
        <w:ind w:firstLine="480" w:firstLineChars="200"/>
      </w:pPr>
      <w:r>
        <w:rPr>
          <w:rFonts w:hint="eastAsia"/>
        </w:rPr>
        <w:t>材料审查（升级）：支持审查场景管理、知识卡片管理、知识槽管理、文档模版管理，提升材料审查的精准度与自动化水平。</w:t>
      </w:r>
    </w:p>
    <w:p>
      <w:pPr>
        <w:numPr>
          <w:ilvl w:val="0"/>
          <w:numId w:val="13"/>
        </w:numPr>
        <w:spacing w:line="480" w:lineRule="exact"/>
        <w:ind w:firstLine="480" w:firstLineChars="200"/>
      </w:pPr>
      <w:r>
        <w:rPr>
          <w:rFonts w:hint="eastAsia"/>
        </w:rPr>
        <w:t>智能校验：提供多维度AI校验功能，</w:t>
      </w:r>
      <w:r>
        <w:t>涵盖</w:t>
      </w:r>
      <w:r>
        <w:rPr>
          <w:rFonts w:hint="eastAsia"/>
        </w:rPr>
        <w:t>表单字段</w:t>
      </w:r>
      <w:r>
        <w:t>格式性、合规性、逻辑性</w:t>
      </w:r>
      <w:r>
        <w:rPr>
          <w:rFonts w:hint="eastAsia"/>
        </w:rPr>
        <w:t>、完整性及材料关联性校验，并支持对AI校验内容进行详细解释。</w:t>
      </w:r>
    </w:p>
    <w:p>
      <w:pPr>
        <w:numPr>
          <w:ilvl w:val="0"/>
          <w:numId w:val="13"/>
        </w:numPr>
        <w:spacing w:line="480" w:lineRule="exact"/>
        <w:ind w:firstLine="480" w:firstLineChars="200"/>
      </w:pPr>
      <w:r>
        <w:rPr>
          <w:rFonts w:hint="eastAsia"/>
        </w:rPr>
        <w:t>智能客服套件：</w:t>
      </w:r>
      <w:r>
        <w:t>搭建智能交互服务体系，具备意图识别、多轮对话、上下文理解、情感分析、历史会话管理等全流程智能客服能力。</w:t>
      </w:r>
    </w:p>
    <w:p>
      <w:pPr>
        <w:numPr>
          <w:ilvl w:val="0"/>
          <w:numId w:val="13"/>
        </w:numPr>
        <w:spacing w:line="480" w:lineRule="exact"/>
        <w:ind w:firstLine="480" w:firstLineChars="200"/>
      </w:pPr>
      <w:r>
        <w:rPr>
          <w:rFonts w:hint="eastAsia"/>
        </w:rPr>
        <w:t>聊天办系列组件：</w:t>
      </w:r>
      <w:r>
        <w:t>以对话式交互为核心，整合办理指南、资格校验、材料上传、表单填写等功能模块，具备流程中断续填、历史数据复用等特性。</w:t>
      </w:r>
    </w:p>
    <w:p>
      <w:pPr>
        <w:numPr>
          <w:ilvl w:val="0"/>
          <w:numId w:val="13"/>
        </w:numPr>
        <w:spacing w:line="480" w:lineRule="exact"/>
        <w:ind w:firstLine="480" w:firstLineChars="200"/>
      </w:pPr>
      <w:r>
        <w:rPr>
          <w:rFonts w:hint="eastAsia"/>
        </w:rPr>
        <w:t>数字人服务：提供标准化接口与管理机制，包括基础服务、接入管理功能。</w:t>
      </w:r>
    </w:p>
    <w:p>
      <w:pPr>
        <w:numPr>
          <w:ilvl w:val="0"/>
          <w:numId w:val="13"/>
        </w:numPr>
        <w:spacing w:line="480" w:lineRule="exact"/>
        <w:ind w:firstLine="480" w:firstLineChars="200"/>
      </w:pPr>
      <w:r>
        <w:rPr>
          <w:rFonts w:hint="eastAsia"/>
        </w:rPr>
        <w:t>语音服务（升级）：主要针对语音服务进行升级，具备语音转文字、文本转语音能力，提高信息录入效率。</w:t>
      </w:r>
    </w:p>
    <w:p>
      <w:pPr>
        <w:numPr>
          <w:ilvl w:val="0"/>
          <w:numId w:val="13"/>
        </w:numPr>
        <w:spacing w:line="480" w:lineRule="exact"/>
        <w:ind w:firstLine="480" w:firstLineChars="200"/>
      </w:pPr>
      <w:r>
        <w:rPr>
          <w:rFonts w:hint="eastAsia"/>
        </w:rPr>
        <w:t>知识库管理：构建政务知识的全生命周期管理体系，支持知识管理、数据集管理、文档管理、切片管理、知识图谱、检索召回。</w:t>
      </w:r>
    </w:p>
    <w:p>
      <w:pPr>
        <w:numPr>
          <w:ilvl w:val="0"/>
          <w:numId w:val="12"/>
        </w:numPr>
        <w:spacing w:line="480" w:lineRule="exact"/>
        <w:ind w:left="0" w:firstLine="482" w:firstLineChars="200"/>
        <w:rPr>
          <w:rFonts w:hint="eastAsia" w:ascii="宋体" w:hAnsi="宋体" w:cs="宋体"/>
          <w:b/>
          <w:bCs/>
          <w:szCs w:val="24"/>
        </w:rPr>
      </w:pPr>
      <w:r>
        <w:rPr>
          <w:rFonts w:hint="eastAsia" w:ascii="宋体" w:hAnsi="宋体" w:cs="宋体"/>
          <w:b/>
          <w:bCs/>
          <w:szCs w:val="24"/>
        </w:rPr>
        <w:t>基础支撑平台</w:t>
      </w:r>
    </w:p>
    <w:p>
      <w:pPr>
        <w:spacing w:line="480" w:lineRule="exact"/>
        <w:ind w:firstLine="480" w:firstLineChars="200"/>
      </w:pPr>
      <w:r>
        <w:rPr>
          <w:rFonts w:hint="eastAsia"/>
        </w:rPr>
        <w:t>基础支撑</w:t>
      </w:r>
      <w:r>
        <w:rPr>
          <w:rFonts w:hint="eastAsia" w:ascii="宋体" w:hAnsi="宋体" w:cs="宋体"/>
          <w:szCs w:val="24"/>
        </w:rPr>
        <w:t>平台</w:t>
      </w:r>
      <w:r>
        <w:rPr>
          <w:rFonts w:hint="eastAsia"/>
        </w:rPr>
        <w:t>筑牢智能化服务根基，具备安全支撑与模型管理两大核心能力。</w:t>
      </w:r>
    </w:p>
    <w:p>
      <w:pPr>
        <w:pStyle w:val="26"/>
        <w:numPr>
          <w:ilvl w:val="0"/>
          <w:numId w:val="14"/>
        </w:numPr>
        <w:snapToGrid/>
        <w:spacing w:line="480" w:lineRule="exact"/>
        <w:ind w:firstLine="480" w:firstLineChars="200"/>
      </w:pPr>
      <w:r>
        <w:rPr>
          <w:rFonts w:hint="eastAsia"/>
        </w:rPr>
        <w:t>安全支撑：构建多层次安全防护体系，支持敏感数据检测与脱敏、隐私数据合规处理、伦理检测与内容过滤、安全审计日志与溯源。</w:t>
      </w:r>
    </w:p>
    <w:p>
      <w:pPr>
        <w:numPr>
          <w:ilvl w:val="0"/>
          <w:numId w:val="14"/>
        </w:numPr>
        <w:spacing w:line="480" w:lineRule="exact"/>
        <w:ind w:firstLine="480" w:firstLineChars="200"/>
      </w:pPr>
      <w:r>
        <w:rPr>
          <w:rFonts w:hint="eastAsia"/>
        </w:rPr>
        <w:t>模型管理：实现AI模型的全生命周期管控，建设模型列表、模型注册与版本管理、模型发布、模型部署、模型功能标签、模型状态监控、默认模型配置、多平台接入、负载均衡。</w:t>
      </w:r>
    </w:p>
    <w:p>
      <w:pPr>
        <w:numPr>
          <w:ilvl w:val="0"/>
          <w:numId w:val="12"/>
        </w:numPr>
        <w:spacing w:line="480" w:lineRule="exact"/>
        <w:ind w:left="0" w:firstLine="482" w:firstLineChars="200"/>
        <w:rPr>
          <w:rFonts w:hint="eastAsia" w:ascii="宋体" w:hAnsi="宋体" w:cs="宋体"/>
          <w:b/>
          <w:bCs/>
          <w:szCs w:val="24"/>
        </w:rPr>
      </w:pPr>
      <w:r>
        <w:rPr>
          <w:rFonts w:hint="eastAsia" w:ascii="宋体" w:hAnsi="宋体" w:cs="宋体"/>
          <w:b/>
          <w:bCs/>
          <w:szCs w:val="24"/>
        </w:rPr>
        <w:t>高效办成一件事</w:t>
      </w:r>
    </w:p>
    <w:p>
      <w:pPr>
        <w:spacing w:line="480" w:lineRule="exact"/>
        <w:ind w:firstLine="480" w:firstLineChars="200"/>
      </w:pPr>
      <w:r>
        <w:rPr>
          <w:rFonts w:hint="eastAsia"/>
        </w:rPr>
        <w:t>优化一件事服务体系，提升政务服务效能。主要建设内容包括投资促产一件事及根据省市要求建设的一件事。</w:t>
      </w:r>
    </w:p>
    <w:p>
      <w:pPr>
        <w:numPr>
          <w:ilvl w:val="0"/>
          <w:numId w:val="15"/>
        </w:numPr>
        <w:spacing w:line="480" w:lineRule="exact"/>
        <w:ind w:firstLine="480" w:firstLineChars="200"/>
      </w:pPr>
      <w:r>
        <w:rPr>
          <w:rFonts w:hint="eastAsia"/>
        </w:rPr>
        <w:t>投资促产一件事</w:t>
      </w:r>
    </w:p>
    <w:p>
      <w:pPr>
        <w:spacing w:line="480" w:lineRule="exact"/>
        <w:ind w:firstLine="480" w:firstLineChars="200"/>
      </w:pPr>
      <w:r>
        <w:rPr>
          <w:rFonts w:hint="eastAsia"/>
        </w:rPr>
        <w:t>实现开工、验收、固定资产投资等“一件事”全流程线上化协同办理，对接省平台与工改系统，确保数据双向贯通与考核达标。</w:t>
      </w:r>
    </w:p>
    <w:p>
      <w:pPr>
        <w:pStyle w:val="26"/>
        <w:numPr>
          <w:ilvl w:val="0"/>
          <w:numId w:val="16"/>
        </w:numPr>
        <w:snapToGrid/>
        <w:spacing w:line="480" w:lineRule="exact"/>
        <w:ind w:firstLine="480" w:firstLineChars="200"/>
      </w:pPr>
      <w:r>
        <w:rPr>
          <w:rFonts w:hint="eastAsia"/>
        </w:rPr>
        <w:t>开工一件事：对接省平台开工一件事，实现统一认证跳转、办结数据回流，支持工改2.0、3.0数据推送及应办未办改造。</w:t>
      </w:r>
    </w:p>
    <w:p>
      <w:pPr>
        <w:numPr>
          <w:ilvl w:val="0"/>
          <w:numId w:val="16"/>
        </w:numPr>
        <w:spacing w:line="480" w:lineRule="exact"/>
        <w:ind w:firstLine="480" w:firstLineChars="200"/>
      </w:pPr>
      <w:r>
        <w:rPr>
          <w:rFonts w:hint="eastAsia"/>
        </w:rPr>
        <w:t>验收一件事：对接省平台验收一件事，实现统一认证跳转、办结数据回流，支持工改2.0、3.0数据推送及应办未办改造。</w:t>
      </w:r>
    </w:p>
    <w:p>
      <w:pPr>
        <w:numPr>
          <w:ilvl w:val="0"/>
          <w:numId w:val="16"/>
        </w:numPr>
        <w:spacing w:line="480" w:lineRule="exact"/>
        <w:ind w:firstLine="480" w:firstLineChars="200"/>
      </w:pPr>
      <w:r>
        <w:rPr>
          <w:rFonts w:hint="eastAsia"/>
        </w:rPr>
        <w:t>固定资产投资一件事：支持省工改前置库对接、本地办件生成、事项办理过程推送及材料补齐补正。</w:t>
      </w:r>
    </w:p>
    <w:p>
      <w:pPr>
        <w:numPr>
          <w:ilvl w:val="0"/>
          <w:numId w:val="15"/>
        </w:numPr>
        <w:spacing w:line="480" w:lineRule="exact"/>
        <w:ind w:firstLine="480" w:firstLineChars="200"/>
      </w:pPr>
      <w:r>
        <w:rPr>
          <w:rFonts w:hint="eastAsia"/>
        </w:rPr>
        <w:t>根据省市要求建设的一件事：预留开发四个全新的“一件事”集成服务模块，通过全面梳理办事指南、办事情形、申请表单等内容，完成系统功能模块配置、页面设计与功能开发，以满足未来多样化服务需求。</w:t>
      </w:r>
    </w:p>
    <w:p>
      <w:pPr>
        <w:numPr>
          <w:ilvl w:val="0"/>
          <w:numId w:val="12"/>
        </w:numPr>
        <w:spacing w:line="480" w:lineRule="exact"/>
        <w:ind w:left="0" w:firstLine="482" w:firstLineChars="200"/>
        <w:rPr>
          <w:rFonts w:hint="eastAsia" w:ascii="宋体" w:hAnsi="宋体" w:cs="宋体"/>
          <w:b/>
          <w:bCs/>
          <w:szCs w:val="24"/>
        </w:rPr>
      </w:pPr>
      <w:r>
        <w:rPr>
          <w:rFonts w:hint="eastAsia" w:ascii="宋体" w:hAnsi="宋体" w:cs="宋体"/>
          <w:b/>
          <w:bCs/>
          <w:szCs w:val="24"/>
        </w:rPr>
        <w:t>AI+应用场景</w:t>
      </w:r>
    </w:p>
    <w:p>
      <w:pPr>
        <w:spacing w:line="480" w:lineRule="exact"/>
        <w:ind w:firstLine="480" w:firstLineChars="200"/>
      </w:pPr>
      <w:r>
        <w:rPr>
          <w:rFonts w:hint="eastAsia"/>
        </w:rPr>
        <w:t>拓展AI技术应用广度和深度，打造智能化应用场景，创新政务服务模式。主要建设内容包括智能导服、政务助手、公务助手、政务慧审、智能绘图、中介超市助手、一网通办功能升级、综合管理。</w:t>
      </w:r>
    </w:p>
    <w:p>
      <w:pPr>
        <w:numPr>
          <w:ilvl w:val="0"/>
          <w:numId w:val="17"/>
        </w:numPr>
        <w:spacing w:line="480" w:lineRule="exact"/>
        <w:ind w:firstLine="480" w:firstLineChars="200"/>
      </w:pPr>
      <w:r>
        <w:rPr>
          <w:rFonts w:hint="eastAsia"/>
        </w:rPr>
        <w:t>智能导服：提升用户在政务大厅的空间引导与服务分流体验，主要功能包括三维地图引擎、路径导航、取号队列状态同步、取号结果反馈、语言切换。</w:t>
      </w:r>
    </w:p>
    <w:p>
      <w:pPr>
        <w:numPr>
          <w:ilvl w:val="0"/>
          <w:numId w:val="17"/>
        </w:numPr>
        <w:spacing w:line="480" w:lineRule="exact"/>
        <w:ind w:firstLine="480" w:firstLineChars="200"/>
      </w:pPr>
      <w:r>
        <w:rPr>
          <w:rFonts w:hint="eastAsia"/>
        </w:rPr>
        <w:t>政务助手：主要功能包括AI边聊边办、AI预约取号、AI查询、AI反馈、AI服务专区，简化用户办事流程。</w:t>
      </w:r>
    </w:p>
    <w:p>
      <w:pPr>
        <w:numPr>
          <w:ilvl w:val="0"/>
          <w:numId w:val="17"/>
        </w:numPr>
        <w:spacing w:line="480" w:lineRule="exact"/>
        <w:ind w:firstLine="480" w:firstLineChars="200"/>
      </w:pPr>
      <w:r>
        <w:rPr>
          <w:rFonts w:hint="eastAsia"/>
        </w:rPr>
        <w:t>公务助手：提升公务人员办公效率与协同能力，主要功能包括消息推荐、项目进度表、公文撰写、会议纪要、聊天助手。</w:t>
      </w:r>
    </w:p>
    <w:p>
      <w:pPr>
        <w:numPr>
          <w:ilvl w:val="0"/>
          <w:numId w:val="17"/>
        </w:numPr>
        <w:spacing w:line="480" w:lineRule="exact"/>
        <w:ind w:firstLine="480" w:firstLineChars="200"/>
      </w:pPr>
      <w:r>
        <w:rPr>
          <w:rFonts w:hint="eastAsia"/>
        </w:rPr>
        <w:t>政务慧审：强化审批规范性与准确性，主要功能包括文件审查、问题定位、结果输出。</w:t>
      </w:r>
    </w:p>
    <w:p>
      <w:pPr>
        <w:numPr>
          <w:ilvl w:val="0"/>
          <w:numId w:val="17"/>
        </w:numPr>
        <w:spacing w:line="480" w:lineRule="exact"/>
        <w:ind w:firstLine="480" w:firstLineChars="200"/>
      </w:pPr>
      <w:r>
        <w:rPr>
          <w:rFonts w:hint="eastAsia"/>
        </w:rPr>
        <w:t>智能绘图：提供智能化图纸绘制与管理服务，主要功能包括企业信息智能填充、绘图表单、户型适配、面积校验、图纸绘制、AI智能绘图、图纸导出、绘图库。</w:t>
      </w:r>
    </w:p>
    <w:p>
      <w:pPr>
        <w:numPr>
          <w:ilvl w:val="0"/>
          <w:numId w:val="17"/>
        </w:numPr>
        <w:spacing w:line="480" w:lineRule="exact"/>
        <w:ind w:firstLine="480" w:firstLineChars="200"/>
      </w:pPr>
      <w:r>
        <w:rPr>
          <w:rFonts w:hint="eastAsia"/>
        </w:rPr>
        <w:t>中介超市助手：提高中介服务对接效率，主要功能包括智能服务顾问、智能项目发布。</w:t>
      </w:r>
    </w:p>
    <w:p>
      <w:pPr>
        <w:numPr>
          <w:ilvl w:val="0"/>
          <w:numId w:val="17"/>
        </w:numPr>
        <w:spacing w:line="480" w:lineRule="exact"/>
        <w:ind w:firstLine="480" w:firstLineChars="200"/>
      </w:pPr>
      <w:r>
        <w:rPr>
          <w:rFonts w:hint="eastAsia"/>
        </w:rPr>
        <w:t>一网通办功能升级：优化在线申报体验与国际化服务能力，主要功能包括在线申报AI智能辅助、AI搜索（国际版）。</w:t>
      </w:r>
    </w:p>
    <w:p>
      <w:pPr>
        <w:numPr>
          <w:ilvl w:val="0"/>
          <w:numId w:val="17"/>
        </w:numPr>
        <w:spacing w:line="480" w:lineRule="exact"/>
        <w:ind w:firstLine="480" w:firstLineChars="200"/>
      </w:pPr>
      <w:r>
        <w:rPr>
          <w:rFonts w:hint="eastAsia"/>
        </w:rPr>
        <w:t>综合管理：保障系统高效运行与管理，主要功能包括政务助手管理、公务助手管理、审查管理、绘图管理、校验管理、统一日志管理。</w:t>
      </w:r>
    </w:p>
    <w:p>
      <w:pPr>
        <w:numPr>
          <w:ilvl w:val="0"/>
          <w:numId w:val="12"/>
        </w:numPr>
        <w:spacing w:line="480" w:lineRule="exact"/>
        <w:ind w:left="0" w:firstLine="482" w:firstLineChars="200"/>
        <w:rPr>
          <w:rFonts w:hint="eastAsia" w:ascii="宋体" w:hAnsi="宋体" w:cs="宋体"/>
          <w:b/>
          <w:bCs/>
          <w:szCs w:val="24"/>
        </w:rPr>
      </w:pPr>
      <w:r>
        <w:rPr>
          <w:rFonts w:hint="eastAsia" w:ascii="宋体" w:hAnsi="宋体" w:cs="宋体"/>
          <w:b/>
          <w:bCs/>
          <w:szCs w:val="24"/>
        </w:rPr>
        <w:t>事项全生命周期管理平台</w:t>
      </w:r>
    </w:p>
    <w:p>
      <w:pPr>
        <w:spacing w:line="480" w:lineRule="exact"/>
        <w:ind w:firstLine="480" w:firstLineChars="200"/>
      </w:pPr>
      <w:r>
        <w:rPr>
          <w:rFonts w:hint="eastAsia"/>
        </w:rPr>
        <w:t>构建事项全周期管理体系，强化事项规范管理。主要建设内容包括事项管理、事项档案、标准化管理、苏服码改造、同步及对接。</w:t>
      </w:r>
    </w:p>
    <w:p>
      <w:pPr>
        <w:numPr>
          <w:ilvl w:val="0"/>
          <w:numId w:val="18"/>
        </w:numPr>
        <w:spacing w:line="480" w:lineRule="exact"/>
        <w:ind w:firstLine="480" w:firstLineChars="200"/>
      </w:pPr>
      <w:r>
        <w:rPr>
          <w:rFonts w:hint="eastAsia"/>
        </w:rPr>
        <w:t>事项管理：建立多层级事项目录体系，支持事项新建、需求管理、发布、废止、赋权及申领，确保事项管理规范有序。</w:t>
      </w:r>
    </w:p>
    <w:p>
      <w:pPr>
        <w:numPr>
          <w:ilvl w:val="0"/>
          <w:numId w:val="18"/>
        </w:numPr>
        <w:spacing w:line="480" w:lineRule="exact"/>
        <w:ind w:firstLine="480" w:firstLineChars="200"/>
      </w:pPr>
      <w:r>
        <w:rPr>
          <w:rFonts w:hint="eastAsia"/>
        </w:rPr>
        <w:t>事项档案：全面展示事项的基本信息、事项标签，并关联展示审查要点。</w:t>
      </w:r>
    </w:p>
    <w:p>
      <w:pPr>
        <w:numPr>
          <w:ilvl w:val="0"/>
          <w:numId w:val="18"/>
        </w:numPr>
        <w:spacing w:line="480" w:lineRule="exact"/>
        <w:ind w:firstLine="480" w:firstLineChars="200"/>
      </w:pPr>
      <w:r>
        <w:rPr>
          <w:rFonts w:hint="eastAsia"/>
        </w:rPr>
        <w:t>标准化管理：支持基本信息管理、标签管理、更新管理、材料管理、操作日志、权限控制及通知管理。</w:t>
      </w:r>
    </w:p>
    <w:p>
      <w:pPr>
        <w:numPr>
          <w:ilvl w:val="0"/>
          <w:numId w:val="18"/>
        </w:numPr>
        <w:spacing w:line="480" w:lineRule="exact"/>
        <w:ind w:firstLine="480" w:firstLineChars="200"/>
      </w:pPr>
      <w:r>
        <w:rPr>
          <w:rFonts w:hint="eastAsia"/>
        </w:rPr>
        <w:t>苏服码改造：通过“苏服码”实现扫码亮证、一码导办，全面提升政务服务效率与便利度。</w:t>
      </w:r>
    </w:p>
    <w:p>
      <w:pPr>
        <w:numPr>
          <w:ilvl w:val="0"/>
          <w:numId w:val="18"/>
        </w:numPr>
        <w:spacing w:line="480" w:lineRule="exact"/>
        <w:ind w:firstLine="480" w:firstLineChars="200"/>
      </w:pPr>
      <w:r>
        <w:rPr>
          <w:rFonts w:hint="eastAsia"/>
        </w:rPr>
        <w:t>同步及对接：实现与市级事项的同步，完成源数据迁移，设计统一的事项标准化接口，并构建数据回流通道。</w:t>
      </w:r>
    </w:p>
    <w:p>
      <w:pPr>
        <w:numPr>
          <w:ilvl w:val="0"/>
          <w:numId w:val="12"/>
        </w:numPr>
        <w:spacing w:line="480" w:lineRule="exact"/>
        <w:ind w:left="0" w:firstLine="482" w:firstLineChars="200"/>
        <w:rPr>
          <w:b/>
          <w:bCs/>
        </w:rPr>
      </w:pPr>
      <w:r>
        <w:rPr>
          <w:rFonts w:hint="eastAsia"/>
          <w:b/>
          <w:bCs/>
        </w:rPr>
        <w:t>人才创新创业服务平台升级</w:t>
      </w:r>
    </w:p>
    <w:p>
      <w:pPr>
        <w:spacing w:line="480" w:lineRule="exact"/>
        <w:ind w:firstLine="480" w:firstLineChars="200"/>
      </w:pPr>
      <w:r>
        <w:rPr>
          <w:rFonts w:hint="eastAsia"/>
        </w:rPr>
        <w:t>完善人才服务体系，提升精准服务能力，主要建设内容包括人才补贴申请服务、补贴审核平台、专题库联动中枢、服务发布平台、人才房票一件事、太仓市青年人才礼遇小程序、系统对接整合。</w:t>
      </w:r>
    </w:p>
    <w:p>
      <w:pPr>
        <w:numPr>
          <w:ilvl w:val="0"/>
          <w:numId w:val="19"/>
        </w:numPr>
        <w:spacing w:line="480" w:lineRule="exact"/>
        <w:ind w:firstLine="480" w:firstLineChars="200"/>
      </w:pPr>
      <w:r>
        <w:rPr>
          <w:rFonts w:hint="eastAsia"/>
        </w:rPr>
        <w:t>人才补贴申请服务：实现人才补贴申请线上化提交，主要功能包括人才特贴、首年生活补贴、乐居购房补贴、补贴申报。</w:t>
      </w:r>
    </w:p>
    <w:p>
      <w:pPr>
        <w:numPr>
          <w:ilvl w:val="0"/>
          <w:numId w:val="19"/>
        </w:numPr>
        <w:spacing w:line="480" w:lineRule="exact"/>
        <w:ind w:firstLine="480" w:firstLineChars="200"/>
      </w:pPr>
      <w:r>
        <w:rPr>
          <w:rFonts w:hint="eastAsia"/>
        </w:rPr>
        <w:t>补贴审核平台：规范补贴审核流程，提升审核效率与精准度，主要功能包括大厅申报、预申报项目模块、奖补资质审核功能、企业资质评分管理、奖补发放管理。</w:t>
      </w:r>
    </w:p>
    <w:p>
      <w:pPr>
        <w:numPr>
          <w:ilvl w:val="0"/>
          <w:numId w:val="19"/>
        </w:numPr>
        <w:spacing w:line="480" w:lineRule="exact"/>
        <w:ind w:firstLine="480" w:firstLineChars="200"/>
      </w:pPr>
      <w:r>
        <w:rPr>
          <w:rFonts w:hint="eastAsia"/>
        </w:rPr>
        <w:t>专题库联动中枢：实现人才、企业、项目、奖补数据的联动，主要功能包括人才数据联动、企业数据联动、项目数据联动、奖补数据联动、标签库、数据整合。</w:t>
      </w:r>
    </w:p>
    <w:p>
      <w:pPr>
        <w:numPr>
          <w:ilvl w:val="0"/>
          <w:numId w:val="19"/>
        </w:numPr>
        <w:spacing w:line="480" w:lineRule="exact"/>
        <w:ind w:firstLine="480" w:firstLineChars="200"/>
      </w:pPr>
      <w:r>
        <w:rPr>
          <w:rFonts w:hint="eastAsia"/>
        </w:rPr>
        <w:t>服务发布平台：主要建设版本控制中心，管理服务发布全流程。</w:t>
      </w:r>
    </w:p>
    <w:p>
      <w:pPr>
        <w:numPr>
          <w:ilvl w:val="0"/>
          <w:numId w:val="19"/>
        </w:numPr>
        <w:spacing w:line="480" w:lineRule="exact"/>
        <w:ind w:firstLine="480" w:firstLineChars="200"/>
      </w:pPr>
      <w:r>
        <w:rPr>
          <w:rFonts w:hint="eastAsia"/>
        </w:rPr>
        <w:t>人才房票一件事</w:t>
      </w:r>
    </w:p>
    <w:p>
      <w:pPr>
        <w:spacing w:line="480" w:lineRule="exact"/>
        <w:ind w:firstLine="480" w:firstLineChars="200"/>
      </w:pPr>
      <w:r>
        <w:rPr>
          <w:rFonts w:hint="eastAsia"/>
        </w:rPr>
        <w:t>实现人才房票全流程线上化处理，助力人才精准购房。主要功能包括门户设计及制作、房票发放管理、后台管理服务。</w:t>
      </w:r>
    </w:p>
    <w:p>
      <w:pPr>
        <w:numPr>
          <w:ilvl w:val="0"/>
          <w:numId w:val="20"/>
        </w:numPr>
        <w:spacing w:line="480" w:lineRule="exact"/>
        <w:ind w:firstLine="480" w:firstLineChars="200"/>
      </w:pPr>
      <w:r>
        <w:rPr>
          <w:rFonts w:hint="eastAsia"/>
        </w:rPr>
        <w:t>门户设计及制作：设计人才房票首页，支持房票申请、地图找房、房票金额自测器、补贴规则自动匹配、房票补贴金额动态计算、开发商绑定凭证。</w:t>
      </w:r>
    </w:p>
    <w:p>
      <w:pPr>
        <w:numPr>
          <w:ilvl w:val="0"/>
          <w:numId w:val="20"/>
        </w:numPr>
        <w:spacing w:line="480" w:lineRule="exact"/>
        <w:ind w:firstLine="480" w:firstLineChars="200"/>
      </w:pPr>
      <w:r>
        <w:rPr>
          <w:rFonts w:hint="eastAsia"/>
        </w:rPr>
        <w:t>房票发放管理：支持房票凭证发放、人才房票换票、房票核验、房票自动核销、房票人工核销。</w:t>
      </w:r>
    </w:p>
    <w:p>
      <w:pPr>
        <w:numPr>
          <w:ilvl w:val="0"/>
          <w:numId w:val="20"/>
        </w:numPr>
        <w:spacing w:line="480" w:lineRule="exact"/>
        <w:ind w:firstLine="480" w:firstLineChars="200"/>
      </w:pPr>
      <w:r>
        <w:rPr>
          <w:rFonts w:hint="eastAsia"/>
        </w:rPr>
        <w:t>后台管理服务：支持资金池管理、房票模板管理、统计分析、消息通知。</w:t>
      </w:r>
    </w:p>
    <w:p>
      <w:pPr>
        <w:numPr>
          <w:ilvl w:val="0"/>
          <w:numId w:val="19"/>
        </w:numPr>
        <w:spacing w:line="480" w:lineRule="exact"/>
        <w:ind w:firstLine="480" w:firstLineChars="200"/>
      </w:pPr>
      <w:r>
        <w:rPr>
          <w:rFonts w:hint="eastAsia"/>
        </w:rPr>
        <w:t>太仓市青年人才礼遇小程序</w:t>
      </w:r>
    </w:p>
    <w:p>
      <w:pPr>
        <w:spacing w:line="480" w:lineRule="exact"/>
        <w:ind w:firstLine="480" w:firstLineChars="200"/>
      </w:pPr>
      <w:r>
        <w:rPr>
          <w:rFonts w:hint="eastAsia"/>
        </w:rPr>
        <w:t>为青年人才提供一站式全流程服务，主要功能包括青年人才礼遇小程序开发、人才申报配置、人才认定审核模块、补贴发放模块、后台管理。</w:t>
      </w:r>
    </w:p>
    <w:p>
      <w:pPr>
        <w:numPr>
          <w:ilvl w:val="0"/>
          <w:numId w:val="21"/>
        </w:numPr>
        <w:spacing w:line="480" w:lineRule="exact"/>
        <w:ind w:firstLine="480" w:firstLineChars="200"/>
      </w:pPr>
      <w:r>
        <w:rPr>
          <w:rFonts w:hint="eastAsia"/>
        </w:rPr>
        <w:t>青年人才礼遇小程序开发：设计小程序页面，支持人才认定申报服务、人才等级晋升服务、人才码服务、城市体验礼遇、人才首次考察补贴、服务集成、我的服务、用户认证对接。</w:t>
      </w:r>
    </w:p>
    <w:p>
      <w:pPr>
        <w:numPr>
          <w:ilvl w:val="0"/>
          <w:numId w:val="21"/>
        </w:numPr>
        <w:spacing w:line="480" w:lineRule="exact"/>
        <w:ind w:firstLine="480" w:firstLineChars="200"/>
      </w:pPr>
      <w:r>
        <w:rPr>
          <w:rFonts w:hint="eastAsia"/>
        </w:rPr>
        <w:t>人才申报配置：支持小程序应用配置，包括人才类别基础信息、办事指南上线时间等。</w:t>
      </w:r>
    </w:p>
    <w:p>
      <w:pPr>
        <w:numPr>
          <w:ilvl w:val="0"/>
          <w:numId w:val="21"/>
        </w:numPr>
        <w:spacing w:line="480" w:lineRule="exact"/>
        <w:ind w:firstLine="480" w:firstLineChars="200"/>
      </w:pPr>
      <w:r>
        <w:rPr>
          <w:rFonts w:hint="eastAsia"/>
        </w:rPr>
        <w:t>人才认定审核模块：支持人才认定数据汇聚、人才认定审核、人才认定管理、人才认定手动录入、人才异常管理。</w:t>
      </w:r>
    </w:p>
    <w:p>
      <w:pPr>
        <w:numPr>
          <w:ilvl w:val="0"/>
          <w:numId w:val="21"/>
        </w:numPr>
        <w:spacing w:line="480" w:lineRule="exact"/>
        <w:ind w:firstLine="480" w:firstLineChars="200"/>
      </w:pPr>
      <w:r>
        <w:rPr>
          <w:rFonts w:hint="eastAsia"/>
        </w:rPr>
        <w:t>补贴发放模块：支持微信补贴发放、乐游卡发放、人才认定监听服务。</w:t>
      </w:r>
    </w:p>
    <w:p>
      <w:pPr>
        <w:numPr>
          <w:ilvl w:val="0"/>
          <w:numId w:val="21"/>
        </w:numPr>
        <w:spacing w:line="480" w:lineRule="exact"/>
        <w:ind w:firstLine="480" w:firstLineChars="200"/>
      </w:pPr>
      <w:r>
        <w:rPr>
          <w:rFonts w:hint="eastAsia"/>
        </w:rPr>
        <w:t>后台管理：具备人才认定数量、消费券发放金额等数据的统计分析能力。</w:t>
      </w:r>
    </w:p>
    <w:p>
      <w:pPr>
        <w:numPr>
          <w:ilvl w:val="0"/>
          <w:numId w:val="19"/>
        </w:numPr>
        <w:spacing w:line="480" w:lineRule="exact"/>
        <w:ind w:firstLine="480" w:firstLineChars="200"/>
      </w:pPr>
      <w:r>
        <w:rPr>
          <w:rFonts w:hint="eastAsia"/>
        </w:rPr>
        <w:t>系统对接整合：对接法人库、一手房、二手房、不动产、网签系统、企业信用及太易居等接口，实现数据互通共享，支撑业务高效办理。</w:t>
      </w:r>
    </w:p>
    <w:p>
      <w:pPr>
        <w:numPr>
          <w:ilvl w:val="0"/>
          <w:numId w:val="12"/>
        </w:numPr>
        <w:spacing w:line="480" w:lineRule="exact"/>
        <w:ind w:left="0" w:firstLine="482" w:firstLineChars="200"/>
        <w:rPr>
          <w:b/>
          <w:bCs/>
        </w:rPr>
      </w:pPr>
      <w:r>
        <w:rPr>
          <w:rFonts w:hint="eastAsia"/>
          <w:b/>
          <w:bCs/>
        </w:rPr>
        <w:t>业务实施</w:t>
      </w:r>
    </w:p>
    <w:p>
      <w:pPr>
        <w:spacing w:line="480" w:lineRule="exact"/>
        <w:ind w:firstLine="480" w:firstLineChars="200"/>
      </w:pPr>
      <w:r>
        <w:rPr>
          <w:rFonts w:hint="eastAsia"/>
        </w:rPr>
        <w:t>针对20个高频场景进行实施工作，其中，</w:t>
      </w:r>
      <w:r>
        <w:t>一般场景</w:t>
      </w:r>
      <w:r>
        <w:rPr>
          <w:rFonts w:hint="eastAsia"/>
        </w:rPr>
        <w:t>包括</w:t>
      </w:r>
      <w:r>
        <w:t>：有限公司注销、个体户变更、劳务派遣、民生档案查询、城建档案查询、居民充电桩报装一件事、新房水电气开户一件事、二手房水电气过户一件事、水电气阶梯价申请一件事等</w:t>
      </w:r>
      <w:r>
        <w:rPr>
          <w:rFonts w:hint="eastAsia"/>
        </w:rPr>
        <w:t>；</w:t>
      </w:r>
      <w:r>
        <w:t>复杂场景</w:t>
      </w:r>
      <w:r>
        <w:rPr>
          <w:rFonts w:hint="eastAsia"/>
        </w:rPr>
        <w:t>包括</w:t>
      </w:r>
      <w:r>
        <w:t>：一手房、有限公司（设立、变更）等</w:t>
      </w:r>
      <w:r>
        <w:rPr>
          <w:rFonts w:hint="eastAsia"/>
        </w:rPr>
        <w:t>。主要实施内容包括AI事项梳理、模型微调、硬件对接整合。</w:t>
      </w:r>
    </w:p>
    <w:p>
      <w:pPr>
        <w:numPr>
          <w:ilvl w:val="0"/>
          <w:numId w:val="22"/>
        </w:numPr>
        <w:spacing w:line="480" w:lineRule="exact"/>
        <w:ind w:firstLine="480" w:firstLineChars="200"/>
      </w:pPr>
      <w:r>
        <w:rPr>
          <w:rFonts w:hint="eastAsia"/>
        </w:rPr>
        <w:t>AI事项梳理：针对20个高频场景开展系统化梳理与配置。</w:t>
      </w:r>
    </w:p>
    <w:p>
      <w:pPr>
        <w:numPr>
          <w:ilvl w:val="0"/>
          <w:numId w:val="22"/>
        </w:numPr>
        <w:spacing w:line="480" w:lineRule="exact"/>
        <w:ind w:firstLine="480" w:firstLineChars="200"/>
      </w:pPr>
      <w:r>
        <w:rPr>
          <w:rFonts w:hint="eastAsia"/>
        </w:rPr>
        <w:t>模型微调：提升模型的识别准确率与解析能力，主要包括文档标注、文档识别训练和模型评测。</w:t>
      </w:r>
    </w:p>
    <w:p>
      <w:pPr>
        <w:numPr>
          <w:ilvl w:val="0"/>
          <w:numId w:val="22"/>
        </w:numPr>
        <w:spacing w:line="480" w:lineRule="exact"/>
        <w:ind w:firstLine="480" w:firstLineChars="200"/>
      </w:pPr>
      <w:r>
        <w:rPr>
          <w:rFonts w:hint="eastAsia"/>
        </w:rPr>
        <w:t>硬件对接整合：实现与身份证读卡器、二维码扫描器、高扫仪等硬件设备的驱动集成与对接。</w:t>
      </w:r>
    </w:p>
    <w:p>
      <w:pPr>
        <w:pStyle w:val="4"/>
        <w:numPr>
          <w:ilvl w:val="0"/>
          <w:numId w:val="11"/>
        </w:numPr>
        <w:spacing w:line="480" w:lineRule="exact"/>
        <w:ind w:firstLine="482" w:firstLineChars="200"/>
        <w:rPr>
          <w:rFonts w:hint="eastAsia" w:ascii="宋体" w:hAnsi="宋体" w:cs="宋体"/>
        </w:rPr>
      </w:pPr>
      <w:r>
        <w:rPr>
          <w:rFonts w:hint="eastAsia" w:ascii="宋体" w:hAnsi="宋体" w:cs="宋体"/>
        </w:rPr>
        <w:t>在运行系统运维要求</w:t>
      </w:r>
    </w:p>
    <w:p>
      <w:pPr>
        <w:numPr>
          <w:ilvl w:val="0"/>
          <w:numId w:val="23"/>
        </w:numPr>
        <w:spacing w:line="480" w:lineRule="exact"/>
        <w:ind w:left="0" w:firstLine="482" w:firstLineChars="200"/>
        <w:rPr>
          <w:b/>
          <w:bCs/>
        </w:rPr>
      </w:pPr>
      <w:r>
        <w:rPr>
          <w:rFonts w:hint="eastAsia"/>
          <w:b/>
          <w:bCs/>
        </w:rPr>
        <w:t>运维服务对象</w:t>
      </w:r>
    </w:p>
    <w:p>
      <w:pPr>
        <w:numPr>
          <w:ilvl w:val="0"/>
          <w:numId w:val="24"/>
        </w:numPr>
        <w:spacing w:line="480" w:lineRule="exact"/>
        <w:ind w:firstLine="480" w:firstLineChars="200"/>
      </w:pPr>
      <w:r>
        <w:rPr>
          <w:rFonts w:hint="eastAsia"/>
        </w:rPr>
        <w:t>一窗式智能服务系统项目</w:t>
      </w:r>
    </w:p>
    <w:p>
      <w:pPr>
        <w:pStyle w:val="8"/>
        <w:spacing w:line="480" w:lineRule="exact"/>
        <w:ind w:firstLine="480"/>
      </w:pPr>
      <w:r>
        <w:rPr>
          <w:rFonts w:hint="eastAsia"/>
        </w:rPr>
        <w:t>本项目于2017年10月份启动建设，2017年12月份完成项目验收。项目主要基于太仓市网上审批平台建设一窗式智能受理和管控平台，为数据局综合窗口工作人员提供业务服务支撑。建设内容包括综合业务受理子系统、综合业务分拨子系统、综合业务互联网服务子系统、综合业务后台管理子系统、重点项目跟踪子系统等业务模块。当前系统功能模块在数据局业务办理环节中继续发挥作用。</w:t>
      </w:r>
    </w:p>
    <w:p>
      <w:pPr>
        <w:numPr>
          <w:ilvl w:val="0"/>
          <w:numId w:val="24"/>
        </w:numPr>
        <w:spacing w:line="480" w:lineRule="exact"/>
        <w:ind w:firstLine="480" w:firstLineChars="200"/>
      </w:pPr>
      <w:r>
        <w:rPr>
          <w:rFonts w:hint="eastAsia"/>
        </w:rPr>
        <w:t>窗口接件客户交互系统及设备建设方案项目</w:t>
      </w:r>
    </w:p>
    <w:p>
      <w:pPr>
        <w:spacing w:line="480" w:lineRule="exact"/>
        <w:ind w:firstLine="480" w:firstLineChars="200"/>
      </w:pPr>
      <w:r>
        <w:rPr>
          <w:rFonts w:hint="eastAsia"/>
        </w:rPr>
        <w:t>本项目于2017年12月份启动建设，2018年2月份完成项目验收。项目建设以太仓市网上审批平台为基础实现业务联动，并依托Android系统平台设备，开发窗口交互式系统，实现显示窗口及办事人员基本信息，展示事项基本信息，展示事项提交材料、流程，实现信息真实性确认，事项评价、统一告知和消息提醒等交互功能。当前系统功能模块在数据局业务办理环节中继续发挥作用。</w:t>
      </w:r>
    </w:p>
    <w:p>
      <w:pPr>
        <w:numPr>
          <w:ilvl w:val="0"/>
          <w:numId w:val="24"/>
        </w:numPr>
        <w:spacing w:line="480" w:lineRule="exact"/>
        <w:ind w:firstLine="480" w:firstLineChars="200"/>
      </w:pPr>
      <w:r>
        <w:rPr>
          <w:rFonts w:hint="eastAsia"/>
        </w:rPr>
        <w:t>太仓市不动产集成服务平台项目</w:t>
      </w:r>
    </w:p>
    <w:p>
      <w:pPr>
        <w:pStyle w:val="8"/>
        <w:spacing w:line="480" w:lineRule="exact"/>
        <w:ind w:firstLine="480"/>
      </w:pPr>
      <w:r>
        <w:rPr>
          <w:rFonts w:hint="eastAsia"/>
        </w:rPr>
        <w:t>本项目于2017年9月份启动建设，2017年11月份完成项目验收。项目目标是针对全市不动产业务，串联网签部门、不动产登记中心、税务部门的多个系统，构建不动产集成服务平台，实现二手房交易的一窗式审批。项目建设内容包括不动产一窗受理网上登记、不动产集成审批。通过线上统一申报，信息共享，多部门协同联办，提升业务办理效率。当前系统功能模块在数据局业务办理环节中继续发挥作用。</w:t>
      </w:r>
    </w:p>
    <w:p>
      <w:pPr>
        <w:numPr>
          <w:ilvl w:val="0"/>
          <w:numId w:val="24"/>
        </w:numPr>
        <w:spacing w:line="480" w:lineRule="exact"/>
        <w:ind w:firstLine="480" w:firstLineChars="200"/>
      </w:pPr>
      <w:r>
        <w:rPr>
          <w:rFonts w:hint="eastAsia"/>
        </w:rPr>
        <w:t>不动产集成服务平台二期项目</w:t>
      </w:r>
    </w:p>
    <w:p>
      <w:pPr>
        <w:pStyle w:val="8"/>
        <w:spacing w:line="480" w:lineRule="exact"/>
        <w:ind w:firstLine="480"/>
      </w:pPr>
      <w:r>
        <w:rPr>
          <w:rFonts w:hint="eastAsia"/>
        </w:rPr>
        <w:t>本项目于2018年7月份启动建设，2018年9月份完成项目验收。项目目标是基于太仓市不动产集成服务平台建设成果，进行系统功能升级和业务优化，让申报更便捷，审批更快速。本期项目建设内容主要包括中介机构申报服务、申报功能优化、在线预约、受理材料打印、业务数据库完善、审批功能完善、业务流程优化、水电气一键过户等。当前系统功能模块在数据局业务办理环节中继续发挥作用。</w:t>
      </w:r>
    </w:p>
    <w:p>
      <w:pPr>
        <w:numPr>
          <w:ilvl w:val="0"/>
          <w:numId w:val="24"/>
        </w:numPr>
        <w:spacing w:line="480" w:lineRule="exact"/>
        <w:ind w:firstLine="480" w:firstLineChars="200"/>
      </w:pPr>
      <w:r>
        <w:rPr>
          <w:rFonts w:hint="eastAsia"/>
        </w:rPr>
        <w:t>不动产集成服务平台三期项目</w:t>
      </w:r>
    </w:p>
    <w:p>
      <w:pPr>
        <w:pStyle w:val="8"/>
        <w:spacing w:line="480" w:lineRule="exact"/>
        <w:ind w:firstLine="480"/>
      </w:pPr>
      <w:r>
        <w:rPr>
          <w:rFonts w:hint="eastAsia"/>
        </w:rPr>
        <w:t>本项目于2019年6月份启动建设，2019年7月份完成项目验收。项目目标是基于不动产集成服务平台一二期项目建设成果，结合新阶段业务需求，进一步进行系统功能升级和业务优化，全面实现一窗在线受理、并行协同预审、现场数据核验、一人一次办结、即时出证优先化，5天出证常态化。本期项目建设内容主要包括增量房业务办理，即时出证，电子台牌交互+电子签名，不动产业务全城通办，一窗受理平台优化，集成服务平台优化和移动端服务延伸等。当前系统功能模块在数据局业务办理环节中继续发挥作用。</w:t>
      </w:r>
    </w:p>
    <w:p>
      <w:pPr>
        <w:numPr>
          <w:ilvl w:val="0"/>
          <w:numId w:val="24"/>
        </w:numPr>
        <w:spacing w:line="480" w:lineRule="exact"/>
        <w:ind w:firstLine="480" w:firstLineChars="200"/>
      </w:pPr>
      <w:r>
        <w:rPr>
          <w:rFonts w:hint="eastAsia"/>
        </w:rPr>
        <w:t>太仓市企业实名认证（原企业设立一窗通）平台项目</w:t>
      </w:r>
    </w:p>
    <w:p>
      <w:pPr>
        <w:pStyle w:val="8"/>
        <w:spacing w:line="480" w:lineRule="exact"/>
        <w:ind w:firstLine="480"/>
      </w:pPr>
      <w:r>
        <w:rPr>
          <w:rFonts w:hint="eastAsia"/>
        </w:rPr>
        <w:t>本项目于2019年4月份启动建设，2019年5月份完成项目验收。项目目标是基于现有政务服务平台，实现新设立企业办理营业执照、刻制公章、银行开户事项3个工作日内完成，将登记事项全部“搬上网”，全过程“一窗受理、集成服务”。本期项目建设内容主要包括一窗受理登记，同步审核办理，消息提醒，数据统计，服务监管等。当前系统功能模块在数据局业务办理环节中继续发挥作用。</w:t>
      </w:r>
    </w:p>
    <w:p>
      <w:pPr>
        <w:numPr>
          <w:ilvl w:val="0"/>
          <w:numId w:val="24"/>
        </w:numPr>
        <w:spacing w:line="480" w:lineRule="exact"/>
        <w:ind w:firstLine="480" w:firstLineChars="200"/>
      </w:pPr>
      <w:r>
        <w:rPr>
          <w:rFonts w:hint="eastAsia"/>
        </w:rPr>
        <w:t>太仓市不动产集成服务平台四期项目</w:t>
      </w:r>
    </w:p>
    <w:p>
      <w:pPr>
        <w:pStyle w:val="8"/>
        <w:spacing w:line="480" w:lineRule="exact"/>
        <w:ind w:firstLine="480"/>
      </w:pPr>
      <w:r>
        <w:rPr>
          <w:rFonts w:hint="eastAsia"/>
        </w:rPr>
        <w:t>本项目于2020年5月份启动建设，2020年8月份验收，项目免费运维服务期为一年。项目目标是基于我市不动产集成服务平台（前三期）基础上，进一步理顺不动产集成服务业务流程，扩展和完善平台功能，并调整我市不动产登记中心新业务系统的对接方式，打造更加切合我市实际的不动产集成服务平台，进一步提升我市房地产交易领域业务办理效能、改善我市房地产交易领域政务服务体验。</w:t>
      </w:r>
    </w:p>
    <w:p>
      <w:pPr>
        <w:numPr>
          <w:ilvl w:val="0"/>
          <w:numId w:val="24"/>
        </w:numPr>
        <w:spacing w:line="480" w:lineRule="exact"/>
        <w:ind w:firstLine="480" w:firstLineChars="200"/>
      </w:pPr>
      <w:r>
        <w:rPr>
          <w:rFonts w:hint="eastAsia"/>
        </w:rPr>
        <w:t>太仓市“互联网+监管”系统建设项目</w:t>
      </w:r>
    </w:p>
    <w:p>
      <w:pPr>
        <w:pStyle w:val="8"/>
        <w:spacing w:line="480" w:lineRule="exact"/>
        <w:ind w:firstLine="480"/>
      </w:pPr>
      <w:r>
        <w:rPr>
          <w:rFonts w:hint="eastAsia"/>
        </w:rPr>
        <w:t>本项目于2020年9月份启动建设，2020年11月份验收，项目免费运维服务期为一年。本项目建设是信息化政府监管的重要工程，通过建设监管数据中心、审管联动中心、服务门户、工作平台、任务管理系统、监管数据综合应用系统、通用监管系统及用户中心，完成与苏州市“互联网+监管”平台互联互通，逐步实现精准监管、智慧监管，为各级领导提供政府监管决策支持，为各级各部门履行政府监管职责提供信息服务，为提升政府治理能力现代化水平提供支撑。</w:t>
      </w:r>
    </w:p>
    <w:p>
      <w:pPr>
        <w:numPr>
          <w:ilvl w:val="0"/>
          <w:numId w:val="24"/>
        </w:numPr>
        <w:spacing w:line="480" w:lineRule="exact"/>
        <w:ind w:firstLine="480" w:firstLineChars="200"/>
      </w:pPr>
      <w:r>
        <w:rPr>
          <w:rFonts w:hint="eastAsia"/>
        </w:rPr>
        <w:t>太仓市电子证照库项目</w:t>
      </w:r>
    </w:p>
    <w:p>
      <w:pPr>
        <w:pStyle w:val="8"/>
        <w:spacing w:line="480" w:lineRule="exact"/>
        <w:ind w:firstLine="480"/>
      </w:pPr>
      <w:r>
        <w:rPr>
          <w:rFonts w:hint="eastAsia"/>
        </w:rPr>
        <w:t>本项目于2020年7月份启动建设，2021年12月份验收，项目免费运维服务期为一年。本项目建设目标是为了保障“互联网+政务服务”深化改革新成果，运用互联网技术、 区块链技术等先进手段实现全市各业务部门电子证照的采集，加工，共享，健全我市政务服务基础库资源，解决全市电子证照资源的标准统一、跨部门互信等问题，完善我市政务信息共享交换体系，拓展电子证照应用场景，促进各部门政务服务模式创新。</w:t>
      </w:r>
    </w:p>
    <w:p>
      <w:pPr>
        <w:numPr>
          <w:ilvl w:val="0"/>
          <w:numId w:val="24"/>
        </w:numPr>
        <w:spacing w:line="480" w:lineRule="exact"/>
        <w:ind w:firstLine="480" w:firstLineChars="200"/>
      </w:pPr>
      <w:r>
        <w:rPr>
          <w:rFonts w:hint="eastAsia"/>
        </w:rPr>
        <w:t>太仓市不动产集成服务平台五期项目</w:t>
      </w:r>
    </w:p>
    <w:p>
      <w:pPr>
        <w:spacing w:line="480" w:lineRule="exact"/>
        <w:ind w:firstLine="480" w:firstLineChars="200"/>
      </w:pPr>
      <w:r>
        <w:rPr>
          <w:rFonts w:hint="eastAsia"/>
        </w:rPr>
        <w:t>本项目于 2024 年 7 月启动建设，2024年12月份验收，项目免费运维服务期为一年。本项目建设是“互联网 + 不动产”服务改革的重要工程，通过建设房产主题库、智慧不动产门户、全链智治平台、运营管理平台及系统对接整合体系，完成与太仓市一网通办、太 e 办、不动产登记等平台互联互通，逐步实现一房一码、以码管房、不见面办理、全链智治，为各级领导提供不动产服务决策支持，为企业群众提供房源交易、贷款、缴税、登记、过户一体化信息服务，为提升不动产领域政务服务与治理能力现代化水平提供支撑。</w:t>
      </w:r>
    </w:p>
    <w:p>
      <w:pPr>
        <w:numPr>
          <w:ilvl w:val="0"/>
          <w:numId w:val="24"/>
        </w:numPr>
        <w:spacing w:line="480" w:lineRule="exact"/>
        <w:ind w:firstLine="480" w:firstLineChars="200"/>
      </w:pPr>
      <w:r>
        <w:rPr>
          <w:rFonts w:hint="eastAsia"/>
        </w:rPr>
        <w:t>太仓市审管执信一体化平台</w:t>
      </w:r>
    </w:p>
    <w:p>
      <w:pPr>
        <w:spacing w:line="480" w:lineRule="exact"/>
        <w:ind w:firstLine="480" w:firstLineChars="200"/>
      </w:pPr>
      <w:r>
        <w:rPr>
          <w:rFonts w:hint="eastAsia"/>
        </w:rPr>
        <w:t>本项目于2024年5月启动建设，2025年1月份验收，项目免费运维服务期为一年。</w:t>
      </w:r>
      <w:r>
        <w:t>本项目是太仓市推进审批、监管、执法、信用协同治理的核心工程，通过建设协同联动中枢、数据汇聚中心、综合管理中心、辅助决策中心、系统改造中心，完成系统对接整合与多场景审管执信应用开发，实现与太仓市各委办局审批平台、监管平台、执法平台、一网通办平台</w:t>
      </w:r>
      <w:r>
        <w:rPr>
          <w:rFonts w:hint="eastAsia"/>
        </w:rPr>
        <w:t>等平台的</w:t>
      </w:r>
      <w:r>
        <w:t>互联互通，有效破解审批、监管、执法、信用脱节问题，构建审管执信全链条闭环管理体系，为各级部门履行审批、监管、执法职责提供一体化信息支撑，为政府科学决策提供数据服务，为提升太仓市政务服务与综合治理能力现代化水平提供有力保障。</w:t>
      </w:r>
    </w:p>
    <w:p>
      <w:pPr>
        <w:numPr>
          <w:ilvl w:val="0"/>
          <w:numId w:val="23"/>
        </w:numPr>
        <w:spacing w:line="480" w:lineRule="exact"/>
        <w:rPr>
          <w:b/>
          <w:bCs/>
        </w:rPr>
      </w:pPr>
      <w:bookmarkStart w:id="6" w:name="_Toc1161"/>
      <w:r>
        <w:rPr>
          <w:rFonts w:hint="eastAsia"/>
          <w:b/>
          <w:bCs/>
        </w:rPr>
        <w:t>项目服务要求与方式</w:t>
      </w:r>
      <w:bookmarkEnd w:id="6"/>
    </w:p>
    <w:p>
      <w:pPr>
        <w:numPr>
          <w:ilvl w:val="0"/>
          <w:numId w:val="25"/>
        </w:numPr>
        <w:spacing w:line="480" w:lineRule="exact"/>
      </w:pPr>
      <w:bookmarkStart w:id="7" w:name="_Toc29387"/>
      <w:bookmarkStart w:id="8" w:name="_Toc12610"/>
      <w:r>
        <w:rPr>
          <w:rFonts w:hint="eastAsia"/>
        </w:rPr>
        <w:t>项目服务要求</w:t>
      </w:r>
      <w:bookmarkEnd w:id="7"/>
      <w:bookmarkEnd w:id="8"/>
    </w:p>
    <w:p>
      <w:pPr>
        <w:pStyle w:val="8"/>
        <w:spacing w:line="480" w:lineRule="exact"/>
        <w:ind w:firstLine="480"/>
      </w:pPr>
      <w:r>
        <w:rPr>
          <w:rFonts w:hint="eastAsia"/>
        </w:rPr>
        <w:t>提供全面完善的技术支持与服务，建立服务、运营和应急计划方案，确保系统的平稳运行，保障系统数据安全。提供7×24技术支持服务，有专人负责采购人的咨询(含电话咨询)。运行中出现故障时，在30分钟内做出响应，并协调各相关单位解决；如需现场维护解决，即时赶到现场处理，确保尽快解决问题。</w:t>
      </w:r>
    </w:p>
    <w:p>
      <w:pPr>
        <w:numPr>
          <w:ilvl w:val="0"/>
          <w:numId w:val="25"/>
        </w:numPr>
        <w:spacing w:line="480" w:lineRule="exact"/>
        <w:ind w:firstLine="480" w:firstLineChars="200"/>
      </w:pPr>
      <w:bookmarkStart w:id="9" w:name="_Toc8629"/>
      <w:bookmarkStart w:id="10" w:name="_Toc15330"/>
      <w:r>
        <w:rPr>
          <w:rFonts w:hint="eastAsia"/>
        </w:rPr>
        <w:t>运维服务方式</w:t>
      </w:r>
      <w:bookmarkEnd w:id="9"/>
      <w:bookmarkEnd w:id="10"/>
    </w:p>
    <w:tbl>
      <w:tblPr>
        <w:tblStyle w:val="1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667"/>
        <w:gridCol w:w="6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blHeader/>
          <w:jc w:val="center"/>
        </w:trPr>
        <w:tc>
          <w:tcPr>
            <w:tcW w:w="800" w:type="dxa"/>
            <w:shd w:val="clear" w:color="auto" w:fill="D8D8D8"/>
            <w:vAlign w:val="center"/>
          </w:tcPr>
          <w:p>
            <w:pPr>
              <w:spacing w:line="480" w:lineRule="exact"/>
              <w:jc w:val="center"/>
              <w:rPr>
                <w:b/>
                <w:bCs/>
              </w:rPr>
            </w:pPr>
            <w:r>
              <w:rPr>
                <w:rFonts w:hint="eastAsia"/>
                <w:b/>
                <w:bCs/>
              </w:rPr>
              <w:t>编号</w:t>
            </w:r>
          </w:p>
        </w:tc>
        <w:tc>
          <w:tcPr>
            <w:tcW w:w="1667" w:type="dxa"/>
            <w:shd w:val="clear" w:color="auto" w:fill="D8D8D8"/>
            <w:vAlign w:val="center"/>
          </w:tcPr>
          <w:p>
            <w:pPr>
              <w:spacing w:line="480" w:lineRule="exact"/>
              <w:rPr>
                <w:b/>
                <w:bCs/>
              </w:rPr>
            </w:pPr>
            <w:r>
              <w:rPr>
                <w:rFonts w:hint="eastAsia"/>
                <w:b/>
                <w:bCs/>
              </w:rPr>
              <w:t>部门及配置</w:t>
            </w:r>
          </w:p>
        </w:tc>
        <w:tc>
          <w:tcPr>
            <w:tcW w:w="6052" w:type="dxa"/>
            <w:shd w:val="clear" w:color="auto" w:fill="D8D8D8"/>
            <w:vAlign w:val="center"/>
          </w:tcPr>
          <w:p>
            <w:pPr>
              <w:spacing w:line="480" w:lineRule="exact"/>
              <w:rPr>
                <w:b/>
                <w:bCs/>
              </w:rPr>
            </w:pPr>
            <w:r>
              <w:rPr>
                <w:rFonts w:hint="eastAsia"/>
                <w:b/>
                <w:bCs/>
              </w:rPr>
              <w:t>主要工作方式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00" w:type="dxa"/>
            <w:vAlign w:val="center"/>
          </w:tcPr>
          <w:p>
            <w:pPr>
              <w:spacing w:line="480" w:lineRule="exact"/>
              <w:jc w:val="center"/>
            </w:pPr>
            <w:r>
              <w:rPr>
                <w:rFonts w:hint="eastAsia"/>
              </w:rPr>
              <w:t>1</w:t>
            </w:r>
          </w:p>
        </w:tc>
        <w:tc>
          <w:tcPr>
            <w:tcW w:w="1667" w:type="dxa"/>
            <w:vAlign w:val="center"/>
          </w:tcPr>
          <w:p>
            <w:pPr>
              <w:spacing w:line="480" w:lineRule="exact"/>
            </w:pPr>
            <w:r>
              <w:rPr>
                <w:rFonts w:hint="eastAsia"/>
              </w:rPr>
              <w:t>电话、网站及邮件支持</w:t>
            </w:r>
          </w:p>
        </w:tc>
        <w:tc>
          <w:tcPr>
            <w:tcW w:w="6052" w:type="dxa"/>
            <w:vAlign w:val="center"/>
          </w:tcPr>
          <w:p>
            <w:pPr>
              <w:spacing w:line="480" w:lineRule="exact"/>
            </w:pPr>
            <w:r>
              <w:rPr>
                <w:rFonts w:hint="eastAsia"/>
              </w:rPr>
              <w:t>主要通过电话、电子邮件和网站为业务用户做指定范围内的技术支持，解决用户在安装、配置、使用的问题及提供系统升级指导；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00" w:type="dxa"/>
            <w:vAlign w:val="center"/>
          </w:tcPr>
          <w:p>
            <w:pPr>
              <w:spacing w:line="480" w:lineRule="exact"/>
              <w:jc w:val="center"/>
            </w:pPr>
            <w:r>
              <w:rPr>
                <w:rFonts w:hint="eastAsia"/>
              </w:rPr>
              <w:t>2</w:t>
            </w:r>
          </w:p>
        </w:tc>
        <w:tc>
          <w:tcPr>
            <w:tcW w:w="1667" w:type="dxa"/>
            <w:vAlign w:val="center"/>
          </w:tcPr>
          <w:p>
            <w:pPr>
              <w:spacing w:line="480" w:lineRule="exact"/>
            </w:pPr>
            <w:r>
              <w:rPr>
                <w:rFonts w:hint="eastAsia"/>
              </w:rPr>
              <w:t>驻场售后支持</w:t>
            </w:r>
          </w:p>
        </w:tc>
        <w:tc>
          <w:tcPr>
            <w:tcW w:w="6052" w:type="dxa"/>
            <w:vAlign w:val="center"/>
          </w:tcPr>
          <w:p>
            <w:pPr>
              <w:spacing w:line="480" w:lineRule="exact"/>
            </w:pPr>
            <w:r>
              <w:rPr>
                <w:rFonts w:hint="eastAsia"/>
              </w:rPr>
              <w:t>设立驻场运维服务机构，提供现场技术支持，解决用户在安装、配置、系统整合、系统定制、系统分析、系统优化及关键业务支持等工作；帮助用户解决在实际应用中的各种相关操作系统的问题，如需赶往现场，需在1小时内抵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00" w:type="dxa"/>
            <w:vAlign w:val="center"/>
          </w:tcPr>
          <w:p>
            <w:pPr>
              <w:spacing w:line="480" w:lineRule="exact"/>
              <w:jc w:val="center"/>
            </w:pPr>
            <w:r>
              <w:rPr>
                <w:rFonts w:hint="eastAsia"/>
              </w:rPr>
              <w:t>3</w:t>
            </w:r>
          </w:p>
        </w:tc>
        <w:tc>
          <w:tcPr>
            <w:tcW w:w="1667" w:type="dxa"/>
            <w:vAlign w:val="center"/>
          </w:tcPr>
          <w:p>
            <w:pPr>
              <w:spacing w:line="480" w:lineRule="exact"/>
            </w:pPr>
            <w:r>
              <w:rPr>
                <w:rFonts w:hint="eastAsia"/>
              </w:rPr>
              <w:t>研发部门支持</w:t>
            </w:r>
          </w:p>
        </w:tc>
        <w:tc>
          <w:tcPr>
            <w:tcW w:w="6052" w:type="dxa"/>
            <w:vAlign w:val="center"/>
          </w:tcPr>
          <w:p>
            <w:pPr>
              <w:spacing w:line="480" w:lineRule="exact"/>
            </w:pPr>
            <w:r>
              <w:rPr>
                <w:rFonts w:hint="eastAsia"/>
              </w:rPr>
              <w:t>通过编写应用程序和定期更新各种系统补丁程序来完成对一线技术支持人员的支持工作；同时还直接面向最终用户提供各种应用移植、系统评估及合作开发等技术支持服务。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00" w:type="dxa"/>
            <w:vAlign w:val="center"/>
          </w:tcPr>
          <w:p>
            <w:pPr>
              <w:spacing w:line="480" w:lineRule="exact"/>
              <w:jc w:val="center"/>
            </w:pPr>
            <w:r>
              <w:rPr>
                <w:rFonts w:hint="eastAsia"/>
              </w:rPr>
              <w:t>4</w:t>
            </w:r>
          </w:p>
        </w:tc>
        <w:tc>
          <w:tcPr>
            <w:tcW w:w="1667" w:type="dxa"/>
            <w:vAlign w:val="center"/>
          </w:tcPr>
          <w:p>
            <w:pPr>
              <w:spacing w:line="480" w:lineRule="exact"/>
            </w:pPr>
            <w:r>
              <w:rPr>
                <w:rFonts w:hint="eastAsia"/>
              </w:rPr>
              <w:t>产品部门支持</w:t>
            </w:r>
          </w:p>
        </w:tc>
        <w:tc>
          <w:tcPr>
            <w:tcW w:w="6052" w:type="dxa"/>
            <w:vAlign w:val="center"/>
          </w:tcPr>
          <w:p>
            <w:pPr>
              <w:spacing w:line="480" w:lineRule="exact"/>
            </w:pPr>
            <w:r>
              <w:rPr>
                <w:rFonts w:hint="eastAsia"/>
              </w:rPr>
              <w:t>主要通过与系统有关厂商的合作联系，帮助售后部和研发部门第一时间获得来自第三方的各种与技术支持有关的资源。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00" w:type="dxa"/>
            <w:vAlign w:val="center"/>
          </w:tcPr>
          <w:p>
            <w:pPr>
              <w:spacing w:line="480" w:lineRule="exact"/>
              <w:jc w:val="center"/>
            </w:pPr>
            <w:r>
              <w:rPr>
                <w:rFonts w:hint="eastAsia"/>
              </w:rPr>
              <w:t>5</w:t>
            </w:r>
          </w:p>
        </w:tc>
        <w:tc>
          <w:tcPr>
            <w:tcW w:w="1667" w:type="dxa"/>
            <w:vAlign w:val="center"/>
          </w:tcPr>
          <w:p>
            <w:pPr>
              <w:spacing w:line="480" w:lineRule="exact"/>
            </w:pPr>
            <w:r>
              <w:rPr>
                <w:rFonts w:hint="eastAsia"/>
              </w:rPr>
              <w:t>远程协助服务支持</w:t>
            </w:r>
          </w:p>
        </w:tc>
        <w:tc>
          <w:tcPr>
            <w:tcW w:w="6052" w:type="dxa"/>
            <w:vAlign w:val="center"/>
          </w:tcPr>
          <w:p>
            <w:pPr>
              <w:spacing w:line="480" w:lineRule="exact"/>
            </w:pPr>
            <w:r>
              <w:rPr>
                <w:rFonts w:hint="eastAsia"/>
              </w:rPr>
              <w:t>在授权模式下，运维技术人员通过Internet或V</w:t>
            </w:r>
            <w:r>
              <w:t>PN通道</w:t>
            </w:r>
            <w:r>
              <w:rPr>
                <w:rFonts w:hint="eastAsia"/>
              </w:rPr>
              <w:t>可以登录到用户端的设备上，进行远程诊断和维护。</w:t>
            </w:r>
          </w:p>
        </w:tc>
      </w:tr>
    </w:tbl>
    <w:p>
      <w:pPr>
        <w:numPr>
          <w:ilvl w:val="0"/>
          <w:numId w:val="23"/>
        </w:numPr>
        <w:spacing w:line="480" w:lineRule="exact"/>
        <w:ind w:left="0" w:firstLine="482" w:firstLineChars="200"/>
        <w:rPr>
          <w:b/>
          <w:bCs/>
        </w:rPr>
      </w:pPr>
      <w:r>
        <w:rPr>
          <w:rFonts w:hint="eastAsia"/>
          <w:b/>
          <w:bCs/>
        </w:rPr>
        <w:t>运维方式及服务内容</w:t>
      </w:r>
    </w:p>
    <w:p>
      <w:pPr>
        <w:pStyle w:val="8"/>
        <w:spacing w:line="480" w:lineRule="exact"/>
        <w:ind w:firstLine="480"/>
      </w:pPr>
      <w:r>
        <w:rPr>
          <w:rFonts w:hint="eastAsia"/>
        </w:rPr>
        <w:t>售后维护服务工作的内容包括驻场服务、日常运维、技术支持、培训服务、高级服务等服务，具体服务内容描述如下：</w:t>
      </w:r>
    </w:p>
    <w:p>
      <w:pPr>
        <w:numPr>
          <w:ilvl w:val="0"/>
          <w:numId w:val="26"/>
        </w:numPr>
        <w:spacing w:line="480" w:lineRule="exact"/>
        <w:ind w:firstLine="480" w:firstLineChars="200"/>
      </w:pPr>
      <w:bookmarkStart w:id="11" w:name="_Toc29818"/>
      <w:r>
        <w:rPr>
          <w:rFonts w:hint="eastAsia"/>
        </w:rPr>
        <w:t>日常运维</w:t>
      </w:r>
      <w:bookmarkEnd w:id="11"/>
    </w:p>
    <w:p>
      <w:pPr>
        <w:pStyle w:val="8"/>
        <w:spacing w:line="480" w:lineRule="exact"/>
        <w:ind w:firstLine="480"/>
      </w:pPr>
      <w:r>
        <w:rPr>
          <w:rFonts w:hint="eastAsia"/>
        </w:rPr>
        <w:t>日常运维服务包括例行巡检、系统管理、系统维护、网络安全维护、数据库维护、应急处理、紧急事件预案等。</w:t>
      </w:r>
    </w:p>
    <w:p>
      <w:pPr>
        <w:numPr>
          <w:ilvl w:val="0"/>
          <w:numId w:val="27"/>
        </w:numPr>
        <w:spacing w:line="480" w:lineRule="exact"/>
        <w:ind w:firstLine="480" w:firstLineChars="200"/>
      </w:pPr>
      <w:bookmarkStart w:id="12" w:name="_Toc22096"/>
      <w:bookmarkStart w:id="13" w:name="_Toc19690217"/>
      <w:bookmarkStart w:id="14" w:name="_Toc5099"/>
      <w:bookmarkStart w:id="15" w:name="_Toc11481"/>
      <w:bookmarkStart w:id="16" w:name="_Toc2657"/>
      <w:bookmarkStart w:id="17" w:name="_Toc2845250"/>
      <w:bookmarkStart w:id="18" w:name="_Toc5794"/>
      <w:r>
        <w:rPr>
          <w:rFonts w:hint="eastAsia"/>
        </w:rPr>
        <w:t>例行巡检</w:t>
      </w:r>
      <w:bookmarkEnd w:id="12"/>
      <w:bookmarkEnd w:id="13"/>
      <w:bookmarkEnd w:id="14"/>
      <w:bookmarkEnd w:id="15"/>
      <w:bookmarkEnd w:id="16"/>
      <w:bookmarkEnd w:id="17"/>
      <w:bookmarkEnd w:id="18"/>
    </w:p>
    <w:p>
      <w:pPr>
        <w:pStyle w:val="8"/>
        <w:spacing w:line="480" w:lineRule="exact"/>
        <w:ind w:firstLine="480"/>
      </w:pPr>
      <w:r>
        <w:rPr>
          <w:rFonts w:hint="eastAsia"/>
        </w:rPr>
        <w:t>运行监控。不定期的观察服务器的运行状态，并对检查所有模块的运行。</w:t>
      </w:r>
    </w:p>
    <w:p>
      <w:pPr>
        <w:pStyle w:val="8"/>
        <w:spacing w:line="480" w:lineRule="exact"/>
        <w:ind w:firstLine="480"/>
      </w:pPr>
      <w:r>
        <w:rPr>
          <w:rFonts w:hint="eastAsia"/>
        </w:rPr>
        <w:t>系统检测。根据甲方管理需要和硬件条件，对服务器的硬盘空间、CPU、内存、系统日志、防病毒软件进行检测，并形成检测报告，若发现异常现象，应及时通知客户，做出预警。</w:t>
      </w:r>
    </w:p>
    <w:p>
      <w:pPr>
        <w:pStyle w:val="8"/>
        <w:spacing w:line="480" w:lineRule="exact"/>
        <w:ind w:firstLine="480"/>
      </w:pPr>
      <w:r>
        <w:fldChar w:fldCharType="begin"/>
      </w:r>
      <w:r>
        <w:instrText xml:space="preserve"> HYPERLINK \l "_项目售后服务任务日志周报表_1" </w:instrText>
      </w:r>
      <w:r>
        <w:fldChar w:fldCharType="separate"/>
      </w:r>
      <w:r>
        <w:rPr>
          <w:rFonts w:hint="eastAsia"/>
        </w:rPr>
        <w:t>服务报表</w:t>
      </w:r>
      <w:r>
        <w:rPr>
          <w:rFonts w:hint="eastAsia"/>
        </w:rPr>
        <w:fldChar w:fldCharType="end"/>
      </w:r>
      <w:r>
        <w:rPr>
          <w:rFonts w:hint="eastAsia"/>
        </w:rPr>
        <w:t>。按照周或者月记录售后工作内容，并记录系统运行相关业务数据（例如用户量、公文数据量、信息发布数据量等）、系统工作运行数据（例如访问量、响应值等）及数据变化的情况。</w:t>
      </w:r>
    </w:p>
    <w:p>
      <w:pPr>
        <w:pStyle w:val="8"/>
        <w:spacing w:line="480" w:lineRule="exact"/>
        <w:ind w:firstLine="480"/>
      </w:pPr>
      <w:r>
        <w:fldChar w:fldCharType="begin"/>
      </w:r>
      <w:r>
        <w:instrText xml:space="preserve"> HYPERLINK \l "_工作总结" </w:instrText>
      </w:r>
      <w:r>
        <w:fldChar w:fldCharType="separate"/>
      </w:r>
      <w:r>
        <w:rPr>
          <w:rFonts w:hint="eastAsia"/>
        </w:rPr>
        <w:t>系统运行数据的曲线图</w:t>
      </w:r>
      <w:r>
        <w:rPr>
          <w:rFonts w:hint="eastAsia"/>
        </w:rPr>
        <w:fldChar w:fldCharType="end"/>
      </w:r>
      <w:r>
        <w:rPr>
          <w:rFonts w:hint="eastAsia"/>
        </w:rPr>
        <w:t>。包括全季度、年度用户访问量、系统数据量、硬盘空间的变化曲线。</w:t>
      </w:r>
    </w:p>
    <w:p>
      <w:pPr>
        <w:numPr>
          <w:ilvl w:val="0"/>
          <w:numId w:val="27"/>
        </w:numPr>
        <w:spacing w:line="480" w:lineRule="exact"/>
        <w:ind w:firstLine="480" w:firstLineChars="200"/>
      </w:pPr>
      <w:bookmarkStart w:id="19" w:name="_Toc22118"/>
      <w:bookmarkStart w:id="20" w:name="_Toc21287"/>
      <w:bookmarkStart w:id="21" w:name="_Toc19690218"/>
      <w:bookmarkStart w:id="22" w:name="_Toc13360"/>
      <w:bookmarkStart w:id="23" w:name="_Toc2845251"/>
      <w:bookmarkStart w:id="24" w:name="_Toc6249"/>
      <w:bookmarkStart w:id="25" w:name="_Toc22385"/>
      <w:r>
        <w:rPr>
          <w:rFonts w:hint="eastAsia"/>
        </w:rPr>
        <w:t>系统管理</w:t>
      </w:r>
      <w:bookmarkEnd w:id="19"/>
      <w:bookmarkEnd w:id="20"/>
      <w:bookmarkEnd w:id="21"/>
      <w:bookmarkEnd w:id="22"/>
      <w:bookmarkEnd w:id="23"/>
      <w:bookmarkEnd w:id="24"/>
      <w:bookmarkEnd w:id="25"/>
    </w:p>
    <w:p>
      <w:pPr>
        <w:pStyle w:val="8"/>
        <w:spacing w:line="480" w:lineRule="exact"/>
        <w:ind w:firstLine="480"/>
      </w:pPr>
      <w:r>
        <w:rPr>
          <w:rFonts w:hint="eastAsia"/>
        </w:rPr>
        <w:t>用户数据维护。根据客户单位的组织机构、人员变动的情况，及时调整系统的组织模型和用户帐号信息，做好授权，并检查好各模块的应用情况。</w:t>
      </w:r>
    </w:p>
    <w:p>
      <w:pPr>
        <w:pStyle w:val="8"/>
        <w:spacing w:line="480" w:lineRule="exact"/>
        <w:ind w:firstLine="480"/>
      </w:pPr>
      <w:r>
        <w:rPr>
          <w:rFonts w:hint="eastAsia"/>
        </w:rPr>
        <w:t>流程定义和调整。根据用户提出的业务流程变更需求，修改工作流相关定义，并做好测试工作。</w:t>
      </w:r>
    </w:p>
    <w:p>
      <w:pPr>
        <w:pStyle w:val="8"/>
        <w:spacing w:line="480" w:lineRule="exact"/>
        <w:ind w:firstLine="480"/>
      </w:pPr>
      <w:r>
        <w:rPr>
          <w:rFonts w:hint="eastAsia"/>
        </w:rPr>
        <w:t>信息发布。根据用户平时信息发布的要求，定义信息发布栏目的模版，并协助用户发布信息。</w:t>
      </w:r>
    </w:p>
    <w:p>
      <w:pPr>
        <w:pStyle w:val="8"/>
        <w:spacing w:line="480" w:lineRule="exact"/>
        <w:ind w:firstLine="480"/>
      </w:pPr>
      <w:r>
        <w:rPr>
          <w:rFonts w:hint="eastAsia"/>
        </w:rPr>
        <w:t>业务数据维护。对于项目涉及到的专业数据，协助用户配置系统相关参数，协助用户进行数据维护。</w:t>
      </w:r>
    </w:p>
    <w:p>
      <w:pPr>
        <w:pStyle w:val="8"/>
        <w:spacing w:line="480" w:lineRule="exact"/>
        <w:ind w:firstLine="480"/>
      </w:pPr>
      <w:r>
        <w:rPr>
          <w:rFonts w:hint="eastAsia"/>
        </w:rPr>
        <w:t>文档组织和整理。包括应用操作手册、系统管理与维护手册、设备资料等编写和整理。</w:t>
      </w:r>
    </w:p>
    <w:p>
      <w:pPr>
        <w:numPr>
          <w:ilvl w:val="0"/>
          <w:numId w:val="27"/>
        </w:numPr>
        <w:spacing w:line="480" w:lineRule="exact"/>
        <w:ind w:firstLine="480" w:firstLineChars="200"/>
      </w:pPr>
      <w:bookmarkStart w:id="26" w:name="_Toc19690219"/>
      <w:bookmarkStart w:id="27" w:name="_Toc25771"/>
      <w:bookmarkStart w:id="28" w:name="_Toc6900"/>
      <w:bookmarkStart w:id="29" w:name="_Toc14435"/>
      <w:bookmarkStart w:id="30" w:name="_Toc19912"/>
      <w:bookmarkStart w:id="31" w:name="_Toc2845252"/>
      <w:bookmarkStart w:id="32" w:name="_Toc512"/>
      <w:r>
        <w:rPr>
          <w:rFonts w:hint="eastAsia"/>
        </w:rPr>
        <w:t>系统维护</w:t>
      </w:r>
      <w:bookmarkEnd w:id="26"/>
      <w:bookmarkEnd w:id="27"/>
      <w:bookmarkEnd w:id="28"/>
      <w:bookmarkEnd w:id="29"/>
      <w:bookmarkEnd w:id="30"/>
      <w:bookmarkEnd w:id="31"/>
      <w:bookmarkEnd w:id="32"/>
    </w:p>
    <w:p>
      <w:pPr>
        <w:pStyle w:val="8"/>
        <w:spacing w:line="480" w:lineRule="exact"/>
        <w:ind w:firstLine="480"/>
      </w:pPr>
      <w:r>
        <w:rPr>
          <w:rFonts w:hint="eastAsia"/>
        </w:rPr>
        <w:t>目录服务维护。定期（如每周一次）对相关数据进行备份。操作系统及应用服务器维护。定期检查服务器操作系统及应用服务器的日志文件，做好安全防备和日志清理工作。</w:t>
      </w:r>
    </w:p>
    <w:p>
      <w:pPr>
        <w:pStyle w:val="8"/>
        <w:spacing w:line="480" w:lineRule="exact"/>
        <w:ind w:firstLine="480"/>
      </w:pPr>
      <w:r>
        <w:rPr>
          <w:rFonts w:hint="eastAsia"/>
        </w:rPr>
        <w:t>中间件维护。指对Tomcat等中间件的日常维护管理和监控工作，提高对中间件平台事件的分析解决能力，确保中间件平台持续稳定运行。中间件监控指标包括配置信息管理、故障监控、性能监控。</w:t>
      </w:r>
    </w:p>
    <w:p>
      <w:pPr>
        <w:pStyle w:val="8"/>
        <w:spacing w:line="480" w:lineRule="exact"/>
        <w:ind w:firstLine="480"/>
      </w:pPr>
      <w:r>
        <w:rPr>
          <w:rFonts w:hint="eastAsia"/>
        </w:rPr>
        <w:t>补丁安装。及时了解数据库、目录服务、应用服务器、操作系统和项目中采用的公司自主产品补丁发布情况，及时做好补丁安装。</w:t>
      </w:r>
    </w:p>
    <w:p>
      <w:pPr>
        <w:pStyle w:val="8"/>
        <w:spacing w:line="480" w:lineRule="exact"/>
        <w:ind w:firstLine="480"/>
      </w:pPr>
      <w:r>
        <w:rPr>
          <w:rFonts w:hint="eastAsia"/>
        </w:rPr>
        <w:t>日志数据维护。对涉及到系统安全、稳定运行的日志数据进行定期的备份、清理，同时避免因日志数据文件过大导致系统无法高效运行。</w:t>
      </w:r>
    </w:p>
    <w:p>
      <w:pPr>
        <w:pStyle w:val="8"/>
        <w:spacing w:line="480" w:lineRule="exact"/>
        <w:ind w:firstLine="480"/>
      </w:pPr>
      <w:r>
        <w:rPr>
          <w:rFonts w:hint="eastAsia"/>
        </w:rPr>
        <w:t>服务器环境调整。当用户系统基础运行网络环境发生调整时，在规定的时间内对项目中采用的相关软件和设备进行安装、部署、配置调整及数据迁移，不影响用户的正常使用。环境调整包括网络环境调整、服务器迁移、操作系统升级、网络安全部署及服务器硬件升级。</w:t>
      </w:r>
    </w:p>
    <w:p>
      <w:pPr>
        <w:pStyle w:val="8"/>
        <w:spacing w:line="480" w:lineRule="exact"/>
        <w:ind w:firstLine="480"/>
      </w:pPr>
      <w:r>
        <w:rPr>
          <w:rFonts w:hint="eastAsia"/>
        </w:rPr>
        <w:t>故障排除。对于因软件系统质量原因出现的意外故障，及时分析并排除，保证用户的正常使用。</w:t>
      </w:r>
      <w:bookmarkStart w:id="33" w:name="_Toc2845253"/>
      <w:bookmarkStart w:id="34" w:name="_Toc29593"/>
      <w:bookmarkStart w:id="35" w:name="_Toc18163"/>
      <w:bookmarkStart w:id="36" w:name="_Toc19690220"/>
      <w:bookmarkStart w:id="37" w:name="_Toc21595"/>
    </w:p>
    <w:p>
      <w:pPr>
        <w:numPr>
          <w:ilvl w:val="0"/>
          <w:numId w:val="27"/>
        </w:numPr>
        <w:spacing w:line="480" w:lineRule="exact"/>
        <w:ind w:firstLine="480" w:firstLineChars="200"/>
      </w:pPr>
      <w:bookmarkStart w:id="38" w:name="_Toc14392"/>
      <w:bookmarkStart w:id="39" w:name="_Toc6435"/>
      <w:r>
        <w:rPr>
          <w:rFonts w:hint="eastAsia"/>
        </w:rPr>
        <w:t>网络安全维护</w:t>
      </w:r>
      <w:bookmarkEnd w:id="33"/>
      <w:bookmarkEnd w:id="34"/>
      <w:bookmarkEnd w:id="35"/>
      <w:bookmarkEnd w:id="36"/>
      <w:bookmarkEnd w:id="37"/>
      <w:bookmarkEnd w:id="38"/>
      <w:bookmarkEnd w:id="39"/>
    </w:p>
    <w:p>
      <w:pPr>
        <w:pStyle w:val="8"/>
        <w:spacing w:line="480" w:lineRule="exact"/>
        <w:ind w:firstLine="480"/>
      </w:pPr>
      <w:r>
        <w:rPr>
          <w:rFonts w:hint="eastAsia"/>
        </w:rPr>
        <w:t>负责联系政务云运维单位，从网络的连通性、网络的性能、网络安全监控管理等三个方面实现对网络系统的安全监控管理。</w:t>
      </w:r>
    </w:p>
    <w:p>
      <w:pPr>
        <w:numPr>
          <w:ilvl w:val="0"/>
          <w:numId w:val="27"/>
        </w:numPr>
        <w:spacing w:line="480" w:lineRule="exact"/>
        <w:ind w:firstLine="480" w:firstLineChars="200"/>
      </w:pPr>
      <w:bookmarkStart w:id="40" w:name="_Toc19690221"/>
      <w:bookmarkStart w:id="41" w:name="_Toc2845254"/>
      <w:bookmarkStart w:id="42" w:name="_Toc13319"/>
      <w:bookmarkStart w:id="43" w:name="_Toc18083"/>
      <w:bookmarkStart w:id="44" w:name="_Toc15620"/>
      <w:bookmarkStart w:id="45" w:name="_Toc5918"/>
      <w:bookmarkStart w:id="46" w:name="_Toc19777"/>
      <w:r>
        <w:rPr>
          <w:rFonts w:hint="eastAsia"/>
        </w:rPr>
        <w:t>数据库维护</w:t>
      </w:r>
      <w:bookmarkEnd w:id="40"/>
      <w:bookmarkEnd w:id="41"/>
      <w:bookmarkEnd w:id="42"/>
      <w:bookmarkEnd w:id="43"/>
      <w:bookmarkEnd w:id="44"/>
      <w:bookmarkEnd w:id="45"/>
      <w:bookmarkEnd w:id="46"/>
    </w:p>
    <w:p>
      <w:pPr>
        <w:pStyle w:val="8"/>
        <w:spacing w:line="480" w:lineRule="exact"/>
        <w:ind w:firstLine="480"/>
      </w:pPr>
      <w:r>
        <w:rPr>
          <w:rFonts w:hint="eastAsia"/>
        </w:rPr>
        <w:t>数据库维护。规划不同数据的生命周期，制订备份、恢复、迁移和灾备策略，根据业务的需要执行数据转换及迁移等操作。</w:t>
      </w:r>
    </w:p>
    <w:p>
      <w:pPr>
        <w:pStyle w:val="8"/>
        <w:spacing w:line="480" w:lineRule="exact"/>
        <w:ind w:firstLine="480"/>
      </w:pPr>
      <w:r>
        <w:rPr>
          <w:rFonts w:hint="eastAsia"/>
        </w:rPr>
        <w:t>数据库备份。定期（如每周一次）对数据库进行备份。备份机制包括本机备份+异机备份。数据库备份采取自动备份机制在本机和局域网备份。必要时可做系统镜像备份，遇到紧急情况时可迅速恢复。</w:t>
      </w:r>
    </w:p>
    <w:p>
      <w:pPr>
        <w:pStyle w:val="8"/>
        <w:spacing w:line="480" w:lineRule="exact"/>
        <w:ind w:firstLine="480"/>
      </w:pPr>
      <w:r>
        <w:rPr>
          <w:rFonts w:hint="eastAsia"/>
        </w:rPr>
        <w:t>数据库性能监测+优化。通过对数据性能的监控，了解数据库的日常运行状态，有针对性地进行调整优化，扩大可使用空间，确保运行效率。</w:t>
      </w:r>
    </w:p>
    <w:p>
      <w:pPr>
        <w:numPr>
          <w:ilvl w:val="0"/>
          <w:numId w:val="27"/>
        </w:numPr>
        <w:spacing w:line="480" w:lineRule="exact"/>
        <w:ind w:firstLine="480" w:firstLineChars="200"/>
      </w:pPr>
      <w:bookmarkStart w:id="47" w:name="_Toc30331"/>
      <w:bookmarkStart w:id="48" w:name="_Toc31608"/>
      <w:bookmarkStart w:id="49" w:name="_Toc25351"/>
      <w:bookmarkStart w:id="50" w:name="_Toc2845255"/>
      <w:bookmarkStart w:id="51" w:name="_Toc1779"/>
      <w:bookmarkStart w:id="52" w:name="_Toc28118"/>
      <w:bookmarkStart w:id="53" w:name="_Toc19690222"/>
      <w:r>
        <w:rPr>
          <w:rFonts w:hint="eastAsia"/>
        </w:rPr>
        <w:t>应急处理</w:t>
      </w:r>
      <w:bookmarkEnd w:id="47"/>
      <w:bookmarkEnd w:id="48"/>
      <w:bookmarkEnd w:id="49"/>
      <w:bookmarkEnd w:id="50"/>
      <w:bookmarkEnd w:id="51"/>
      <w:bookmarkEnd w:id="52"/>
      <w:bookmarkEnd w:id="53"/>
    </w:p>
    <w:p>
      <w:pPr>
        <w:pStyle w:val="8"/>
        <w:spacing w:line="480" w:lineRule="exact"/>
        <w:ind w:firstLine="480"/>
      </w:pPr>
      <w:r>
        <w:rPr>
          <w:rFonts w:hint="eastAsia"/>
        </w:rPr>
        <w:t>若发生不可预知的事件发生，根据当时情况进行分析，并通过技术知识库及外援支持立即展开紧急补救工作。</w:t>
      </w:r>
    </w:p>
    <w:p>
      <w:pPr>
        <w:pStyle w:val="8"/>
        <w:spacing w:line="480" w:lineRule="exact"/>
        <w:ind w:firstLine="480"/>
      </w:pPr>
      <w:r>
        <w:rPr>
          <w:rFonts w:hint="eastAsia"/>
        </w:rPr>
        <w:t>针对本项目制定了详尽的设计、应急处理预案，整个流程严谨而有序，但是，在服务维护过程中，意外情况将难以完全避免。下面，我们将对项目实施的突发风险进行详细分析，并且针对各类突发事件，设计了相应的预防和解决措施，同时，提供了完整的应急处理流程。</w:t>
      </w:r>
    </w:p>
    <w:p>
      <w:pPr>
        <w:pStyle w:val="8"/>
        <w:spacing w:line="480" w:lineRule="exact"/>
        <w:ind w:firstLine="480"/>
      </w:pPr>
      <w:r>
        <w:rPr>
          <w:rFonts w:hint="eastAsia"/>
        </w:rPr>
        <w:t>针对现场服务过程中可能遇到的各种各样的风险，根据运维服务经验，针对一些可能出现的情况，制定了一系列预防处理措施：</w:t>
      </w:r>
    </w:p>
    <w:tbl>
      <w:tblPr>
        <w:tblStyle w:val="17"/>
        <w:tblW w:w="852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977"/>
        <w:gridCol w:w="2688"/>
        <w:gridCol w:w="3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blHeader/>
        </w:trPr>
        <w:tc>
          <w:tcPr>
            <w:tcW w:w="812" w:type="dxa"/>
            <w:shd w:val="clear" w:color="auto" w:fill="D8D8D8"/>
          </w:tcPr>
          <w:p>
            <w:pPr>
              <w:spacing w:line="480" w:lineRule="exact"/>
              <w:jc w:val="center"/>
              <w:rPr>
                <w:b/>
                <w:bCs/>
              </w:rPr>
            </w:pPr>
            <w:r>
              <w:rPr>
                <w:rFonts w:hint="eastAsia"/>
                <w:b/>
                <w:bCs/>
              </w:rPr>
              <w:t>类型</w:t>
            </w:r>
          </w:p>
        </w:tc>
        <w:tc>
          <w:tcPr>
            <w:tcW w:w="1977" w:type="dxa"/>
            <w:shd w:val="clear" w:color="auto" w:fill="D8D8D8"/>
          </w:tcPr>
          <w:p>
            <w:pPr>
              <w:spacing w:line="480" w:lineRule="exact"/>
              <w:jc w:val="center"/>
              <w:rPr>
                <w:b/>
                <w:bCs/>
              </w:rPr>
            </w:pPr>
            <w:r>
              <w:rPr>
                <w:rFonts w:hint="eastAsia"/>
                <w:b/>
                <w:bCs/>
              </w:rPr>
              <w:t>事件</w:t>
            </w:r>
          </w:p>
        </w:tc>
        <w:tc>
          <w:tcPr>
            <w:tcW w:w="2688" w:type="dxa"/>
            <w:shd w:val="clear" w:color="auto" w:fill="D8D8D8"/>
          </w:tcPr>
          <w:p>
            <w:pPr>
              <w:spacing w:line="480" w:lineRule="exact"/>
              <w:jc w:val="center"/>
              <w:rPr>
                <w:b/>
                <w:bCs/>
              </w:rPr>
            </w:pPr>
            <w:r>
              <w:rPr>
                <w:rFonts w:hint="eastAsia"/>
                <w:b/>
                <w:bCs/>
              </w:rPr>
              <w:t>预防措施</w:t>
            </w:r>
          </w:p>
        </w:tc>
        <w:tc>
          <w:tcPr>
            <w:tcW w:w="3045" w:type="dxa"/>
            <w:shd w:val="clear" w:color="auto" w:fill="D8D8D8"/>
          </w:tcPr>
          <w:p>
            <w:pPr>
              <w:spacing w:line="480" w:lineRule="exact"/>
              <w:jc w:val="center"/>
              <w:rPr>
                <w:b/>
                <w:bCs/>
              </w:rPr>
            </w:pPr>
            <w:r>
              <w:rPr>
                <w:rFonts w:hint="eastAsia"/>
                <w:b/>
                <w:bCs/>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12" w:type="dxa"/>
            <w:vMerge w:val="restart"/>
          </w:tcPr>
          <w:p>
            <w:pPr>
              <w:spacing w:line="480" w:lineRule="exact"/>
            </w:pPr>
            <w:r>
              <w:rPr>
                <w:rFonts w:hint="eastAsia"/>
              </w:rPr>
              <w:t>应用软件</w:t>
            </w:r>
          </w:p>
        </w:tc>
        <w:tc>
          <w:tcPr>
            <w:tcW w:w="1977" w:type="dxa"/>
          </w:tcPr>
          <w:p>
            <w:pPr>
              <w:spacing w:line="480" w:lineRule="exact"/>
            </w:pPr>
            <w:r>
              <w:rPr>
                <w:rFonts w:hint="eastAsia"/>
              </w:rPr>
              <w:t>无法启动软件可实行文件</w:t>
            </w:r>
          </w:p>
        </w:tc>
        <w:tc>
          <w:tcPr>
            <w:tcW w:w="2688" w:type="dxa"/>
          </w:tcPr>
          <w:p>
            <w:pPr>
              <w:spacing w:line="480" w:lineRule="exact"/>
            </w:pPr>
            <w:r>
              <w:rPr>
                <w:rFonts w:hint="eastAsia"/>
              </w:rPr>
              <w:t>运维人员提前准备好各类需维护软件安装程序</w:t>
            </w:r>
          </w:p>
        </w:tc>
        <w:tc>
          <w:tcPr>
            <w:tcW w:w="3045" w:type="dxa"/>
          </w:tcPr>
          <w:p>
            <w:pPr>
              <w:spacing w:line="480" w:lineRule="exact"/>
            </w:pPr>
            <w:r>
              <w:rPr>
                <w:rFonts w:hint="eastAsia"/>
              </w:rPr>
              <w:t>将应用软件数据文件备份后，重新安装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12" w:type="dxa"/>
            <w:vMerge w:val="continue"/>
          </w:tcPr>
          <w:p>
            <w:pPr>
              <w:spacing w:line="480" w:lineRule="exact"/>
            </w:pPr>
          </w:p>
        </w:tc>
        <w:tc>
          <w:tcPr>
            <w:tcW w:w="1977" w:type="dxa"/>
          </w:tcPr>
          <w:p>
            <w:pPr>
              <w:spacing w:line="480" w:lineRule="exact"/>
            </w:pPr>
            <w:r>
              <w:rPr>
                <w:rFonts w:hint="eastAsia"/>
              </w:rPr>
              <w:t>软件打开过程中或运行中异常错误关闭</w:t>
            </w:r>
          </w:p>
        </w:tc>
        <w:tc>
          <w:tcPr>
            <w:tcW w:w="2688" w:type="dxa"/>
          </w:tcPr>
          <w:p>
            <w:pPr>
              <w:spacing w:line="480" w:lineRule="exact"/>
            </w:pPr>
            <w:r>
              <w:rPr>
                <w:rFonts w:hint="eastAsia"/>
              </w:rPr>
              <w:t>运维人员准备好安装程序，操作系统优化和修补软件，查杀病毒软件</w:t>
            </w:r>
          </w:p>
        </w:tc>
        <w:tc>
          <w:tcPr>
            <w:tcW w:w="3045" w:type="dxa"/>
          </w:tcPr>
          <w:p>
            <w:pPr>
              <w:spacing w:line="480" w:lineRule="exact"/>
            </w:pPr>
            <w:r>
              <w:rPr>
                <w:rFonts w:hint="eastAsia"/>
              </w:rPr>
              <w:t>判断出错原因，备份数据，采取相关修复措施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12" w:type="dxa"/>
            <w:vMerge w:val="restart"/>
          </w:tcPr>
          <w:p>
            <w:pPr>
              <w:spacing w:line="480" w:lineRule="exact"/>
            </w:pPr>
            <w:r>
              <w:rPr>
                <w:rFonts w:hint="eastAsia"/>
              </w:rPr>
              <w:t>操作系统</w:t>
            </w:r>
          </w:p>
        </w:tc>
        <w:tc>
          <w:tcPr>
            <w:tcW w:w="1977" w:type="dxa"/>
          </w:tcPr>
          <w:p>
            <w:pPr>
              <w:spacing w:line="480" w:lineRule="exact"/>
            </w:pPr>
            <w:r>
              <w:rPr>
                <w:rFonts w:hint="eastAsia"/>
              </w:rPr>
              <w:t>使用者本级操作系统异常或系统资源占用严重</w:t>
            </w:r>
          </w:p>
        </w:tc>
        <w:tc>
          <w:tcPr>
            <w:tcW w:w="2688" w:type="dxa"/>
          </w:tcPr>
          <w:p>
            <w:pPr>
              <w:spacing w:line="480" w:lineRule="exact"/>
            </w:pPr>
            <w:r>
              <w:rPr>
                <w:rFonts w:hint="eastAsia"/>
              </w:rPr>
              <w:t>准备好系统检查程序及修补程序，以及查杀病毒软件</w:t>
            </w:r>
          </w:p>
        </w:tc>
        <w:tc>
          <w:tcPr>
            <w:tcW w:w="3045" w:type="dxa"/>
          </w:tcPr>
          <w:p>
            <w:pPr>
              <w:spacing w:line="480" w:lineRule="exact"/>
            </w:pPr>
            <w:r>
              <w:rPr>
                <w:rFonts w:hint="eastAsia"/>
              </w:rPr>
              <w:t>告知使用者错误原因可能类型，提出解决方案，经使用者认可后采取相应措施。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12" w:type="dxa"/>
            <w:vMerge w:val="continue"/>
          </w:tcPr>
          <w:p>
            <w:pPr>
              <w:spacing w:line="480" w:lineRule="exact"/>
            </w:pPr>
          </w:p>
        </w:tc>
        <w:tc>
          <w:tcPr>
            <w:tcW w:w="1977" w:type="dxa"/>
          </w:tcPr>
          <w:p>
            <w:pPr>
              <w:spacing w:line="480" w:lineRule="exact"/>
            </w:pPr>
            <w:r>
              <w:rPr>
                <w:rFonts w:hint="eastAsia"/>
              </w:rPr>
              <w:t>B/S结构系统，浏览器异常或无法下载控件</w:t>
            </w:r>
          </w:p>
        </w:tc>
        <w:tc>
          <w:tcPr>
            <w:tcW w:w="2688" w:type="dxa"/>
          </w:tcPr>
          <w:p>
            <w:pPr>
              <w:spacing w:line="480" w:lineRule="exact"/>
            </w:pPr>
            <w:r>
              <w:rPr>
                <w:rFonts w:hint="eastAsia"/>
              </w:rPr>
              <w:t>准备流氓软件清理程序，修复浏览器软件、查杀病毒软件</w:t>
            </w:r>
          </w:p>
        </w:tc>
        <w:tc>
          <w:tcPr>
            <w:tcW w:w="3045" w:type="dxa"/>
          </w:tcPr>
          <w:p>
            <w:pPr>
              <w:spacing w:line="480" w:lineRule="exact"/>
            </w:pPr>
            <w:r>
              <w:rPr>
                <w:rFonts w:hint="eastAsia"/>
              </w:rPr>
              <w:t>检查IE浏览器选项设置，分析原因进行修复。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12" w:type="dxa"/>
          </w:tcPr>
          <w:p>
            <w:pPr>
              <w:spacing w:line="480" w:lineRule="exact"/>
            </w:pPr>
            <w:r>
              <w:rPr>
                <w:rFonts w:hint="eastAsia"/>
              </w:rPr>
              <w:t>网络或服务器</w:t>
            </w:r>
          </w:p>
        </w:tc>
        <w:tc>
          <w:tcPr>
            <w:tcW w:w="1977" w:type="dxa"/>
          </w:tcPr>
          <w:p>
            <w:pPr>
              <w:spacing w:line="480" w:lineRule="exact"/>
            </w:pPr>
            <w:r>
              <w:rPr>
                <w:rFonts w:hint="eastAsia"/>
              </w:rPr>
              <w:t>B/S结构系统网络流量异常或服务器登录异常</w:t>
            </w:r>
          </w:p>
        </w:tc>
        <w:tc>
          <w:tcPr>
            <w:tcW w:w="2688" w:type="dxa"/>
          </w:tcPr>
          <w:p>
            <w:pPr>
              <w:spacing w:line="480" w:lineRule="exact"/>
            </w:pPr>
            <w:r>
              <w:rPr>
                <w:rFonts w:hint="eastAsia"/>
              </w:rPr>
              <w:t>判断服务器是否异常，否则准备杀毒软件</w:t>
            </w:r>
          </w:p>
        </w:tc>
        <w:tc>
          <w:tcPr>
            <w:tcW w:w="3045" w:type="dxa"/>
          </w:tcPr>
          <w:p>
            <w:pPr>
              <w:spacing w:line="480" w:lineRule="exact"/>
            </w:pPr>
            <w:r>
              <w:rPr>
                <w:rFonts w:hint="eastAsia"/>
              </w:rPr>
              <w:t>检查网络流量，流量异常小则保修网络服务商，流量异常大则查杀病毒</w:t>
            </w:r>
          </w:p>
        </w:tc>
      </w:tr>
    </w:tbl>
    <w:p>
      <w:pPr>
        <w:numPr>
          <w:ilvl w:val="0"/>
          <w:numId w:val="27"/>
        </w:numPr>
        <w:spacing w:line="480" w:lineRule="exact"/>
        <w:ind w:firstLine="480" w:firstLineChars="200"/>
      </w:pPr>
      <w:bookmarkStart w:id="54" w:name="_Toc2845256"/>
      <w:bookmarkStart w:id="55" w:name="_Toc2237"/>
      <w:bookmarkStart w:id="56" w:name="_Toc12161"/>
      <w:bookmarkStart w:id="57" w:name="_Toc19690223"/>
      <w:bookmarkStart w:id="58" w:name="_Toc20838"/>
      <w:bookmarkStart w:id="59" w:name="_Toc22341"/>
      <w:bookmarkStart w:id="60" w:name="_Toc8609"/>
      <w:r>
        <w:rPr>
          <w:rFonts w:hint="eastAsia"/>
        </w:rPr>
        <w:t>紧急事件预案</w:t>
      </w:r>
      <w:bookmarkEnd w:id="54"/>
      <w:bookmarkEnd w:id="55"/>
      <w:bookmarkEnd w:id="56"/>
      <w:bookmarkEnd w:id="57"/>
      <w:bookmarkEnd w:id="58"/>
      <w:bookmarkEnd w:id="59"/>
      <w:bookmarkEnd w:id="60"/>
    </w:p>
    <w:p>
      <w:pPr>
        <w:pStyle w:val="8"/>
        <w:spacing w:line="480" w:lineRule="exact"/>
        <w:ind w:firstLine="480"/>
      </w:pPr>
      <w:r>
        <w:rPr>
          <w:rFonts w:hint="eastAsia"/>
        </w:rPr>
        <w:t>售后服务紧急事件的所有因素基本是无法预料的，只有做好预防准备，才能积极应对事件发生及即时解决问题。主要内容如下：</w:t>
      </w:r>
    </w:p>
    <w:p>
      <w:pPr>
        <w:numPr>
          <w:ilvl w:val="0"/>
          <w:numId w:val="28"/>
        </w:numPr>
        <w:spacing w:line="480" w:lineRule="exact"/>
        <w:ind w:left="0" w:firstLine="200"/>
      </w:pPr>
      <w:r>
        <w:rPr>
          <w:rFonts w:hint="eastAsia"/>
        </w:rPr>
        <w:t>充足的有经验高级工程师的储备（这些高级工程师不一定是售后服务人员）；</w:t>
      </w:r>
    </w:p>
    <w:p>
      <w:pPr>
        <w:numPr>
          <w:ilvl w:val="0"/>
          <w:numId w:val="28"/>
        </w:numPr>
        <w:spacing w:line="480" w:lineRule="exact"/>
        <w:ind w:left="0" w:firstLine="200"/>
      </w:pPr>
      <w:r>
        <w:rPr>
          <w:rFonts w:hint="eastAsia"/>
        </w:rPr>
        <w:t>充分了解客户网络结构及软件结构情况（预先调查）；</w:t>
      </w:r>
    </w:p>
    <w:p>
      <w:pPr>
        <w:numPr>
          <w:ilvl w:val="0"/>
          <w:numId w:val="28"/>
        </w:numPr>
        <w:spacing w:line="480" w:lineRule="exact"/>
        <w:ind w:left="0" w:firstLine="200"/>
      </w:pPr>
      <w:r>
        <w:rPr>
          <w:rFonts w:hint="eastAsia"/>
        </w:rPr>
        <w:t>提前提供可靠冗余系统（例如双机热备等等）方案；</w:t>
      </w:r>
    </w:p>
    <w:p>
      <w:pPr>
        <w:numPr>
          <w:ilvl w:val="0"/>
          <w:numId w:val="28"/>
        </w:numPr>
        <w:spacing w:line="480" w:lineRule="exact"/>
        <w:ind w:left="0" w:firstLine="200"/>
      </w:pPr>
      <w:r>
        <w:rPr>
          <w:rFonts w:hint="eastAsia"/>
        </w:rPr>
        <w:t>良好的数据安全、备份机制，以及售后服务人员对数据备份工作；</w:t>
      </w:r>
    </w:p>
    <w:p>
      <w:pPr>
        <w:numPr>
          <w:ilvl w:val="0"/>
          <w:numId w:val="28"/>
        </w:numPr>
        <w:spacing w:line="480" w:lineRule="exact"/>
        <w:ind w:left="0" w:firstLine="200"/>
      </w:pPr>
      <w:r>
        <w:rPr>
          <w:rFonts w:hint="eastAsia"/>
        </w:rPr>
        <w:t>即时的系统监测和预警条件。(</w:t>
      </w:r>
      <w:r>
        <w:t>数据库备份采取不同数据库的自动备份机制在本机和局域网备份。必要时可做系统镜像备份，</w:t>
      </w:r>
      <w:r>
        <w:rPr>
          <w:rFonts w:hint="eastAsia"/>
        </w:rPr>
        <w:t>遇到紧急情况</w:t>
      </w:r>
      <w:r>
        <w:t>时可迅速恢复</w:t>
      </w:r>
      <w:r>
        <w:rPr>
          <w:rFonts w:hint="eastAsia"/>
        </w:rPr>
        <w:t>)</w:t>
      </w:r>
    </w:p>
    <w:p>
      <w:pPr>
        <w:spacing w:line="480" w:lineRule="exact"/>
        <w:ind w:firstLine="200"/>
      </w:pPr>
      <w:bookmarkStart w:id="61" w:name="_Toc26468"/>
      <w:bookmarkStart w:id="62" w:name="_Toc11439"/>
      <w:bookmarkStart w:id="63" w:name="_Toc29088"/>
      <w:bookmarkStart w:id="64" w:name="_Toc16682"/>
      <w:r>
        <w:rPr>
          <w:rFonts w:hint="eastAsia"/>
        </w:rPr>
        <w:t>系统运行现场调研</w:t>
      </w:r>
      <w:bookmarkEnd w:id="61"/>
      <w:bookmarkEnd w:id="62"/>
      <w:bookmarkEnd w:id="63"/>
      <w:bookmarkEnd w:id="64"/>
      <w:r>
        <w:rPr>
          <w:rFonts w:hint="eastAsia"/>
        </w:rPr>
        <w:t>：根据项目的实际技术环境，调查、分析系统运行环境，并通过相应工具进行测试，收集有效运行、测试数据，并整理系统运行现场调研文档。</w:t>
      </w:r>
    </w:p>
    <w:p>
      <w:pPr>
        <w:spacing w:line="480" w:lineRule="exact"/>
        <w:ind w:firstLine="480" w:firstLineChars="200"/>
      </w:pPr>
      <w:bookmarkStart w:id="65" w:name="_Toc27543"/>
      <w:bookmarkStart w:id="66" w:name="_Toc9767"/>
      <w:bookmarkStart w:id="67" w:name="_Toc11953"/>
      <w:bookmarkStart w:id="68" w:name="_Toc15251"/>
      <w:r>
        <w:rPr>
          <w:rFonts w:hint="eastAsia"/>
        </w:rPr>
        <w:t>紧急事件预测及解决方案</w:t>
      </w:r>
      <w:bookmarkEnd w:id="65"/>
      <w:bookmarkEnd w:id="66"/>
      <w:bookmarkEnd w:id="67"/>
      <w:bookmarkEnd w:id="68"/>
      <w:r>
        <w:rPr>
          <w:rFonts w:hint="eastAsia"/>
        </w:rPr>
        <w:t>：根据系统运行现场调研文档，制定紧急事件处理预案，以预防或解决系统在突发故障，例如制订备用系统运行方案，在突发故障出现时提供应急服务。</w:t>
      </w:r>
    </w:p>
    <w:p>
      <w:pPr>
        <w:spacing w:line="480" w:lineRule="exact"/>
        <w:ind w:firstLine="480" w:firstLineChars="200"/>
      </w:pPr>
      <w:bookmarkStart w:id="69" w:name="_Toc7017"/>
      <w:bookmarkStart w:id="70" w:name="_Toc11296"/>
      <w:bookmarkStart w:id="71" w:name="_Toc12401"/>
      <w:bookmarkStart w:id="72" w:name="_Toc15252"/>
      <w:r>
        <w:rPr>
          <w:rFonts w:hint="eastAsia"/>
        </w:rPr>
        <w:t>模拟观测及演戏</w:t>
      </w:r>
      <w:bookmarkEnd w:id="69"/>
      <w:bookmarkEnd w:id="70"/>
      <w:bookmarkEnd w:id="71"/>
      <w:bookmarkEnd w:id="72"/>
      <w:r>
        <w:rPr>
          <w:rFonts w:hint="eastAsia"/>
        </w:rPr>
        <w:t>：复制正式系统环境，并模拟突发事故现象，验证紧急事件预案有效性。</w:t>
      </w:r>
    </w:p>
    <w:p>
      <w:pPr>
        <w:spacing w:line="480" w:lineRule="exact"/>
        <w:ind w:firstLine="480" w:firstLineChars="200"/>
        <w:rPr>
          <w:rFonts w:hint="eastAsia" w:ascii="宋体" w:hAnsi="宋体"/>
        </w:rPr>
      </w:pPr>
      <w:bookmarkStart w:id="73" w:name="_Toc2501"/>
      <w:bookmarkStart w:id="74" w:name="_Toc16884"/>
      <w:bookmarkStart w:id="75" w:name="_Toc16046"/>
      <w:bookmarkStart w:id="76" w:name="_Toc12625"/>
      <w:r>
        <w:rPr>
          <w:rFonts w:hint="eastAsia"/>
        </w:rPr>
        <w:t>紧急事件处理</w:t>
      </w:r>
      <w:bookmarkEnd w:id="73"/>
      <w:bookmarkEnd w:id="74"/>
      <w:bookmarkEnd w:id="75"/>
      <w:bookmarkEnd w:id="76"/>
      <w:r>
        <w:rPr>
          <w:rFonts w:hint="eastAsia"/>
        </w:rPr>
        <w:t>：当出现紧急突发事件时，启动紧急事件预案处理事故现场。</w:t>
      </w:r>
      <w:bookmarkStart w:id="77" w:name="_Toc32069"/>
    </w:p>
    <w:p>
      <w:pPr>
        <w:numPr>
          <w:ilvl w:val="0"/>
          <w:numId w:val="26"/>
        </w:numPr>
        <w:spacing w:line="480" w:lineRule="exact"/>
        <w:ind w:firstLine="200"/>
      </w:pPr>
      <w:r>
        <w:rPr>
          <w:rFonts w:hint="eastAsia"/>
        </w:rPr>
        <w:t>技术支持</w:t>
      </w:r>
      <w:bookmarkEnd w:id="77"/>
    </w:p>
    <w:p>
      <w:pPr>
        <w:pStyle w:val="8"/>
        <w:spacing w:line="480" w:lineRule="exact"/>
        <w:ind w:firstLine="480"/>
      </w:pPr>
      <w:r>
        <w:rPr>
          <w:rFonts w:hint="eastAsia"/>
        </w:rPr>
        <w:t>技术支持包括日常故障处理、系统故障处理、技术解答、源码验证和部署、数据正常交换和安全监控等。</w:t>
      </w:r>
    </w:p>
    <w:p>
      <w:pPr>
        <w:numPr>
          <w:ilvl w:val="0"/>
          <w:numId w:val="29"/>
        </w:numPr>
        <w:spacing w:line="480" w:lineRule="exact"/>
        <w:ind w:firstLine="480" w:firstLineChars="200"/>
      </w:pPr>
      <w:bookmarkStart w:id="78" w:name="_Toc20218"/>
      <w:bookmarkStart w:id="79" w:name="_Toc22730"/>
      <w:bookmarkStart w:id="80" w:name="_Toc11228"/>
      <w:bookmarkStart w:id="81" w:name="_Toc2845258"/>
      <w:bookmarkStart w:id="82" w:name="_Toc15271"/>
      <w:bookmarkStart w:id="83" w:name="_Toc20099"/>
      <w:bookmarkStart w:id="84" w:name="_Toc19690225"/>
      <w:r>
        <w:rPr>
          <w:rFonts w:hint="eastAsia"/>
        </w:rPr>
        <w:t>日常故障处理</w:t>
      </w:r>
      <w:bookmarkEnd w:id="78"/>
      <w:bookmarkEnd w:id="79"/>
      <w:bookmarkEnd w:id="80"/>
      <w:bookmarkEnd w:id="81"/>
      <w:bookmarkEnd w:id="82"/>
      <w:bookmarkEnd w:id="83"/>
      <w:bookmarkEnd w:id="84"/>
    </w:p>
    <w:p>
      <w:pPr>
        <w:pStyle w:val="8"/>
        <w:spacing w:line="480" w:lineRule="exact"/>
        <w:ind w:firstLine="480"/>
      </w:pPr>
      <w:r>
        <w:rPr>
          <w:rFonts w:hint="eastAsia"/>
        </w:rPr>
        <w:t>业务人员由于业务和流程不熟悉，造成误操作导致的故障进行处理并做好业务指导工作。针对系统运行慢的问题，对功能模块中的SQL优化，保障系统高效运行；针对系统偶尔宕机导致的系统无法登录的问题，对服务器和负载均衡配置进行彻底排查及修改，保障系统正常运行。</w:t>
      </w:r>
    </w:p>
    <w:p>
      <w:pPr>
        <w:numPr>
          <w:ilvl w:val="0"/>
          <w:numId w:val="29"/>
        </w:numPr>
        <w:spacing w:line="480" w:lineRule="exact"/>
        <w:ind w:firstLine="480" w:firstLineChars="200"/>
      </w:pPr>
      <w:bookmarkStart w:id="85" w:name="_Toc32014"/>
      <w:bookmarkStart w:id="86" w:name="_Toc32502"/>
      <w:bookmarkStart w:id="87" w:name="_Toc27288"/>
      <w:bookmarkStart w:id="88" w:name="_Toc2845259"/>
      <w:bookmarkStart w:id="89" w:name="_Toc7329"/>
      <w:bookmarkStart w:id="90" w:name="_Toc12813"/>
      <w:bookmarkStart w:id="91" w:name="_Toc19690226"/>
      <w:r>
        <w:rPr>
          <w:rFonts w:hint="eastAsia"/>
        </w:rPr>
        <w:t>系统故障处理</w:t>
      </w:r>
      <w:bookmarkEnd w:id="85"/>
      <w:bookmarkEnd w:id="86"/>
      <w:bookmarkEnd w:id="87"/>
      <w:bookmarkEnd w:id="88"/>
      <w:bookmarkEnd w:id="89"/>
      <w:bookmarkEnd w:id="90"/>
      <w:bookmarkEnd w:id="91"/>
    </w:p>
    <w:p>
      <w:pPr>
        <w:pStyle w:val="8"/>
        <w:spacing w:line="480" w:lineRule="exact"/>
        <w:ind w:firstLine="480"/>
      </w:pPr>
      <w:r>
        <w:rPr>
          <w:rFonts w:hint="eastAsia"/>
        </w:rPr>
        <w:t>由于程序BUG导致的系统问题，运维人员做好解答工作并快速响应处理；由于项目导致的网络和系统问题，运维人员进行快速定位并积极配合进行处理。</w:t>
      </w:r>
    </w:p>
    <w:p>
      <w:pPr>
        <w:numPr>
          <w:ilvl w:val="0"/>
          <w:numId w:val="29"/>
        </w:numPr>
        <w:spacing w:line="480" w:lineRule="exact"/>
        <w:ind w:firstLine="480" w:firstLineChars="200"/>
      </w:pPr>
      <w:bookmarkStart w:id="92" w:name="_Toc7972"/>
      <w:bookmarkStart w:id="93" w:name="_Toc19690227"/>
      <w:bookmarkStart w:id="94" w:name="_Toc20280"/>
      <w:bookmarkStart w:id="95" w:name="_Toc27918"/>
      <w:bookmarkStart w:id="96" w:name="_Toc20760"/>
      <w:bookmarkStart w:id="97" w:name="_Toc2845260"/>
      <w:bookmarkStart w:id="98" w:name="_Toc20935"/>
      <w:r>
        <w:rPr>
          <w:rFonts w:hint="eastAsia"/>
        </w:rPr>
        <w:t>技术解答</w:t>
      </w:r>
      <w:bookmarkEnd w:id="92"/>
      <w:bookmarkEnd w:id="93"/>
      <w:bookmarkEnd w:id="94"/>
      <w:bookmarkEnd w:id="95"/>
      <w:bookmarkEnd w:id="96"/>
      <w:bookmarkEnd w:id="97"/>
      <w:bookmarkEnd w:id="98"/>
    </w:p>
    <w:p>
      <w:pPr>
        <w:pStyle w:val="8"/>
        <w:spacing w:line="480" w:lineRule="exact"/>
        <w:ind w:firstLine="480"/>
      </w:pPr>
      <w:r>
        <w:rPr>
          <w:rFonts w:hint="eastAsia"/>
        </w:rPr>
        <w:t>负责各部门的电话咨询和网上咨询进行技术解答，对提出的问题要认真及时进行分析研究，属于操作方法问题的，要进行解释和讲解；属于系统功能BUG和不完善的，要及时对系统进行修改完善。</w:t>
      </w:r>
    </w:p>
    <w:p>
      <w:pPr>
        <w:numPr>
          <w:ilvl w:val="0"/>
          <w:numId w:val="29"/>
        </w:numPr>
        <w:spacing w:line="480" w:lineRule="exact"/>
        <w:ind w:firstLine="480" w:firstLineChars="200"/>
      </w:pPr>
      <w:bookmarkStart w:id="99" w:name="_Toc16107"/>
      <w:bookmarkStart w:id="100" w:name="_Toc2845261"/>
      <w:bookmarkStart w:id="101" w:name="_Toc27186"/>
      <w:bookmarkStart w:id="102" w:name="_Toc22835"/>
      <w:bookmarkStart w:id="103" w:name="_Toc19690228"/>
      <w:bookmarkStart w:id="104" w:name="_Toc18496"/>
      <w:bookmarkStart w:id="105" w:name="_Toc372"/>
      <w:r>
        <w:rPr>
          <w:rFonts w:hint="eastAsia"/>
        </w:rPr>
        <w:t>源码验证和部署</w:t>
      </w:r>
      <w:bookmarkEnd w:id="99"/>
      <w:bookmarkEnd w:id="100"/>
      <w:bookmarkEnd w:id="101"/>
      <w:bookmarkEnd w:id="102"/>
      <w:bookmarkEnd w:id="103"/>
      <w:bookmarkEnd w:id="104"/>
      <w:bookmarkEnd w:id="105"/>
    </w:p>
    <w:p>
      <w:pPr>
        <w:pStyle w:val="8"/>
        <w:spacing w:line="480" w:lineRule="exact"/>
        <w:ind w:firstLine="480"/>
      </w:pPr>
      <w:r>
        <w:rPr>
          <w:rFonts w:hint="eastAsia"/>
        </w:rPr>
        <w:t>对修改后的程序源码进行验证并同步到服务器上。</w:t>
      </w:r>
    </w:p>
    <w:p>
      <w:pPr>
        <w:pStyle w:val="8"/>
        <w:spacing w:line="480" w:lineRule="exact"/>
        <w:ind w:firstLine="480"/>
      </w:pPr>
      <w:r>
        <w:rPr>
          <w:rFonts w:hint="eastAsia"/>
        </w:rPr>
        <w:t>软件部署包括配置文件、用户手册、帮助文档等进行收集、打包、安装、配置、发布的过程。针对每个项目准备详细的部署方案（软件运行环境、数据库安装、支撑软件（Tomcat等）、部署流程、注意事项等），根据软件部署方案，普通程序员即可完成本软件部署工作。</w:t>
      </w:r>
    </w:p>
    <w:p>
      <w:pPr>
        <w:numPr>
          <w:ilvl w:val="0"/>
          <w:numId w:val="29"/>
        </w:numPr>
        <w:spacing w:line="480" w:lineRule="exact"/>
        <w:ind w:firstLine="480" w:firstLineChars="200"/>
      </w:pPr>
      <w:bookmarkStart w:id="106" w:name="_Toc24539"/>
      <w:bookmarkStart w:id="107" w:name="_Toc1194"/>
      <w:bookmarkStart w:id="108" w:name="_Toc6164"/>
      <w:bookmarkStart w:id="109" w:name="_Toc18647"/>
      <w:bookmarkStart w:id="110" w:name="_Toc19690229"/>
      <w:bookmarkStart w:id="111" w:name="_Toc2845262"/>
      <w:bookmarkStart w:id="112" w:name="_Toc7581"/>
      <w:r>
        <w:rPr>
          <w:rFonts w:hint="eastAsia"/>
        </w:rPr>
        <w:t>数据正常交换</w:t>
      </w:r>
      <w:bookmarkEnd w:id="106"/>
      <w:bookmarkEnd w:id="107"/>
      <w:bookmarkEnd w:id="108"/>
      <w:bookmarkEnd w:id="109"/>
      <w:bookmarkEnd w:id="110"/>
      <w:bookmarkEnd w:id="111"/>
      <w:bookmarkEnd w:id="112"/>
    </w:p>
    <w:p>
      <w:pPr>
        <w:pStyle w:val="8"/>
        <w:spacing w:line="480" w:lineRule="exact"/>
        <w:ind w:firstLine="480"/>
      </w:pPr>
      <w:r>
        <w:rPr>
          <w:rFonts w:hint="eastAsia"/>
        </w:rPr>
        <w:t>各种原因导致的数据交换异常，如对接交换数据本身状态错误造成的数据交换异常；交换对接程序本身校验或逻辑问题造成的数据交换异常；业务系统原因造成的数据交换异常；对接上行数据异常、接收下行数据异常等，运维人员提供现场技术指导并尽快恢复数据交换正常运行。</w:t>
      </w:r>
    </w:p>
    <w:p>
      <w:pPr>
        <w:numPr>
          <w:ilvl w:val="0"/>
          <w:numId w:val="29"/>
        </w:numPr>
        <w:spacing w:line="480" w:lineRule="exact"/>
        <w:ind w:firstLine="480" w:firstLineChars="200"/>
      </w:pPr>
      <w:r>
        <w:rPr>
          <w:rFonts w:hint="eastAsia"/>
        </w:rPr>
        <w:t>安全监控</w:t>
      </w:r>
    </w:p>
    <w:p>
      <w:pPr>
        <w:pStyle w:val="8"/>
        <w:spacing w:line="480" w:lineRule="exact"/>
        <w:ind w:firstLine="480"/>
      </w:pPr>
      <w:r>
        <w:rPr>
          <w:rFonts w:hint="eastAsia"/>
        </w:rPr>
        <w:t>及时做好系统的安全漏洞修复工作，避免安全事件发生。</w:t>
      </w:r>
    </w:p>
    <w:p>
      <w:pPr>
        <w:numPr>
          <w:ilvl w:val="0"/>
          <w:numId w:val="26"/>
        </w:numPr>
        <w:spacing w:line="480" w:lineRule="exact"/>
        <w:ind w:firstLine="200"/>
      </w:pPr>
      <w:bookmarkStart w:id="113" w:name="_Toc3274"/>
      <w:r>
        <w:rPr>
          <w:rFonts w:hint="eastAsia"/>
        </w:rPr>
        <w:t>培训服务</w:t>
      </w:r>
      <w:bookmarkEnd w:id="113"/>
    </w:p>
    <w:p>
      <w:pPr>
        <w:pStyle w:val="8"/>
        <w:spacing w:line="480" w:lineRule="exact"/>
        <w:ind w:firstLine="480"/>
      </w:pPr>
      <w:r>
        <w:rPr>
          <w:rFonts w:hint="eastAsia"/>
        </w:rPr>
        <w:t>运维服务中的培训指导包括日常使用指导、新业务和新履职人员的业务培训。</w:t>
      </w:r>
    </w:p>
    <w:p>
      <w:pPr>
        <w:numPr>
          <w:ilvl w:val="0"/>
          <w:numId w:val="30"/>
        </w:numPr>
        <w:spacing w:line="480" w:lineRule="exact"/>
        <w:ind w:firstLine="480" w:firstLineChars="200"/>
      </w:pPr>
      <w:bookmarkStart w:id="114" w:name="_Toc17379"/>
      <w:bookmarkStart w:id="115" w:name="_Toc27635"/>
      <w:bookmarkStart w:id="116" w:name="_Toc13766"/>
      <w:bookmarkStart w:id="117" w:name="_Toc18076"/>
      <w:bookmarkStart w:id="118" w:name="_Toc2845264"/>
      <w:bookmarkStart w:id="119" w:name="_Toc19690231"/>
      <w:bookmarkStart w:id="120" w:name="_Toc32526"/>
      <w:r>
        <w:rPr>
          <w:rFonts w:hint="eastAsia"/>
        </w:rPr>
        <w:t>使用指导</w:t>
      </w:r>
      <w:bookmarkEnd w:id="114"/>
      <w:bookmarkEnd w:id="115"/>
      <w:bookmarkEnd w:id="116"/>
      <w:bookmarkEnd w:id="117"/>
      <w:bookmarkEnd w:id="118"/>
      <w:bookmarkEnd w:id="119"/>
      <w:bookmarkEnd w:id="120"/>
    </w:p>
    <w:p>
      <w:pPr>
        <w:spacing w:line="480" w:lineRule="exact"/>
        <w:ind w:firstLine="480" w:firstLineChars="200"/>
      </w:pPr>
      <w:bookmarkStart w:id="121" w:name="_Toc12017"/>
      <w:bookmarkStart w:id="122" w:name="_Toc3147"/>
      <w:bookmarkStart w:id="123" w:name="_Toc11825"/>
      <w:bookmarkStart w:id="124" w:name="_Toc26400"/>
      <w:r>
        <w:rPr>
          <w:rFonts w:hint="eastAsia"/>
        </w:rPr>
        <w:t>应用纠错</w:t>
      </w:r>
      <w:bookmarkEnd w:id="121"/>
      <w:bookmarkEnd w:id="122"/>
      <w:bookmarkEnd w:id="123"/>
      <w:bookmarkEnd w:id="124"/>
      <w:r>
        <w:rPr>
          <w:rFonts w:hint="eastAsia"/>
        </w:rPr>
        <w:t>：及时主动纠正用户对系统功能不正确的使用方式，避免因使用不当导致系统性能下降和逻辑错误。</w:t>
      </w:r>
    </w:p>
    <w:p>
      <w:pPr>
        <w:spacing w:line="480" w:lineRule="exact"/>
        <w:ind w:firstLine="480" w:firstLineChars="200"/>
      </w:pPr>
      <w:bookmarkStart w:id="125" w:name="_Toc25237"/>
      <w:bookmarkStart w:id="126" w:name="_Toc23919"/>
      <w:bookmarkStart w:id="127" w:name="_Toc12584"/>
      <w:bookmarkStart w:id="128" w:name="_Toc12186"/>
      <w:r>
        <w:rPr>
          <w:rFonts w:hint="eastAsia"/>
        </w:rPr>
        <w:t>现场指导</w:t>
      </w:r>
      <w:bookmarkEnd w:id="125"/>
      <w:bookmarkEnd w:id="126"/>
      <w:bookmarkEnd w:id="127"/>
      <w:bookmarkEnd w:id="128"/>
      <w:r>
        <w:rPr>
          <w:rFonts w:hint="eastAsia"/>
        </w:rPr>
        <w:t>：及时指导用户熟悉系统的功能操作，尤其是对于新履职用户，提供现场一对一培训指导。</w:t>
      </w:r>
    </w:p>
    <w:p>
      <w:pPr>
        <w:spacing w:line="480" w:lineRule="exact"/>
        <w:ind w:firstLine="480" w:firstLineChars="200"/>
      </w:pPr>
      <w:bookmarkStart w:id="129" w:name="_Toc16497"/>
      <w:bookmarkStart w:id="130" w:name="_Toc6067"/>
      <w:bookmarkStart w:id="131" w:name="_Toc3982"/>
      <w:bookmarkStart w:id="132" w:name="_Toc9992"/>
      <w:r>
        <w:rPr>
          <w:rFonts w:hint="eastAsia"/>
        </w:rPr>
        <w:t>咨询服务</w:t>
      </w:r>
      <w:bookmarkEnd w:id="129"/>
      <w:bookmarkEnd w:id="130"/>
      <w:bookmarkEnd w:id="131"/>
      <w:bookmarkEnd w:id="132"/>
      <w:r>
        <w:rPr>
          <w:rFonts w:hint="eastAsia"/>
        </w:rPr>
        <w:t>：为运维项目所有用户提供系统咨询服务，方式包括但不限于电话方式、远程方式、现场方式。</w:t>
      </w:r>
    </w:p>
    <w:p>
      <w:pPr>
        <w:numPr>
          <w:ilvl w:val="0"/>
          <w:numId w:val="30"/>
        </w:numPr>
        <w:spacing w:line="480" w:lineRule="exact"/>
        <w:ind w:firstLine="480" w:firstLineChars="200"/>
      </w:pPr>
      <w:bookmarkStart w:id="133" w:name="_Toc30638"/>
      <w:bookmarkStart w:id="134" w:name="_Toc22308"/>
      <w:bookmarkStart w:id="135" w:name="_Toc19690232"/>
      <w:bookmarkStart w:id="136" w:name="_Toc2845265"/>
      <w:bookmarkStart w:id="137" w:name="_Toc24292"/>
      <w:bookmarkStart w:id="138" w:name="_Toc8540"/>
      <w:bookmarkStart w:id="139" w:name="_Toc12447"/>
      <w:r>
        <w:rPr>
          <w:rFonts w:hint="eastAsia"/>
        </w:rPr>
        <w:t>后续培训服务</w:t>
      </w:r>
      <w:bookmarkEnd w:id="133"/>
      <w:bookmarkEnd w:id="134"/>
      <w:bookmarkEnd w:id="135"/>
      <w:bookmarkEnd w:id="136"/>
      <w:bookmarkEnd w:id="137"/>
      <w:bookmarkEnd w:id="138"/>
      <w:bookmarkEnd w:id="139"/>
    </w:p>
    <w:p>
      <w:pPr>
        <w:spacing w:line="480" w:lineRule="exact"/>
        <w:ind w:firstLine="480" w:firstLineChars="200"/>
      </w:pPr>
      <w:bookmarkStart w:id="140" w:name="_Toc24070"/>
      <w:bookmarkStart w:id="141" w:name="_Toc15242"/>
      <w:bookmarkStart w:id="142" w:name="_Toc22261"/>
      <w:bookmarkStart w:id="143" w:name="_Toc32515"/>
      <w:r>
        <w:rPr>
          <w:rFonts w:hint="eastAsia"/>
        </w:rPr>
        <w:t>培训对象</w:t>
      </w:r>
      <w:bookmarkEnd w:id="140"/>
      <w:bookmarkEnd w:id="141"/>
      <w:bookmarkEnd w:id="142"/>
      <w:bookmarkEnd w:id="143"/>
      <w:r>
        <w:rPr>
          <w:rFonts w:hint="eastAsia"/>
        </w:rPr>
        <w:t>后续培训服务主要针对新业务和新履职人员的业务培训。对新的业务人员进行业务培训和指导，同时对新的业务进行快速熟悉。</w:t>
      </w:r>
    </w:p>
    <w:p>
      <w:pPr>
        <w:spacing w:line="480" w:lineRule="exact"/>
        <w:ind w:firstLine="480" w:firstLineChars="200"/>
      </w:pPr>
      <w:bookmarkStart w:id="144" w:name="_Toc17025"/>
      <w:bookmarkStart w:id="145" w:name="_Toc7640"/>
      <w:bookmarkStart w:id="146" w:name="_Toc13599"/>
      <w:bookmarkStart w:id="147" w:name="_Toc5318"/>
      <w:r>
        <w:rPr>
          <w:rFonts w:hint="eastAsia"/>
        </w:rPr>
        <w:t>培训方案</w:t>
      </w:r>
      <w:bookmarkEnd w:id="144"/>
      <w:bookmarkEnd w:id="145"/>
      <w:bookmarkEnd w:id="146"/>
      <w:bookmarkEnd w:id="147"/>
      <w:r>
        <w:rPr>
          <w:rFonts w:hint="eastAsia"/>
        </w:rPr>
        <w:t>培训方案和培训计划制订。包括培训内容、培训的人员、培训教材的准备、培训教师、培训方式、培训地点、培训达到的效果、培训涉及的费用安排等，做出明确的规定，其中培训涉及到的费用由客户承担。</w:t>
      </w:r>
    </w:p>
    <w:p>
      <w:pPr>
        <w:spacing w:line="480" w:lineRule="exact"/>
        <w:ind w:firstLine="480" w:firstLineChars="200"/>
      </w:pPr>
      <w:bookmarkStart w:id="148" w:name="_Toc8539"/>
      <w:bookmarkStart w:id="149" w:name="_Toc6065"/>
      <w:bookmarkStart w:id="150" w:name="_Toc2484"/>
      <w:bookmarkStart w:id="151" w:name="_Toc8548"/>
      <w:r>
        <w:rPr>
          <w:rFonts w:hint="eastAsia"/>
        </w:rPr>
        <w:t>培训内容</w:t>
      </w:r>
      <w:bookmarkEnd w:id="148"/>
      <w:bookmarkEnd w:id="149"/>
      <w:bookmarkEnd w:id="150"/>
      <w:bookmarkEnd w:id="151"/>
      <w:r>
        <w:rPr>
          <w:rFonts w:hint="eastAsia"/>
        </w:rPr>
        <w:t>面向应用的操作培训。主要是最终业务用户的系统操作培训。面向系统维护的管理培训。培训客户的系统管理员，主要包括基础性的系统管理技能。</w:t>
      </w:r>
    </w:p>
    <w:p>
      <w:pPr>
        <w:numPr>
          <w:ilvl w:val="0"/>
          <w:numId w:val="26"/>
        </w:numPr>
        <w:spacing w:line="480" w:lineRule="exact"/>
        <w:ind w:firstLine="200"/>
      </w:pPr>
      <w:bookmarkStart w:id="152" w:name="_Toc2822"/>
      <w:r>
        <w:rPr>
          <w:rFonts w:hint="eastAsia"/>
        </w:rPr>
        <w:t>高级服务</w:t>
      </w:r>
      <w:bookmarkEnd w:id="152"/>
    </w:p>
    <w:p>
      <w:pPr>
        <w:numPr>
          <w:ilvl w:val="0"/>
          <w:numId w:val="31"/>
        </w:numPr>
        <w:spacing w:line="480" w:lineRule="exact"/>
        <w:ind w:firstLine="480" w:firstLineChars="200"/>
      </w:pPr>
      <w:bookmarkStart w:id="153" w:name="_Toc19690235"/>
      <w:bookmarkStart w:id="154" w:name="_Toc31897"/>
      <w:bookmarkStart w:id="155" w:name="_Toc18559"/>
      <w:bookmarkStart w:id="156" w:name="_Toc25368"/>
      <w:bookmarkStart w:id="157" w:name="_Toc13964"/>
      <w:bookmarkStart w:id="158" w:name="_Toc2845268"/>
      <w:bookmarkStart w:id="159" w:name="_Toc22817"/>
      <w:r>
        <w:rPr>
          <w:rFonts w:hint="eastAsia"/>
        </w:rPr>
        <w:t>性能优化</w:t>
      </w:r>
      <w:bookmarkEnd w:id="153"/>
      <w:bookmarkEnd w:id="154"/>
      <w:bookmarkEnd w:id="155"/>
      <w:bookmarkEnd w:id="156"/>
      <w:bookmarkEnd w:id="157"/>
      <w:bookmarkEnd w:id="158"/>
      <w:bookmarkEnd w:id="159"/>
    </w:p>
    <w:p>
      <w:pPr>
        <w:pStyle w:val="8"/>
        <w:spacing w:line="480" w:lineRule="exact"/>
        <w:ind w:firstLine="480"/>
        <w:rPr>
          <w:rFonts w:hint="eastAsia" w:ascii="宋体" w:hAnsi="宋体"/>
        </w:rPr>
      </w:pPr>
      <w:r>
        <w:rPr>
          <w:rFonts w:hint="eastAsia"/>
        </w:rPr>
        <w:t>经过长时间运行的项目，由于数据量过大导致性能下降，在经客户、公司同意后，做整体的项目涉及的数据库、应用服务器及自主的产品进行性能优化。</w:t>
      </w:r>
    </w:p>
    <w:p>
      <w:pPr>
        <w:numPr>
          <w:ilvl w:val="0"/>
          <w:numId w:val="31"/>
        </w:numPr>
        <w:spacing w:line="480" w:lineRule="exact"/>
        <w:ind w:firstLine="480" w:firstLineChars="200"/>
      </w:pPr>
      <w:bookmarkStart w:id="160" w:name="_Toc24913"/>
      <w:bookmarkStart w:id="161" w:name="_Toc14300"/>
      <w:bookmarkStart w:id="162" w:name="_Toc27220"/>
      <w:bookmarkStart w:id="163" w:name="_Toc4326"/>
      <w:bookmarkStart w:id="164" w:name="_Toc21727"/>
      <w:bookmarkStart w:id="165" w:name="_Toc19690236"/>
      <w:bookmarkStart w:id="166" w:name="_Toc2845269"/>
      <w:r>
        <w:rPr>
          <w:rFonts w:hint="eastAsia"/>
        </w:rPr>
        <w:t>故障协查</w:t>
      </w:r>
      <w:bookmarkEnd w:id="160"/>
      <w:bookmarkEnd w:id="161"/>
      <w:bookmarkEnd w:id="162"/>
      <w:bookmarkEnd w:id="163"/>
      <w:bookmarkEnd w:id="164"/>
      <w:bookmarkEnd w:id="165"/>
      <w:bookmarkEnd w:id="166"/>
    </w:p>
    <w:p>
      <w:pPr>
        <w:pStyle w:val="8"/>
        <w:spacing w:line="480" w:lineRule="exact"/>
        <w:ind w:firstLine="480"/>
      </w:pPr>
      <w:r>
        <w:rPr>
          <w:rFonts w:hint="eastAsia"/>
        </w:rPr>
        <w:t>项目系统内部缺陷造成的突发故障，服务人员对此协助排除故障。</w:t>
      </w:r>
    </w:p>
    <w:p>
      <w:pPr>
        <w:numPr>
          <w:ilvl w:val="0"/>
          <w:numId w:val="26"/>
        </w:numPr>
        <w:spacing w:line="480" w:lineRule="exact"/>
        <w:ind w:firstLine="200"/>
      </w:pPr>
      <w:bookmarkStart w:id="167" w:name="_Toc16347"/>
      <w:r>
        <w:rPr>
          <w:rFonts w:hint="eastAsia"/>
        </w:rPr>
        <w:t>日志工作</w:t>
      </w:r>
      <w:bookmarkEnd w:id="167"/>
    </w:p>
    <w:p>
      <w:pPr>
        <w:pStyle w:val="8"/>
        <w:spacing w:line="480" w:lineRule="exact"/>
        <w:ind w:firstLine="480"/>
      </w:pPr>
      <w:r>
        <w:rPr>
          <w:rFonts w:hint="eastAsia"/>
        </w:rPr>
        <w:t>日志工作是指通过实时服务日志、上门服务日志、现场服务日志、紧急事件日志、系统需求变更日志、年度工作日志等类型，实现对系统运行状态、对运维工作进行记录，定期和客户做好沟通，即时处理相关问题。</w:t>
      </w:r>
    </w:p>
    <w:p>
      <w:pPr>
        <w:numPr>
          <w:ilvl w:val="0"/>
          <w:numId w:val="32"/>
        </w:numPr>
        <w:spacing w:line="480" w:lineRule="exact"/>
        <w:ind w:firstLine="480" w:firstLineChars="200"/>
      </w:pPr>
      <w:bookmarkStart w:id="168" w:name="_Toc355340094"/>
      <w:bookmarkStart w:id="169" w:name="_Toc2845272"/>
      <w:bookmarkStart w:id="170" w:name="_Toc19690239"/>
      <w:bookmarkStart w:id="171" w:name="_Toc26579"/>
      <w:bookmarkStart w:id="172" w:name="_Toc28823"/>
      <w:bookmarkStart w:id="173" w:name="_Toc18689"/>
      <w:bookmarkStart w:id="174" w:name="_Toc486671439"/>
      <w:bookmarkStart w:id="175" w:name="_Toc8729"/>
      <w:bookmarkStart w:id="176" w:name="_Toc4135"/>
      <w:r>
        <w:rPr>
          <w:rFonts w:hint="eastAsia"/>
        </w:rPr>
        <w:t>实时服务日志</w:t>
      </w:r>
      <w:bookmarkEnd w:id="168"/>
      <w:bookmarkEnd w:id="169"/>
      <w:bookmarkEnd w:id="170"/>
      <w:bookmarkEnd w:id="171"/>
      <w:bookmarkEnd w:id="172"/>
      <w:bookmarkEnd w:id="173"/>
      <w:bookmarkEnd w:id="174"/>
      <w:bookmarkEnd w:id="175"/>
      <w:bookmarkEnd w:id="176"/>
    </w:p>
    <w:p>
      <w:pPr>
        <w:pStyle w:val="8"/>
        <w:spacing w:line="480" w:lineRule="exact"/>
        <w:ind w:firstLine="480"/>
      </w:pPr>
      <w:r>
        <w:rPr>
          <w:rFonts w:hint="eastAsia"/>
        </w:rPr>
        <w:t>主要记录包括一般系统业务处理、故障排查等工作内容，是本地化运维团队</w:t>
      </w:r>
      <w:r>
        <w:rPr>
          <w:rFonts w:hint="eastAsia"/>
        </w:rPr>
        <w:fldChar w:fldCharType="begin"/>
      </w:r>
      <w:r>
        <w:instrText xml:space="preserve"> HYPERLINK \l "_驻场服务" </w:instrText>
      </w:r>
      <w:r>
        <w:rPr>
          <w:rFonts w:hint="eastAsia"/>
        </w:rPr>
        <w:fldChar w:fldCharType="separate"/>
      </w:r>
      <w:r>
        <w:rPr>
          <w:rFonts w:hint="eastAsia"/>
        </w:rPr>
        <w:t>服务</w:t>
      </w:r>
      <w:r>
        <w:rPr>
          <w:rFonts w:hint="eastAsia"/>
        </w:rPr>
        <w:fldChar w:fldCharType="end"/>
      </w:r>
      <w:r>
        <w:rPr>
          <w:rFonts w:hint="eastAsia"/>
        </w:rPr>
        <w:t>中的基本工作之一，工作人员需要按照《</w:t>
      </w:r>
      <w:r>
        <w:fldChar w:fldCharType="begin"/>
      </w:r>
      <w:r>
        <w:instrText xml:space="preserve"> HYPERLINK \l "_项目售后服务任务日志周报表" </w:instrText>
      </w:r>
      <w:r>
        <w:fldChar w:fldCharType="separate"/>
      </w:r>
      <w:r>
        <w:rPr>
          <w:rFonts w:hint="eastAsia"/>
        </w:rPr>
        <w:t>项目售后服务任务日志周报表</w:t>
      </w:r>
      <w:r>
        <w:rPr>
          <w:rFonts w:hint="eastAsia"/>
        </w:rPr>
        <w:fldChar w:fldCharType="end"/>
      </w:r>
      <w:r>
        <w:rPr>
          <w:rFonts w:hint="eastAsia"/>
        </w:rPr>
        <w:t>》要求填写工作日志。</w:t>
      </w:r>
    </w:p>
    <w:p>
      <w:pPr>
        <w:numPr>
          <w:ilvl w:val="0"/>
          <w:numId w:val="32"/>
        </w:numPr>
        <w:spacing w:line="480" w:lineRule="exact"/>
        <w:ind w:firstLine="480" w:firstLineChars="200"/>
      </w:pPr>
      <w:bookmarkStart w:id="177" w:name="_Toc29823"/>
      <w:bookmarkStart w:id="178" w:name="_Toc19690240"/>
      <w:bookmarkStart w:id="179" w:name="_Toc355340095"/>
      <w:bookmarkStart w:id="180" w:name="_Toc486671440"/>
      <w:bookmarkStart w:id="181" w:name="_Toc2845273"/>
      <w:bookmarkStart w:id="182" w:name="_Toc14662"/>
      <w:bookmarkStart w:id="183" w:name="_Toc18308"/>
      <w:bookmarkStart w:id="184" w:name="_Toc25154"/>
      <w:bookmarkStart w:id="185" w:name="_Toc30825"/>
      <w:r>
        <w:rPr>
          <w:rFonts w:hint="eastAsia"/>
        </w:rPr>
        <w:t>上门、现场服务日志</w:t>
      </w:r>
      <w:bookmarkEnd w:id="177"/>
      <w:bookmarkEnd w:id="178"/>
      <w:bookmarkEnd w:id="179"/>
      <w:bookmarkEnd w:id="180"/>
      <w:bookmarkEnd w:id="181"/>
      <w:bookmarkEnd w:id="182"/>
      <w:bookmarkEnd w:id="183"/>
      <w:bookmarkEnd w:id="184"/>
      <w:bookmarkEnd w:id="185"/>
    </w:p>
    <w:p>
      <w:pPr>
        <w:pStyle w:val="8"/>
        <w:spacing w:line="480" w:lineRule="exact"/>
        <w:ind w:firstLine="480"/>
      </w:pPr>
      <w:r>
        <w:rPr>
          <w:rFonts w:hint="eastAsia"/>
        </w:rPr>
        <w:t>主要记录包括业务调研、简易培训等工作内容，是</w:t>
      </w:r>
      <w:r>
        <w:fldChar w:fldCharType="begin"/>
      </w:r>
      <w:r>
        <w:instrText xml:space="preserve"> HYPERLINK \l "_驻场服务" </w:instrText>
      </w:r>
      <w:r>
        <w:fldChar w:fldCharType="separate"/>
      </w:r>
      <w:r>
        <w:rPr>
          <w:rFonts w:hint="eastAsia"/>
        </w:rPr>
        <w:t>运维服务</w:t>
      </w:r>
      <w:r>
        <w:rPr>
          <w:rFonts w:hint="eastAsia"/>
        </w:rPr>
        <w:fldChar w:fldCharType="end"/>
      </w:r>
      <w:r>
        <w:rPr>
          <w:rFonts w:hint="eastAsia"/>
        </w:rPr>
        <w:t>期间或</w:t>
      </w:r>
      <w:r>
        <w:fldChar w:fldCharType="begin"/>
      </w:r>
      <w:r>
        <w:instrText xml:space="preserve"> HYPERLINK \l "_现场服务" </w:instrText>
      </w:r>
      <w:r>
        <w:fldChar w:fldCharType="separate"/>
      </w:r>
      <w:r>
        <w:rPr>
          <w:rFonts w:hint="eastAsia"/>
        </w:rPr>
        <w:t>现场服务</w:t>
      </w:r>
      <w:r>
        <w:rPr>
          <w:rFonts w:hint="eastAsia"/>
        </w:rPr>
        <w:fldChar w:fldCharType="end"/>
      </w:r>
      <w:r>
        <w:rPr>
          <w:rFonts w:hint="eastAsia"/>
        </w:rPr>
        <w:t>基本工作之一，工作人员需要按照《</w:t>
      </w:r>
      <w:r>
        <w:fldChar w:fldCharType="begin"/>
      </w:r>
      <w:r>
        <w:instrText xml:space="preserve"> HYPERLINK \l "_售后服务外派工作任务单" </w:instrText>
      </w:r>
      <w:r>
        <w:fldChar w:fldCharType="separate"/>
      </w:r>
      <w:r>
        <w:rPr>
          <w:rFonts w:hint="eastAsia"/>
        </w:rPr>
        <w:t>售后服务外派工作任务单</w:t>
      </w:r>
      <w:r>
        <w:rPr>
          <w:rFonts w:hint="eastAsia"/>
        </w:rPr>
        <w:fldChar w:fldCharType="end"/>
      </w:r>
      <w:r>
        <w:rPr>
          <w:rFonts w:hint="eastAsia"/>
        </w:rPr>
        <w:t>》要求填写工作日志。</w:t>
      </w:r>
    </w:p>
    <w:p>
      <w:pPr>
        <w:numPr>
          <w:ilvl w:val="0"/>
          <w:numId w:val="32"/>
        </w:numPr>
        <w:spacing w:line="480" w:lineRule="exact"/>
        <w:ind w:firstLine="480" w:firstLineChars="200"/>
      </w:pPr>
      <w:bookmarkStart w:id="186" w:name="_Toc486671441"/>
      <w:bookmarkStart w:id="187" w:name="_Toc21387"/>
      <w:bookmarkStart w:id="188" w:name="_Toc32577"/>
      <w:bookmarkStart w:id="189" w:name="_Toc13142"/>
      <w:bookmarkStart w:id="190" w:name="_Toc19690241"/>
      <w:bookmarkStart w:id="191" w:name="_Toc355340096"/>
      <w:bookmarkStart w:id="192" w:name="_Toc31014"/>
      <w:bookmarkStart w:id="193" w:name="_Toc31218"/>
      <w:bookmarkStart w:id="194" w:name="_Toc2845274"/>
      <w:r>
        <w:rPr>
          <w:rFonts w:hint="eastAsia"/>
        </w:rPr>
        <w:t>紧急事件服务日志</w:t>
      </w:r>
      <w:bookmarkEnd w:id="186"/>
      <w:bookmarkEnd w:id="187"/>
      <w:bookmarkEnd w:id="188"/>
      <w:bookmarkEnd w:id="189"/>
      <w:bookmarkEnd w:id="190"/>
      <w:bookmarkEnd w:id="191"/>
      <w:bookmarkEnd w:id="192"/>
      <w:bookmarkEnd w:id="193"/>
      <w:bookmarkEnd w:id="194"/>
    </w:p>
    <w:p>
      <w:pPr>
        <w:pStyle w:val="8"/>
        <w:spacing w:line="480" w:lineRule="exact"/>
        <w:ind w:firstLine="480"/>
      </w:pPr>
      <w:r>
        <w:rPr>
          <w:rFonts w:hint="eastAsia"/>
        </w:rPr>
        <w:t>主要记录紧急事件工作任务内容，是</w:t>
      </w:r>
      <w:r>
        <w:rPr>
          <w:rFonts w:hint="eastAsia"/>
        </w:rPr>
        <w:fldChar w:fldCharType="begin"/>
      </w:r>
      <w:r>
        <w:instrText xml:space="preserve"> HYPERLINK \l "_驻场服务" </w:instrText>
      </w:r>
      <w:r>
        <w:rPr>
          <w:rFonts w:hint="eastAsia"/>
        </w:rPr>
        <w:fldChar w:fldCharType="separate"/>
      </w:r>
      <w:r>
        <w:rPr>
          <w:rFonts w:hint="eastAsia"/>
        </w:rPr>
        <w:t>运维服务</w:t>
      </w:r>
      <w:r>
        <w:rPr>
          <w:rFonts w:hint="eastAsia"/>
        </w:rPr>
        <w:fldChar w:fldCharType="end"/>
      </w:r>
      <w:r>
        <w:rPr>
          <w:rFonts w:hint="eastAsia"/>
        </w:rPr>
        <w:t>期间或</w:t>
      </w:r>
      <w:r>
        <w:fldChar w:fldCharType="begin"/>
      </w:r>
      <w:r>
        <w:instrText xml:space="preserve"> HYPERLINK \l "_现场服务" </w:instrText>
      </w:r>
      <w:r>
        <w:fldChar w:fldCharType="separate"/>
      </w:r>
      <w:r>
        <w:rPr>
          <w:rFonts w:hint="eastAsia"/>
        </w:rPr>
        <w:t>现场服务</w:t>
      </w:r>
      <w:r>
        <w:rPr>
          <w:rFonts w:hint="eastAsia"/>
        </w:rPr>
        <w:fldChar w:fldCharType="end"/>
      </w:r>
      <w:r>
        <w:rPr>
          <w:rFonts w:hint="eastAsia"/>
        </w:rPr>
        <w:t>基本工作之一，工作人员需要按照《</w:t>
      </w:r>
      <w:r>
        <w:fldChar w:fldCharType="begin"/>
      </w:r>
      <w:r>
        <w:instrText xml:space="preserve"> HYPERLINK \l "_售后服务外派工作任务单" </w:instrText>
      </w:r>
      <w:r>
        <w:fldChar w:fldCharType="separate"/>
      </w:r>
      <w:r>
        <w:rPr>
          <w:rFonts w:hint="eastAsia"/>
        </w:rPr>
        <w:t>售后服务外派工作任务单</w:t>
      </w:r>
      <w:r>
        <w:rPr>
          <w:rFonts w:hint="eastAsia"/>
        </w:rPr>
        <w:fldChar w:fldCharType="end"/>
      </w:r>
      <w:r>
        <w:rPr>
          <w:rFonts w:hint="eastAsia"/>
        </w:rPr>
        <w:t>》要求填写工作日志。</w:t>
      </w:r>
    </w:p>
    <w:p>
      <w:pPr>
        <w:pStyle w:val="8"/>
        <w:spacing w:line="480" w:lineRule="exact"/>
        <w:ind w:firstLine="480"/>
      </w:pPr>
      <w:r>
        <w:rPr>
          <w:rFonts w:hint="eastAsia"/>
        </w:rPr>
        <w:t>注意：紧急事件具有特殊性，应本着首先解决问题的原则进行工作，因此紧急事件服务的工作日志更加重要，是解决问题的重要依据。</w:t>
      </w:r>
    </w:p>
    <w:p>
      <w:pPr>
        <w:numPr>
          <w:ilvl w:val="0"/>
          <w:numId w:val="32"/>
        </w:numPr>
        <w:spacing w:line="480" w:lineRule="exact"/>
        <w:ind w:firstLine="480" w:firstLineChars="200"/>
      </w:pPr>
      <w:bookmarkStart w:id="195" w:name="_Toc2845275"/>
      <w:bookmarkStart w:id="196" w:name="_Toc23069"/>
      <w:bookmarkStart w:id="197" w:name="_Toc28790"/>
      <w:bookmarkStart w:id="198" w:name="_Toc16598"/>
      <w:bookmarkStart w:id="199" w:name="_Toc19690242"/>
      <w:bookmarkStart w:id="200" w:name="_Toc18884"/>
      <w:bookmarkStart w:id="201" w:name="_Toc25985"/>
      <w:r>
        <w:rPr>
          <w:rFonts w:hint="eastAsia"/>
        </w:rPr>
        <w:t>系统底层故障处理日志</w:t>
      </w:r>
      <w:bookmarkEnd w:id="195"/>
      <w:bookmarkEnd w:id="196"/>
      <w:bookmarkEnd w:id="197"/>
      <w:bookmarkEnd w:id="198"/>
      <w:bookmarkEnd w:id="199"/>
      <w:bookmarkEnd w:id="200"/>
      <w:bookmarkEnd w:id="201"/>
    </w:p>
    <w:p>
      <w:pPr>
        <w:pStyle w:val="8"/>
        <w:spacing w:line="480" w:lineRule="exact"/>
        <w:ind w:firstLine="480"/>
      </w:pPr>
      <w:r>
        <w:rPr>
          <w:rFonts w:hint="eastAsia"/>
        </w:rPr>
        <w:t>主要记录排除由于系统底层或者系统程序BUG引起的系统故障的工作内容，工作人员需要按照《系统BUG及底层故障提交单》要求填写工作日志。</w:t>
      </w:r>
    </w:p>
    <w:p>
      <w:pPr>
        <w:numPr>
          <w:ilvl w:val="0"/>
          <w:numId w:val="32"/>
        </w:numPr>
        <w:spacing w:line="480" w:lineRule="exact"/>
        <w:ind w:firstLine="480" w:firstLineChars="200"/>
      </w:pPr>
      <w:bookmarkStart w:id="202" w:name="_Toc29230"/>
      <w:bookmarkStart w:id="203" w:name="_Toc2845276"/>
      <w:bookmarkStart w:id="204" w:name="_Toc19690243"/>
      <w:bookmarkStart w:id="205" w:name="_Toc31962"/>
      <w:bookmarkStart w:id="206" w:name="_Toc16057"/>
      <w:bookmarkStart w:id="207" w:name="_Toc17983"/>
      <w:bookmarkStart w:id="208" w:name="_Toc17256"/>
      <w:r>
        <w:rPr>
          <w:rFonts w:hint="eastAsia"/>
        </w:rPr>
        <w:t>系统需求变更日志</w:t>
      </w:r>
      <w:bookmarkEnd w:id="202"/>
      <w:bookmarkEnd w:id="203"/>
      <w:bookmarkEnd w:id="204"/>
      <w:bookmarkEnd w:id="205"/>
      <w:bookmarkEnd w:id="206"/>
      <w:bookmarkEnd w:id="207"/>
      <w:bookmarkEnd w:id="208"/>
    </w:p>
    <w:p>
      <w:pPr>
        <w:pStyle w:val="8"/>
        <w:spacing w:line="480" w:lineRule="exact"/>
        <w:ind w:firstLine="480"/>
      </w:pPr>
      <w:r>
        <w:rPr>
          <w:rFonts w:hint="eastAsia"/>
        </w:rPr>
        <w:t>主要记录排除由于系统底层或者系统程序BUG引起的系统故障的工作内容，工作人员需要按照《系统需求变更提交单》要求填写工作日志。</w:t>
      </w:r>
    </w:p>
    <w:p>
      <w:pPr>
        <w:numPr>
          <w:ilvl w:val="0"/>
          <w:numId w:val="26"/>
        </w:numPr>
        <w:spacing w:line="480" w:lineRule="exact"/>
        <w:ind w:firstLine="200"/>
      </w:pPr>
      <w:bookmarkStart w:id="209" w:name="_Toc8820"/>
      <w:r>
        <w:rPr>
          <w:rFonts w:hint="eastAsia"/>
        </w:rPr>
        <w:t>运维总结</w:t>
      </w:r>
      <w:bookmarkEnd w:id="209"/>
    </w:p>
    <w:p>
      <w:pPr>
        <w:pStyle w:val="8"/>
        <w:spacing w:line="480" w:lineRule="exact"/>
        <w:ind w:firstLine="480"/>
      </w:pPr>
      <w:r>
        <w:rPr>
          <w:rFonts w:hint="eastAsia"/>
        </w:rPr>
        <w:t>每年的1至3季度编写一份运维服务工作总结，年终编写《系统运维服务报告》，对整个服务期的服务工作进行总结、汇报。</w:t>
      </w:r>
    </w:p>
    <w:p>
      <w:pPr>
        <w:pStyle w:val="2"/>
        <w:spacing w:after="0" w:line="480" w:lineRule="exact"/>
        <w:ind w:firstLine="480" w:firstLineChars="200"/>
      </w:pPr>
      <w:r>
        <w:rPr>
          <w:rFonts w:hint="eastAsia"/>
          <w:szCs w:val="24"/>
        </w:rPr>
        <w:t>服务报告中需要精要、明了描述季、年度的工作情况，并且需要采用图表方式表现季、年度的用户量、公文量、信息发布条目、数据量、硬盘空间的变化曲线，为提升工作提供重要依据。</w:t>
      </w:r>
    </w:p>
    <w:p>
      <w:pPr>
        <w:pStyle w:val="4"/>
        <w:numPr>
          <w:ilvl w:val="0"/>
          <w:numId w:val="11"/>
        </w:numPr>
        <w:spacing w:line="480" w:lineRule="exact"/>
        <w:ind w:firstLine="200"/>
        <w:rPr>
          <w:rFonts w:hint="eastAsia" w:ascii="宋体" w:hAnsi="宋体" w:cs="宋体"/>
        </w:rPr>
      </w:pPr>
      <w:r>
        <w:rPr>
          <w:rFonts w:hint="eastAsia" w:ascii="宋体" w:hAnsi="宋体" w:cs="宋体"/>
        </w:rPr>
        <w:t>自助一体机运维要求</w:t>
      </w:r>
    </w:p>
    <w:p>
      <w:pPr>
        <w:spacing w:line="480" w:lineRule="exact"/>
        <w:ind w:firstLine="439" w:firstLineChars="183"/>
        <w:rPr>
          <w:rFonts w:hint="eastAsia" w:ascii="宋体" w:hAnsi="宋体" w:cs="@楷体_GB2312"/>
          <w:szCs w:val="24"/>
        </w:rPr>
      </w:pPr>
      <w:r>
        <w:rPr>
          <w:rFonts w:hint="eastAsia" w:ascii="宋体" w:hAnsi="宋体" w:cs="@楷体_GB2312"/>
          <w:szCs w:val="24"/>
        </w:rPr>
        <w:t>为有利于提升政务服务能力、优化营商环境、方便群众就近办事，需对部署在全市（包括镇、村（社区）等）的所有自助服务一体机（含自助机电脑、摄像头、打印机、读卡器等相关配套接入设备）进行日常运行维护服务，确保所有自助服务一体机工作正常，并提供与之相关的运维保障服务。</w:t>
      </w:r>
    </w:p>
    <w:p>
      <w:pPr>
        <w:spacing w:line="480" w:lineRule="exact"/>
        <w:ind w:firstLine="439" w:firstLineChars="183"/>
      </w:pPr>
      <w:r>
        <w:rPr>
          <w:rFonts w:hint="eastAsia" w:ascii="宋体" w:hAnsi="宋体" w:cs="@楷体_GB2312"/>
          <w:szCs w:val="24"/>
        </w:rPr>
        <w:t>运维服务对象为全市所有的自助服务一体机（目前全市自助服务设备98台，其中自助一体机69台，自助电脑端29台），以及在运维期内新增的自助服务设备。</w:t>
      </w:r>
    </w:p>
    <w:p>
      <w:pPr>
        <w:numPr>
          <w:ilvl w:val="0"/>
          <w:numId w:val="33"/>
        </w:numPr>
        <w:spacing w:line="480" w:lineRule="exact"/>
        <w:ind w:firstLine="200"/>
      </w:pPr>
      <w:r>
        <w:rPr>
          <w:rFonts w:hint="eastAsia"/>
        </w:rPr>
        <w:t>具体服务内容</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运维服务：自助机工作状态巡检、相关外设例行巡检、强弱电及设备接插件巡检、系统功能试用、网络安全检查、应急处理等；</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技术支持：硬件故障处理、系统故障处理、业务系统故障报修、技术解答等；</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联系协调：保持与每台自助一体机的产权方或其管理人员沟通联系，做到每次巡检运维前通知（电话或微信等）、每次巡检运维结束当天给到管理人员巡检报告，要能及时了解具体设备情况；</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日志台账：做好每次运维服务日志记录，包括设备运行状况、应急处理、现场救援等。每日生成日运维服务报告，每周五生成周运维服务报告，每月10日生成月运维服务报告，年度运维期限结束后5个工作日内出具年度运维服务报告。报告内容包括但不限于自助机硬件设备运行情况、业务系统运行情况、每台设备当月办件量统计、自助机服务事项当月办件量统计等；</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统计分析：根据设备办件量、事项办件量等统计数据，分析各点位设备使用情况，从服务群众的角度出发，提出合理可行的调整建议，包括迁移基本无人使用的设备、减少对服务频率低的设备的巡检频率、增加对服务频率高的设备的巡检频率等；</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机器保洁：每次巡检对机器外观进行保洁擦拭，确保外观干净整洁，线路连接安全规范；每年最热时候（7、8月份）对机器进行开箱检查（线路连接、内部温度、灰尘清理等）；</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机器标识：对机器进行统一登记标识，包括但不限于网络设备的物理地址、硬件设备的品牌型号、序列号；梳理机器的强弱电接插头，防止强电的漏电及接触不良，针对弱电做好网络接头管控，黏贴警告提醒，防止非必要设备接入造成不必要的不良影响；线材规整并捆扎牢固，在机器外观明显处标识报修联系方式。</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智能化管理：对自助一体机资产进行软件管理，记录机器编号、产权方、管理人员（包括联系方式）、机器地址、机器型号、开始服务时间、是否有更换零件、更换时间、巡检日志等信息，运维人员可对自助机记录进行添加、修改、查询等操作，提高自助机管理的效率和规范性；对自助机状态进行软件实时监控，包括设备监控管理、耗材管理、数据统计分析等，当发生故障时会自动锁定受影响功能，并发出维修通知，系统可配置耗材类型和参数，如规格、容量、每次消耗量等，针对耗材使用情况进行监控，有提醒更换功能，系统提供可视化的数据统计分析模块，如终端分布查询、分区域数据查询及统计、终端运行状态实时监控及故障情况分析等，提供移动端监控系统，通过手机移动端能够实时监控自助终端设备的运行情况，对有问题的设备进行预警和短信通知；</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软件更新和升级：及时配合对业务系统、应用软件进行更新或升级服务；</w:t>
      </w:r>
    </w:p>
    <w:p>
      <w:pPr>
        <w:numPr>
          <w:ilvl w:val="0"/>
          <w:numId w:val="34"/>
        </w:numPr>
        <w:spacing w:line="480" w:lineRule="exact"/>
        <w:ind w:firstLine="480" w:firstLineChars="200"/>
        <w:rPr>
          <w:rFonts w:hint="eastAsia" w:ascii="宋体" w:hAnsi="宋体" w:cs="@楷体_GB2312"/>
          <w:szCs w:val="24"/>
        </w:rPr>
      </w:pPr>
      <w:r>
        <w:rPr>
          <w:rFonts w:hint="eastAsia" w:ascii="宋体" w:hAnsi="宋体" w:cs="@楷体_GB2312"/>
          <w:szCs w:val="24"/>
        </w:rPr>
        <w:t>其它服务：配合建设方完成其它的相关工作内容。</w:t>
      </w:r>
    </w:p>
    <w:p>
      <w:pPr>
        <w:numPr>
          <w:ilvl w:val="0"/>
          <w:numId w:val="33"/>
        </w:numPr>
        <w:spacing w:line="480" w:lineRule="exact"/>
        <w:ind w:firstLine="200"/>
      </w:pPr>
      <w:r>
        <w:rPr>
          <w:rFonts w:hint="eastAsia"/>
        </w:rPr>
        <w:t>服务方式</w:t>
      </w:r>
    </w:p>
    <w:p>
      <w:pPr>
        <w:pStyle w:val="27"/>
        <w:numPr>
          <w:ilvl w:val="0"/>
          <w:numId w:val="35"/>
        </w:numPr>
        <w:spacing w:line="480" w:lineRule="exact"/>
        <w:ind w:firstLine="480" w:firstLineChars="200"/>
        <w:rPr>
          <w:rFonts w:hint="eastAsia" w:ascii="宋体" w:hAnsi="宋体" w:eastAsia="宋体"/>
          <w:sz w:val="24"/>
          <w:szCs w:val="24"/>
        </w:rPr>
      </w:pPr>
      <w:r>
        <w:rPr>
          <w:rFonts w:hint="eastAsia" w:ascii="宋体" w:hAnsi="宋体" w:eastAsia="宋体"/>
          <w:sz w:val="24"/>
          <w:szCs w:val="24"/>
        </w:rPr>
        <w:t>现场服务：每月每台自助一体机现场巡检一次，特殊情况及时现场应急处理；</w:t>
      </w:r>
    </w:p>
    <w:p>
      <w:pPr>
        <w:pStyle w:val="27"/>
        <w:numPr>
          <w:ilvl w:val="0"/>
          <w:numId w:val="35"/>
        </w:numPr>
        <w:spacing w:line="480" w:lineRule="exact"/>
        <w:ind w:firstLine="480" w:firstLineChars="200"/>
        <w:rPr>
          <w:rFonts w:hint="eastAsia" w:ascii="宋体" w:hAnsi="宋体" w:eastAsia="宋体"/>
          <w:sz w:val="24"/>
          <w:szCs w:val="24"/>
        </w:rPr>
      </w:pPr>
      <w:r>
        <w:rPr>
          <w:rFonts w:hint="eastAsia" w:ascii="宋体" w:hAnsi="宋体" w:eastAsia="宋体"/>
          <w:sz w:val="24"/>
          <w:szCs w:val="24"/>
        </w:rPr>
        <w:t>远程服务：通过电话（短信）或微信进行远程技术支持与咨询解答；</w:t>
      </w:r>
    </w:p>
    <w:p>
      <w:pPr>
        <w:numPr>
          <w:ilvl w:val="0"/>
          <w:numId w:val="33"/>
        </w:numPr>
        <w:spacing w:line="480" w:lineRule="exact"/>
        <w:ind w:firstLine="200"/>
      </w:pPr>
      <w:r>
        <w:rPr>
          <w:rFonts w:hint="eastAsia"/>
        </w:rPr>
        <w:t>服务要求</w:t>
      </w:r>
    </w:p>
    <w:p>
      <w:pPr>
        <w:pStyle w:val="27"/>
        <w:numPr>
          <w:ilvl w:val="0"/>
          <w:numId w:val="36"/>
        </w:numPr>
        <w:spacing w:line="480" w:lineRule="exact"/>
        <w:ind w:firstLine="480" w:firstLineChars="200"/>
        <w:rPr>
          <w:rFonts w:hint="eastAsia" w:ascii="宋体" w:hAnsi="宋体" w:eastAsia="宋体"/>
          <w:sz w:val="24"/>
          <w:szCs w:val="24"/>
        </w:rPr>
      </w:pPr>
      <w:r>
        <w:rPr>
          <w:rFonts w:hint="eastAsia" w:ascii="宋体" w:hAnsi="宋体" w:eastAsia="宋体"/>
          <w:sz w:val="24"/>
          <w:szCs w:val="24"/>
        </w:rPr>
        <w:t>运维频率：所有设备每个月巡检一次；特殊情况、经太仓市数据局同意后，可根据设备使用情况调整巡检频率；</w:t>
      </w:r>
    </w:p>
    <w:p>
      <w:pPr>
        <w:pStyle w:val="27"/>
        <w:numPr>
          <w:ilvl w:val="0"/>
          <w:numId w:val="36"/>
        </w:numPr>
        <w:spacing w:line="480" w:lineRule="exact"/>
        <w:ind w:firstLine="480" w:firstLineChars="200"/>
        <w:rPr>
          <w:rFonts w:hint="eastAsia" w:ascii="宋体" w:hAnsi="宋体" w:eastAsia="宋体"/>
          <w:sz w:val="24"/>
          <w:szCs w:val="24"/>
        </w:rPr>
      </w:pPr>
      <w:r>
        <w:rPr>
          <w:rFonts w:hint="eastAsia" w:ascii="宋体" w:hAnsi="宋体" w:eastAsia="宋体"/>
          <w:sz w:val="24"/>
          <w:szCs w:val="24"/>
        </w:rPr>
        <w:t>应急时间：全年7×24小时，最快时间内到达现场，最慢不超过2小时；</w:t>
      </w:r>
    </w:p>
    <w:p>
      <w:pPr>
        <w:pStyle w:val="27"/>
        <w:numPr>
          <w:ilvl w:val="0"/>
          <w:numId w:val="36"/>
        </w:numPr>
        <w:spacing w:line="480" w:lineRule="exact"/>
        <w:ind w:firstLine="480" w:firstLineChars="200"/>
        <w:rPr>
          <w:rFonts w:hint="eastAsia" w:ascii="宋体" w:hAnsi="宋体" w:eastAsia="宋体"/>
          <w:sz w:val="24"/>
          <w:szCs w:val="24"/>
        </w:rPr>
      </w:pPr>
      <w:r>
        <w:rPr>
          <w:rFonts w:hint="eastAsia" w:ascii="宋体" w:hAnsi="宋体" w:eastAsia="宋体"/>
          <w:sz w:val="24"/>
          <w:szCs w:val="24"/>
        </w:rPr>
        <w:t>运维公司行业背景：要求常年在太仓从事政企客户的软硬件运维工作，有稳定的队伍及熟练专业技术人才储备、有专业的运维服务工具、有作业车辆工具，有完善的故障修复能力，常规故障处理能够一次性解决而无需第三方支持，熟悉太仓全市镇村（社区）位置分布，了解太仓电信、移动、联通等营运商及政务网网络情况；</w:t>
      </w:r>
    </w:p>
    <w:p>
      <w:pPr>
        <w:pStyle w:val="27"/>
        <w:numPr>
          <w:ilvl w:val="0"/>
          <w:numId w:val="36"/>
        </w:numPr>
        <w:spacing w:line="480" w:lineRule="exact"/>
        <w:ind w:firstLine="480" w:firstLineChars="200"/>
        <w:rPr>
          <w:rFonts w:hint="eastAsia" w:ascii="宋体" w:hAnsi="宋体" w:eastAsia="宋体"/>
          <w:sz w:val="24"/>
          <w:szCs w:val="24"/>
        </w:rPr>
      </w:pPr>
      <w:r>
        <w:rPr>
          <w:rFonts w:hint="eastAsia" w:ascii="宋体" w:hAnsi="宋体" w:eastAsia="宋体"/>
          <w:sz w:val="24"/>
          <w:szCs w:val="24"/>
        </w:rPr>
        <w:t>自助一体机功能掌握：积极与设备厂商、业务软件开发商沟通交流，熟悉机器及各功能模块情况，在软件开发商配合下通过网络每天关注自助一体机工作状态；</w:t>
      </w:r>
    </w:p>
    <w:p>
      <w:pPr>
        <w:pStyle w:val="3"/>
        <w:spacing w:line="480" w:lineRule="exact"/>
        <w:rPr>
          <w:rFonts w:hint="eastAsia" w:ascii="宋体" w:hAnsi="宋体" w:cs="宋体"/>
        </w:rPr>
      </w:pPr>
      <w:r>
        <w:rPr>
          <w:rFonts w:hint="eastAsia" w:ascii="宋体" w:hAnsi="宋体" w:cs="宋体"/>
        </w:rPr>
        <w:t>项目实施要求</w:t>
      </w:r>
    </w:p>
    <w:p>
      <w:pPr>
        <w:pStyle w:val="4"/>
        <w:numPr>
          <w:ilvl w:val="0"/>
          <w:numId w:val="37"/>
        </w:numPr>
        <w:spacing w:line="480" w:lineRule="exact"/>
        <w:ind w:firstLine="482" w:firstLineChars="200"/>
        <w:rPr>
          <w:rFonts w:hint="eastAsia" w:ascii="宋体" w:hAnsi="宋体" w:cs="宋体"/>
        </w:rPr>
      </w:pPr>
      <w:r>
        <w:rPr>
          <w:rFonts w:hint="eastAsia" w:ascii="宋体" w:hAnsi="宋体" w:cs="宋体"/>
        </w:rPr>
        <w:t>建设工期与服务地点</w:t>
      </w:r>
    </w:p>
    <w:p>
      <w:pPr>
        <w:pStyle w:val="8"/>
        <w:numPr>
          <w:ilvl w:val="0"/>
          <w:numId w:val="38"/>
        </w:numPr>
        <w:spacing w:line="480" w:lineRule="exact"/>
        <w:ind w:firstLine="480"/>
        <w:rPr>
          <w:rFonts w:hint="eastAsia" w:ascii="宋体" w:hAnsi="宋体" w:cs="宋体"/>
          <w:szCs w:val="24"/>
        </w:rPr>
      </w:pPr>
      <w:r>
        <w:rPr>
          <w:rFonts w:hint="eastAsia" w:ascii="宋体" w:hAnsi="宋体" w:cs="宋体"/>
          <w:szCs w:val="24"/>
        </w:rPr>
        <w:t>平台建设工期为3个月。合同签订后的3个月内完成软件系统研发和联调测试，交付上线试运行，由采购单位组织项目验收。</w:t>
      </w:r>
    </w:p>
    <w:p>
      <w:pPr>
        <w:pStyle w:val="8"/>
        <w:numPr>
          <w:ilvl w:val="0"/>
          <w:numId w:val="38"/>
        </w:numPr>
        <w:spacing w:line="480" w:lineRule="exact"/>
        <w:ind w:firstLine="480"/>
        <w:rPr>
          <w:rFonts w:hint="eastAsia" w:ascii="宋体" w:hAnsi="宋体" w:cs="宋体"/>
          <w:szCs w:val="24"/>
        </w:rPr>
      </w:pPr>
      <w:r>
        <w:rPr>
          <w:rFonts w:hint="eastAsia" w:ascii="宋体" w:hAnsi="宋体" w:cs="宋体"/>
          <w:szCs w:val="24"/>
        </w:rPr>
        <w:t>在运行系统运维</w:t>
      </w:r>
      <w:r>
        <w:rPr>
          <w:rFonts w:ascii="宋体" w:hAnsi="宋体"/>
          <w:szCs w:val="24"/>
        </w:rPr>
        <w:t>期限：</w:t>
      </w:r>
      <w:r>
        <w:rPr>
          <w:rFonts w:hint="eastAsia" w:ascii="宋体" w:hAnsi="宋体" w:cs="宋体"/>
          <w:szCs w:val="24"/>
          <w:lang w:val="en-US" w:eastAsia="zh-CN"/>
        </w:rPr>
        <w:t>一年</w:t>
      </w:r>
    </w:p>
    <w:p>
      <w:pPr>
        <w:pStyle w:val="8"/>
        <w:numPr>
          <w:ilvl w:val="0"/>
          <w:numId w:val="38"/>
        </w:numPr>
        <w:spacing w:line="480" w:lineRule="exact"/>
        <w:ind w:firstLine="480"/>
        <w:rPr>
          <w:rFonts w:hint="eastAsia" w:ascii="宋体" w:hAnsi="宋体" w:cs="宋体"/>
          <w:szCs w:val="24"/>
        </w:rPr>
      </w:pPr>
      <w:r>
        <w:rPr>
          <w:rFonts w:hint="eastAsia" w:ascii="宋体" w:hAnsi="宋体"/>
          <w:szCs w:val="24"/>
        </w:rPr>
        <w:t>自助一体机</w:t>
      </w:r>
      <w:r>
        <w:rPr>
          <w:rFonts w:hint="eastAsia" w:ascii="宋体" w:hAnsi="宋体" w:cs="宋体"/>
          <w:szCs w:val="24"/>
        </w:rPr>
        <w:t>运维期限：</w:t>
      </w:r>
      <w:r>
        <w:rPr>
          <w:rFonts w:hint="eastAsia" w:ascii="宋体" w:hAnsi="宋体" w:cs="宋体"/>
          <w:szCs w:val="24"/>
          <w:lang w:val="en-US" w:eastAsia="zh-CN"/>
        </w:rPr>
        <w:t>一年</w:t>
      </w:r>
    </w:p>
    <w:p>
      <w:pPr>
        <w:pStyle w:val="8"/>
        <w:spacing w:line="480" w:lineRule="exact"/>
        <w:ind w:firstLine="480"/>
        <w:rPr>
          <w:rFonts w:hint="eastAsia" w:ascii="宋体" w:hAnsi="宋体" w:cs="宋体"/>
          <w:szCs w:val="24"/>
        </w:rPr>
      </w:pPr>
      <w:r>
        <w:rPr>
          <w:rFonts w:hint="eastAsia" w:ascii="宋体" w:hAnsi="宋体" w:cs="宋体"/>
          <w:szCs w:val="24"/>
        </w:rPr>
        <w:t>响应单位应结合采购单位建设要求，按照标准化项目实施管理规范，组建符合要求的实施团队，制定符合实际的实施计划和质量保障方案，科学开展项目实施工作，按时保质保量地完成项目交付。</w:t>
      </w:r>
    </w:p>
    <w:p>
      <w:pPr>
        <w:pStyle w:val="8"/>
        <w:numPr>
          <w:ilvl w:val="0"/>
          <w:numId w:val="38"/>
        </w:numPr>
        <w:spacing w:line="480" w:lineRule="exact"/>
        <w:ind w:firstLine="480"/>
        <w:rPr>
          <w:rFonts w:hint="eastAsia" w:ascii="宋体" w:hAnsi="宋体" w:cs="宋体"/>
          <w:szCs w:val="24"/>
          <w:highlight w:val="yellow"/>
        </w:rPr>
      </w:pPr>
      <w:r>
        <w:rPr>
          <w:rFonts w:hint="eastAsia" w:ascii="宋体" w:hAnsi="宋体" w:cs="宋体"/>
          <w:szCs w:val="24"/>
        </w:rPr>
        <w:t>服务地点：太仓市数据局</w:t>
      </w:r>
    </w:p>
    <w:p>
      <w:pPr>
        <w:pStyle w:val="4"/>
        <w:numPr>
          <w:ilvl w:val="0"/>
          <w:numId w:val="37"/>
        </w:numPr>
        <w:spacing w:line="480" w:lineRule="exact"/>
        <w:ind w:firstLine="482" w:firstLineChars="200"/>
        <w:rPr>
          <w:rFonts w:hint="eastAsia" w:ascii="宋体" w:hAnsi="宋体" w:cs="宋体"/>
        </w:rPr>
      </w:pPr>
      <w:r>
        <w:rPr>
          <w:rFonts w:hint="eastAsia" w:ascii="宋体" w:hAnsi="宋体" w:cs="宋体"/>
        </w:rPr>
        <w:t>平台建设项目组织机构</w:t>
      </w:r>
    </w:p>
    <w:p>
      <w:pPr>
        <w:pStyle w:val="8"/>
        <w:spacing w:line="480" w:lineRule="exact"/>
        <w:ind w:firstLine="480"/>
        <w:rPr>
          <w:rFonts w:hint="eastAsia" w:ascii="宋体" w:hAnsi="宋体" w:cs="宋体"/>
          <w:b/>
          <w:bCs/>
          <w:szCs w:val="24"/>
          <w:lang w:eastAsia="en-US"/>
        </w:rPr>
      </w:pPr>
      <w:r>
        <w:rPr>
          <w:rFonts w:hint="eastAsia" w:ascii="宋体" w:hAnsi="宋体" w:cs="宋体"/>
          <w:szCs w:val="24"/>
        </w:rPr>
        <w:t>应有明晰的组织机构，项目实施人员齐全，岗位职责明确，能高标准的实施项目管理。在项目实施期间，系统开发人员不得少于8人，驻点实施人员不得少于6人，并积极配合采购人完成与其他项目的应用对接，提供相关工作内容的技术支持。</w:t>
      </w:r>
      <w:r>
        <w:rPr>
          <w:rFonts w:hint="eastAsia" w:ascii="宋体" w:hAnsi="宋体" w:cs="宋体"/>
          <w:b/>
          <w:bCs/>
          <w:szCs w:val="24"/>
        </w:rPr>
        <w:t>（以上为实质性响应要求，提供承诺函，格式自拟，不满足作废标处理。</w:t>
      </w:r>
      <w:r>
        <w:rPr>
          <w:rFonts w:hint="eastAsia" w:ascii="宋体" w:hAnsi="宋体" w:cs="宋体"/>
          <w:b/>
          <w:bCs/>
          <w:szCs w:val="24"/>
          <w:lang w:eastAsia="en-US"/>
        </w:rPr>
        <w:t>）</w:t>
      </w:r>
    </w:p>
    <w:p>
      <w:pPr>
        <w:pStyle w:val="4"/>
        <w:numPr>
          <w:ilvl w:val="0"/>
          <w:numId w:val="37"/>
        </w:numPr>
        <w:spacing w:line="480" w:lineRule="exact"/>
        <w:ind w:firstLine="482" w:firstLineChars="200"/>
      </w:pPr>
      <w:r>
        <w:rPr>
          <w:rFonts w:hint="eastAsia" w:ascii="宋体" w:hAnsi="宋体" w:cs="宋体"/>
        </w:rPr>
        <w:t>平台建设项目实施计划</w:t>
      </w:r>
    </w:p>
    <w:p>
      <w:pPr>
        <w:pStyle w:val="8"/>
        <w:spacing w:line="480" w:lineRule="exact"/>
        <w:ind w:firstLine="480"/>
        <w:rPr>
          <w:rFonts w:hint="eastAsia" w:ascii="宋体" w:hAnsi="宋体" w:cs="宋体"/>
          <w:szCs w:val="24"/>
        </w:rPr>
      </w:pPr>
      <w:r>
        <w:rPr>
          <w:rFonts w:ascii="宋体" w:hAnsi="宋体" w:cs="宋体"/>
          <w:szCs w:val="24"/>
        </w:rPr>
        <w:t>项目实施进度计划是对软件开发过程的任务、时间和资源的规划安排</w:t>
      </w:r>
      <w:r>
        <w:rPr>
          <w:rFonts w:hint="eastAsia" w:ascii="宋体" w:hAnsi="宋体" w:cs="宋体"/>
          <w:szCs w:val="24"/>
        </w:rPr>
        <w:t>。应提供详细的项目实施步骤，并明确项目进度计划、变更管理计划、项目测试计划和项目验收计划，</w:t>
      </w:r>
      <w:r>
        <w:rPr>
          <w:rFonts w:ascii="宋体" w:hAnsi="宋体" w:cs="宋体"/>
          <w:szCs w:val="24"/>
        </w:rPr>
        <w:t>全方位保障项目从执行到交付各环节有序开展。</w:t>
      </w:r>
    </w:p>
    <w:p>
      <w:pPr>
        <w:pStyle w:val="4"/>
        <w:numPr>
          <w:ilvl w:val="0"/>
          <w:numId w:val="37"/>
        </w:numPr>
        <w:spacing w:line="480" w:lineRule="exact"/>
        <w:ind w:firstLine="482" w:firstLineChars="200"/>
        <w:rPr>
          <w:rFonts w:hint="eastAsia" w:ascii="宋体" w:hAnsi="宋体" w:cs="宋体"/>
        </w:rPr>
      </w:pPr>
      <w:r>
        <w:rPr>
          <w:rFonts w:hint="eastAsia" w:ascii="宋体" w:hAnsi="宋体" w:cs="宋体"/>
        </w:rPr>
        <w:t>平台建设项目过程管理</w:t>
      </w:r>
    </w:p>
    <w:p>
      <w:pPr>
        <w:pStyle w:val="8"/>
        <w:spacing w:line="480" w:lineRule="exact"/>
        <w:ind w:firstLine="480"/>
        <w:rPr>
          <w:rFonts w:hint="eastAsia" w:ascii="宋体" w:hAnsi="宋体" w:cs="宋体"/>
          <w:szCs w:val="24"/>
        </w:rPr>
      </w:pPr>
      <w:r>
        <w:rPr>
          <w:rFonts w:hint="eastAsia" w:ascii="宋体" w:hAnsi="宋体" w:cs="宋体"/>
          <w:szCs w:val="24"/>
        </w:rPr>
        <w:t>项目过程管理是保障项目顺利推进的关键环节，良好的过程管理不仅有助于合理规划和把控项目进度，确保各项工作按计划有序推进，还能有效降低开发过程中的风险，提高交付质量。项目过程管理应涵盖项目进度管理、</w:t>
      </w:r>
      <w:r>
        <w:rPr>
          <w:rFonts w:ascii="宋体" w:hAnsi="宋体" w:cs="宋体"/>
          <w:szCs w:val="24"/>
        </w:rPr>
        <w:t>开发过程管理</w:t>
      </w:r>
      <w:r>
        <w:rPr>
          <w:rFonts w:hint="eastAsia" w:ascii="宋体" w:hAnsi="宋体" w:cs="宋体"/>
          <w:szCs w:val="24"/>
        </w:rPr>
        <w:t>、项目变更管理、项目文档管理、项目沟通管理等。</w:t>
      </w:r>
    </w:p>
    <w:p>
      <w:pPr>
        <w:pStyle w:val="4"/>
        <w:numPr>
          <w:ilvl w:val="0"/>
          <w:numId w:val="37"/>
        </w:numPr>
        <w:spacing w:line="480" w:lineRule="exact"/>
        <w:ind w:firstLine="482" w:firstLineChars="200"/>
        <w:rPr>
          <w:rFonts w:hint="eastAsia" w:ascii="宋体" w:hAnsi="宋体" w:cs="宋体"/>
        </w:rPr>
      </w:pPr>
      <w:r>
        <w:rPr>
          <w:rFonts w:hint="eastAsia" w:ascii="宋体" w:hAnsi="宋体" w:cs="宋体"/>
        </w:rPr>
        <w:t>平台建设项目质量保障措施</w:t>
      </w:r>
    </w:p>
    <w:p>
      <w:pPr>
        <w:spacing w:line="480" w:lineRule="exact"/>
        <w:ind w:firstLine="480" w:firstLineChars="200"/>
        <w:rPr>
          <w:rFonts w:hint="eastAsia" w:ascii="宋体" w:hAnsi="宋体" w:cs="宋体"/>
        </w:rPr>
      </w:pPr>
      <w:r>
        <w:rPr>
          <w:rFonts w:hint="eastAsia" w:ascii="宋体" w:hAnsi="宋体" w:cs="宋体"/>
        </w:rPr>
        <w:t>为实现高质量的项目交付，必须明确质量管理的任务和目标，并根据项目的不同阶段（如设计阶段、准备阶段、实施阶段、验收阶段）制定切实可行且有效的质量管理措施。通过在项目不同阶段设定明确的质量标准和管理措施，可以有效预防潜在问题的发生，及时发现并解决质量问题，从而减少返工的风险，保证项目按时高质量地完成。</w:t>
      </w:r>
    </w:p>
    <w:p>
      <w:pPr>
        <w:pStyle w:val="4"/>
        <w:numPr>
          <w:ilvl w:val="0"/>
          <w:numId w:val="37"/>
        </w:numPr>
        <w:spacing w:line="480" w:lineRule="exact"/>
        <w:ind w:firstLine="482" w:firstLineChars="200"/>
        <w:rPr>
          <w:rFonts w:hint="eastAsia" w:ascii="宋体" w:hAnsi="宋体" w:cs="宋体"/>
        </w:rPr>
      </w:pPr>
      <w:r>
        <w:rPr>
          <w:rFonts w:hint="eastAsia" w:ascii="宋体" w:hAnsi="宋体" w:cs="宋体"/>
        </w:rPr>
        <w:t>平台建设项目实施风险控制</w:t>
      </w:r>
    </w:p>
    <w:p>
      <w:pPr>
        <w:spacing w:line="480" w:lineRule="exact"/>
        <w:ind w:firstLine="480" w:firstLineChars="200"/>
      </w:pPr>
      <w:r>
        <w:rPr>
          <w:rFonts w:hint="eastAsia"/>
        </w:rPr>
        <w:t>明确项目实施过程中可能存在的风险以及制定相应风险控制措施方法。软件实施存在需求风险、技术风险、管理风险、数据风险等，针对上述不同的风险制定不同控制措施。</w:t>
      </w:r>
    </w:p>
    <w:p>
      <w:pPr>
        <w:pStyle w:val="3"/>
        <w:spacing w:line="480" w:lineRule="exact"/>
        <w:rPr>
          <w:rFonts w:hint="eastAsia" w:ascii="宋体" w:hAnsi="宋体" w:cs="宋体"/>
        </w:rPr>
      </w:pPr>
      <w:r>
        <w:rPr>
          <w:rFonts w:hint="eastAsia" w:ascii="宋体" w:hAnsi="宋体" w:cs="宋体"/>
        </w:rPr>
        <w:t>平台建设项目售后服务要求</w:t>
      </w:r>
    </w:p>
    <w:p>
      <w:pPr>
        <w:pStyle w:val="4"/>
        <w:numPr>
          <w:ilvl w:val="0"/>
          <w:numId w:val="39"/>
        </w:numPr>
        <w:spacing w:line="480" w:lineRule="exact"/>
        <w:ind w:firstLine="482" w:firstLineChars="200"/>
      </w:pPr>
      <w:r>
        <w:rPr>
          <w:rFonts w:hint="eastAsia" w:ascii="宋体" w:hAnsi="宋体" w:cs="宋体"/>
        </w:rPr>
        <w:t>质保期及驻场要求</w:t>
      </w:r>
    </w:p>
    <w:p>
      <w:pPr>
        <w:pStyle w:val="8"/>
        <w:numPr>
          <w:ilvl w:val="0"/>
          <w:numId w:val="40"/>
        </w:numPr>
        <w:spacing w:line="480" w:lineRule="exact"/>
        <w:ind w:left="0" w:firstLine="480"/>
        <w:rPr>
          <w:rFonts w:hint="eastAsia" w:ascii="宋体" w:hAnsi="宋体" w:cs="宋体"/>
          <w:szCs w:val="24"/>
        </w:rPr>
      </w:pPr>
      <w:r>
        <w:rPr>
          <w:rFonts w:hint="eastAsia" w:ascii="宋体" w:hAnsi="宋体" w:cs="宋体"/>
          <w:szCs w:val="24"/>
        </w:rPr>
        <w:t>质保期：提供自项目验收合格之日起1年免费质保服务。</w:t>
      </w:r>
    </w:p>
    <w:p>
      <w:pPr>
        <w:pStyle w:val="8"/>
        <w:numPr>
          <w:ilvl w:val="0"/>
          <w:numId w:val="40"/>
        </w:numPr>
        <w:spacing w:line="480" w:lineRule="exact"/>
        <w:ind w:left="0" w:firstLine="480"/>
        <w:rPr>
          <w:rFonts w:hint="eastAsia" w:ascii="宋体" w:hAnsi="宋体" w:cs="宋体"/>
          <w:szCs w:val="24"/>
        </w:rPr>
      </w:pPr>
      <w:r>
        <w:rPr>
          <w:rFonts w:hint="eastAsia" w:ascii="宋体" w:hAnsi="宋体" w:cs="宋体"/>
          <w:szCs w:val="24"/>
        </w:rPr>
        <w:t>驻场服务：提供自项目验收合格之日起1年期2人及以上免费驻场服务。</w:t>
      </w:r>
      <w:r>
        <w:rPr>
          <w:rFonts w:hint="eastAsia" w:ascii="宋体" w:hAnsi="宋体" w:cs="宋体"/>
          <w:b/>
          <w:bCs/>
          <w:szCs w:val="24"/>
          <w:lang w:bidi="ar"/>
        </w:rPr>
        <w:t>（以上为实质性响应要求，提供承诺函，格式自拟，不满足作废标处理。</w:t>
      </w:r>
      <w:r>
        <w:rPr>
          <w:rFonts w:hint="eastAsia" w:ascii="宋体" w:hAnsi="宋体" w:cs="宋体"/>
          <w:b/>
          <w:bCs/>
          <w:szCs w:val="24"/>
          <w:lang w:eastAsia="en-US" w:bidi="ar"/>
        </w:rPr>
        <w:t>）</w:t>
      </w:r>
    </w:p>
    <w:p>
      <w:pPr>
        <w:pStyle w:val="4"/>
        <w:numPr>
          <w:ilvl w:val="0"/>
          <w:numId w:val="39"/>
        </w:numPr>
        <w:spacing w:line="480" w:lineRule="exact"/>
        <w:ind w:firstLine="482" w:firstLineChars="200"/>
      </w:pPr>
      <w:r>
        <w:rPr>
          <w:rFonts w:hint="eastAsia"/>
        </w:rPr>
        <w:t>售后服务保障</w:t>
      </w:r>
    </w:p>
    <w:p>
      <w:pPr>
        <w:pStyle w:val="8"/>
        <w:numPr>
          <w:ilvl w:val="0"/>
          <w:numId w:val="41"/>
        </w:numPr>
        <w:spacing w:line="480" w:lineRule="exact"/>
        <w:ind w:left="0" w:firstLine="480"/>
        <w:rPr>
          <w:rFonts w:hint="eastAsia" w:ascii="宋体" w:hAnsi="宋体" w:cs="宋体"/>
          <w:szCs w:val="24"/>
        </w:rPr>
      </w:pPr>
      <w:r>
        <w:rPr>
          <w:rFonts w:hint="eastAsia" w:ascii="宋体" w:hAnsi="宋体" w:cs="宋体"/>
          <w:szCs w:val="24"/>
        </w:rPr>
        <w:t>明确服务目标和服务方式，并制定服务原则及策略，确保售后服务工作能够按时稳步完成。同时，制定相关管理制度规范保障，确保服务时间，服务人员行为，现场技术支持，问题记录等符合规范要求。</w:t>
      </w:r>
    </w:p>
    <w:p>
      <w:pPr>
        <w:pStyle w:val="8"/>
        <w:numPr>
          <w:ilvl w:val="0"/>
          <w:numId w:val="41"/>
        </w:numPr>
        <w:spacing w:line="480" w:lineRule="exact"/>
        <w:ind w:left="0" w:firstLine="480"/>
        <w:rPr>
          <w:rFonts w:hint="eastAsia" w:ascii="宋体" w:hAnsi="宋体" w:cs="宋体"/>
          <w:szCs w:val="24"/>
        </w:rPr>
      </w:pPr>
      <w:r>
        <w:rPr>
          <w:rFonts w:hint="eastAsia" w:ascii="宋体" w:hAnsi="宋体" w:cs="宋体"/>
          <w:szCs w:val="24"/>
        </w:rPr>
        <w:t>中标人应根据不同情况设定不同的故障级别，并就不同故障级别提出对应的故障响应方案。在维护期内要求中标人提供7×24小时不间断的技术支持响应，在采购人提出服务要求后，中标人需在30分钟内响应，1小时内到达现场并提出解决方案，4小时内处理完毕。</w:t>
      </w:r>
    </w:p>
    <w:p>
      <w:pPr>
        <w:pStyle w:val="4"/>
        <w:numPr>
          <w:ilvl w:val="0"/>
          <w:numId w:val="39"/>
        </w:numPr>
        <w:spacing w:line="480" w:lineRule="exact"/>
        <w:ind w:firstLine="482" w:firstLineChars="200"/>
      </w:pPr>
      <w:r>
        <w:rPr>
          <w:rFonts w:hint="eastAsia"/>
        </w:rPr>
        <w:t>项目培训要求</w:t>
      </w:r>
    </w:p>
    <w:p>
      <w:pPr>
        <w:pStyle w:val="8"/>
        <w:numPr>
          <w:ilvl w:val="0"/>
          <w:numId w:val="42"/>
        </w:numPr>
        <w:spacing w:line="480" w:lineRule="exact"/>
        <w:ind w:left="0" w:firstLine="480"/>
        <w:rPr>
          <w:rFonts w:hint="eastAsia" w:ascii="宋体" w:hAnsi="宋体" w:cs="宋体"/>
          <w:szCs w:val="24"/>
        </w:rPr>
      </w:pPr>
      <w:r>
        <w:rPr>
          <w:rFonts w:hint="eastAsia" w:ascii="宋体" w:hAnsi="宋体" w:cs="宋体"/>
          <w:szCs w:val="24"/>
        </w:rPr>
        <w:t>要求针对本项目应用平台及采用的相关技术等提出全面培训计划和培训方案并征得业务主管部门领导的同意后实施。</w:t>
      </w:r>
    </w:p>
    <w:p>
      <w:pPr>
        <w:pStyle w:val="8"/>
        <w:numPr>
          <w:ilvl w:val="0"/>
          <w:numId w:val="42"/>
        </w:numPr>
        <w:spacing w:line="480" w:lineRule="exact"/>
        <w:ind w:left="0" w:firstLine="480"/>
        <w:rPr>
          <w:rFonts w:hint="eastAsia" w:ascii="宋体" w:hAnsi="宋体" w:cs="宋体"/>
          <w:szCs w:val="24"/>
        </w:rPr>
      </w:pPr>
      <w:r>
        <w:rPr>
          <w:rFonts w:hint="eastAsia" w:ascii="宋体" w:hAnsi="宋体" w:cs="宋体"/>
          <w:szCs w:val="24"/>
        </w:rPr>
        <w:t>培训对象主要分为涉及该项目的各类人员，必须针对不同的对象制定不同的培训计划，并分别培训。培训内容将涵盖各类用户业务、系统操作、技术框架使用培训。</w:t>
      </w:r>
    </w:p>
    <w:p>
      <w:pPr>
        <w:pStyle w:val="8"/>
        <w:numPr>
          <w:ilvl w:val="0"/>
          <w:numId w:val="42"/>
        </w:numPr>
        <w:spacing w:line="480" w:lineRule="exact"/>
        <w:ind w:left="0" w:firstLine="480"/>
        <w:rPr>
          <w:rFonts w:hint="eastAsia" w:ascii="宋体" w:hAnsi="宋体" w:cs="宋体"/>
          <w:szCs w:val="24"/>
        </w:rPr>
      </w:pPr>
      <w:r>
        <w:rPr>
          <w:rFonts w:hint="eastAsia" w:ascii="宋体" w:hAnsi="宋体" w:cs="宋体"/>
          <w:szCs w:val="24"/>
        </w:rPr>
        <w:t>要求对所有被培训人员进行现场培训，提供文字资料、讲义等相关用品。所有的资料必须是中文书写。</w:t>
      </w:r>
    </w:p>
    <w:p>
      <w:pPr>
        <w:pStyle w:val="8"/>
        <w:numPr>
          <w:ilvl w:val="0"/>
          <w:numId w:val="42"/>
        </w:numPr>
        <w:spacing w:line="480" w:lineRule="exact"/>
        <w:ind w:left="0" w:firstLine="480"/>
        <w:rPr>
          <w:rFonts w:hint="eastAsia" w:ascii="宋体" w:hAnsi="宋体" w:cs="宋体"/>
          <w:szCs w:val="24"/>
        </w:rPr>
      </w:pPr>
      <w:r>
        <w:rPr>
          <w:rFonts w:hint="eastAsia" w:ascii="宋体" w:hAnsi="宋体" w:cs="宋体"/>
          <w:szCs w:val="24"/>
        </w:rPr>
        <w:t>所有的培训费用包括差旅、食宿、教材、资料等由中标人负责，均计入投标报价中。</w:t>
      </w:r>
    </w:p>
    <w:p>
      <w:pPr>
        <w:pStyle w:val="4"/>
        <w:numPr>
          <w:ilvl w:val="0"/>
          <w:numId w:val="39"/>
        </w:numPr>
        <w:spacing w:line="480" w:lineRule="exact"/>
        <w:ind w:firstLine="482" w:firstLineChars="200"/>
      </w:pPr>
      <w:r>
        <w:rPr>
          <w:rFonts w:hint="eastAsia"/>
        </w:rPr>
        <w:t>售后运维要求</w:t>
      </w:r>
    </w:p>
    <w:p>
      <w:pPr>
        <w:spacing w:line="480" w:lineRule="exact"/>
        <w:ind w:firstLine="480" w:firstLineChars="200"/>
        <w:rPr>
          <w:rFonts w:hint="eastAsia" w:ascii="宋体" w:hAnsi="宋体" w:cs="宋体"/>
          <w:bCs/>
        </w:rPr>
      </w:pPr>
      <w:r>
        <w:rPr>
          <w:rFonts w:hint="eastAsia" w:ascii="宋体" w:hAnsi="宋体" w:cs="宋体"/>
          <w:bCs/>
        </w:rPr>
        <w:t>售后运维要求详见本采购需求“四、建设要求”中“（四）在运行系统系统运维要求”章节中的“3.</w:t>
      </w:r>
      <w:r>
        <w:rPr>
          <w:rFonts w:hint="eastAsia"/>
          <w:bCs/>
        </w:rPr>
        <w:t>运维方式及服务内容</w:t>
      </w:r>
      <w:r>
        <w:rPr>
          <w:rFonts w:hint="eastAsia" w:ascii="宋体" w:hAnsi="宋体" w:cs="宋体"/>
          <w:bCs/>
        </w:rPr>
        <w:t>”。</w:t>
      </w:r>
    </w:p>
    <w:p>
      <w:pPr>
        <w:pStyle w:val="3"/>
        <w:spacing w:line="480" w:lineRule="exact"/>
        <w:rPr>
          <w:rFonts w:hint="eastAsia" w:ascii="宋体" w:hAnsi="宋体" w:cs="宋体"/>
        </w:rPr>
      </w:pPr>
      <w:r>
        <w:rPr>
          <w:rFonts w:hint="eastAsia" w:ascii="宋体" w:hAnsi="宋体" w:cs="宋体"/>
        </w:rPr>
        <w:t>支付方式</w:t>
      </w:r>
    </w:p>
    <w:p>
      <w:pPr>
        <w:spacing w:line="480" w:lineRule="exact"/>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合同签订并收到发票后60个工作日内一次性支付中标价的48%，余款视明年财政资金落实情况支付。</w:t>
      </w:r>
    </w:p>
    <w:p>
      <w:pPr>
        <w:adjustRightInd w:val="0"/>
        <w:snapToGrid w:val="0"/>
        <w:spacing w:line="480" w:lineRule="exact"/>
        <w:jc w:val="left"/>
        <w:textAlignment w:val="baseline"/>
        <w:rPr>
          <w:rFonts w:hint="eastAsia" w:ascii="宋体" w:hAnsi="宋体" w:cs="宋体"/>
          <w:b/>
          <w:szCs w:val="24"/>
        </w:rPr>
      </w:pPr>
      <w:r>
        <w:rPr>
          <w:rFonts w:hint="eastAsia" w:ascii="宋体" w:hAnsi="宋体" w:cs="宋体"/>
          <w:b/>
          <w:szCs w:val="24"/>
        </w:rPr>
        <w:t>八、报价要求</w:t>
      </w:r>
    </w:p>
    <w:p>
      <w:pPr>
        <w:adjustRightInd w:val="0"/>
        <w:snapToGrid w:val="0"/>
        <w:spacing w:line="480" w:lineRule="exact"/>
        <w:ind w:firstLine="480" w:firstLineChars="200"/>
        <w:jc w:val="left"/>
        <w:textAlignment w:val="baseline"/>
        <w:rPr>
          <w:rFonts w:hint="eastAsia" w:ascii="宋体" w:hAnsi="宋体" w:cs="宋体"/>
          <w:bCs/>
          <w:szCs w:val="24"/>
        </w:rPr>
      </w:pPr>
      <w:r>
        <w:rPr>
          <w:rFonts w:hint="eastAsia" w:ascii="宋体" w:hAnsi="宋体" w:cs="宋体"/>
          <w:bCs/>
          <w:szCs w:val="24"/>
        </w:rPr>
        <w:t>1、</w:t>
      </w:r>
      <w:r>
        <w:rPr>
          <w:rFonts w:hint="eastAsia" w:ascii="宋体" w:hAnsi="宋体" w:cs="宋体"/>
          <w:szCs w:val="24"/>
        </w:rPr>
        <w:t>响应供应商</w:t>
      </w:r>
      <w:r>
        <w:rPr>
          <w:rFonts w:hint="eastAsia" w:ascii="宋体" w:hAnsi="宋体" w:cs="宋体"/>
          <w:bCs/>
          <w:szCs w:val="24"/>
        </w:rPr>
        <w:t>须对本项目中的所有内容进行报价，否则作无效响应处理。</w:t>
      </w:r>
    </w:p>
    <w:p>
      <w:pPr>
        <w:pStyle w:val="28"/>
        <w:widowControl/>
        <w:spacing w:line="480" w:lineRule="exact"/>
        <w:ind w:firstLine="480" w:firstLineChars="200"/>
        <w:rPr>
          <w:rFonts w:hint="eastAsia" w:hAnsi="宋体" w:cs="宋体"/>
          <w:szCs w:val="24"/>
        </w:rPr>
      </w:pPr>
      <w:r>
        <w:rPr>
          <w:rFonts w:hint="eastAsia" w:hAnsi="宋体" w:cs="宋体"/>
          <w:bCs/>
          <w:szCs w:val="24"/>
        </w:rPr>
        <w:t>2、响应报价应以人民币报价，响应报价一次报定，报价均</w:t>
      </w:r>
      <w:r>
        <w:rPr>
          <w:rFonts w:hint="eastAsia" w:hAnsi="宋体" w:cs="宋体"/>
          <w:szCs w:val="24"/>
        </w:rPr>
        <w:t>已包括但不限于完成本项目所需的全部软硬件设备、辅材、线材、附配件、系统、损耗、安装、调试、验收、培训、人工、机械、运输、仓储、保险、运费、各种税费、劳保、专利技术、第三方检测费等到项目正式交付期间内一切费用等各项应有费用，</w:t>
      </w:r>
      <w:r>
        <w:rPr>
          <w:rFonts w:hint="eastAsia" w:hAnsi="宋体" w:cs="宋体"/>
          <w:bCs/>
          <w:szCs w:val="24"/>
        </w:rPr>
        <w:t>还</w:t>
      </w:r>
      <w:r>
        <w:rPr>
          <w:rFonts w:hint="eastAsia" w:hAnsi="宋体" w:cs="宋体"/>
          <w:szCs w:val="24"/>
        </w:rPr>
        <w:t>包括耗材、各种税费及政策性文件规定及合同包含的所有风险、责任等各项应有费用。如有漏项，视同已包含在其它项目中，合同总价不做调整。采购文件未列明但为完成本项目采购需求所必须的其他费用亦包含在响应报价中。采购单位不再支付其他款项</w:t>
      </w:r>
      <w:r>
        <w:rPr>
          <w:rFonts w:hint="eastAsia" w:hAnsi="宋体" w:cs="宋体"/>
          <w:bCs/>
          <w:szCs w:val="24"/>
        </w:rPr>
        <w:t>。</w:t>
      </w:r>
    </w:p>
    <w:p>
      <w:pPr>
        <w:adjustRightInd w:val="0"/>
        <w:snapToGrid w:val="0"/>
        <w:spacing w:line="480" w:lineRule="exact"/>
        <w:ind w:firstLine="480" w:firstLineChars="200"/>
        <w:jc w:val="left"/>
        <w:textAlignment w:val="baseline"/>
        <w:rPr>
          <w:rFonts w:hint="eastAsia" w:ascii="宋体" w:hAnsi="宋体" w:cs="宋体"/>
          <w:bCs/>
          <w:szCs w:val="24"/>
        </w:rPr>
      </w:pPr>
      <w:r>
        <w:rPr>
          <w:rFonts w:hint="eastAsia" w:ascii="宋体" w:hAnsi="宋体" w:cs="宋体"/>
          <w:bCs/>
          <w:szCs w:val="24"/>
        </w:rPr>
        <w:t>3、</w:t>
      </w:r>
      <w:r>
        <w:rPr>
          <w:rFonts w:hint="eastAsia" w:ascii="宋体" w:hAnsi="宋体" w:cs="宋体"/>
          <w:szCs w:val="24"/>
        </w:rPr>
        <w:t>响应供应商</w:t>
      </w:r>
      <w:r>
        <w:rPr>
          <w:rFonts w:hint="eastAsia" w:ascii="宋体" w:hAnsi="宋体" w:cs="宋体"/>
          <w:bCs/>
          <w:szCs w:val="24"/>
        </w:rPr>
        <w:t>须具备独立完成本项目的能力，具有较强售后服务能力。因此各</w:t>
      </w:r>
      <w:r>
        <w:rPr>
          <w:rFonts w:hint="eastAsia" w:ascii="宋体" w:hAnsi="宋体" w:cs="宋体"/>
          <w:szCs w:val="24"/>
        </w:rPr>
        <w:t>响应供应商</w:t>
      </w:r>
      <w:r>
        <w:rPr>
          <w:rFonts w:hint="eastAsia" w:ascii="宋体" w:hAnsi="宋体" w:cs="宋体"/>
          <w:bCs/>
          <w:szCs w:val="24"/>
        </w:rPr>
        <w:t>可在报价前自行进行调研，了解项目情况及详细需求，但</w:t>
      </w:r>
      <w:r>
        <w:rPr>
          <w:rFonts w:hint="eastAsia" w:ascii="宋体" w:hAnsi="宋体" w:cs="宋体"/>
          <w:szCs w:val="24"/>
        </w:rPr>
        <w:t>响应供应商</w:t>
      </w:r>
      <w:r>
        <w:rPr>
          <w:rFonts w:hint="eastAsia" w:ascii="宋体" w:hAnsi="宋体" w:cs="宋体"/>
          <w:bCs/>
          <w:szCs w:val="24"/>
        </w:rPr>
        <w:t>不得因此使采购单位承担有关的责任和蒙受损失。</w:t>
      </w:r>
      <w:r>
        <w:rPr>
          <w:rFonts w:hint="eastAsia" w:ascii="宋体" w:hAnsi="宋体" w:cs="宋体"/>
          <w:szCs w:val="24"/>
        </w:rPr>
        <w:t>响应供应商</w:t>
      </w:r>
      <w:r>
        <w:rPr>
          <w:rFonts w:hint="eastAsia" w:ascii="宋体" w:hAnsi="宋体" w:cs="宋体"/>
          <w:bCs/>
          <w:szCs w:val="24"/>
        </w:rPr>
        <w:t>应承担前期调研的责任和风险。</w:t>
      </w:r>
      <w:r>
        <w:rPr>
          <w:rFonts w:hint="eastAsia" w:ascii="宋体" w:hAnsi="宋体" w:cs="宋体"/>
          <w:szCs w:val="24"/>
        </w:rPr>
        <w:t>响应供应商</w:t>
      </w:r>
      <w:r>
        <w:rPr>
          <w:rFonts w:hint="eastAsia" w:ascii="宋体" w:hAnsi="宋体" w:cs="宋体"/>
          <w:bCs/>
          <w:szCs w:val="24"/>
        </w:rPr>
        <w:t>中标后，不得以不了解项目情况及详细需求为理由而向采购单位提出任何索赔的要求，对此采购单位不再承担任何责任。</w:t>
      </w:r>
    </w:p>
    <w:p>
      <w:pPr>
        <w:adjustRightInd w:val="0"/>
        <w:snapToGrid w:val="0"/>
        <w:spacing w:line="480" w:lineRule="exact"/>
        <w:jc w:val="left"/>
        <w:textAlignment w:val="baseline"/>
        <w:rPr>
          <w:rFonts w:hint="eastAsia" w:ascii="宋体" w:hAnsi="宋体" w:cs="宋体"/>
          <w:b/>
          <w:bCs/>
          <w:szCs w:val="24"/>
        </w:rPr>
      </w:pPr>
      <w:r>
        <w:rPr>
          <w:rFonts w:hint="eastAsia" w:ascii="宋体" w:hAnsi="宋体" w:cs="宋体"/>
          <w:b/>
          <w:szCs w:val="24"/>
        </w:rPr>
        <w:t>九、</w:t>
      </w:r>
      <w:r>
        <w:rPr>
          <w:rFonts w:hint="eastAsia" w:ascii="宋体" w:hAnsi="宋体" w:cs="宋体"/>
          <w:b/>
          <w:bCs/>
          <w:szCs w:val="24"/>
        </w:rPr>
        <w:t>其他要求：</w:t>
      </w:r>
    </w:p>
    <w:p>
      <w:pPr>
        <w:adjustRightInd w:val="0"/>
        <w:snapToGrid w:val="0"/>
        <w:spacing w:line="480" w:lineRule="exact"/>
        <w:ind w:firstLine="480" w:firstLineChars="200"/>
        <w:jc w:val="left"/>
        <w:rPr>
          <w:rFonts w:hint="eastAsia" w:ascii="宋体" w:hAnsi="宋体" w:cs="宋体"/>
          <w:szCs w:val="24"/>
        </w:rPr>
      </w:pPr>
      <w:r>
        <w:rPr>
          <w:rFonts w:hint="eastAsia" w:ascii="宋体" w:hAnsi="宋体" w:cs="宋体"/>
          <w:szCs w:val="24"/>
        </w:rPr>
        <w:t>1</w:t>
      </w:r>
      <w:r>
        <w:rPr>
          <w:rFonts w:hint="eastAsia" w:ascii="宋体" w:hAnsi="宋体" w:cs="宋体"/>
          <w:kern w:val="0"/>
          <w:szCs w:val="24"/>
        </w:rPr>
        <w:t>、</w:t>
      </w:r>
      <w:r>
        <w:rPr>
          <w:rFonts w:hint="eastAsia" w:ascii="宋体" w:hAnsi="宋体" w:cs="宋体"/>
          <w:szCs w:val="24"/>
        </w:rPr>
        <w:t>响应供应商必须承诺采购文件中提出的全部要求，如果以其中某些条款不响应时，应在文件中逐条列出，未列出的视同响应。</w:t>
      </w:r>
    </w:p>
    <w:p>
      <w:pPr>
        <w:pStyle w:val="28"/>
        <w:tabs>
          <w:tab w:val="left" w:pos="360"/>
        </w:tabs>
        <w:adjustRightInd w:val="0"/>
        <w:snapToGrid w:val="0"/>
        <w:spacing w:line="480" w:lineRule="exact"/>
        <w:ind w:firstLine="480" w:firstLineChars="200"/>
        <w:jc w:val="left"/>
        <w:textAlignment w:val="baseline"/>
        <w:rPr>
          <w:rFonts w:hint="eastAsia" w:hAnsi="宋体" w:cs="宋体"/>
          <w:szCs w:val="24"/>
        </w:rPr>
      </w:pPr>
      <w:r>
        <w:rPr>
          <w:rFonts w:hint="eastAsia" w:hAnsi="宋体" w:cs="宋体"/>
          <w:szCs w:val="24"/>
        </w:rPr>
        <w:t>2</w:t>
      </w:r>
      <w:r>
        <w:rPr>
          <w:rFonts w:hint="eastAsia" w:hAnsi="宋体" w:cs="宋体"/>
          <w:kern w:val="0"/>
          <w:szCs w:val="24"/>
        </w:rPr>
        <w:t>、</w:t>
      </w:r>
      <w:r>
        <w:rPr>
          <w:rFonts w:hint="eastAsia" w:hAnsi="宋体" w:cs="宋体"/>
          <w:szCs w:val="24"/>
        </w:rPr>
        <w:t>响应供应商应对所投项目的全部内容进行报价，只投其中部分内容者，其响应文件将被拒绝。</w:t>
      </w:r>
    </w:p>
    <w:p>
      <w:pPr>
        <w:adjustRightInd w:val="0"/>
        <w:snapToGrid w:val="0"/>
        <w:spacing w:line="480" w:lineRule="exact"/>
        <w:ind w:firstLine="480" w:firstLineChars="200"/>
        <w:jc w:val="left"/>
        <w:rPr>
          <w:rFonts w:hint="eastAsia" w:ascii="宋体" w:hAnsi="宋体" w:cs="宋体"/>
          <w:b/>
          <w:bCs/>
          <w:szCs w:val="24"/>
        </w:rPr>
      </w:pPr>
      <w:r>
        <w:rPr>
          <w:rFonts w:hint="eastAsia" w:ascii="宋体" w:hAnsi="宋体" w:cs="宋体"/>
          <w:kern w:val="0"/>
          <w:szCs w:val="24"/>
        </w:rPr>
        <w:t>3、</w:t>
      </w:r>
      <w:r>
        <w:rPr>
          <w:rFonts w:hint="eastAsia" w:ascii="宋体" w:hAnsi="宋体" w:cs="宋体"/>
          <w:szCs w:val="24"/>
        </w:rPr>
        <w:t>响应单位</w:t>
      </w:r>
      <w:r>
        <w:rPr>
          <w:rFonts w:hint="eastAsia" w:ascii="宋体" w:hAnsi="宋体" w:cs="宋体"/>
          <w:kern w:val="0"/>
          <w:szCs w:val="24"/>
        </w:rPr>
        <w:t>须保证所提供的响应文件真实有效，如因</w:t>
      </w:r>
      <w:r>
        <w:rPr>
          <w:rFonts w:hint="eastAsia" w:ascii="宋体" w:hAnsi="宋体" w:cs="宋体"/>
          <w:szCs w:val="24"/>
        </w:rPr>
        <w:t>响应单位</w:t>
      </w:r>
      <w:r>
        <w:rPr>
          <w:rFonts w:hint="eastAsia" w:ascii="宋体" w:hAnsi="宋体" w:cs="宋体"/>
          <w:kern w:val="0"/>
          <w:szCs w:val="24"/>
        </w:rPr>
        <w:t>的响应文件不实而造成的后果由</w:t>
      </w:r>
      <w:r>
        <w:rPr>
          <w:rFonts w:hint="eastAsia" w:ascii="宋体" w:hAnsi="宋体" w:cs="宋体"/>
          <w:szCs w:val="24"/>
        </w:rPr>
        <w:t>响应单位</w:t>
      </w:r>
      <w:r>
        <w:rPr>
          <w:rFonts w:hint="eastAsia" w:ascii="宋体" w:hAnsi="宋体" w:cs="宋体"/>
          <w:kern w:val="0"/>
          <w:szCs w:val="24"/>
        </w:rPr>
        <w:t>自行承担。有虚假应标行为经查实的响应文件，评审小组有权予以其废标。</w:t>
      </w:r>
    </w:p>
    <w:p>
      <w:pPr>
        <w:adjustRightInd w:val="0"/>
        <w:snapToGrid w:val="0"/>
        <w:spacing w:line="480" w:lineRule="exact"/>
        <w:ind w:firstLine="480" w:firstLineChars="200"/>
        <w:jc w:val="left"/>
        <w:rPr>
          <w:rFonts w:hint="eastAsia" w:ascii="宋体" w:hAnsi="宋体" w:cs="宋体"/>
          <w:szCs w:val="24"/>
        </w:rPr>
      </w:pPr>
      <w:r>
        <w:rPr>
          <w:rFonts w:hint="eastAsia" w:ascii="宋体" w:hAnsi="宋体" w:cs="宋体"/>
          <w:szCs w:val="24"/>
        </w:rPr>
        <w:t>4、评审小组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审小组可认定其无效响应。</w:t>
      </w:r>
    </w:p>
    <w:p>
      <w:pPr>
        <w:adjustRightInd w:val="0"/>
        <w:snapToGrid w:val="0"/>
        <w:spacing w:line="480" w:lineRule="exact"/>
        <w:ind w:firstLine="482" w:firstLineChars="200"/>
        <w:jc w:val="left"/>
        <w:rPr>
          <w:rFonts w:hint="eastAsia" w:ascii="宋体" w:hAnsi="宋体" w:cs="宋体"/>
          <w:kern w:val="0"/>
          <w:szCs w:val="24"/>
        </w:rPr>
      </w:pPr>
      <w:r>
        <w:rPr>
          <w:rFonts w:hint="eastAsia" w:ascii="宋体" w:hAnsi="宋体" w:cs="宋体"/>
          <w:b/>
          <w:szCs w:val="24"/>
        </w:rPr>
        <w:t>十、凡涉及采购文件的补充说明和修改，均以苏州政府采购网、江苏省政府采购网发布的内容为准。</w:t>
      </w:r>
    </w:p>
    <w:p>
      <w:pPr>
        <w:adjustRightInd w:val="0"/>
        <w:snapToGrid w:val="0"/>
        <w:spacing w:line="480" w:lineRule="exact"/>
        <w:ind w:firstLine="480" w:firstLineChars="200"/>
        <w:jc w:val="left"/>
        <w:rPr>
          <w:rFonts w:hint="eastAsia" w:ascii="宋体" w:hAnsi="宋体" w:cs="宋体"/>
          <w:kern w:val="0"/>
          <w:szCs w:val="24"/>
        </w:rPr>
      </w:pPr>
    </w:p>
    <w:p>
      <w:pPr>
        <w:adjustRightInd w:val="0"/>
        <w:snapToGrid w:val="0"/>
        <w:spacing w:line="480" w:lineRule="exact"/>
        <w:ind w:firstLine="480" w:firstLineChars="200"/>
        <w:jc w:val="left"/>
        <w:rPr>
          <w:rFonts w:hint="eastAsia" w:ascii="宋体" w:hAnsi="宋体" w:cs="宋体"/>
          <w:kern w:val="0"/>
          <w:szCs w:val="24"/>
        </w:rPr>
      </w:pPr>
    </w:p>
    <w:p>
      <w:pPr>
        <w:adjustRightInd w:val="0"/>
        <w:snapToGrid w:val="0"/>
        <w:spacing w:line="480" w:lineRule="exact"/>
        <w:ind w:firstLine="480" w:firstLineChars="200"/>
        <w:jc w:val="left"/>
        <w:rPr>
          <w:rFonts w:hint="eastAsia" w:ascii="宋体" w:hAnsi="宋体" w:cs="宋体"/>
          <w:kern w:val="0"/>
          <w:szCs w:val="24"/>
        </w:rPr>
      </w:pPr>
    </w:p>
    <w:p>
      <w:pPr>
        <w:adjustRightInd w:val="0"/>
        <w:snapToGrid w:val="0"/>
        <w:spacing w:line="480" w:lineRule="exact"/>
        <w:ind w:firstLine="480" w:firstLineChars="200"/>
        <w:jc w:val="left"/>
        <w:rPr>
          <w:rFonts w:hint="eastAsia" w:ascii="宋体" w:hAnsi="宋体" w:cs="宋体"/>
          <w:kern w:val="0"/>
          <w:szCs w:val="24"/>
        </w:rPr>
      </w:pPr>
    </w:p>
    <w:p>
      <w:pPr>
        <w:spacing w:line="440" w:lineRule="exact"/>
        <w:rPr>
          <w:rFonts w:hint="eastAsia" w:ascii="宋体" w:hAnsi="宋体" w:cs="宋体"/>
          <w:b/>
          <w:bCs/>
          <w:szCs w:val="24"/>
        </w:rPr>
      </w:pPr>
      <w:r>
        <w:rPr>
          <w:rFonts w:hint="eastAsia" w:ascii="宋体" w:hAnsi="宋体" w:cs="宋体"/>
          <w:b/>
          <w:bCs/>
          <w:szCs w:val="24"/>
        </w:rPr>
        <w:t>附件：服务类项目履约验收方案</w:t>
      </w:r>
    </w:p>
    <w:p>
      <w:pPr>
        <w:pStyle w:val="29"/>
        <w:spacing w:line="440" w:lineRule="exact"/>
        <w:rPr>
          <w:rFonts w:hint="eastAsia" w:hAnsi="宋体" w:eastAsia="宋体" w:cs="宋体"/>
          <w:b/>
          <w:bCs/>
          <w:sz w:val="24"/>
          <w:szCs w:val="24"/>
        </w:rPr>
      </w:pPr>
      <w:r>
        <w:rPr>
          <w:rFonts w:hint="eastAsia" w:hAnsi="宋体" w:eastAsia="宋体" w:cs="宋体"/>
          <w:b/>
          <w:bCs/>
          <w:sz w:val="24"/>
          <w:szCs w:val="24"/>
        </w:rPr>
        <w:t>一、项目概况</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项目编号：</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项目名称：</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供应商名称：</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 xml:space="preserve">合同金额： </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验收主体：</w:t>
      </w:r>
    </w:p>
    <w:p>
      <w:pPr>
        <w:pStyle w:val="29"/>
        <w:spacing w:line="440" w:lineRule="exact"/>
        <w:rPr>
          <w:rFonts w:hint="eastAsia" w:hAnsi="宋体" w:eastAsia="宋体" w:cs="宋体"/>
          <w:b/>
          <w:bCs/>
          <w:sz w:val="24"/>
          <w:szCs w:val="24"/>
        </w:rPr>
      </w:pPr>
      <w:r>
        <w:rPr>
          <w:rFonts w:hint="eastAsia" w:hAnsi="宋体" w:eastAsia="宋体" w:cs="宋体"/>
          <w:b/>
          <w:bCs/>
          <w:sz w:val="24"/>
          <w:szCs w:val="24"/>
        </w:rPr>
        <w:t>二、验收目的</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pPr>
        <w:pStyle w:val="29"/>
        <w:spacing w:line="440" w:lineRule="exact"/>
        <w:rPr>
          <w:rFonts w:hint="eastAsia" w:hAnsi="宋体" w:eastAsia="宋体" w:cs="宋体"/>
          <w:b/>
          <w:bCs/>
          <w:sz w:val="24"/>
          <w:szCs w:val="24"/>
        </w:rPr>
      </w:pPr>
      <w:r>
        <w:rPr>
          <w:rFonts w:hint="eastAsia" w:hAnsi="宋体" w:eastAsia="宋体" w:cs="宋体"/>
          <w:b/>
          <w:bCs/>
          <w:sz w:val="24"/>
          <w:szCs w:val="24"/>
        </w:rPr>
        <w:t>三、验收依据</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pPr>
        <w:pStyle w:val="29"/>
        <w:spacing w:line="440" w:lineRule="exact"/>
        <w:rPr>
          <w:rFonts w:hint="eastAsia" w:hAnsi="宋体" w:eastAsia="宋体" w:cs="宋体"/>
          <w:b/>
          <w:bCs/>
          <w:sz w:val="24"/>
          <w:szCs w:val="24"/>
        </w:rPr>
      </w:pPr>
      <w:r>
        <w:rPr>
          <w:rFonts w:hint="eastAsia" w:hAnsi="宋体" w:eastAsia="宋体" w:cs="宋体"/>
          <w:b/>
          <w:bCs/>
          <w:sz w:val="24"/>
          <w:szCs w:val="24"/>
        </w:rPr>
        <w:t>四、验收责任主体</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pPr>
        <w:pStyle w:val="29"/>
        <w:spacing w:line="440" w:lineRule="exact"/>
        <w:rPr>
          <w:rFonts w:hint="eastAsia" w:hAnsi="宋体" w:eastAsia="宋体" w:cs="宋体"/>
          <w:b/>
          <w:bCs/>
          <w:sz w:val="24"/>
          <w:szCs w:val="24"/>
        </w:rPr>
      </w:pPr>
      <w:r>
        <w:rPr>
          <w:rFonts w:hint="eastAsia" w:hAnsi="宋体" w:eastAsia="宋体" w:cs="宋体"/>
          <w:b/>
          <w:bCs/>
          <w:sz w:val="24"/>
          <w:szCs w:val="24"/>
        </w:rPr>
        <w:t>五、验收方式(形式)</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5.1日常考核、分段验收</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对于一次性整体验收不能反映履约情况的服务类项目，需要在服务期内对供应商服务实施情况进行日常考核、分段验收，应科学确定检查周期或分段节点，指派具体考核人员，分别实施验收。</w:t>
      </w:r>
    </w:p>
    <w:p>
      <w:pPr>
        <w:pStyle w:val="29"/>
        <w:spacing w:line="440" w:lineRule="exact"/>
        <w:ind w:firstLine="482"/>
        <w:rPr>
          <w:rFonts w:hint="eastAsia" w:hAnsi="宋体" w:eastAsia="宋体" w:cs="宋体"/>
          <w:sz w:val="24"/>
          <w:szCs w:val="24"/>
        </w:rPr>
      </w:pPr>
      <w:r>
        <w:rPr>
          <w:rFonts w:hint="eastAsia" w:hAnsi="宋体" w:eastAsia="宋体" w:cs="宋体"/>
          <w:b/>
          <w:bCs/>
          <w:sz w:val="24"/>
          <w:szCs w:val="24"/>
        </w:rPr>
        <w:t>5.2最终验收</w:t>
      </w:r>
    </w:p>
    <w:p>
      <w:pPr>
        <w:pStyle w:val="29"/>
        <w:spacing w:line="440" w:lineRule="exact"/>
        <w:rPr>
          <w:rFonts w:hint="eastAsia" w:hAnsi="宋体" w:eastAsia="宋体" w:cs="宋体"/>
          <w:b/>
          <w:bCs/>
          <w:sz w:val="24"/>
          <w:szCs w:val="24"/>
        </w:rPr>
      </w:pPr>
      <w:r>
        <w:rPr>
          <w:rFonts w:hint="eastAsia" w:hAnsi="宋体" w:eastAsia="宋体" w:cs="宋体"/>
          <w:b/>
          <w:bCs/>
          <w:sz w:val="24"/>
          <w:szCs w:val="24"/>
        </w:rPr>
        <w:t>六、验收内容：</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pPr>
        <w:pStyle w:val="29"/>
        <w:spacing w:line="440" w:lineRule="exact"/>
        <w:rPr>
          <w:rFonts w:hint="eastAsia" w:hAnsi="宋体" w:eastAsia="宋体" w:cs="宋体"/>
          <w:b/>
          <w:bCs/>
          <w:sz w:val="24"/>
          <w:szCs w:val="24"/>
        </w:rPr>
      </w:pPr>
      <w:r>
        <w:rPr>
          <w:rFonts w:hint="eastAsia" w:hAnsi="宋体" w:eastAsia="宋体" w:cs="宋体"/>
          <w:b/>
          <w:bCs/>
          <w:sz w:val="24"/>
          <w:szCs w:val="24"/>
        </w:rPr>
        <w:t>七、验收程序：</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7.1验收准备</w:t>
      </w:r>
    </w:p>
    <w:p>
      <w:pPr>
        <w:pStyle w:val="29"/>
        <w:spacing w:line="440" w:lineRule="exact"/>
        <w:ind w:firstLine="480"/>
        <w:rPr>
          <w:rFonts w:hint="eastAsia" w:hAnsi="宋体" w:eastAsia="宋体" w:cs="宋体"/>
          <w:b/>
          <w:bCs/>
          <w:sz w:val="24"/>
          <w:szCs w:val="24"/>
        </w:rPr>
      </w:pPr>
      <w:r>
        <w:rPr>
          <w:rFonts w:hint="eastAsia" w:hAnsi="宋体" w:eastAsia="宋体" w:cs="宋体"/>
          <w:sz w:val="24"/>
          <w:szCs w:val="24"/>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供应商在收到催告后五个工作日内拒不配合的，采购人应依照合同约定追究其责任。</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7.1.2供应商应当配合采购人、采购代理机构做好项目验收工作，及时提供与项目验收相关的生产、技术、服务、数量、质量、安全、合格证明及验收所必须具备的其他材料。</w:t>
      </w:r>
    </w:p>
    <w:p>
      <w:pPr>
        <w:pStyle w:val="29"/>
        <w:spacing w:line="440" w:lineRule="exact"/>
        <w:ind w:firstLine="480"/>
        <w:rPr>
          <w:rFonts w:hint="eastAsia" w:hAnsi="宋体" w:eastAsia="宋体" w:cs="宋体"/>
          <w:b/>
          <w:bCs/>
          <w:sz w:val="24"/>
          <w:szCs w:val="24"/>
        </w:rPr>
      </w:pPr>
      <w:r>
        <w:rPr>
          <w:rFonts w:hint="eastAsia" w:hAnsi="宋体" w:eastAsia="宋体" w:cs="宋体"/>
          <w:sz w:val="24"/>
          <w:szCs w:val="24"/>
        </w:rPr>
        <w:t>7.1.3采购人应及时全面准备验收，自收到验收</w:t>
      </w:r>
      <w:r>
        <w:rPr>
          <w:rFonts w:hint="eastAsia" w:hAnsi="宋体" w:eastAsia="宋体" w:cs="宋体"/>
          <w:b/>
          <w:bCs/>
          <w:sz w:val="24"/>
          <w:szCs w:val="24"/>
        </w:rPr>
        <w:t>申请之日起五个工作日内</w:t>
      </w:r>
      <w:r>
        <w:rPr>
          <w:rFonts w:hint="eastAsia" w:hAnsi="宋体" w:eastAsia="宋体" w:cs="宋体"/>
          <w:sz w:val="24"/>
          <w:szCs w:val="24"/>
        </w:rPr>
        <w:t>做好通水、通电、准备验收工具等必要的验收准备工作、启动项目验收、通知供应商。</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7.2验收小组</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7.3参与验收人员</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7.3.1技术复杂或专业性强的政府采购项目，可以邀请有资质的第三方专业机构参加验收并出具专业意见。</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7.3.2对于采购人和使用人分离的采购项目，采购人或其委托的采购代理机构应当邀请实际使用人参与验收</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7.3.3政府向社会公众提供的公共服务项目，验收时应当邀请服务对象进行公共服务项目满意度评价，评价结果作为履约验收的参考依据。</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7.4验收原则</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政府采购履约验收应当遵循全面完整、客观真实、诚实信用的原则，坚持公开透明、应验必验、验收必严、违约必究。</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7.4.2项目验收范围应当完整，与采购合同一致，不得省略、遗漏和缺失，也不得擅自扩大范围。</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7.4.3项目验收方式应当符合项目特点，不能明确客观标准、涉及主观判断的，可以通过在采购人、使用人中开展问卷调查等方式予以客观、量化。</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7.4.4项目验收标准应包括所有客观、量化指标，符合采购合同约定，未进行相应约定的，应当符合法律法规、政策要求、国家标准、行业标准，地方标准或企业标准等有关标准。</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7.4.5项目验收意见应当客观真实。验收小组成员意见不一致时，按照少数服从多数的原则作出验收意见。</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7.4.6验收方法主要包括全部查验核对和抽查核对。</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7.5验收记录</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7.5.1验收小组应当要求参与验收的供应商、专业机构、专家和服务对象等出具书面意见，作为验收书的重要组成部分。</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7.5.3验收结束后，验收小组应在验收书中作出最终验收意见，验收小组成员对验收意见有异议的，应当在验收意见栏签署不同意见并说明理由，否则视为同意验收意见。验收意见由供应商盖章确认后报采购人。</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八、验收结果</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pPr>
        <w:pStyle w:val="29"/>
        <w:spacing w:line="440" w:lineRule="exact"/>
        <w:ind w:firstLine="482"/>
        <w:rPr>
          <w:rFonts w:hint="eastAsia" w:hAnsi="宋体" w:eastAsia="宋体" w:cs="宋体"/>
          <w:b/>
          <w:bCs/>
          <w:sz w:val="24"/>
          <w:szCs w:val="24"/>
        </w:rPr>
      </w:pPr>
      <w:r>
        <w:rPr>
          <w:rFonts w:hint="eastAsia" w:hAnsi="宋体" w:eastAsia="宋体" w:cs="宋体"/>
          <w:b/>
          <w:bCs/>
          <w:sz w:val="24"/>
          <w:szCs w:val="24"/>
        </w:rPr>
        <w:t>九、验收资料归档</w:t>
      </w:r>
    </w:p>
    <w:p>
      <w:pPr>
        <w:pStyle w:val="29"/>
        <w:spacing w:line="440" w:lineRule="exact"/>
        <w:ind w:firstLine="480"/>
        <w:rPr>
          <w:rFonts w:hint="eastAsia" w:hAnsi="宋体" w:eastAsia="宋体" w:cs="宋体"/>
          <w:sz w:val="24"/>
          <w:szCs w:val="24"/>
        </w:rPr>
      </w:pPr>
      <w:r>
        <w:rPr>
          <w:rFonts w:hint="eastAsia" w:hAnsi="宋体" w:eastAsia="宋体" w:cs="宋体"/>
          <w:sz w:val="24"/>
          <w:szCs w:val="24"/>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cs="宋体"/>
          <w:b/>
          <w:bCs/>
          <w:spacing w:val="9"/>
          <w:sz w:val="44"/>
          <w:szCs w:val="44"/>
        </w:rPr>
      </w:pPr>
    </w:p>
    <w:p>
      <w:pPr>
        <w:pStyle w:val="6"/>
        <w:numPr>
          <w:ilvl w:val="3"/>
          <w:numId w:val="0"/>
        </w:numPr>
        <w:rPr>
          <w:rFonts w:hint="eastAsia" w:ascii="宋体" w:hAnsi="宋体" w:eastAsia="宋体" w:cs="宋体"/>
        </w:rPr>
      </w:pPr>
    </w:p>
    <w:p>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cs="宋体"/>
          <w:b/>
          <w:bCs/>
          <w:sz w:val="44"/>
          <w:szCs w:val="44"/>
        </w:rPr>
      </w:pPr>
      <w:r>
        <w:rPr>
          <w:rFonts w:hint="eastAsia" w:ascii="宋体" w:hAnsi="宋体" w:cs="宋体"/>
          <w:b/>
          <w:bCs/>
          <w:spacing w:val="9"/>
          <w:sz w:val="44"/>
          <w:szCs w:val="44"/>
        </w:rPr>
        <w:t>政府采购履约验收书(服务类）</w:t>
      </w:r>
    </w:p>
    <w:tbl>
      <w:tblPr>
        <w:tblStyle w:val="17"/>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7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分期（段）情况</w:t>
            </w:r>
          </w:p>
        </w:tc>
        <w:tc>
          <w:tcPr>
            <w:tcW w:w="5528" w:type="dxa"/>
            <w:gridSpan w:val="5"/>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共分   期（段），此为第   期（段）验收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□自行简易验收</w:t>
            </w:r>
          </w:p>
          <w:p>
            <w:pPr>
              <w:spacing w:line="360" w:lineRule="exact"/>
              <w:rPr>
                <w:rFonts w:hint="eastAsia" w:ascii="宋体" w:hAnsi="宋体" w:cs="宋体"/>
                <w:sz w:val="18"/>
                <w:szCs w:val="18"/>
                <w:lang w:bidi="ar"/>
              </w:rPr>
            </w:pPr>
            <w:r>
              <w:rPr>
                <w:rFonts w:hint="eastAsia" w:ascii="宋体" w:hAnsi="宋体" w:cs="宋体"/>
                <w:sz w:val="18"/>
                <w:szCs w:val="18"/>
                <w:lang w:bidi="ar"/>
              </w:rPr>
              <w:t>□验收小组验收</w:t>
            </w:r>
          </w:p>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□采购代理机构验收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合同履约时间、 地点、方式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pPr>
              <w:spacing w:line="360" w:lineRule="exact"/>
              <w:jc w:val="center"/>
              <w:rPr>
                <w:rFonts w:hint="eastAsia" w:ascii="宋体" w:hAnsi="宋体" w:cs="宋体"/>
                <w:sz w:val="18"/>
                <w:szCs w:val="18"/>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按  时□ </w:t>
            </w:r>
          </w:p>
          <w:p>
            <w:pPr>
              <w:spacing w:line="360" w:lineRule="exact"/>
              <w:rPr>
                <w:rFonts w:hint="eastAsia" w:ascii="宋体" w:hAnsi="宋体" w:cs="宋体"/>
                <w:sz w:val="18"/>
                <w:szCs w:val="18"/>
                <w:lang w:bidi="ar"/>
              </w:rPr>
            </w:pPr>
            <w:r>
              <w:rPr>
                <w:rFonts w:hint="eastAsia" w:ascii="宋体" w:hAnsi="宋体" w:cs="宋体"/>
                <w:sz w:val="18"/>
                <w:szCs w:val="18"/>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360" w:lineRule="exact"/>
              <w:rPr>
                <w:rFonts w:hint="eastAsia" w:ascii="宋体" w:hAnsi="宋体" w:cs="宋体"/>
                <w:sz w:val="18"/>
                <w:szCs w:val="18"/>
                <w:lang w:bidi="ar"/>
              </w:rPr>
            </w:pPr>
            <w:r>
              <w:rPr>
                <w:rFonts w:hint="eastAsia" w:ascii="宋体" w:hAnsi="宋体" w:cs="宋体"/>
                <w:sz w:val="18"/>
                <w:szCs w:val="18"/>
                <w:lang w:bidi="ar"/>
              </w:rPr>
              <w:t xml:space="preserve">合  格□ </w:t>
            </w:r>
          </w:p>
          <w:p>
            <w:pPr>
              <w:spacing w:line="360" w:lineRule="exact"/>
              <w:rPr>
                <w:rFonts w:hint="eastAsia" w:ascii="宋体" w:hAnsi="宋体" w:cs="宋体"/>
                <w:sz w:val="18"/>
                <w:szCs w:val="18"/>
                <w:lang w:bidi="ar"/>
              </w:rPr>
            </w:pPr>
            <w:r>
              <w:rPr>
                <w:rFonts w:hint="eastAsia" w:ascii="宋体" w:hAnsi="宋体" w:cs="宋体"/>
                <w:sz w:val="18"/>
                <w:szCs w:val="18"/>
                <w:lang w:bidi="ar"/>
              </w:rPr>
              <w:t>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专业检测机构情况说明</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存在问题</w:t>
            </w:r>
          </w:p>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和改进意见</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最终结论</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合  格□                              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r>
              <w:rPr>
                <w:rFonts w:hint="eastAsia" w:ascii="宋体" w:hAnsi="宋体" w:cs="宋体"/>
                <w:sz w:val="18"/>
                <w:szCs w:val="18"/>
                <w:lang w:bidi="ar"/>
              </w:rPr>
              <w:t>验收小组成员</w:t>
            </w:r>
          </w:p>
          <w:p>
            <w:pPr>
              <w:spacing w:line="360" w:lineRule="exact"/>
              <w:jc w:val="center"/>
              <w:rPr>
                <w:rFonts w:hint="eastAsia" w:ascii="宋体" w:hAnsi="宋体" w:cs="宋体"/>
                <w:sz w:val="18"/>
                <w:szCs w:val="18"/>
                <w:lang w:bidi="ar"/>
              </w:rPr>
            </w:pPr>
            <w:r>
              <w:rPr>
                <w:rFonts w:hint="eastAsia" w:ascii="宋体" w:hAnsi="宋体" w:cs="宋体"/>
                <w:sz w:val="18"/>
                <w:szCs w:val="18"/>
                <w:lang w:bidi="ar"/>
              </w:rPr>
              <w:t>签字</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pPr>
              <w:spacing w:line="360" w:lineRule="exact"/>
              <w:jc w:val="center"/>
              <w:rPr>
                <w:rFonts w:hint="eastAsia" w:ascii="宋体" w:hAnsi="宋体" w:cs="宋体"/>
                <w:sz w:val="18"/>
                <w:szCs w:val="18"/>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pPr>
              <w:spacing w:line="560" w:lineRule="exact"/>
              <w:rPr>
                <w:rFonts w:hint="eastAsia" w:ascii="宋体" w:hAnsi="宋体" w:cs="宋体"/>
                <w:sz w:val="18"/>
                <w:szCs w:val="18"/>
                <w:lang w:bidi="ar"/>
              </w:rPr>
            </w:pPr>
            <w:r>
              <w:rPr>
                <w:rFonts w:hint="eastAsia" w:ascii="宋体" w:hAnsi="宋体" w:cs="宋体"/>
                <w:sz w:val="18"/>
                <w:szCs w:val="18"/>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pPr>
              <w:spacing w:line="560" w:lineRule="exact"/>
              <w:jc w:val="center"/>
              <w:rPr>
                <w:rFonts w:hint="eastAsia" w:ascii="宋体" w:hAnsi="宋体" w:cs="宋体"/>
                <w:sz w:val="18"/>
                <w:szCs w:val="18"/>
                <w:lang w:bidi="ar"/>
              </w:rPr>
            </w:pPr>
            <w:r>
              <w:rPr>
                <w:rFonts w:hint="eastAsia" w:ascii="宋体" w:hAnsi="宋体" w:cs="宋体"/>
                <w:sz w:val="18"/>
                <w:szCs w:val="18"/>
                <w:lang w:bidi="ar"/>
              </w:rPr>
              <w:t>采购人意见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pPr>
              <w:spacing w:line="380" w:lineRule="exact"/>
              <w:jc w:val="left"/>
              <w:rPr>
                <w:rFonts w:hint="eastAsia" w:ascii="宋体" w:hAnsi="宋体" w:cs="宋体"/>
                <w:sz w:val="18"/>
                <w:szCs w:val="18"/>
                <w:lang w:bidi="ar"/>
              </w:rPr>
            </w:pPr>
          </w:p>
          <w:p>
            <w:pPr>
              <w:spacing w:line="380" w:lineRule="exact"/>
              <w:jc w:val="left"/>
              <w:rPr>
                <w:rFonts w:hint="eastAsia" w:ascii="宋体" w:hAnsi="宋体" w:cs="宋体"/>
                <w:sz w:val="18"/>
                <w:szCs w:val="18"/>
                <w:lang w:bidi="ar"/>
              </w:rPr>
            </w:pPr>
            <w:r>
              <w:rPr>
                <w:rFonts w:hint="eastAsia" w:ascii="宋体" w:hAnsi="宋体" w:cs="宋体"/>
                <w:sz w:val="18"/>
                <w:szCs w:val="18"/>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pPr>
              <w:spacing w:line="380" w:lineRule="exact"/>
              <w:jc w:val="left"/>
              <w:rPr>
                <w:rFonts w:hint="eastAsia" w:ascii="宋体" w:hAnsi="宋体" w:cs="宋体"/>
                <w:sz w:val="18"/>
                <w:szCs w:val="18"/>
                <w:lang w:bidi="ar"/>
              </w:rPr>
            </w:pPr>
          </w:p>
          <w:p>
            <w:pPr>
              <w:spacing w:line="380" w:lineRule="exact"/>
              <w:jc w:val="left"/>
              <w:rPr>
                <w:rFonts w:hint="eastAsia" w:ascii="宋体" w:hAnsi="宋体" w:cs="宋体"/>
                <w:sz w:val="18"/>
                <w:szCs w:val="18"/>
                <w:lang w:bidi="ar"/>
              </w:rPr>
            </w:pPr>
            <w:r>
              <w:rPr>
                <w:rFonts w:hint="eastAsia" w:ascii="宋体" w:hAnsi="宋体" w:cs="宋体"/>
                <w:sz w:val="18"/>
                <w:szCs w:val="18"/>
                <w:lang w:bidi="ar"/>
              </w:rPr>
              <w:t>经办人：         负责人：               （采购人公章）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639" w:type="dxa"/>
            <w:gridSpan w:val="8"/>
            <w:tcBorders>
              <w:top w:val="single" w:color="000000" w:sz="2" w:space="0"/>
              <w:left w:val="single" w:color="000000" w:sz="2" w:space="0"/>
              <w:bottom w:val="single" w:color="000000" w:sz="2" w:space="0"/>
              <w:right w:val="single" w:color="000000" w:sz="2" w:space="0"/>
            </w:tcBorders>
          </w:tcPr>
          <w:p>
            <w:pPr>
              <w:spacing w:line="380" w:lineRule="exact"/>
              <w:jc w:val="left"/>
              <w:rPr>
                <w:rFonts w:hint="eastAsia" w:ascii="宋体" w:hAnsi="宋体" w:cs="宋体"/>
                <w:sz w:val="18"/>
                <w:szCs w:val="18"/>
                <w:lang w:bidi="ar"/>
              </w:rPr>
            </w:pPr>
            <w:r>
              <w:rPr>
                <w:rFonts w:hint="eastAsia" w:ascii="宋体" w:hAnsi="宋体" w:cs="宋体"/>
                <w:sz w:val="18"/>
                <w:szCs w:val="18"/>
                <w:lang w:bidi="ar"/>
              </w:rPr>
              <w:t>供应商确认：</w:t>
            </w:r>
          </w:p>
          <w:p>
            <w:pPr>
              <w:spacing w:line="380" w:lineRule="exact"/>
              <w:jc w:val="left"/>
              <w:rPr>
                <w:rFonts w:hint="eastAsia" w:ascii="宋体" w:hAnsi="宋体" w:cs="宋体"/>
                <w:sz w:val="18"/>
                <w:szCs w:val="18"/>
                <w:lang w:bidi="ar"/>
              </w:rPr>
            </w:pPr>
          </w:p>
          <w:p>
            <w:pPr>
              <w:spacing w:line="380" w:lineRule="exact"/>
              <w:jc w:val="left"/>
              <w:rPr>
                <w:rFonts w:hint="eastAsia" w:ascii="宋体" w:hAnsi="宋体" w:cs="宋体"/>
                <w:sz w:val="18"/>
                <w:szCs w:val="18"/>
                <w:lang w:bidi="ar"/>
              </w:rPr>
            </w:pPr>
            <w:r>
              <w:rPr>
                <w:rFonts w:hint="eastAsia" w:ascii="宋体" w:hAnsi="宋体" w:cs="宋体"/>
                <w:sz w:val="18"/>
                <w:szCs w:val="18"/>
                <w:lang w:bidi="ar"/>
              </w:rPr>
              <w:t>（单位公章或授权代表签字）</w:t>
            </w:r>
          </w:p>
        </w:tc>
      </w:tr>
    </w:tbl>
    <w:p>
      <w:pPr>
        <w:pStyle w:val="8"/>
        <w:ind w:firstLine="480"/>
        <w:rPr>
          <w:rFonts w:hint="eastAsia" w:ascii="宋体" w:hAnsi="宋体" w:cs="宋体"/>
          <w:szCs w:val="24"/>
        </w:rPr>
      </w:pPr>
    </w:p>
    <w:p>
      <w:pPr>
        <w:pStyle w:val="2"/>
        <w:rPr>
          <w:rFonts w:hint="eastAsia" w:ascii="宋体" w:hAnsi="宋体" w:cs="宋体"/>
          <w:szCs w:val="24"/>
        </w:rPr>
      </w:pPr>
    </w:p>
    <w:p>
      <w:pPr>
        <w:pStyle w:val="8"/>
        <w:ind w:firstLine="480"/>
        <w:rPr>
          <w:rFonts w:hint="eastAsia" w:ascii="宋体" w:hAnsi="宋体" w:cs="宋体"/>
          <w:szCs w:val="24"/>
        </w:rPr>
      </w:pPr>
    </w:p>
    <w:p>
      <w:pPr>
        <w:rPr>
          <w:rFonts w:hint="eastAsia" w:ascii="宋体" w:hAnsi="宋体" w:cs="宋体"/>
          <w:szCs w:val="24"/>
        </w:rPr>
      </w:pPr>
    </w:p>
    <w:tbl>
      <w:tblPr>
        <w:tblStyle w:val="17"/>
        <w:tblW w:w="5000" w:type="pct"/>
        <w:tblInd w:w="0" w:type="dxa"/>
        <w:tblLayout w:type="autofit"/>
        <w:tblCellMar>
          <w:top w:w="0" w:type="dxa"/>
          <w:left w:w="108" w:type="dxa"/>
          <w:bottom w:w="0" w:type="dxa"/>
          <w:right w:w="108" w:type="dxa"/>
        </w:tblCellMar>
      </w:tblPr>
      <w:tblGrid>
        <w:gridCol w:w="3963"/>
        <w:gridCol w:w="744"/>
        <w:gridCol w:w="3963"/>
        <w:gridCol w:w="753"/>
      </w:tblGrid>
      <w:tr>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pPr>
              <w:widowControl/>
              <w:jc w:val="center"/>
              <w:textAlignment w:val="center"/>
              <w:rPr>
                <w:rFonts w:hint="eastAsia" w:ascii="宋体" w:hAnsi="宋体" w:cs="宋体"/>
                <w:color w:val="000000"/>
                <w:sz w:val="40"/>
                <w:szCs w:val="40"/>
              </w:rPr>
            </w:pPr>
            <w:r>
              <w:rPr>
                <w:rFonts w:hint="eastAsia" w:ascii="宋体" w:hAnsi="宋体" w:cs="宋体"/>
                <w:color w:val="000000"/>
                <w:kern w:val="0"/>
                <w:sz w:val="40"/>
                <w:szCs w:val="40"/>
                <w:lang w:bidi="ar"/>
              </w:rPr>
              <w:t>政府采购履约验收通知单（参考样本）</w:t>
            </w:r>
          </w:p>
        </w:tc>
      </w:tr>
      <w:tr>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noWrap/>
            <w:vAlign w:val="center"/>
          </w:tcPr>
          <w:p>
            <w:pPr>
              <w:widowControl/>
              <w:jc w:val="left"/>
              <w:textAlignment w:val="center"/>
              <w:rPr>
                <w:rFonts w:hint="eastAsia" w:ascii="宋体" w:hAnsi="宋体" w:cs="宋体"/>
                <w:b/>
                <w:bCs/>
                <w:color w:val="000000"/>
                <w:szCs w:val="24"/>
              </w:rPr>
            </w:pPr>
            <w:r>
              <w:rPr>
                <w:rFonts w:hint="eastAsia" w:ascii="宋体" w:hAnsi="宋体" w:cs="宋体"/>
                <w:b/>
                <w:bCs/>
                <w:color w:val="000000"/>
                <w:kern w:val="0"/>
                <w:szCs w:val="24"/>
                <w:lang w:bidi="ar"/>
              </w:rPr>
              <w:t>供应商：</w:t>
            </w:r>
          </w:p>
        </w:tc>
        <w:tc>
          <w:tcPr>
            <w:tcW w:w="395" w:type="pct"/>
            <w:tcBorders>
              <w:top w:val="nil"/>
              <w:left w:val="nil"/>
              <w:bottom w:val="nil"/>
              <w:right w:val="nil"/>
            </w:tcBorders>
            <w:noWrap/>
            <w:vAlign w:val="center"/>
          </w:tcPr>
          <w:p>
            <w:pPr>
              <w:jc w:val="center"/>
              <w:rPr>
                <w:rFonts w:hint="eastAsia" w:ascii="宋体" w:hAnsi="宋体" w:cs="宋体"/>
                <w:b/>
                <w:bCs/>
                <w:color w:val="000000"/>
                <w:szCs w:val="24"/>
              </w:rPr>
            </w:pPr>
          </w:p>
        </w:tc>
        <w:tc>
          <w:tcPr>
            <w:tcW w:w="2103" w:type="pct"/>
            <w:tcBorders>
              <w:top w:val="nil"/>
              <w:left w:val="nil"/>
              <w:bottom w:val="nil"/>
              <w:right w:val="nil"/>
            </w:tcBorders>
            <w:noWrap/>
            <w:vAlign w:val="center"/>
          </w:tcPr>
          <w:p>
            <w:pPr>
              <w:jc w:val="center"/>
              <w:rPr>
                <w:rFonts w:hint="eastAsia" w:ascii="宋体" w:hAnsi="宋体" w:cs="宋体"/>
                <w:b/>
                <w:bCs/>
                <w:color w:val="000000"/>
                <w:szCs w:val="24"/>
              </w:rPr>
            </w:pPr>
          </w:p>
        </w:tc>
        <w:tc>
          <w:tcPr>
            <w:tcW w:w="396" w:type="pct"/>
            <w:tcBorders>
              <w:top w:val="nil"/>
              <w:left w:val="nil"/>
              <w:bottom w:val="nil"/>
              <w:right w:val="nil"/>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合同编号</w:t>
            </w:r>
          </w:p>
        </w:tc>
        <w:tc>
          <w:tcPr>
            <w:tcW w:w="395"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合同金额</w:t>
            </w:r>
          </w:p>
        </w:tc>
        <w:tc>
          <w:tcPr>
            <w:tcW w:w="39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验收时间</w:t>
            </w:r>
          </w:p>
        </w:tc>
        <w:tc>
          <w:tcPr>
            <w:tcW w:w="395"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验收地点</w:t>
            </w:r>
          </w:p>
        </w:tc>
        <w:tc>
          <w:tcPr>
            <w:tcW w:w="39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联系人</w:t>
            </w:r>
          </w:p>
        </w:tc>
        <w:tc>
          <w:tcPr>
            <w:tcW w:w="395"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联系电话</w:t>
            </w:r>
          </w:p>
        </w:tc>
        <w:tc>
          <w:tcPr>
            <w:tcW w:w="396"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b/>
                <w:bCs/>
                <w:color w:val="000000"/>
                <w:szCs w:val="24"/>
              </w:rPr>
            </w:pPr>
          </w:p>
        </w:tc>
      </w:tr>
      <w:tr>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b/>
                <w:bCs/>
                <w:color w:val="000000"/>
                <w:szCs w:val="24"/>
              </w:rPr>
            </w:pPr>
            <w:r>
              <w:rPr>
                <w:rFonts w:hint="eastAsia" w:ascii="宋体" w:hAnsi="宋体" w:cs="宋体"/>
                <w:b/>
                <w:bCs/>
                <w:color w:val="000000"/>
                <w:kern w:val="0"/>
                <w:szCs w:val="24"/>
                <w:lang w:bidi="ar"/>
              </w:rPr>
              <w:t>履约验收方案及工作要求</w:t>
            </w:r>
          </w:p>
        </w:tc>
      </w:tr>
      <w:tr>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Cs w:val="24"/>
              </w:rPr>
            </w:pPr>
            <w:r>
              <w:rPr>
                <w:rFonts w:hint="eastAsia" w:ascii="宋体" w:hAnsi="宋体" w:cs="宋体"/>
                <w:color w:val="000000"/>
                <w:kern w:val="0"/>
                <w:szCs w:val="24"/>
                <w:lang w:bidi="ar"/>
              </w:rPr>
              <w:t xml:space="preserve">        单位公章</w:t>
            </w:r>
            <w:r>
              <w:rPr>
                <w:rFonts w:hint="eastAsia" w:ascii="宋体" w:hAnsi="宋体" w:cs="宋体"/>
                <w:color w:val="000000"/>
                <w:kern w:val="0"/>
                <w:szCs w:val="24"/>
                <w:lang w:bidi="ar"/>
              </w:rPr>
              <w:br w:type="textWrapping"/>
            </w:r>
            <w:r>
              <w:rPr>
                <w:rFonts w:hint="eastAsia" w:ascii="宋体" w:hAnsi="宋体" w:cs="宋体"/>
                <w:color w:val="000000"/>
                <w:kern w:val="0"/>
                <w:szCs w:val="24"/>
                <w:lang w:bidi="ar"/>
              </w:rPr>
              <w:t xml:space="preserve">         年 月 日</w:t>
            </w: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46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r>
        <w:tblPrEx>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Cs w:val="24"/>
              </w:rPr>
            </w:pPr>
          </w:p>
        </w:tc>
      </w:tr>
    </w:tbl>
    <w:p>
      <w:pPr>
        <w:spacing w:line="570" w:lineRule="exact"/>
        <w:jc w:val="center"/>
        <w:rPr>
          <w:rFonts w:hint="eastAsia" w:ascii="仿宋" w:hAnsi="仿宋" w:eastAsia="仿宋" w:cs="仿宋"/>
          <w:sz w:val="44"/>
          <w:szCs w:val="44"/>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p>
    <w:p>
      <w:pPr>
        <w:spacing w:line="600" w:lineRule="exact"/>
        <w:jc w:val="center"/>
        <w:rPr>
          <w:rFonts w:ascii="Futura Lt" w:hAnsi="Futura Lt" w:cs="Futura Lt"/>
          <w:b/>
          <w:sz w:val="36"/>
          <w:szCs w:val="36"/>
        </w:rPr>
      </w:pPr>
      <w:r>
        <w:rPr>
          <w:rFonts w:hint="eastAsia" w:ascii="Futura Lt" w:hAnsi="Futura Lt" w:cs="Futura Lt"/>
          <w:b/>
          <w:sz w:val="36"/>
          <w:szCs w:val="36"/>
        </w:rPr>
        <w:t>第四部分 单一来源采购程序</w:t>
      </w:r>
    </w:p>
    <w:p>
      <w:pPr>
        <w:spacing w:after="200" w:line="500" w:lineRule="exact"/>
        <w:rPr>
          <w:rFonts w:ascii="Arial" w:hAnsi="Arial" w:eastAsia="Arial"/>
          <w:szCs w:val="20"/>
        </w:rPr>
      </w:pP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一、向单一来源采购响应单位发出邀请书；</w:t>
      </w: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二、单一来源采购响应单位按要求制作并上传响应响应文件；</w:t>
      </w: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三、根据采购文件的要求，由评审小组对单一来源采购响应单位的响应文件进行审查，确定其是否满足采购文件的要求；</w:t>
      </w:r>
    </w:p>
    <w:p>
      <w:pPr>
        <w:widowControl/>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b/>
          <w:kern w:val="0"/>
          <w:sz w:val="28"/>
          <w:szCs w:val="28"/>
        </w:rPr>
        <w:t>最终承诺及报价”</w:t>
      </w:r>
      <w:r>
        <w:rPr>
          <w:rFonts w:hint="eastAsia" w:ascii="宋体" w:hAnsi="宋体" w:eastAsia="Arial"/>
          <w:kern w:val="0"/>
          <w:sz w:val="28"/>
          <w:szCs w:val="28"/>
        </w:rPr>
        <w:t>为最终报价。</w:t>
      </w:r>
    </w:p>
    <w:p>
      <w:pPr>
        <w:widowControl/>
        <w:adjustRightInd w:val="0"/>
        <w:snapToGrid w:val="0"/>
        <w:spacing w:after="200" w:line="580" w:lineRule="exact"/>
        <w:ind w:firstLine="560" w:firstLineChars="200"/>
        <w:jc w:val="left"/>
        <w:rPr>
          <w:rFonts w:ascii="宋体" w:hAnsi="宋体" w:eastAsia="Arial"/>
          <w:kern w:val="0"/>
          <w:sz w:val="28"/>
          <w:szCs w:val="28"/>
        </w:rPr>
      </w:pPr>
      <w:r>
        <w:rPr>
          <w:rFonts w:hint="eastAsia" w:ascii="宋体" w:hAnsi="宋体" w:eastAsia="Arial"/>
          <w:kern w:val="0"/>
          <w:sz w:val="28"/>
          <w:szCs w:val="28"/>
        </w:rPr>
        <w:t>五、由评审小组根据成交原则，确定成交供应商；</w:t>
      </w:r>
    </w:p>
    <w:p>
      <w:pPr>
        <w:tabs>
          <w:tab w:val="left" w:pos="5250"/>
        </w:tabs>
        <w:adjustRightInd w:val="0"/>
        <w:snapToGrid w:val="0"/>
        <w:spacing w:line="580" w:lineRule="exact"/>
        <w:ind w:firstLine="560" w:firstLineChars="200"/>
        <w:rPr>
          <w:rFonts w:ascii="宋体" w:hAnsi="宋体" w:eastAsia="Arial"/>
          <w:sz w:val="28"/>
          <w:szCs w:val="28"/>
        </w:rPr>
      </w:pPr>
      <w:r>
        <w:rPr>
          <w:rFonts w:hint="eastAsia" w:ascii="宋体" w:hAnsi="宋体" w:eastAsia="Arial"/>
          <w:sz w:val="28"/>
          <w:szCs w:val="28"/>
        </w:rPr>
        <w:t>六、成交供应商和采购单位签订合同。</w:t>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hint="eastAsia" w:ascii="宋体" w:hAnsi="宋体" w:cs="宋体"/>
          <w:b/>
          <w:kern w:val="0"/>
          <w:sz w:val="44"/>
        </w:rPr>
      </w:pPr>
    </w:p>
    <w:p>
      <w:pPr>
        <w:widowControl/>
        <w:spacing w:after="200" w:line="276" w:lineRule="auto"/>
        <w:jc w:val="left"/>
        <w:rPr>
          <w:rFonts w:hint="eastAsia" w:ascii="宋体" w:hAnsi="宋体" w:cs="宋体"/>
          <w:b/>
          <w:kern w:val="0"/>
          <w:sz w:val="44"/>
        </w:rPr>
      </w:pPr>
      <w:r>
        <w:rPr>
          <w:rFonts w:ascii="宋体" w:hAnsi="宋体" w:cs="宋体"/>
          <w:b/>
          <w:kern w:val="0"/>
          <w:sz w:val="44"/>
        </w:rPr>
        <w:br w:type="page"/>
      </w:r>
    </w:p>
    <w:p>
      <w:pPr>
        <w:numPr>
          <w:ilvl w:val="0"/>
          <w:numId w:val="43"/>
        </w:numPr>
        <w:spacing w:line="600" w:lineRule="exact"/>
        <w:jc w:val="center"/>
        <w:rPr>
          <w:rFonts w:hint="eastAsia" w:ascii="宋体" w:hAnsi="宋体" w:cs="宋体"/>
          <w:b/>
          <w:sz w:val="44"/>
          <w:szCs w:val="21"/>
        </w:rPr>
      </w:pPr>
      <w:r>
        <w:rPr>
          <w:rFonts w:hint="eastAsia" w:ascii="宋体" w:hAnsi="宋体" w:cs="宋体"/>
          <w:b/>
          <w:sz w:val="44"/>
          <w:szCs w:val="21"/>
        </w:rPr>
        <w:t>成交原则</w:t>
      </w:r>
    </w:p>
    <w:p>
      <w:pPr>
        <w:spacing w:line="600" w:lineRule="exact"/>
        <w:rPr>
          <w:rFonts w:hint="eastAsia" w:ascii="宋体" w:hAnsi="宋体" w:cs="宋体"/>
          <w:b/>
          <w:sz w:val="44"/>
          <w:szCs w:val="21"/>
        </w:rPr>
      </w:pPr>
    </w:p>
    <w:p>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cs="宋体"/>
          <w:kern w:val="0"/>
          <w:sz w:val="28"/>
          <w:szCs w:val="28"/>
        </w:rPr>
      </w:pPr>
      <w:r>
        <w:rPr>
          <w:rFonts w:hint="eastAsia" w:ascii="宋体" w:hAnsi="宋体" w:cs="宋体"/>
          <w:kern w:val="0"/>
          <w:sz w:val="28"/>
          <w:szCs w:val="28"/>
        </w:rPr>
        <w:t>一、本次单一来源采购成交原则，适用于本次采购活动。</w:t>
      </w:r>
    </w:p>
    <w:p>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cs="宋体"/>
          <w:kern w:val="0"/>
          <w:sz w:val="28"/>
          <w:szCs w:val="28"/>
        </w:rPr>
      </w:pPr>
      <w:r>
        <w:rPr>
          <w:rFonts w:hint="eastAsia" w:ascii="宋体" w:hAnsi="宋体" w:cs="宋体"/>
          <w:kern w:val="0"/>
          <w:sz w:val="28"/>
          <w:szCs w:val="28"/>
        </w:rPr>
        <w:t>二、具备履约能力，能提供最佳售后服务。</w:t>
      </w:r>
    </w:p>
    <w:p>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cs="宋体"/>
          <w:kern w:val="0"/>
          <w:sz w:val="28"/>
          <w:szCs w:val="28"/>
        </w:rPr>
      </w:pPr>
      <w:r>
        <w:rPr>
          <w:rFonts w:hint="eastAsia" w:ascii="宋体" w:hAnsi="宋体" w:cs="宋体"/>
          <w:kern w:val="0"/>
          <w:sz w:val="28"/>
          <w:szCs w:val="28"/>
        </w:rPr>
        <w:t>三、成交原则：采购小组根据单一来源采购响应单位提供的单一来源采购响应文件对服务质量、技术、售后服务及价格等方面的商谈进行评审，且单一来源采购响应单位的报价不超过采购单位预算或最高限价。</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Times New Roman" w:hAnsi="Times New Roman" w:eastAsia="Times New Roman"/>
          <w:kern w:val="0"/>
        </w:rPr>
        <w:t> </w:t>
      </w:r>
    </w:p>
    <w:p>
      <w:pPr>
        <w:widowControl/>
        <w:pBdr>
          <w:top w:val="none" w:color="000000" w:sz="0" w:space="0"/>
          <w:left w:val="none" w:color="000000" w:sz="0" w:space="0"/>
          <w:bottom w:val="none" w:color="000000" w:sz="0" w:space="0"/>
          <w:right w:val="none" w:color="000000" w:sz="0" w:space="0"/>
        </w:pBdr>
        <w:spacing w:line="460" w:lineRule="atLeast"/>
        <w:rPr>
          <w:rFonts w:ascii="Arial" w:hAnsi="Arial" w:eastAsia="Arial"/>
          <w:kern w:val="0"/>
          <w:sz w:val="22"/>
        </w:rPr>
      </w:pPr>
      <w:r>
        <w:rPr>
          <w:rFonts w:ascii="宋体" w:hAnsi="宋体" w:cs="宋体"/>
          <w:b/>
          <w:kern w:val="0"/>
        </w:rPr>
        <w:t> </w:t>
      </w:r>
    </w:p>
    <w:p>
      <w:pPr>
        <w:widowControl/>
        <w:spacing w:after="200" w:line="276" w:lineRule="auto"/>
        <w:jc w:val="left"/>
        <w:rPr>
          <w:rFonts w:hint="eastAsia" w:ascii="宋体" w:hAnsi="宋体" w:cs="宋体"/>
          <w:b/>
          <w:kern w:val="0"/>
          <w:sz w:val="44"/>
        </w:rPr>
      </w:pPr>
      <w:r>
        <w:rPr>
          <w:rFonts w:ascii="宋体" w:hAnsi="宋体" w:cs="宋体"/>
          <w:b/>
          <w:kern w:val="0"/>
          <w:sz w:val="44"/>
        </w:rPr>
        <w:br w:type="page"/>
      </w:r>
    </w:p>
    <w:p>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kern w:val="0"/>
          <w:sz w:val="22"/>
        </w:rPr>
      </w:pPr>
      <w:r>
        <w:rPr>
          <w:rFonts w:ascii="宋体" w:hAnsi="宋体" w:cs="宋体"/>
          <w:b/>
          <w:kern w:val="0"/>
          <w:sz w:val="44"/>
        </w:rPr>
        <w:t xml:space="preserve">        第六部分 </w:t>
      </w:r>
      <w:r>
        <w:rPr>
          <w:rFonts w:hint="eastAsia" w:ascii="宋体" w:hAnsi="宋体" w:cs="宋体"/>
          <w:b/>
          <w:kern w:val="0"/>
          <w:sz w:val="44"/>
        </w:rPr>
        <w:t>合同条款</w:t>
      </w:r>
    </w:p>
    <w:p>
      <w:pPr>
        <w:widowControl/>
        <w:spacing w:line="460" w:lineRule="atLeast"/>
        <w:rPr>
          <w:rFonts w:ascii="Arial" w:hAnsi="Arial"/>
          <w:kern w:val="0"/>
          <w:sz w:val="22"/>
        </w:rPr>
      </w:pPr>
      <w:r>
        <w:rPr>
          <w:rFonts w:hint="eastAsia" w:ascii="宋体" w:hAnsi="宋体" w:cs="宋体"/>
          <w:kern w:val="0"/>
        </w:rPr>
        <w:t>采购人（以下称甲方）</w:t>
      </w:r>
      <w:r>
        <w:rPr>
          <w:rFonts w:ascii="宋体" w:hAnsi="宋体" w:cs="宋体"/>
          <w:kern w:val="0"/>
        </w:rPr>
        <w:t xml:space="preserve">                      </w:t>
      </w:r>
      <w:r>
        <w:rPr>
          <w:rFonts w:hint="eastAsia" w:ascii="宋体" w:hAnsi="宋体" w:cs="宋体"/>
          <w:kern w:val="0"/>
        </w:rPr>
        <w:t>供应商：（以下称乙方）</w:t>
      </w:r>
    </w:p>
    <w:p>
      <w:pPr>
        <w:widowControl/>
        <w:spacing w:line="460" w:lineRule="atLeast"/>
        <w:rPr>
          <w:rFonts w:ascii="Arial" w:hAnsi="Arial"/>
          <w:kern w:val="0"/>
          <w:sz w:val="22"/>
        </w:rPr>
      </w:pPr>
      <w:r>
        <w:rPr>
          <w:rFonts w:hint="eastAsia" w:ascii="宋体" w:hAnsi="宋体" w:cs="宋体"/>
          <w:kern w:val="0"/>
        </w:rPr>
        <w:t>地址：</w:t>
      </w:r>
      <w:r>
        <w:rPr>
          <w:rFonts w:ascii="宋体" w:hAnsi="宋体" w:cs="宋体"/>
          <w:kern w:val="0"/>
        </w:rPr>
        <w:t xml:space="preserve">                                    </w:t>
      </w:r>
      <w:r>
        <w:rPr>
          <w:rFonts w:hint="eastAsia" w:ascii="宋体" w:hAnsi="宋体" w:cs="宋体"/>
          <w:kern w:val="0"/>
        </w:rPr>
        <w:t>地址：</w:t>
      </w:r>
    </w:p>
    <w:p>
      <w:pPr>
        <w:widowControl/>
        <w:spacing w:line="460" w:lineRule="atLeast"/>
        <w:rPr>
          <w:rFonts w:ascii="Arial" w:hAnsi="Arial"/>
          <w:kern w:val="0"/>
          <w:sz w:val="22"/>
        </w:rPr>
      </w:pPr>
      <w:r>
        <w:rPr>
          <w:rFonts w:hint="eastAsia" w:ascii="宋体" w:hAnsi="宋体" w:cs="宋体"/>
          <w:kern w:val="0"/>
        </w:rPr>
        <w:t>电话：</w:t>
      </w:r>
      <w:r>
        <w:rPr>
          <w:rFonts w:ascii="宋体" w:hAnsi="宋体" w:cs="宋体"/>
          <w:kern w:val="0"/>
        </w:rPr>
        <w:t xml:space="preserve">                                    </w:t>
      </w:r>
      <w:r>
        <w:rPr>
          <w:rFonts w:hint="eastAsia" w:ascii="宋体" w:hAnsi="宋体" w:cs="宋体"/>
          <w:kern w:val="0"/>
        </w:rPr>
        <w:t>电话：</w:t>
      </w:r>
    </w:p>
    <w:p>
      <w:pPr>
        <w:widowControl/>
        <w:spacing w:line="460" w:lineRule="atLeast"/>
        <w:ind w:firstLine="480"/>
        <w:jc w:val="left"/>
        <w:rPr>
          <w:rFonts w:ascii="Arial" w:hAnsi="Arial"/>
          <w:kern w:val="0"/>
          <w:sz w:val="22"/>
        </w:rPr>
      </w:pPr>
      <w:r>
        <w:rPr>
          <w:rFonts w:hint="eastAsia" w:ascii="宋体" w:hAnsi="宋体" w:cs="宋体"/>
          <w:kern w:val="0"/>
        </w:rPr>
        <w:t>根据《中华人民共和国民法典》、《中华人民共和国政府采购法》等法律法规的规定，甲、乙双方按照苏州市公共资源交易中心太仓分中心组织的关于</w:t>
      </w:r>
      <w:r>
        <w:rPr>
          <w:rFonts w:hint="eastAsia" w:ascii="宋体" w:hAnsi="宋体" w:cs="宋体"/>
          <w:b/>
          <w:bCs/>
          <w:kern w:val="0"/>
          <w:szCs w:val="24"/>
          <w:u w:val="single"/>
        </w:rPr>
        <w:t xml:space="preserve">                         项目</w:t>
      </w:r>
      <w:r>
        <w:rPr>
          <w:rFonts w:ascii="宋体" w:hAnsi="宋体" w:cs="宋体"/>
          <w:b/>
          <w:bCs/>
          <w:kern w:val="0"/>
          <w:szCs w:val="24"/>
          <w:u w:val="single"/>
        </w:rPr>
        <w:t xml:space="preserve"> </w:t>
      </w:r>
      <w:r>
        <w:rPr>
          <w:rFonts w:hint="eastAsia" w:ascii="宋体" w:hAnsi="宋体" w:cs="宋体"/>
          <w:kern w:val="0"/>
        </w:rPr>
        <w:t xml:space="preserve"> （</w:t>
      </w:r>
      <w:r>
        <w:rPr>
          <w:rFonts w:hint="eastAsia" w:ascii="宋体" w:hAnsi="宋体" w:cs="宋体"/>
          <w:b/>
          <w:kern w:val="0"/>
        </w:rPr>
        <w:t>编号</w:t>
      </w:r>
      <w:r>
        <w:rPr>
          <w:rFonts w:hint="eastAsia" w:ascii="宋体" w:hAnsi="宋体" w:cs="宋体"/>
          <w:b/>
          <w:bCs/>
          <w:kern w:val="0"/>
          <w:szCs w:val="24"/>
        </w:rPr>
        <w:t xml:space="preserve"> JSZC-320585-JZCG-D2026-0035</w:t>
      </w:r>
      <w:r>
        <w:rPr>
          <w:rFonts w:hint="eastAsia" w:ascii="宋体" w:hAnsi="宋体" w:cs="宋体"/>
          <w:kern w:val="0"/>
        </w:rPr>
        <w:t>）的招标结果，签订本合同。</w:t>
      </w:r>
    </w:p>
    <w:p>
      <w:pPr>
        <w:widowControl/>
        <w:spacing w:line="460" w:lineRule="atLeast"/>
        <w:ind w:firstLine="472"/>
        <w:rPr>
          <w:rFonts w:ascii="Arial" w:hAnsi="Arial"/>
          <w:kern w:val="0"/>
          <w:sz w:val="22"/>
        </w:rPr>
      </w:pPr>
      <w:r>
        <w:rPr>
          <w:rFonts w:hint="eastAsia" w:ascii="宋体" w:hAnsi="宋体" w:cs="宋体"/>
          <w:b/>
          <w:kern w:val="0"/>
        </w:rPr>
        <w:t>第一条</w:t>
      </w:r>
      <w:r>
        <w:rPr>
          <w:rFonts w:ascii="宋体" w:hAnsi="宋体" w:cs="宋体"/>
          <w:b/>
          <w:kern w:val="0"/>
        </w:rPr>
        <w:t xml:space="preserve"> </w:t>
      </w:r>
      <w:r>
        <w:rPr>
          <w:rFonts w:hint="eastAsia" w:ascii="宋体" w:hAnsi="宋体" w:cs="宋体"/>
          <w:b/>
          <w:kern w:val="0"/>
        </w:rPr>
        <w:t>服务范围</w:t>
      </w:r>
    </w:p>
    <w:p>
      <w:pPr>
        <w:widowControl/>
        <w:spacing w:line="460" w:lineRule="atLeast"/>
        <w:ind w:left="420"/>
        <w:rPr>
          <w:rFonts w:ascii="Arial" w:hAnsi="Arial"/>
          <w:kern w:val="0"/>
          <w:sz w:val="22"/>
        </w:rPr>
      </w:pPr>
      <w:r>
        <w:rPr>
          <w:rFonts w:ascii="宋体" w:hAnsi="宋体" w:cs="宋体"/>
          <w:kern w:val="0"/>
        </w:rPr>
        <w:t> </w:t>
      </w:r>
      <w:r>
        <w:rPr>
          <w:rFonts w:hint="eastAsia" w:ascii="宋体" w:hAnsi="宋体" w:cs="宋体"/>
          <w:kern w:val="0"/>
        </w:rPr>
        <w:t>甲方聘请乙方提供以下服务：</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1</w:t>
      </w:r>
      <w:r>
        <w:rPr>
          <w:rFonts w:hint="eastAsia" w:ascii="宋体" w:hAnsi="宋体" w:cs="宋体"/>
          <w:kern w:val="0"/>
        </w:rPr>
        <w:t>）本合同项下的服务指：</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2</w:t>
      </w:r>
      <w:r>
        <w:rPr>
          <w:rFonts w:hint="eastAsia" w:ascii="宋体" w:hAnsi="宋体" w:cs="宋体"/>
          <w:kern w:val="0"/>
        </w:rPr>
        <w:t>）服务内容：</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3</w:t>
      </w:r>
      <w:r>
        <w:rPr>
          <w:rFonts w:hint="eastAsia" w:ascii="宋体" w:hAnsi="宋体" w:cs="宋体"/>
          <w:kern w:val="0"/>
        </w:rPr>
        <w:t>）服务标准：</w:t>
      </w:r>
    </w:p>
    <w:p>
      <w:pPr>
        <w:widowControl/>
        <w:spacing w:line="460" w:lineRule="atLeast"/>
        <w:ind w:firstLine="480"/>
        <w:rPr>
          <w:rFonts w:ascii="Arial" w:hAnsi="Arial"/>
          <w:kern w:val="0"/>
          <w:sz w:val="22"/>
        </w:rPr>
      </w:pPr>
      <w:r>
        <w:rPr>
          <w:rFonts w:hint="eastAsia" w:ascii="宋体" w:hAnsi="宋体" w:cs="宋体"/>
          <w:kern w:val="0"/>
        </w:rPr>
        <w:t>（</w:t>
      </w:r>
      <w:r>
        <w:rPr>
          <w:rFonts w:ascii="宋体" w:hAnsi="宋体" w:cs="宋体"/>
          <w:kern w:val="0"/>
        </w:rPr>
        <w:t>4</w:t>
      </w:r>
      <w:r>
        <w:rPr>
          <w:rFonts w:hint="eastAsia" w:ascii="宋体" w:hAnsi="宋体" w:cs="宋体"/>
          <w:kern w:val="0"/>
        </w:rPr>
        <w:t>）交付时间、地点：甲方指定。</w:t>
      </w:r>
    </w:p>
    <w:p>
      <w:pPr>
        <w:widowControl/>
        <w:spacing w:line="460" w:lineRule="atLeast"/>
        <w:ind w:firstLine="482"/>
        <w:rPr>
          <w:rFonts w:ascii="Arial" w:hAnsi="Arial"/>
          <w:kern w:val="0"/>
          <w:sz w:val="22"/>
        </w:rPr>
      </w:pPr>
      <w:r>
        <w:rPr>
          <w:rFonts w:hint="eastAsia" w:ascii="宋体" w:hAnsi="宋体" w:cs="宋体"/>
          <w:b/>
          <w:kern w:val="0"/>
        </w:rPr>
        <w:t>第二条</w:t>
      </w:r>
      <w:r>
        <w:rPr>
          <w:rFonts w:ascii="宋体" w:hAnsi="宋体" w:cs="宋体"/>
          <w:b/>
          <w:kern w:val="0"/>
        </w:rPr>
        <w:t xml:space="preserve"> </w:t>
      </w:r>
      <w:r>
        <w:rPr>
          <w:rFonts w:hint="eastAsia" w:ascii="宋体" w:hAnsi="宋体" w:cs="宋体"/>
          <w:b/>
          <w:kern w:val="0"/>
        </w:rPr>
        <w:t>组成本合同的有关文件</w:t>
      </w:r>
      <w:r>
        <w:rPr>
          <w:rFonts w:ascii="宋体" w:hAnsi="宋体" w:cs="宋体"/>
          <w:b/>
          <w:kern w:val="0"/>
        </w:rPr>
        <w:t xml:space="preserve"> </w:t>
      </w:r>
    </w:p>
    <w:p>
      <w:pPr>
        <w:widowControl/>
        <w:spacing w:line="460" w:lineRule="atLeast"/>
        <w:ind w:firstLine="480"/>
        <w:rPr>
          <w:rFonts w:ascii="Arial" w:hAnsi="Arial"/>
          <w:kern w:val="0"/>
          <w:sz w:val="22"/>
        </w:rPr>
      </w:pPr>
      <w:r>
        <w:rPr>
          <w:rFonts w:hint="eastAsia" w:ascii="宋体" w:hAnsi="宋体" w:cs="宋体"/>
          <w:kern w:val="0"/>
        </w:rPr>
        <w:t>下列与本次采购活动有关的文件及有关附件是本合同不可分割的组成部分，与本合同具有同等法律效力，这些文件包括但不限于：</w:t>
      </w:r>
    </w:p>
    <w:p>
      <w:pPr>
        <w:widowControl/>
        <w:numPr>
          <w:ilvl w:val="0"/>
          <w:numId w:val="44"/>
        </w:numPr>
        <w:spacing w:line="460" w:lineRule="atLeast"/>
        <w:rPr>
          <w:rFonts w:ascii="Arial" w:hAnsi="Arial"/>
          <w:kern w:val="0"/>
          <w:sz w:val="22"/>
        </w:rPr>
      </w:pPr>
      <w:r>
        <w:rPr>
          <w:rFonts w:hint="eastAsia" w:ascii="宋体" w:hAnsi="宋体" w:cs="宋体"/>
          <w:kern w:val="0"/>
        </w:rPr>
        <w:t>招标采购文件（</w:t>
      </w:r>
      <w:r>
        <w:rPr>
          <w:rFonts w:hint="eastAsia" w:ascii="宋体" w:hAnsi="宋体" w:cs="宋体"/>
          <w:b/>
          <w:kern w:val="0"/>
        </w:rPr>
        <w:t>编号： JSZC-320585-JZCG-D2026-0035</w:t>
      </w:r>
      <w:r>
        <w:rPr>
          <w:rFonts w:hint="eastAsia" w:ascii="宋体" w:hAnsi="宋体" w:cs="宋体"/>
          <w:kern w:val="0"/>
        </w:rPr>
        <w:t>）</w:t>
      </w:r>
    </w:p>
    <w:p>
      <w:pPr>
        <w:widowControl/>
        <w:numPr>
          <w:ilvl w:val="0"/>
          <w:numId w:val="44"/>
        </w:numPr>
        <w:spacing w:line="460" w:lineRule="atLeast"/>
        <w:rPr>
          <w:rFonts w:ascii="Arial" w:hAnsi="Arial"/>
          <w:kern w:val="0"/>
          <w:sz w:val="22"/>
        </w:rPr>
      </w:pPr>
      <w:r>
        <w:rPr>
          <w:rFonts w:hint="eastAsia" w:ascii="宋体" w:hAnsi="宋体" w:cs="宋体"/>
          <w:kern w:val="0"/>
        </w:rPr>
        <w:t>乙方提供的投标文件和投标报价表；</w:t>
      </w:r>
    </w:p>
    <w:p>
      <w:pPr>
        <w:widowControl/>
        <w:numPr>
          <w:ilvl w:val="0"/>
          <w:numId w:val="44"/>
        </w:numPr>
        <w:spacing w:line="460" w:lineRule="atLeast"/>
        <w:rPr>
          <w:rFonts w:ascii="Arial" w:hAnsi="Arial"/>
          <w:kern w:val="0"/>
          <w:sz w:val="22"/>
        </w:rPr>
      </w:pPr>
      <w:r>
        <w:rPr>
          <w:rFonts w:hint="eastAsia" w:ascii="宋体" w:hAnsi="宋体" w:cs="宋体"/>
          <w:kern w:val="0"/>
        </w:rPr>
        <w:t>乙方在投标过程中所作的其他承诺、声明、书面澄清等；</w:t>
      </w:r>
    </w:p>
    <w:p>
      <w:pPr>
        <w:widowControl/>
        <w:numPr>
          <w:ilvl w:val="0"/>
          <w:numId w:val="44"/>
        </w:numPr>
        <w:spacing w:line="460" w:lineRule="atLeast"/>
        <w:rPr>
          <w:rFonts w:ascii="Arial" w:hAnsi="Arial"/>
          <w:kern w:val="0"/>
          <w:sz w:val="22"/>
          <w:lang w:eastAsia="en-US"/>
        </w:rPr>
      </w:pPr>
      <w:r>
        <w:rPr>
          <w:rFonts w:hint="eastAsia" w:ascii="宋体" w:hAnsi="宋体" w:cs="宋体"/>
          <w:kern w:val="0"/>
          <w:lang w:eastAsia="en-US"/>
        </w:rPr>
        <w:t>中标通知书；</w:t>
      </w:r>
    </w:p>
    <w:p>
      <w:pPr>
        <w:widowControl/>
        <w:numPr>
          <w:ilvl w:val="0"/>
          <w:numId w:val="44"/>
        </w:numPr>
        <w:spacing w:line="460" w:lineRule="atLeast"/>
        <w:rPr>
          <w:rFonts w:ascii="Arial" w:hAnsi="Arial"/>
          <w:kern w:val="0"/>
          <w:sz w:val="22"/>
        </w:rPr>
      </w:pPr>
      <w:r>
        <w:rPr>
          <w:rFonts w:hint="eastAsia" w:ascii="宋体" w:hAnsi="宋体" w:cs="宋体"/>
          <w:kern w:val="0"/>
        </w:rPr>
        <w:t>甲乙双方商定的其他文件等。</w:t>
      </w:r>
    </w:p>
    <w:p>
      <w:pPr>
        <w:widowControl/>
        <w:spacing w:line="460" w:lineRule="atLeast"/>
        <w:ind w:firstLine="482"/>
        <w:rPr>
          <w:rFonts w:ascii="Arial" w:hAnsi="Arial"/>
          <w:kern w:val="0"/>
          <w:sz w:val="22"/>
        </w:rPr>
      </w:pPr>
      <w:r>
        <w:rPr>
          <w:rFonts w:hint="eastAsia" w:ascii="宋体" w:hAnsi="宋体" w:cs="宋体"/>
          <w:b/>
          <w:kern w:val="0"/>
        </w:rPr>
        <w:t>第三条</w:t>
      </w:r>
      <w:r>
        <w:rPr>
          <w:rFonts w:ascii="宋体" w:hAnsi="宋体" w:cs="宋体"/>
          <w:b/>
          <w:kern w:val="0"/>
        </w:rPr>
        <w:t xml:space="preserve"> </w:t>
      </w:r>
      <w:r>
        <w:rPr>
          <w:rFonts w:hint="eastAsia" w:ascii="宋体" w:hAnsi="宋体" w:cs="宋体"/>
          <w:b/>
          <w:kern w:val="0"/>
        </w:rPr>
        <w:t>合同总价款</w:t>
      </w:r>
      <w:r>
        <w:rPr>
          <w:rFonts w:ascii="宋体" w:hAnsi="宋体" w:cs="宋体"/>
          <w:b/>
          <w:kern w:val="0"/>
        </w:rPr>
        <w:t xml:space="preserve"> </w:t>
      </w:r>
    </w:p>
    <w:p>
      <w:pPr>
        <w:widowControl/>
        <w:spacing w:line="460" w:lineRule="atLeast"/>
        <w:ind w:firstLine="480"/>
        <w:rPr>
          <w:rFonts w:ascii="Arial" w:hAnsi="Arial"/>
          <w:kern w:val="0"/>
          <w:sz w:val="22"/>
        </w:rPr>
      </w:pPr>
      <w:r>
        <w:rPr>
          <w:rFonts w:hint="eastAsia" w:ascii="宋体" w:hAnsi="宋体" w:cs="宋体"/>
          <w:kern w:val="0"/>
        </w:rPr>
        <w:t>合同价格按此次成交价格执行，合同总金额为人民币</w:t>
      </w:r>
      <w:r>
        <w:rPr>
          <w:rFonts w:ascii="宋体" w:hAnsi="宋体" w:cs="宋体"/>
          <w:kern w:val="0"/>
        </w:rPr>
        <w:t>___________</w:t>
      </w:r>
      <w:r>
        <w:rPr>
          <w:rFonts w:hint="eastAsia" w:ascii="宋体" w:hAnsi="宋体" w:cs="宋体"/>
          <w:kern w:val="0"/>
        </w:rPr>
        <w:t>（大写）人民币，小写：（￥：）元整。</w:t>
      </w:r>
    </w:p>
    <w:p>
      <w:pPr>
        <w:widowControl/>
        <w:spacing w:line="460" w:lineRule="atLeast"/>
        <w:ind w:firstLine="480"/>
        <w:rPr>
          <w:rFonts w:ascii="Arial" w:hAnsi="Arial"/>
          <w:kern w:val="0"/>
          <w:sz w:val="22"/>
        </w:rPr>
      </w:pPr>
      <w:r>
        <w:rPr>
          <w:rFonts w:hint="eastAsia" w:ascii="宋体" w:hAnsi="宋体" w:cs="宋体"/>
          <w:kern w:val="0"/>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pPr>
        <w:widowControl/>
        <w:spacing w:line="460" w:lineRule="atLeast"/>
        <w:ind w:firstLine="480"/>
        <w:rPr>
          <w:rFonts w:ascii="Arial" w:hAnsi="Arial"/>
          <w:kern w:val="0"/>
          <w:sz w:val="22"/>
        </w:rPr>
      </w:pPr>
      <w:r>
        <w:rPr>
          <w:rFonts w:hint="eastAsia" w:ascii="宋体" w:hAnsi="宋体" w:cs="宋体"/>
          <w:kern w:val="0"/>
        </w:rPr>
        <w:t>除非合同条款中另有规定，本合同执行期间合同总价款不变。</w:t>
      </w:r>
    </w:p>
    <w:p>
      <w:pPr>
        <w:widowControl/>
        <w:spacing w:line="460" w:lineRule="atLeast"/>
        <w:ind w:firstLine="482"/>
        <w:rPr>
          <w:rFonts w:ascii="Arial" w:hAnsi="Arial"/>
          <w:kern w:val="0"/>
          <w:sz w:val="22"/>
        </w:rPr>
      </w:pPr>
      <w:r>
        <w:rPr>
          <w:rFonts w:hint="eastAsia" w:ascii="宋体" w:hAnsi="宋体" w:cs="宋体"/>
          <w:b/>
          <w:kern w:val="0"/>
        </w:rPr>
        <w:t>第四条</w:t>
      </w:r>
      <w:r>
        <w:rPr>
          <w:rFonts w:ascii="宋体" w:hAnsi="宋体" w:cs="宋体"/>
          <w:b/>
          <w:kern w:val="0"/>
        </w:rPr>
        <w:t xml:space="preserve"> </w:t>
      </w:r>
      <w:r>
        <w:rPr>
          <w:rFonts w:hint="eastAsia" w:ascii="宋体" w:hAnsi="宋体" w:cs="宋体"/>
          <w:b/>
          <w:kern w:val="0"/>
        </w:rPr>
        <w:t>合同款支付</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、本合同项下所有款项均以人民币支付。</w:t>
      </w:r>
    </w:p>
    <w:p>
      <w:pPr>
        <w:widowControl/>
        <w:spacing w:line="460" w:lineRule="atLeast"/>
        <w:ind w:firstLine="480"/>
        <w:rPr>
          <w:rFonts w:hint="eastAsia" w:ascii="宋体" w:hAnsi="宋体" w:cs="宋体"/>
          <w:kern w:val="0"/>
        </w:rPr>
      </w:pPr>
      <w:r>
        <w:rPr>
          <w:rFonts w:ascii="宋体" w:hAnsi="宋体" w:cs="宋体"/>
          <w:kern w:val="0"/>
        </w:rPr>
        <w:t>2</w:t>
      </w:r>
      <w:r>
        <w:rPr>
          <w:rFonts w:hint="eastAsia" w:ascii="宋体" w:hAnsi="宋体" w:cs="宋体"/>
          <w:kern w:val="0"/>
        </w:rPr>
        <w:t>、本合同项下的采购资金由甲方自行支付，乙方向甲方开具发票。</w:t>
      </w:r>
    </w:p>
    <w:p>
      <w:pPr>
        <w:widowControl/>
        <w:spacing w:line="460" w:lineRule="atLeast"/>
        <w:ind w:firstLine="480"/>
        <w:rPr>
          <w:rFonts w:hint="eastAsia" w:ascii="宋体" w:hAnsi="宋体" w:cs="宋体"/>
          <w:kern w:val="0"/>
        </w:rPr>
      </w:pPr>
      <w:r>
        <w:rPr>
          <w:rFonts w:ascii="宋体" w:hAnsi="宋体" w:cs="宋体"/>
          <w:kern w:val="0"/>
        </w:rPr>
        <w:t>3</w:t>
      </w:r>
      <w:r>
        <w:rPr>
          <w:rFonts w:hint="eastAsia" w:ascii="宋体" w:hAnsi="宋体" w:cs="宋体"/>
          <w:kern w:val="0"/>
        </w:rPr>
        <w:t>、根据现行税法对乙方征收的与本合同有关的一切税费均由乙方承担。</w:t>
      </w:r>
    </w:p>
    <w:p>
      <w:pPr>
        <w:widowControl/>
        <w:spacing w:line="460" w:lineRule="atLeast"/>
        <w:ind w:firstLine="480"/>
        <w:rPr>
          <w:rFonts w:hint="eastAsia" w:ascii="宋体" w:hAnsi="宋体" w:cs="宋体"/>
          <w:kern w:val="0"/>
        </w:rPr>
      </w:pPr>
      <w:r>
        <w:rPr>
          <w:rFonts w:ascii="宋体" w:hAnsi="宋体" w:cs="宋体"/>
          <w:kern w:val="0"/>
        </w:rPr>
        <w:t>4</w:t>
      </w:r>
      <w:r>
        <w:rPr>
          <w:rFonts w:hint="eastAsia" w:ascii="宋体" w:hAnsi="宋体" w:cs="宋体"/>
          <w:kern w:val="0"/>
        </w:rPr>
        <w:t>、付款步骤、方式：</w:t>
      </w:r>
    </w:p>
    <w:p>
      <w:pPr>
        <w:spacing w:after="200" w:line="276" w:lineRule="auto"/>
        <w:rPr>
          <w:rFonts w:ascii="楷体_GB2312" w:hAnsi="Arial" w:eastAsia="楷体_GB2312"/>
          <w:sz w:val="28"/>
        </w:rPr>
      </w:pPr>
    </w:p>
    <w:p>
      <w:pPr>
        <w:widowControl/>
        <w:spacing w:line="85" w:lineRule="atLeast"/>
        <w:ind w:firstLine="482"/>
        <w:rPr>
          <w:rFonts w:ascii="Arial" w:hAnsi="Arial"/>
          <w:kern w:val="0"/>
          <w:sz w:val="22"/>
        </w:rPr>
      </w:pPr>
      <w:r>
        <w:rPr>
          <w:rFonts w:hint="eastAsia" w:ascii="宋体" w:hAnsi="宋体" w:cs="宋体"/>
          <w:b/>
          <w:kern w:val="0"/>
        </w:rPr>
        <w:t>第五条</w:t>
      </w:r>
      <w:r>
        <w:rPr>
          <w:rFonts w:ascii="宋体" w:hAnsi="宋体" w:cs="宋体"/>
          <w:b/>
          <w:kern w:val="0"/>
        </w:rPr>
        <w:t xml:space="preserve"> </w:t>
      </w:r>
      <w:r>
        <w:rPr>
          <w:rFonts w:hint="eastAsia" w:ascii="宋体" w:hAnsi="宋体" w:cs="宋体"/>
          <w:b/>
          <w:kern w:val="0"/>
        </w:rPr>
        <w:t>服务质量、成果要求</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、项目完成后甲方将组织专业人员进行项目的验收工作，如存在问题，乙方应进行改进，直至验收合格为止；</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、验收标准</w:t>
      </w:r>
      <w:r>
        <w:rPr>
          <w:rFonts w:ascii="宋体" w:hAnsi="宋体" w:cs="宋体"/>
          <w:kern w:val="0"/>
        </w:rPr>
        <w:t xml:space="preserve">: </w:t>
      </w:r>
      <w:r>
        <w:rPr>
          <w:rFonts w:hint="eastAsia" w:ascii="宋体" w:hAnsi="宋体" w:cs="宋体"/>
          <w:kern w:val="0"/>
        </w:rPr>
        <w:t>按采购文件要求、乙方的投标承诺或国家相关标准。</w:t>
      </w:r>
    </w:p>
    <w:p>
      <w:pPr>
        <w:widowControl/>
        <w:spacing w:line="460" w:lineRule="atLeast"/>
        <w:ind w:firstLine="482"/>
        <w:rPr>
          <w:rFonts w:ascii="Arial" w:hAnsi="Arial"/>
          <w:kern w:val="0"/>
          <w:sz w:val="22"/>
        </w:rPr>
      </w:pPr>
      <w:r>
        <w:rPr>
          <w:rFonts w:hint="eastAsia" w:ascii="宋体" w:hAnsi="宋体" w:cs="宋体"/>
          <w:b/>
          <w:kern w:val="0"/>
        </w:rPr>
        <w:t>第六条</w:t>
      </w:r>
      <w:r>
        <w:rPr>
          <w:rFonts w:ascii="宋体" w:hAnsi="宋体" w:cs="宋体"/>
          <w:b/>
          <w:kern w:val="0"/>
        </w:rPr>
        <w:t xml:space="preserve"> </w:t>
      </w:r>
      <w:r>
        <w:rPr>
          <w:rFonts w:hint="eastAsia" w:ascii="宋体" w:hAnsi="宋体" w:cs="宋体"/>
          <w:b/>
          <w:kern w:val="0"/>
        </w:rPr>
        <w:t>甲、乙双方权利义务</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、甲方应当为保证项目服务的完成，给予乙方积极支持，为乙方提供项目实施的必要条件；</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、甲方应当按照本合同约定按时支付合同金额。</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、乙方提交的服务成果未经甲方书面许可，不得向任何第三方泄露。</w:t>
      </w:r>
    </w:p>
    <w:p>
      <w:pPr>
        <w:widowControl/>
        <w:spacing w:line="460" w:lineRule="atLeast"/>
        <w:ind w:firstLine="480"/>
        <w:rPr>
          <w:rFonts w:ascii="Arial" w:hAnsi="Arial"/>
          <w:kern w:val="0"/>
          <w:sz w:val="22"/>
        </w:rPr>
      </w:pPr>
      <w:r>
        <w:rPr>
          <w:rFonts w:ascii="宋体" w:hAnsi="宋体" w:cs="宋体"/>
          <w:kern w:val="0"/>
        </w:rPr>
        <w:t>4</w:t>
      </w:r>
      <w:r>
        <w:rPr>
          <w:rFonts w:hint="eastAsia" w:ascii="宋体" w:hAnsi="宋体" w:cs="宋体"/>
          <w:kern w:val="0"/>
        </w:rPr>
        <w:t>、</w:t>
      </w:r>
      <w:r>
        <w:rPr>
          <w:rFonts w:ascii="宋体" w:hAnsi="宋体" w:cs="宋体"/>
          <w:kern w:val="0"/>
        </w:rPr>
        <w:t xml:space="preserve"> </w:t>
      </w:r>
      <w:r>
        <w:rPr>
          <w:rFonts w:hint="eastAsia" w:ascii="宋体" w:hAnsi="宋体" w:cs="宋体"/>
          <w:kern w:val="0"/>
        </w:rPr>
        <w:t>乙方提供必要的技术培训，协助甲方完成其他需要中标单位配合的服务。</w:t>
      </w:r>
    </w:p>
    <w:p>
      <w:pPr>
        <w:widowControl/>
        <w:spacing w:line="460" w:lineRule="atLeast"/>
        <w:ind w:firstLine="480"/>
        <w:rPr>
          <w:rFonts w:ascii="Arial" w:hAnsi="Arial"/>
          <w:kern w:val="0"/>
          <w:sz w:val="22"/>
        </w:rPr>
      </w:pPr>
      <w:r>
        <w:rPr>
          <w:rFonts w:ascii="宋体" w:hAnsi="宋体" w:cs="宋体"/>
          <w:kern w:val="0"/>
        </w:rPr>
        <w:t>5</w:t>
      </w:r>
      <w:r>
        <w:rPr>
          <w:rFonts w:hint="eastAsia" w:ascii="宋体" w:hAnsi="宋体" w:cs="宋体"/>
          <w:kern w:val="0"/>
        </w:rPr>
        <w:t>、乙方根据国家标准、行业标准和规范要求及标书规定的服务质量标准和有关要求，保质保量地完成服务工作。</w:t>
      </w:r>
    </w:p>
    <w:p>
      <w:pPr>
        <w:widowControl/>
        <w:spacing w:line="460" w:lineRule="atLeast"/>
        <w:ind w:firstLine="482"/>
        <w:rPr>
          <w:rFonts w:ascii="Arial" w:hAnsi="Arial"/>
          <w:kern w:val="0"/>
          <w:sz w:val="22"/>
        </w:rPr>
      </w:pPr>
      <w:r>
        <w:rPr>
          <w:rFonts w:hint="eastAsia" w:ascii="宋体" w:hAnsi="宋体" w:cs="宋体"/>
          <w:b/>
          <w:kern w:val="0"/>
        </w:rPr>
        <w:t>第七条</w:t>
      </w:r>
      <w:r>
        <w:rPr>
          <w:rFonts w:ascii="宋体" w:hAnsi="宋体" w:cs="宋体"/>
          <w:b/>
          <w:kern w:val="0"/>
        </w:rPr>
        <w:t xml:space="preserve"> </w:t>
      </w:r>
      <w:r>
        <w:rPr>
          <w:rFonts w:hint="eastAsia" w:ascii="宋体" w:hAnsi="宋体" w:cs="宋体"/>
          <w:b/>
          <w:kern w:val="0"/>
        </w:rPr>
        <w:t>知识产权</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、在合同履行过程中，由甲方向乙方提供的资料－－包括但不限于程序、文件、报告、说明、图表等均归甲方所有。</w:t>
      </w:r>
    </w:p>
    <w:p>
      <w:pPr>
        <w:widowControl/>
        <w:spacing w:line="460" w:lineRule="atLeast"/>
        <w:ind w:firstLine="480" w:firstLineChars="200"/>
        <w:rPr>
          <w:rFonts w:ascii="Arial" w:hAnsi="Arial"/>
          <w:kern w:val="0"/>
          <w:sz w:val="22"/>
        </w:rPr>
      </w:pPr>
      <w:r>
        <w:rPr>
          <w:rFonts w:ascii="宋体" w:hAnsi="宋体" w:cs="宋体"/>
          <w:kern w:val="0"/>
        </w:rPr>
        <w:t>2</w:t>
      </w:r>
      <w:r>
        <w:rPr>
          <w:rFonts w:hint="eastAsia" w:ascii="宋体" w:hAnsi="宋体" w:cs="宋体"/>
          <w:kern w:val="0"/>
        </w:rPr>
        <w:t>、在合同履行完毕后，乙方依据本合同及本合同附件向甲方提供的任何程序、文件、报告、说明、图表等的知识产权均归甲方所有（但属于乙方或第三方的除外），乙方不得以任何形式使用或向第三方透露。</w:t>
      </w:r>
    </w:p>
    <w:p>
      <w:pPr>
        <w:widowControl/>
        <w:spacing w:line="460" w:lineRule="atLeast"/>
        <w:ind w:firstLine="482"/>
        <w:rPr>
          <w:rFonts w:ascii="Arial" w:hAnsi="Arial"/>
          <w:kern w:val="0"/>
          <w:sz w:val="22"/>
        </w:rPr>
      </w:pPr>
      <w:r>
        <w:rPr>
          <w:rFonts w:hint="eastAsia" w:ascii="宋体" w:hAnsi="宋体" w:cs="宋体"/>
          <w:b/>
          <w:kern w:val="0"/>
        </w:rPr>
        <w:t>第八条</w:t>
      </w:r>
      <w:r>
        <w:rPr>
          <w:rFonts w:ascii="宋体" w:hAnsi="宋体" w:cs="宋体"/>
          <w:b/>
          <w:kern w:val="0"/>
        </w:rPr>
        <w:t xml:space="preserve"> </w:t>
      </w:r>
      <w:r>
        <w:rPr>
          <w:rFonts w:hint="eastAsia" w:ascii="宋体" w:hAnsi="宋体" w:cs="宋体"/>
          <w:b/>
          <w:kern w:val="0"/>
        </w:rPr>
        <w:t>保密条款</w:t>
      </w:r>
    </w:p>
    <w:p>
      <w:pPr>
        <w:widowControl/>
        <w:spacing w:line="460" w:lineRule="atLeast"/>
        <w:ind w:firstLine="480"/>
        <w:rPr>
          <w:rFonts w:ascii="Arial" w:hAnsi="Arial"/>
          <w:kern w:val="0"/>
          <w:sz w:val="22"/>
        </w:rPr>
      </w:pPr>
      <w:r>
        <w:rPr>
          <w:rFonts w:hint="eastAsia" w:ascii="宋体" w:hAnsi="宋体" w:cs="宋体"/>
          <w:kern w:val="0"/>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pPr>
        <w:widowControl/>
        <w:spacing w:line="460" w:lineRule="atLeast"/>
        <w:ind w:firstLine="482"/>
        <w:rPr>
          <w:rFonts w:ascii="Arial" w:hAnsi="Arial"/>
          <w:kern w:val="0"/>
          <w:sz w:val="22"/>
        </w:rPr>
      </w:pPr>
      <w:r>
        <w:rPr>
          <w:rFonts w:hint="eastAsia" w:ascii="宋体" w:hAnsi="宋体" w:cs="宋体"/>
          <w:b/>
          <w:kern w:val="0"/>
        </w:rPr>
        <w:t>第九条</w:t>
      </w:r>
      <w:r>
        <w:rPr>
          <w:rFonts w:ascii="宋体" w:hAnsi="宋体" w:cs="宋体"/>
          <w:b/>
          <w:kern w:val="0"/>
        </w:rPr>
        <w:t xml:space="preserve"> </w:t>
      </w:r>
      <w:r>
        <w:rPr>
          <w:rFonts w:hint="eastAsia" w:ascii="宋体" w:hAnsi="宋体" w:cs="宋体"/>
          <w:b/>
          <w:kern w:val="0"/>
        </w:rPr>
        <w:t>风险责任</w:t>
      </w:r>
    </w:p>
    <w:p>
      <w:pPr>
        <w:widowControl/>
        <w:spacing w:line="460" w:lineRule="atLeast"/>
        <w:ind w:firstLine="480"/>
        <w:rPr>
          <w:rFonts w:ascii="Arial" w:hAnsi="Arial"/>
          <w:kern w:val="0"/>
          <w:sz w:val="22"/>
        </w:rPr>
      </w:pPr>
      <w:r>
        <w:rPr>
          <w:rFonts w:hint="eastAsia" w:ascii="宋体" w:hAnsi="宋体" w:cs="宋体"/>
          <w:kern w:val="0"/>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pPr>
        <w:widowControl/>
        <w:spacing w:line="460" w:lineRule="atLeast"/>
        <w:ind w:firstLine="482"/>
        <w:rPr>
          <w:rFonts w:ascii="Arial" w:hAnsi="Arial"/>
          <w:kern w:val="0"/>
          <w:sz w:val="22"/>
        </w:rPr>
      </w:pPr>
      <w:r>
        <w:rPr>
          <w:rFonts w:hint="eastAsia" w:ascii="宋体" w:hAnsi="宋体" w:cs="宋体"/>
          <w:b/>
          <w:kern w:val="0"/>
        </w:rPr>
        <w:t>第十条</w:t>
      </w:r>
      <w:r>
        <w:rPr>
          <w:rFonts w:ascii="宋体" w:hAnsi="宋体" w:cs="宋体"/>
          <w:b/>
          <w:kern w:val="0"/>
        </w:rPr>
        <w:t xml:space="preserve"> </w:t>
      </w:r>
      <w:r>
        <w:rPr>
          <w:rFonts w:hint="eastAsia" w:ascii="宋体" w:hAnsi="宋体" w:cs="宋体"/>
          <w:b/>
          <w:kern w:val="0"/>
        </w:rPr>
        <w:t>履约保证金（本项目不涉及）</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、乙方应按招标文件的约定要求提供相应的履约保证金。</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、履约保证金的有效期为合同生效之日起至合同主要义务履行完毕止。</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、如乙方未能履行合同规定的义务，或因乙方责任应由乙方承担的赔偿未完成，甲方有权从履约保证金中取得补偿。</w:t>
      </w:r>
    </w:p>
    <w:p>
      <w:pPr>
        <w:widowControl/>
        <w:spacing w:line="460" w:lineRule="atLeast"/>
        <w:ind w:firstLine="480"/>
        <w:rPr>
          <w:rFonts w:ascii="Arial" w:hAnsi="Arial"/>
          <w:kern w:val="0"/>
          <w:sz w:val="22"/>
        </w:rPr>
      </w:pPr>
      <w:r>
        <w:rPr>
          <w:rFonts w:ascii="宋体" w:hAnsi="宋体" w:cs="宋体"/>
          <w:kern w:val="0"/>
        </w:rPr>
        <w:t>4</w:t>
      </w:r>
      <w:r>
        <w:rPr>
          <w:rFonts w:hint="eastAsia" w:ascii="宋体" w:hAnsi="宋体" w:cs="宋体"/>
          <w:kern w:val="0"/>
        </w:rPr>
        <w:t>、履约保证金待合同主要义务全部履行完毕后全额退回（不计息）。</w:t>
      </w:r>
    </w:p>
    <w:p>
      <w:pPr>
        <w:widowControl/>
        <w:spacing w:line="460" w:lineRule="atLeast"/>
        <w:ind w:firstLine="482"/>
        <w:rPr>
          <w:rFonts w:ascii="Arial" w:hAnsi="Arial"/>
          <w:kern w:val="0"/>
          <w:sz w:val="22"/>
        </w:rPr>
      </w:pPr>
      <w:r>
        <w:rPr>
          <w:rFonts w:hint="eastAsia" w:ascii="宋体" w:hAnsi="宋体" w:cs="宋体"/>
          <w:b/>
          <w:kern w:val="0"/>
        </w:rPr>
        <w:t>第十一条</w:t>
      </w:r>
      <w:r>
        <w:rPr>
          <w:rFonts w:ascii="宋体" w:hAnsi="宋体" w:cs="宋体"/>
          <w:b/>
          <w:kern w:val="0"/>
        </w:rPr>
        <w:t xml:space="preserve"> </w:t>
      </w:r>
      <w:r>
        <w:rPr>
          <w:rFonts w:hint="eastAsia" w:ascii="宋体" w:hAnsi="宋体" w:cs="宋体"/>
          <w:b/>
          <w:kern w:val="0"/>
        </w:rPr>
        <w:t>合同的变更和终止</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、本合同一经签订，甲乙双方不得擅自变更、中止或终止合同。</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、除发生法律规定的不能预见、不能避免并不能克服的客观情况外，甲乙双方不得放弃或拒绝履行合同。乙方放弃或拒绝履行合同，保证金不予退还。</w:t>
      </w:r>
    </w:p>
    <w:p>
      <w:pPr>
        <w:widowControl/>
        <w:spacing w:line="460" w:lineRule="atLeast"/>
        <w:ind w:firstLine="482"/>
        <w:rPr>
          <w:rFonts w:ascii="Arial" w:hAnsi="Arial"/>
          <w:kern w:val="0"/>
          <w:sz w:val="22"/>
        </w:rPr>
      </w:pPr>
      <w:r>
        <w:rPr>
          <w:rFonts w:hint="eastAsia" w:ascii="宋体" w:hAnsi="宋体" w:cs="宋体"/>
          <w:b/>
          <w:kern w:val="0"/>
        </w:rPr>
        <w:t>第十二条</w:t>
      </w:r>
      <w:r>
        <w:rPr>
          <w:rFonts w:ascii="宋体" w:hAnsi="宋体" w:cs="宋体"/>
          <w:b/>
          <w:kern w:val="0"/>
        </w:rPr>
        <w:t xml:space="preserve"> </w:t>
      </w:r>
      <w:r>
        <w:rPr>
          <w:rFonts w:hint="eastAsia" w:ascii="宋体" w:hAnsi="宋体" w:cs="宋体"/>
          <w:b/>
          <w:kern w:val="0"/>
        </w:rPr>
        <w:t>合同的转让</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、乙方不得擅自部分或全部转让其应履行的合同义务。</w:t>
      </w:r>
      <w:r>
        <w:rPr>
          <w:rFonts w:ascii="宋体" w:hAnsi="宋体" w:cs="宋体"/>
          <w:kern w:val="0"/>
        </w:rPr>
        <w:t xml:space="preserve">    </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、乙方在履行合同过程中，不得将服务项目委托给第三方。</w:t>
      </w:r>
    </w:p>
    <w:p>
      <w:pPr>
        <w:widowControl/>
        <w:spacing w:line="460" w:lineRule="atLeast"/>
        <w:ind w:firstLine="482"/>
        <w:rPr>
          <w:rFonts w:ascii="Arial" w:hAnsi="Arial"/>
          <w:kern w:val="0"/>
          <w:sz w:val="22"/>
        </w:rPr>
      </w:pPr>
      <w:r>
        <w:rPr>
          <w:rFonts w:hint="eastAsia" w:ascii="宋体" w:hAnsi="宋体" w:cs="宋体"/>
          <w:b/>
          <w:kern w:val="0"/>
        </w:rPr>
        <w:t>第十三条</w:t>
      </w:r>
      <w:r>
        <w:rPr>
          <w:rFonts w:ascii="宋体" w:hAnsi="宋体" w:cs="宋体"/>
          <w:b/>
          <w:kern w:val="0"/>
        </w:rPr>
        <w:t xml:space="preserve"> </w:t>
      </w:r>
      <w:r>
        <w:rPr>
          <w:rFonts w:hint="eastAsia" w:ascii="宋体" w:hAnsi="宋体" w:cs="宋体"/>
          <w:b/>
          <w:kern w:val="0"/>
        </w:rPr>
        <w:t>违约责任</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、在合同生效后，甲方无理由要求终止服务的，应向乙方偿付合同总价款的</w:t>
      </w:r>
      <w:r>
        <w:rPr>
          <w:rFonts w:ascii="宋体" w:hAnsi="宋体" w:cs="宋体"/>
          <w:kern w:val="0"/>
        </w:rPr>
        <w:t>5%</w:t>
      </w:r>
      <w:r>
        <w:rPr>
          <w:rFonts w:hint="eastAsia" w:ascii="宋体" w:hAnsi="宋体" w:cs="宋体"/>
          <w:kern w:val="0"/>
        </w:rPr>
        <w:t>，作为违约金，违约金不足以补偿损失的，乙方有权要求甲方补足。</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、甲方逾期付款的，应按照逾期付款金额的每天万分之四支付逾期付款违约金。</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、乙方不能按时提供服务（逾期超过十五天视为不能服务），或服务不合格从而影响甲方按期正常使用的，甲方有权解除合同，乙方应向甲方偿付合同总价款</w:t>
      </w:r>
      <w:r>
        <w:rPr>
          <w:rFonts w:ascii="宋体" w:hAnsi="宋体" w:cs="宋体"/>
          <w:kern w:val="0"/>
        </w:rPr>
        <w:t>5%</w:t>
      </w:r>
      <w:r>
        <w:rPr>
          <w:rFonts w:hint="eastAsia" w:ascii="宋体" w:hAnsi="宋体" w:cs="宋体"/>
          <w:kern w:val="0"/>
        </w:rPr>
        <w:t>的违约金，违约金不足以补偿损失的甲方有权要求乙方补足。</w:t>
      </w:r>
    </w:p>
    <w:p>
      <w:pPr>
        <w:widowControl/>
        <w:spacing w:line="460" w:lineRule="atLeast"/>
        <w:ind w:firstLine="480"/>
        <w:rPr>
          <w:rFonts w:ascii="Arial" w:hAnsi="Arial"/>
          <w:kern w:val="0"/>
          <w:sz w:val="22"/>
        </w:rPr>
      </w:pPr>
      <w:r>
        <w:rPr>
          <w:rFonts w:ascii="宋体" w:hAnsi="宋体" w:cs="宋体"/>
          <w:kern w:val="0"/>
        </w:rPr>
        <w:t>4</w:t>
      </w:r>
      <w:r>
        <w:rPr>
          <w:rFonts w:hint="eastAsia" w:ascii="宋体" w:hAnsi="宋体" w:cs="宋体"/>
          <w:kern w:val="0"/>
        </w:rPr>
        <w:t>、乙方项目组成员须按招标文件承诺人员配备，未经甲方同意不得擅自更换；如更换需向甲方支付赔偿金。</w:t>
      </w:r>
    </w:p>
    <w:p>
      <w:pPr>
        <w:widowControl/>
        <w:spacing w:line="460" w:lineRule="atLeast"/>
        <w:ind w:firstLine="480"/>
        <w:rPr>
          <w:rFonts w:ascii="Arial" w:hAnsi="Arial"/>
          <w:kern w:val="0"/>
          <w:sz w:val="22"/>
        </w:rPr>
      </w:pPr>
      <w:r>
        <w:rPr>
          <w:rFonts w:ascii="宋体" w:hAnsi="宋体" w:cs="宋体"/>
          <w:kern w:val="0"/>
        </w:rPr>
        <w:t>5</w:t>
      </w:r>
      <w:r>
        <w:rPr>
          <w:rFonts w:hint="eastAsia" w:ascii="宋体" w:hAnsi="宋体" w:cs="宋体"/>
          <w:kern w:val="0"/>
        </w:rPr>
        <w:t>、乙方在承担上述一项或多项违约责任后，仍应继续履行合同规定的义务（甲方解除合同的除外）。甲方未能及时追究乙方的任何一项违约责任并不表明甲方放弃追究乙方该项或其他违约责任。</w:t>
      </w:r>
    </w:p>
    <w:p>
      <w:pPr>
        <w:widowControl/>
        <w:spacing w:line="460" w:lineRule="atLeast"/>
        <w:ind w:firstLine="480"/>
        <w:rPr>
          <w:rFonts w:ascii="Arial" w:hAnsi="Arial"/>
          <w:kern w:val="0"/>
          <w:sz w:val="22"/>
        </w:rPr>
      </w:pPr>
      <w:r>
        <w:rPr>
          <w:rFonts w:ascii="宋体" w:hAnsi="宋体" w:cs="宋体"/>
          <w:kern w:val="0"/>
        </w:rPr>
        <w:t>6</w:t>
      </w:r>
      <w:r>
        <w:rPr>
          <w:rFonts w:hint="eastAsia" w:ascii="宋体" w:hAnsi="宋体" w:cs="宋体"/>
          <w:kern w:val="0"/>
        </w:rPr>
        <w:t>、其他未尽事宜，以《民法典》和《政府采购法》等有关法律法规规定为准，无相关规定的，双方协商解决。</w:t>
      </w:r>
    </w:p>
    <w:p>
      <w:pPr>
        <w:widowControl/>
        <w:spacing w:line="460" w:lineRule="atLeast"/>
        <w:ind w:firstLine="482"/>
        <w:rPr>
          <w:rFonts w:ascii="Arial" w:hAnsi="Arial"/>
          <w:kern w:val="0"/>
          <w:sz w:val="22"/>
        </w:rPr>
      </w:pPr>
      <w:r>
        <w:rPr>
          <w:rFonts w:hint="eastAsia" w:ascii="宋体" w:hAnsi="宋体" w:cs="宋体"/>
          <w:b/>
          <w:kern w:val="0"/>
        </w:rPr>
        <w:t>第十四条</w:t>
      </w:r>
      <w:r>
        <w:rPr>
          <w:rFonts w:ascii="宋体" w:hAnsi="宋体" w:cs="宋体"/>
          <w:b/>
          <w:kern w:val="0"/>
        </w:rPr>
        <w:t xml:space="preserve"> </w:t>
      </w:r>
      <w:r>
        <w:rPr>
          <w:rFonts w:hint="eastAsia" w:ascii="宋体" w:hAnsi="宋体" w:cs="宋体"/>
          <w:b/>
          <w:kern w:val="0"/>
        </w:rPr>
        <w:t>不可抗力</w:t>
      </w:r>
    </w:p>
    <w:p>
      <w:pPr>
        <w:widowControl/>
        <w:spacing w:line="460" w:lineRule="atLeast"/>
        <w:ind w:firstLine="480"/>
        <w:rPr>
          <w:rFonts w:ascii="Arial" w:hAnsi="Arial"/>
          <w:kern w:val="0"/>
          <w:sz w:val="22"/>
        </w:rPr>
      </w:pPr>
      <w:r>
        <w:rPr>
          <w:rFonts w:hint="eastAsia" w:ascii="宋体" w:hAnsi="宋体" w:cs="宋体"/>
          <w:kern w:val="0"/>
        </w:rPr>
        <w:t>甲、乙方中任何一方，因不可抗力不能按时或完全履行合同的</w:t>
      </w:r>
      <w:r>
        <w:rPr>
          <w:rFonts w:ascii="宋体" w:hAnsi="宋体" w:cs="宋体"/>
          <w:kern w:val="0"/>
        </w:rPr>
        <w:t xml:space="preserve"> </w:t>
      </w:r>
      <w:r>
        <w:rPr>
          <w:rFonts w:hint="eastAsia" w:ascii="宋体" w:hAnsi="宋体" w:cs="宋体"/>
          <w:kern w:val="0"/>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pPr>
        <w:widowControl/>
        <w:spacing w:line="460" w:lineRule="atLeast"/>
        <w:ind w:firstLine="480"/>
        <w:rPr>
          <w:rFonts w:ascii="Arial" w:hAnsi="Arial"/>
          <w:kern w:val="0"/>
          <w:sz w:val="22"/>
        </w:rPr>
      </w:pPr>
      <w:r>
        <w:rPr>
          <w:rFonts w:hint="eastAsia" w:ascii="宋体" w:hAnsi="宋体" w:cs="宋体"/>
          <w:kern w:val="0"/>
        </w:rPr>
        <w:t>因合同一方迟延履行后发生不可抗力的，不能免除责任。</w:t>
      </w:r>
    </w:p>
    <w:p>
      <w:pPr>
        <w:widowControl/>
        <w:spacing w:line="460" w:lineRule="atLeast"/>
        <w:ind w:firstLine="482"/>
        <w:rPr>
          <w:rFonts w:ascii="Arial" w:hAnsi="Arial"/>
          <w:kern w:val="0"/>
          <w:sz w:val="22"/>
        </w:rPr>
      </w:pPr>
      <w:r>
        <w:rPr>
          <w:rFonts w:hint="eastAsia" w:ascii="宋体" w:hAnsi="宋体" w:cs="宋体"/>
          <w:b/>
          <w:kern w:val="0"/>
        </w:rPr>
        <w:t>第十五条</w:t>
      </w:r>
      <w:r>
        <w:rPr>
          <w:rFonts w:ascii="宋体" w:hAnsi="宋体" w:cs="宋体"/>
          <w:b/>
          <w:kern w:val="0"/>
        </w:rPr>
        <w:t xml:space="preserve"> </w:t>
      </w:r>
      <w:r>
        <w:rPr>
          <w:rFonts w:hint="eastAsia" w:ascii="宋体" w:hAnsi="宋体" w:cs="宋体"/>
          <w:b/>
          <w:kern w:val="0"/>
        </w:rPr>
        <w:t>索赔</w:t>
      </w:r>
    </w:p>
    <w:p>
      <w:pPr>
        <w:widowControl/>
        <w:spacing w:line="460" w:lineRule="atLeast"/>
        <w:ind w:firstLine="480"/>
        <w:rPr>
          <w:rFonts w:ascii="Arial" w:hAnsi="Arial"/>
          <w:kern w:val="0"/>
          <w:sz w:val="22"/>
        </w:rPr>
      </w:pPr>
      <w:r>
        <w:rPr>
          <w:rFonts w:hint="eastAsia" w:ascii="宋体" w:hAnsi="宋体" w:cs="宋体"/>
          <w:kern w:val="0"/>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cs="宋体"/>
          <w:kern w:val="0"/>
        </w:rPr>
        <w:t>(   )</w:t>
      </w:r>
      <w:r>
        <w:rPr>
          <w:rFonts w:hint="eastAsia" w:ascii="宋体" w:hAnsi="宋体" w:cs="宋体"/>
          <w:kern w:val="0"/>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pPr>
        <w:widowControl/>
        <w:spacing w:line="460" w:lineRule="atLeast"/>
        <w:ind w:firstLine="482"/>
        <w:rPr>
          <w:rFonts w:ascii="Arial" w:hAnsi="Arial"/>
          <w:kern w:val="0"/>
          <w:sz w:val="22"/>
        </w:rPr>
      </w:pPr>
      <w:r>
        <w:rPr>
          <w:rFonts w:hint="eastAsia" w:ascii="宋体" w:hAnsi="宋体" w:cs="宋体"/>
          <w:b/>
          <w:kern w:val="0"/>
        </w:rPr>
        <w:t>第十六条</w:t>
      </w:r>
      <w:r>
        <w:rPr>
          <w:rFonts w:ascii="宋体" w:hAnsi="宋体" w:cs="宋体"/>
          <w:b/>
          <w:kern w:val="0"/>
        </w:rPr>
        <w:t xml:space="preserve"> </w:t>
      </w:r>
      <w:r>
        <w:rPr>
          <w:rFonts w:hint="eastAsia" w:ascii="宋体" w:hAnsi="宋体" w:cs="宋体"/>
          <w:b/>
          <w:kern w:val="0"/>
        </w:rPr>
        <w:t>争议的解决</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、因服务的质量问题发生争议的，应当邀请国家认可的质量检测机构对服务项目质量进行鉴定。项目符合标准的，鉴定费由甲方承担；项目不符合质量标准的，鉴定费由乙方承担。</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、因履行本合同引起的或与本合同有关的争议，甲、乙双方应首先通过友好协商解决，如果协商不能解决争议，则向甲方所在地有管辖权的人民法院提起诉讼；</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、在法院审理和仲裁期间，除有争议部分外，本合同其他部分应继续履行。</w:t>
      </w:r>
    </w:p>
    <w:p>
      <w:pPr>
        <w:widowControl/>
        <w:spacing w:line="460" w:lineRule="atLeast"/>
        <w:ind w:firstLine="482"/>
        <w:rPr>
          <w:rFonts w:ascii="Arial" w:hAnsi="Arial"/>
          <w:kern w:val="0"/>
          <w:sz w:val="22"/>
        </w:rPr>
      </w:pPr>
      <w:r>
        <w:rPr>
          <w:rFonts w:hint="eastAsia" w:ascii="宋体" w:hAnsi="宋体" w:cs="宋体"/>
          <w:b/>
          <w:kern w:val="0"/>
        </w:rPr>
        <w:t>第十七条</w:t>
      </w:r>
      <w:r>
        <w:rPr>
          <w:rFonts w:ascii="宋体" w:hAnsi="宋体" w:cs="宋体"/>
          <w:b/>
          <w:kern w:val="0"/>
        </w:rPr>
        <w:t xml:space="preserve"> </w:t>
      </w:r>
      <w:r>
        <w:rPr>
          <w:rFonts w:hint="eastAsia" w:ascii="宋体" w:hAnsi="宋体" w:cs="宋体"/>
          <w:b/>
          <w:kern w:val="0"/>
        </w:rPr>
        <w:t>诚实信用</w:t>
      </w:r>
      <w:r>
        <w:rPr>
          <w:rFonts w:ascii="宋体" w:hAnsi="宋体" w:cs="宋体"/>
          <w:b/>
          <w:kern w:val="0"/>
        </w:rPr>
        <w:t xml:space="preserve"> </w:t>
      </w:r>
    </w:p>
    <w:p>
      <w:pPr>
        <w:widowControl/>
        <w:spacing w:line="460" w:lineRule="atLeast"/>
        <w:ind w:firstLine="480"/>
        <w:rPr>
          <w:rFonts w:ascii="Arial" w:hAnsi="Arial"/>
          <w:kern w:val="0"/>
          <w:sz w:val="22"/>
        </w:rPr>
      </w:pPr>
      <w:r>
        <w:rPr>
          <w:rFonts w:hint="eastAsia" w:ascii="宋体" w:hAnsi="宋体" w:cs="宋体"/>
          <w:kern w:val="0"/>
        </w:rPr>
        <w:t>乙方应诚实信用，严格按照招标文件要求和投标承诺履行合同，不向甲方进行商业贿赂或者提供不正当利益。</w:t>
      </w:r>
    </w:p>
    <w:p>
      <w:pPr>
        <w:widowControl/>
        <w:spacing w:line="460" w:lineRule="atLeast"/>
        <w:ind w:firstLine="482"/>
        <w:rPr>
          <w:rFonts w:ascii="Arial" w:hAnsi="Arial"/>
          <w:kern w:val="0"/>
          <w:sz w:val="22"/>
        </w:rPr>
      </w:pPr>
      <w:r>
        <w:rPr>
          <w:rFonts w:hint="eastAsia" w:ascii="宋体" w:hAnsi="宋体" w:cs="宋体"/>
          <w:b/>
          <w:kern w:val="0"/>
        </w:rPr>
        <w:t>第十八条</w:t>
      </w:r>
      <w:r>
        <w:rPr>
          <w:rFonts w:ascii="宋体" w:hAnsi="宋体" w:cs="宋体"/>
          <w:b/>
          <w:kern w:val="0"/>
        </w:rPr>
        <w:t xml:space="preserve"> </w:t>
      </w:r>
      <w:r>
        <w:rPr>
          <w:rFonts w:hint="eastAsia" w:ascii="宋体" w:hAnsi="宋体" w:cs="宋体"/>
          <w:b/>
          <w:kern w:val="0"/>
        </w:rPr>
        <w:t>合同生效及其他</w:t>
      </w:r>
    </w:p>
    <w:p>
      <w:pPr>
        <w:widowControl/>
        <w:spacing w:line="460" w:lineRule="atLeast"/>
        <w:ind w:firstLine="480"/>
        <w:rPr>
          <w:rFonts w:ascii="Arial" w:hAnsi="Arial"/>
          <w:kern w:val="0"/>
          <w:sz w:val="22"/>
        </w:rPr>
      </w:pPr>
      <w:r>
        <w:rPr>
          <w:rFonts w:ascii="宋体" w:hAnsi="宋体" w:cs="宋体"/>
          <w:kern w:val="0"/>
        </w:rPr>
        <w:t>1</w:t>
      </w:r>
      <w:r>
        <w:rPr>
          <w:rFonts w:hint="eastAsia" w:ascii="宋体" w:hAnsi="宋体" w:cs="宋体"/>
          <w:kern w:val="0"/>
        </w:rPr>
        <w:t>、本合同自经甲乙双方授权代表签订并加盖公章后，自签订之日起生效。</w:t>
      </w:r>
    </w:p>
    <w:p>
      <w:pPr>
        <w:widowControl/>
        <w:spacing w:line="460" w:lineRule="atLeast"/>
        <w:ind w:firstLine="480"/>
        <w:rPr>
          <w:rFonts w:ascii="Arial" w:hAnsi="Arial"/>
          <w:kern w:val="0"/>
          <w:sz w:val="22"/>
        </w:rPr>
      </w:pPr>
      <w:r>
        <w:rPr>
          <w:rFonts w:ascii="宋体" w:hAnsi="宋体" w:cs="宋体"/>
          <w:kern w:val="0"/>
        </w:rPr>
        <w:t>2</w:t>
      </w:r>
      <w:r>
        <w:rPr>
          <w:rFonts w:hint="eastAsia" w:ascii="宋体" w:hAnsi="宋体" w:cs="宋体"/>
          <w:kern w:val="0"/>
        </w:rPr>
        <w:t>、本合同一式两份份，甲乙双方各执一份。</w:t>
      </w:r>
    </w:p>
    <w:p>
      <w:pPr>
        <w:widowControl/>
        <w:spacing w:line="460" w:lineRule="atLeast"/>
        <w:ind w:firstLine="480"/>
        <w:rPr>
          <w:rFonts w:ascii="Arial" w:hAnsi="Arial"/>
          <w:kern w:val="0"/>
          <w:sz w:val="22"/>
        </w:rPr>
      </w:pPr>
      <w:r>
        <w:rPr>
          <w:rFonts w:ascii="宋体" w:hAnsi="宋体" w:cs="宋体"/>
          <w:kern w:val="0"/>
        </w:rPr>
        <w:t>3</w:t>
      </w:r>
      <w:r>
        <w:rPr>
          <w:rFonts w:hint="eastAsia" w:ascii="宋体" w:hAnsi="宋体" w:cs="宋体"/>
          <w:kern w:val="0"/>
        </w:rPr>
        <w:t>、本合同应按照中华人民共和国的现行法律进行解释。</w:t>
      </w:r>
    </w:p>
    <w:p>
      <w:pPr>
        <w:widowControl/>
        <w:spacing w:line="460" w:lineRule="atLeast"/>
        <w:ind w:firstLine="480"/>
        <w:rPr>
          <w:rFonts w:ascii="Arial" w:hAnsi="Arial"/>
          <w:kern w:val="0"/>
          <w:sz w:val="22"/>
        </w:rPr>
      </w:pPr>
      <w:r>
        <w:rPr>
          <w:rFonts w:ascii="宋体" w:hAnsi="宋体" w:cs="宋体"/>
          <w:kern w:val="0"/>
        </w:rPr>
        <w:t> </w:t>
      </w:r>
    </w:p>
    <w:p>
      <w:pPr>
        <w:widowControl/>
        <w:spacing w:line="460" w:lineRule="atLeast"/>
        <w:ind w:firstLine="480"/>
        <w:rPr>
          <w:rFonts w:ascii="Arial" w:hAnsi="Arial"/>
          <w:kern w:val="0"/>
          <w:sz w:val="22"/>
        </w:rPr>
      </w:pPr>
      <w:r>
        <w:rPr>
          <w:rFonts w:hint="eastAsia" w:ascii="宋体" w:hAnsi="宋体" w:cs="宋体"/>
          <w:kern w:val="0"/>
        </w:rPr>
        <w:t>甲方（采购人）：（盖章）</w:t>
      </w:r>
      <w:r>
        <w:rPr>
          <w:rFonts w:ascii="宋体" w:hAnsi="宋体" w:cs="宋体"/>
          <w:kern w:val="0"/>
        </w:rPr>
        <w:t xml:space="preserve">            </w:t>
      </w:r>
      <w:r>
        <w:rPr>
          <w:rFonts w:hint="eastAsia" w:ascii="宋体" w:hAnsi="宋体" w:cs="宋体"/>
          <w:kern w:val="0"/>
        </w:rPr>
        <w:t>乙方（供应商）：（盖章）</w:t>
      </w:r>
    </w:p>
    <w:p>
      <w:pPr>
        <w:widowControl/>
        <w:spacing w:line="460" w:lineRule="atLeast"/>
        <w:ind w:firstLine="480"/>
        <w:rPr>
          <w:rFonts w:ascii="Arial" w:hAnsi="Arial"/>
          <w:kern w:val="0"/>
          <w:sz w:val="22"/>
        </w:rPr>
      </w:pPr>
      <w:r>
        <w:rPr>
          <w:rFonts w:hint="eastAsia" w:ascii="宋体" w:hAnsi="宋体" w:cs="宋体"/>
          <w:kern w:val="0"/>
        </w:rPr>
        <w:t>代表人：</w:t>
      </w:r>
      <w:r>
        <w:rPr>
          <w:rFonts w:ascii="宋体" w:hAnsi="宋体" w:cs="宋体"/>
          <w:kern w:val="0"/>
        </w:rPr>
        <w:t>              </w:t>
      </w:r>
      <w:r>
        <w:rPr>
          <w:rFonts w:hint="eastAsia" w:ascii="宋体" w:hAnsi="宋体" w:cs="宋体"/>
          <w:kern w:val="0"/>
        </w:rPr>
        <w:t>代表人：</w:t>
      </w:r>
    </w:p>
    <w:p>
      <w:pPr>
        <w:widowControl/>
        <w:spacing w:line="460" w:lineRule="atLeast"/>
        <w:ind w:firstLine="480"/>
        <w:rPr>
          <w:rFonts w:ascii="Arial" w:hAnsi="Arial"/>
          <w:kern w:val="0"/>
          <w:sz w:val="22"/>
        </w:rPr>
      </w:pPr>
      <w:r>
        <w:rPr>
          <w:rFonts w:hint="eastAsia" w:ascii="宋体" w:hAnsi="宋体" w:cs="宋体"/>
          <w:kern w:val="0"/>
        </w:rPr>
        <w:t>电话：</w:t>
      </w:r>
      <w:r>
        <w:rPr>
          <w:rFonts w:ascii="宋体" w:hAnsi="宋体" w:cs="宋体"/>
          <w:kern w:val="0"/>
        </w:rPr>
        <w:t>               </w:t>
      </w:r>
      <w:r>
        <w:rPr>
          <w:rFonts w:hint="eastAsia" w:ascii="宋体" w:hAnsi="宋体" w:cs="宋体"/>
          <w:kern w:val="0"/>
        </w:rPr>
        <w:t>电话：</w:t>
      </w:r>
    </w:p>
    <w:p>
      <w:pPr>
        <w:widowControl/>
        <w:spacing w:line="460" w:lineRule="atLeast"/>
        <w:ind w:firstLine="480"/>
        <w:rPr>
          <w:rFonts w:ascii="Arial" w:hAnsi="Arial"/>
          <w:kern w:val="0"/>
          <w:sz w:val="22"/>
        </w:rPr>
      </w:pPr>
      <w:r>
        <w:rPr>
          <w:rFonts w:hint="eastAsia" w:ascii="宋体" w:hAnsi="宋体" w:cs="宋体"/>
          <w:kern w:val="0"/>
        </w:rPr>
        <w:t>开户银行：</w:t>
      </w:r>
      <w:r>
        <w:rPr>
          <w:rFonts w:ascii="宋体" w:hAnsi="宋体" w:cs="宋体"/>
          <w:kern w:val="0"/>
        </w:rPr>
        <w:t xml:space="preserve">                          </w:t>
      </w:r>
      <w:r>
        <w:rPr>
          <w:rFonts w:hint="eastAsia" w:ascii="宋体" w:hAnsi="宋体" w:cs="宋体"/>
          <w:kern w:val="0"/>
        </w:rPr>
        <w:t>开户银行：</w:t>
      </w:r>
    </w:p>
    <w:p>
      <w:pPr>
        <w:widowControl/>
        <w:spacing w:line="460" w:lineRule="atLeast"/>
        <w:ind w:firstLine="480"/>
        <w:rPr>
          <w:rFonts w:ascii="Arial" w:hAnsi="Arial"/>
          <w:kern w:val="0"/>
          <w:sz w:val="22"/>
        </w:rPr>
      </w:pPr>
      <w:r>
        <w:rPr>
          <w:rFonts w:hint="eastAsia" w:ascii="宋体" w:hAnsi="宋体" w:cs="宋体"/>
          <w:kern w:val="0"/>
        </w:rPr>
        <w:t>帐号：</w:t>
      </w:r>
      <w:r>
        <w:rPr>
          <w:rFonts w:ascii="宋体" w:hAnsi="宋体" w:cs="宋体"/>
          <w:kern w:val="0"/>
        </w:rPr>
        <w:t xml:space="preserve">                              </w:t>
      </w:r>
      <w:r>
        <w:rPr>
          <w:rFonts w:hint="eastAsia" w:ascii="宋体" w:hAnsi="宋体" w:cs="宋体"/>
          <w:kern w:val="0"/>
        </w:rPr>
        <w:t>帐号：</w:t>
      </w:r>
    </w:p>
    <w:p>
      <w:pPr>
        <w:widowControl/>
        <w:spacing w:line="460" w:lineRule="atLeast"/>
        <w:ind w:firstLine="480"/>
        <w:rPr>
          <w:rFonts w:ascii="Arial" w:hAnsi="Arial"/>
          <w:kern w:val="0"/>
          <w:sz w:val="22"/>
        </w:rPr>
      </w:pP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widowControl/>
        <w:spacing w:after="200" w:line="276" w:lineRule="auto"/>
        <w:jc w:val="left"/>
        <w:rPr>
          <w:rFonts w:ascii="Times New Roman" w:hAnsi="Times New Roman" w:eastAsia="Times New Roman"/>
          <w:kern w:val="0"/>
        </w:rPr>
      </w:pPr>
      <w:r>
        <w:rPr>
          <w:rFonts w:ascii="Times New Roman" w:hAnsi="Times New Roman" w:eastAsia="Times New Roman"/>
          <w:kern w:val="0"/>
        </w:rPr>
        <w:br w:type="page"/>
      </w:r>
    </w:p>
    <w:p>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kern w:val="0"/>
          <w:sz w:val="22"/>
        </w:rPr>
      </w:pPr>
      <w:r>
        <w:rPr>
          <w:rFonts w:ascii="宋体" w:hAnsi="宋体" w:cs="宋体"/>
          <w:b/>
          <w:kern w:val="0"/>
          <w:sz w:val="44"/>
        </w:rPr>
        <w:t>第</w:t>
      </w:r>
      <w:r>
        <w:rPr>
          <w:rFonts w:hint="eastAsia" w:ascii="宋体" w:hAnsi="宋体" w:cs="宋体"/>
          <w:b/>
          <w:kern w:val="0"/>
          <w:sz w:val="44"/>
        </w:rPr>
        <w:t>七</w:t>
      </w:r>
      <w:r>
        <w:rPr>
          <w:rFonts w:ascii="宋体" w:hAnsi="宋体" w:cs="宋体"/>
          <w:b/>
          <w:kern w:val="0"/>
          <w:sz w:val="44"/>
        </w:rPr>
        <w:t xml:space="preserve">部分 </w:t>
      </w:r>
      <w:r>
        <w:rPr>
          <w:rFonts w:hint="eastAsia" w:ascii="宋体" w:hAnsi="宋体" w:cs="宋体"/>
          <w:b/>
          <w:kern w:val="0"/>
          <w:sz w:val="44"/>
        </w:rPr>
        <w:t>响应文件格式</w:t>
      </w:r>
    </w:p>
    <w:p>
      <w:pPr>
        <w:widowControl/>
        <w:pBdr>
          <w:top w:val="none" w:color="000000" w:sz="0" w:space="0"/>
          <w:left w:val="none" w:color="000000" w:sz="0" w:space="0"/>
          <w:bottom w:val="none" w:color="000000" w:sz="0" w:space="0"/>
          <w:right w:val="none" w:color="000000" w:sz="0" w:space="0"/>
        </w:pBdr>
        <w:spacing w:line="380" w:lineRule="atLeast"/>
        <w:jc w:val="center"/>
        <w:rPr>
          <w:rFonts w:ascii="Arial" w:hAnsi="Arial" w:eastAsia="Arial"/>
          <w:kern w:val="0"/>
          <w:sz w:val="22"/>
        </w:rPr>
      </w:pPr>
      <w:r>
        <w:rPr>
          <w:rFonts w:ascii="宋体" w:hAnsi="宋体" w:cs="宋体"/>
          <w:b/>
          <w:kern w:val="0"/>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kern w:val="0"/>
          <w:sz w:val="22"/>
        </w:rPr>
      </w:pPr>
      <w:r>
        <w:rPr>
          <w:rFonts w:ascii="宋体" w:hAnsi="宋体" w:cs="宋体"/>
          <w:kern w:val="0"/>
        </w:rPr>
        <w:t>说明：</w:t>
      </w:r>
    </w:p>
    <w:p>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kern w:val="0"/>
          <w:sz w:val="22"/>
        </w:rPr>
      </w:pPr>
      <w:r>
        <w:rPr>
          <w:rFonts w:ascii="宋体" w:hAnsi="宋体" w:cs="宋体"/>
          <w:kern w:val="0"/>
        </w:rPr>
        <w:t>对本章所有的响应书格式，响应方可根据自身情况进行补充和修改，但补充和修改不得造成与本格式内容有实质性的违背。</w:t>
      </w:r>
    </w:p>
    <w:p>
      <w:pPr>
        <w:widowControl/>
        <w:pBdr>
          <w:top w:val="none" w:color="000000" w:sz="0" w:space="0"/>
          <w:left w:val="none" w:color="000000" w:sz="0" w:space="0"/>
          <w:bottom w:val="none" w:color="000000" w:sz="0" w:space="0"/>
          <w:right w:val="none" w:color="000000" w:sz="0" w:space="0"/>
        </w:pBdr>
        <w:spacing w:line="276" w:lineRule="auto"/>
        <w:jc w:val="left"/>
        <w:rPr>
          <w:rFonts w:ascii="Arial" w:hAnsi="Arial" w:eastAsia="Arial"/>
          <w:kern w:val="0"/>
          <w:sz w:val="22"/>
        </w:rPr>
      </w:pPr>
      <w:r>
        <w:rPr>
          <w:rFonts w:ascii="Arial" w:hAnsi="Arial" w:eastAsia="Arial"/>
          <w:kern w:val="0"/>
          <w:sz w:val="22"/>
        </w:rPr>
        <w:br w:type="page" w:clear="all"/>
      </w:r>
    </w:p>
    <w:p>
      <w:pPr>
        <w:overflowPunct w:val="0"/>
        <w:spacing w:after="200"/>
        <w:rPr>
          <w:rFonts w:ascii="宋体" w:hAnsi="宋体" w:eastAsia="Arial"/>
          <w:b/>
          <w:sz w:val="28"/>
          <w:szCs w:val="28"/>
        </w:rPr>
      </w:pPr>
      <w:r>
        <w:rPr>
          <w:rFonts w:hint="eastAsia" w:ascii="宋体" w:hAnsi="宋体" w:eastAsia="Arial"/>
          <w:b/>
          <w:sz w:val="32"/>
          <w:szCs w:val="32"/>
        </w:rPr>
        <w:t>1、</w:t>
      </w:r>
      <w:r>
        <w:rPr>
          <w:rFonts w:hint="eastAsia" w:ascii="宋体" w:hAnsi="宋体" w:eastAsia="Arial"/>
          <w:b/>
          <w:sz w:val="28"/>
          <w:szCs w:val="28"/>
        </w:rPr>
        <w:t>关于资格文件的声明函</w:t>
      </w:r>
    </w:p>
    <w:p>
      <w:pPr>
        <w:overflowPunct w:val="0"/>
        <w:spacing w:after="200" w:line="276" w:lineRule="auto"/>
        <w:ind w:left="1260" w:firstLine="420"/>
        <w:rPr>
          <w:rFonts w:ascii="宋体" w:hAnsi="宋体" w:eastAsia="Arial"/>
          <w:sz w:val="30"/>
          <w:szCs w:val="30"/>
        </w:rPr>
      </w:pPr>
    </w:p>
    <w:p>
      <w:pPr>
        <w:overflowPunct w:val="0"/>
        <w:spacing w:after="200" w:line="276" w:lineRule="auto"/>
        <w:ind w:left="1260" w:firstLine="420"/>
        <w:rPr>
          <w:rFonts w:ascii="宋体" w:hAnsi="宋体" w:eastAsia="Arial"/>
          <w:sz w:val="30"/>
          <w:szCs w:val="30"/>
        </w:rPr>
      </w:pPr>
    </w:p>
    <w:p>
      <w:pPr>
        <w:overflowPunct w:val="0"/>
        <w:spacing w:after="200" w:line="276" w:lineRule="auto"/>
        <w:ind w:left="1440" w:leftChars="600" w:firstLine="1770" w:firstLineChars="590"/>
        <w:rPr>
          <w:rFonts w:ascii="宋体" w:hAnsi="宋体" w:eastAsia="Arial"/>
          <w:sz w:val="30"/>
          <w:szCs w:val="30"/>
        </w:rPr>
      </w:pPr>
      <w:r>
        <w:rPr>
          <w:rFonts w:hint="eastAsia" w:ascii="宋体" w:hAnsi="宋体" w:eastAsia="Arial"/>
          <w:sz w:val="30"/>
          <w:szCs w:val="30"/>
        </w:rPr>
        <w:t>关于资格文件的声明函</w:t>
      </w:r>
    </w:p>
    <w:p>
      <w:pPr>
        <w:overflowPunct w:val="0"/>
        <w:spacing w:after="200" w:line="276" w:lineRule="auto"/>
        <w:ind w:left="1260" w:firstLine="420"/>
        <w:jc w:val="center"/>
        <w:rPr>
          <w:rFonts w:ascii="宋体" w:hAnsi="宋体" w:eastAsia="Arial"/>
          <w:sz w:val="22"/>
          <w:szCs w:val="24"/>
        </w:rPr>
      </w:pPr>
    </w:p>
    <w:p>
      <w:pPr>
        <w:overflowPunct w:val="0"/>
        <w:spacing w:after="200" w:line="500" w:lineRule="exact"/>
        <w:rPr>
          <w:rFonts w:hint="eastAsia" w:ascii="宋体" w:hAnsi="宋体" w:cs="宋体"/>
          <w:szCs w:val="24"/>
        </w:rPr>
      </w:pPr>
      <w:r>
        <w:rPr>
          <w:rFonts w:hint="eastAsia" w:ascii="宋体" w:hAnsi="宋体" w:cs="宋体"/>
          <w:szCs w:val="24"/>
          <w:u w:val="single"/>
        </w:rPr>
        <w:t xml:space="preserve">苏州市公共资源交易中心太仓分中心  </w:t>
      </w:r>
      <w:r>
        <w:rPr>
          <w:rFonts w:hint="eastAsia" w:ascii="宋体" w:hAnsi="宋体" w:cs="宋体"/>
          <w:szCs w:val="24"/>
        </w:rPr>
        <w:t>：</w:t>
      </w:r>
    </w:p>
    <w:p>
      <w:pPr>
        <w:overflowPunct w:val="0"/>
        <w:spacing w:after="200" w:line="500" w:lineRule="exact"/>
        <w:ind w:right="509" w:rightChars="212" w:firstLine="480" w:firstLineChars="200"/>
        <w:rPr>
          <w:rFonts w:hint="eastAsia" w:ascii="宋体" w:hAnsi="宋体" w:cs="宋体"/>
          <w:szCs w:val="24"/>
        </w:rPr>
      </w:pPr>
      <w:r>
        <w:rPr>
          <w:rFonts w:hint="eastAsia" w:ascii="宋体" w:hAnsi="宋体" w:cs="宋体"/>
          <w:szCs w:val="24"/>
        </w:rPr>
        <w:t>本公司愿就由贵单位组织实施的编号为</w:t>
      </w:r>
      <w:r>
        <w:rPr>
          <w:rFonts w:hint="eastAsia" w:ascii="宋体" w:hAnsi="宋体" w:cs="宋体"/>
          <w:b/>
          <w:szCs w:val="24"/>
          <w:u w:val="single"/>
        </w:rPr>
        <w:t>JSZC-320585-JZCG-D2026-0035</w:t>
      </w:r>
      <w:r>
        <w:rPr>
          <w:rFonts w:hint="eastAsia" w:ascii="宋体" w:hAnsi="宋体" w:cs="宋体"/>
          <w:szCs w:val="24"/>
        </w:rPr>
        <w:t>号的招标活动进行投标。本公司所提交的投标文件中所有关于投标资格的文件、证明和陈述均是真实的、准确的。若与真实情况不符，本公司愿意承担由此而产生的一切后果。</w:t>
      </w:r>
    </w:p>
    <w:p>
      <w:pPr>
        <w:overflowPunct w:val="0"/>
        <w:spacing w:after="200" w:line="500" w:lineRule="exact"/>
        <w:ind w:left="1259" w:firstLine="426"/>
        <w:rPr>
          <w:rFonts w:hint="eastAsia" w:ascii="宋体" w:hAnsi="宋体" w:cs="宋体"/>
          <w:szCs w:val="24"/>
        </w:rPr>
      </w:pPr>
    </w:p>
    <w:p>
      <w:pPr>
        <w:overflowPunct w:val="0"/>
        <w:spacing w:after="200" w:line="500" w:lineRule="exact"/>
        <w:ind w:left="1259" w:firstLine="426"/>
        <w:rPr>
          <w:rFonts w:hint="eastAsia" w:ascii="宋体" w:hAnsi="宋体" w:cs="宋体"/>
          <w:szCs w:val="24"/>
        </w:rPr>
      </w:pPr>
    </w:p>
    <w:p>
      <w:pPr>
        <w:overflowPunct w:val="0"/>
        <w:spacing w:after="200" w:line="500" w:lineRule="exact"/>
        <w:rPr>
          <w:rFonts w:hint="eastAsia" w:ascii="宋体" w:hAnsi="宋体" w:cs="宋体"/>
          <w:szCs w:val="24"/>
        </w:rPr>
      </w:pPr>
      <w:r>
        <w:rPr>
          <w:rFonts w:hint="eastAsia" w:ascii="宋体" w:hAnsi="宋体" w:cs="宋体"/>
          <w:szCs w:val="24"/>
        </w:rPr>
        <w:t>响应单位（单位盖章）：</w:t>
      </w:r>
    </w:p>
    <w:p>
      <w:pPr>
        <w:overflowPunct w:val="0"/>
        <w:spacing w:after="200" w:line="500" w:lineRule="exact"/>
        <w:rPr>
          <w:rFonts w:hint="eastAsia" w:ascii="宋体" w:hAnsi="宋体" w:cs="宋体"/>
          <w:szCs w:val="24"/>
        </w:rPr>
      </w:pPr>
      <w:r>
        <w:rPr>
          <w:rFonts w:hint="eastAsia" w:ascii="宋体" w:hAnsi="宋体" w:cs="宋体"/>
          <w:szCs w:val="24"/>
        </w:rPr>
        <w:t>法定代表人或授权代理人（签字或盖章）：</w:t>
      </w:r>
    </w:p>
    <w:p>
      <w:pPr>
        <w:overflowPunct w:val="0"/>
        <w:spacing w:after="200" w:line="500" w:lineRule="exact"/>
        <w:rPr>
          <w:rFonts w:hint="eastAsia" w:ascii="宋体" w:hAnsi="宋体" w:cs="宋体"/>
          <w:szCs w:val="24"/>
        </w:rPr>
      </w:pPr>
      <w:r>
        <w:rPr>
          <w:rFonts w:hint="eastAsia" w:ascii="宋体" w:hAnsi="宋体" w:cs="宋体"/>
          <w:szCs w:val="24"/>
        </w:rPr>
        <w:t>响应日期：    年  月</w:t>
      </w:r>
      <w:r>
        <w:rPr>
          <w:rFonts w:hint="eastAsia" w:ascii="宋体" w:hAnsi="宋体" w:cs="宋体"/>
          <w:szCs w:val="24"/>
        </w:rPr>
        <w:tab/>
      </w:r>
      <w:r>
        <w:rPr>
          <w:rFonts w:hint="eastAsia" w:ascii="宋体" w:hAnsi="宋体" w:cs="宋体"/>
          <w:szCs w:val="24"/>
        </w:rPr>
        <w:t xml:space="preserve"> 日</w:t>
      </w: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spacing w:after="200" w:line="276" w:lineRule="auto"/>
        <w:jc w:val="left"/>
        <w:rPr>
          <w:rFonts w:ascii="宋体" w:hAnsi="宋体" w:eastAsia="Arial"/>
          <w:kern w:val="0"/>
          <w:sz w:val="22"/>
          <w:szCs w:val="24"/>
        </w:rPr>
      </w:pPr>
    </w:p>
    <w:p>
      <w:pPr>
        <w:widowControl/>
        <w:adjustRightInd w:val="0"/>
        <w:spacing w:after="200" w:line="276" w:lineRule="auto"/>
        <w:jc w:val="left"/>
        <w:textAlignment w:val="baseline"/>
        <w:rPr>
          <w:rFonts w:ascii="宋体" w:hAnsi="宋体" w:eastAsia="Arial"/>
          <w:b/>
          <w:kern w:val="0"/>
          <w:sz w:val="28"/>
          <w:szCs w:val="32"/>
        </w:rPr>
      </w:pPr>
      <w:r>
        <w:rPr>
          <w:rFonts w:hint="eastAsia" w:ascii="宋体" w:hAnsi="宋体" w:eastAsia="Arial"/>
          <w:b/>
          <w:kern w:val="0"/>
          <w:sz w:val="28"/>
          <w:szCs w:val="32"/>
        </w:rPr>
        <w:t>2、响应承诺函</w:t>
      </w:r>
    </w:p>
    <w:p>
      <w:pPr>
        <w:widowControl/>
        <w:tabs>
          <w:tab w:val="left" w:pos="3633"/>
          <w:tab w:val="center" w:pos="4723"/>
        </w:tabs>
        <w:adjustRightInd w:val="0"/>
        <w:spacing w:after="200" w:line="360" w:lineRule="exact"/>
        <w:jc w:val="left"/>
        <w:textAlignment w:val="baseline"/>
        <w:rPr>
          <w:rFonts w:ascii="宋体" w:hAnsi="宋体" w:eastAsia="Arial"/>
          <w:b/>
          <w:kern w:val="0"/>
          <w:sz w:val="32"/>
        </w:rPr>
      </w:pPr>
      <w:r>
        <w:rPr>
          <w:rFonts w:ascii="宋体" w:hAnsi="宋体" w:eastAsia="Arial"/>
          <w:b/>
          <w:kern w:val="0"/>
          <w:sz w:val="32"/>
        </w:rPr>
        <w:tab/>
      </w:r>
      <w:r>
        <w:rPr>
          <w:rFonts w:ascii="宋体" w:hAnsi="宋体" w:eastAsia="Arial"/>
          <w:b/>
          <w:kern w:val="0"/>
          <w:sz w:val="32"/>
        </w:rPr>
        <w:tab/>
      </w:r>
      <w:r>
        <w:rPr>
          <w:rFonts w:hint="eastAsia" w:ascii="宋体" w:hAnsi="宋体" w:eastAsia="Arial"/>
          <w:b/>
          <w:kern w:val="0"/>
          <w:sz w:val="32"/>
        </w:rPr>
        <w:t>响应承诺函</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u w:val="single"/>
        </w:rPr>
        <w:t xml:space="preserve">苏州市公共资源交易中心太仓分中心 </w:t>
      </w:r>
      <w:r>
        <w:rPr>
          <w:rFonts w:hint="eastAsia" w:ascii="宋体" w:hAnsi="宋体" w:cs="宋体"/>
          <w:kern w:val="0"/>
          <w:szCs w:val="24"/>
        </w:rPr>
        <w:t>：</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我们收到贵单位</w:t>
      </w:r>
      <w:r>
        <w:rPr>
          <w:rFonts w:hint="eastAsia" w:ascii="宋体" w:hAnsi="宋体" w:cs="宋体"/>
          <w:b/>
          <w:kern w:val="0"/>
          <w:szCs w:val="24"/>
          <w:u w:val="single"/>
        </w:rPr>
        <w:t>太仓市“一网通办”平台（六期）</w:t>
      </w:r>
      <w:r>
        <w:rPr>
          <w:rFonts w:hint="eastAsia" w:ascii="宋体" w:hAnsi="宋体" w:cs="宋体"/>
          <w:kern w:val="0"/>
          <w:szCs w:val="24"/>
        </w:rPr>
        <w:t>采购文件（项目编号：</w:t>
      </w:r>
      <w:r>
        <w:rPr>
          <w:rFonts w:hint="eastAsia" w:ascii="宋体" w:hAnsi="宋体" w:cs="宋体"/>
          <w:b/>
          <w:kern w:val="0"/>
          <w:szCs w:val="24"/>
          <w:u w:val="single"/>
        </w:rPr>
        <w:t>JSZC-320585-JZCG-D2026-0035</w:t>
      </w:r>
      <w:r>
        <w:rPr>
          <w:rFonts w:hint="eastAsia" w:ascii="宋体" w:hAnsi="宋体" w:cs="宋体"/>
          <w:kern w:val="0"/>
          <w:szCs w:val="24"/>
        </w:rPr>
        <w:t xml:space="preserve"> ），经仔细阅读和研究，我们决定参加响应。</w:t>
      </w:r>
    </w:p>
    <w:p>
      <w:pPr>
        <w:widowControl/>
        <w:spacing w:after="200" w:line="500" w:lineRule="exact"/>
        <w:ind w:firstLine="240"/>
        <w:jc w:val="left"/>
        <w:rPr>
          <w:rFonts w:hint="eastAsia" w:ascii="宋体" w:hAnsi="宋体" w:cs="宋体"/>
          <w:kern w:val="0"/>
          <w:szCs w:val="24"/>
        </w:rPr>
      </w:pPr>
      <w:r>
        <w:rPr>
          <w:rFonts w:hint="eastAsia" w:ascii="宋体" w:hAnsi="宋体" w:cs="宋体"/>
          <w:kern w:val="0"/>
          <w:szCs w:val="24"/>
        </w:rPr>
        <w:t xml:space="preserve">  1、我们愿意按照采购文件的一切要求，提供包括完成该项目全部内容的设备、材料及人工、机械、保险、劳保、各种税费以及质保期间的一切费用。</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2、如果我们的响应书被接受，我们将严格履行采购文件中规定的每一项要求，按期、按质、按量履行合同的义务。</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3、我们同意按采购文件中的规定，本响应书的有效期限为开标后</w:t>
      </w:r>
      <w:r>
        <w:rPr>
          <w:rFonts w:hint="eastAsia" w:ascii="宋体" w:hAnsi="宋体" w:cs="宋体"/>
          <w:b/>
          <w:kern w:val="0"/>
          <w:szCs w:val="24"/>
          <w:u w:val="single"/>
        </w:rPr>
        <w:t>90</w:t>
      </w:r>
      <w:r>
        <w:rPr>
          <w:rFonts w:hint="eastAsia" w:ascii="宋体" w:hAnsi="宋体" w:cs="宋体"/>
          <w:kern w:val="0"/>
          <w:szCs w:val="24"/>
        </w:rPr>
        <w:t>天。</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4、我们愿意提供采购方在采购文件中要求的所有资料。</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5、我们认为你们有权决定成交者，还认为你们有权接受或拒绝所有的响应者。</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6、我们完全理解贵方不一定要接受最低报价的响应或收到的任何响应。</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    7、我们承诺该项响应在开标后的全过程中保持有效，不作任何更改和变动。</w:t>
      </w:r>
    </w:p>
    <w:p>
      <w:pPr>
        <w:widowControl/>
        <w:adjustRightInd w:val="0"/>
        <w:spacing w:after="200" w:line="500" w:lineRule="exact"/>
        <w:ind w:firstLine="480"/>
        <w:jc w:val="left"/>
        <w:textAlignment w:val="baseline"/>
        <w:rPr>
          <w:rFonts w:hint="eastAsia" w:ascii="宋体" w:hAnsi="宋体" w:cs="宋体"/>
          <w:b/>
          <w:bCs/>
          <w:kern w:val="0"/>
          <w:szCs w:val="24"/>
        </w:rPr>
      </w:pPr>
      <w:r>
        <w:rPr>
          <w:rFonts w:hint="eastAsia" w:ascii="宋体" w:hAnsi="宋体" w:cs="宋体"/>
          <w:kern w:val="0"/>
          <w:szCs w:val="24"/>
        </w:rPr>
        <w:t>8、</w:t>
      </w:r>
      <w:r>
        <w:rPr>
          <w:rFonts w:hint="eastAsia" w:ascii="宋体" w:hAnsi="宋体" w:cs="宋体"/>
          <w:b/>
          <w:bCs/>
          <w:kern w:val="0"/>
          <w:szCs w:val="24"/>
        </w:rPr>
        <w:t>如果成交，我们同意并知晓成交通知书发出方式及发出时间，遵守采购文件和成交通知书规定，在指定时间和地点和采购人签订合同。</w:t>
      </w:r>
    </w:p>
    <w:p>
      <w:pPr>
        <w:widowControl/>
        <w:adjustRightInd w:val="0"/>
        <w:spacing w:after="200" w:line="500" w:lineRule="exact"/>
        <w:ind w:firstLine="480"/>
        <w:jc w:val="left"/>
        <w:textAlignment w:val="baseline"/>
        <w:rPr>
          <w:rFonts w:hint="eastAsia" w:ascii="宋体" w:hAnsi="宋体" w:cs="宋体"/>
          <w:kern w:val="0"/>
          <w:szCs w:val="24"/>
        </w:rPr>
      </w:pPr>
      <w:r>
        <w:rPr>
          <w:rFonts w:hint="eastAsia" w:ascii="宋体" w:hAnsi="宋体" w:cs="宋体"/>
          <w:kern w:val="0"/>
          <w:szCs w:val="24"/>
        </w:rPr>
        <w:t>9、综合说明：</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（1）伴随服务及配合措施；</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（2）要求甲方提供的配合；</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（3）对采购文件有不同意见的偏离说明；</w:t>
      </w:r>
    </w:p>
    <w:p>
      <w:pPr>
        <w:widowControl/>
        <w:adjustRightInd w:val="0"/>
        <w:spacing w:after="200" w:line="500" w:lineRule="exact"/>
        <w:ind w:firstLine="420"/>
        <w:jc w:val="left"/>
        <w:textAlignment w:val="baseline"/>
        <w:rPr>
          <w:rFonts w:hint="eastAsia" w:ascii="宋体" w:hAnsi="宋体" w:cs="宋体"/>
          <w:kern w:val="0"/>
          <w:szCs w:val="24"/>
        </w:rPr>
      </w:pPr>
      <w:r>
        <w:rPr>
          <w:rFonts w:hint="eastAsia" w:ascii="宋体" w:hAnsi="宋体" w:cs="宋体"/>
          <w:kern w:val="0"/>
          <w:szCs w:val="24"/>
        </w:rPr>
        <w:t>（4）其它说明。</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所有有关标书的函电，请按下列地址联系：</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单位：                         联系人：</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地址：                         邮政编码：</w:t>
      </w:r>
    </w:p>
    <w:p>
      <w:pPr>
        <w:widowControl/>
        <w:adjustRightInd w:val="0"/>
        <w:spacing w:after="200" w:line="500" w:lineRule="exact"/>
        <w:ind w:firstLine="480" w:firstLineChars="200"/>
        <w:jc w:val="left"/>
        <w:textAlignment w:val="baseline"/>
        <w:rPr>
          <w:rFonts w:hint="eastAsia" w:ascii="宋体" w:hAnsi="宋体" w:cs="宋体"/>
          <w:kern w:val="0"/>
          <w:szCs w:val="24"/>
        </w:rPr>
      </w:pPr>
      <w:r>
        <w:rPr>
          <w:rFonts w:hint="eastAsia" w:ascii="宋体" w:hAnsi="宋体" w:cs="宋体"/>
          <w:kern w:val="0"/>
          <w:szCs w:val="24"/>
        </w:rPr>
        <w:t>联系电话：                     传真：</w:t>
      </w:r>
    </w:p>
    <w:p>
      <w:pPr>
        <w:widowControl/>
        <w:adjustRightInd w:val="0"/>
        <w:spacing w:after="200" w:line="500" w:lineRule="exact"/>
        <w:jc w:val="left"/>
        <w:textAlignment w:val="baseline"/>
        <w:rPr>
          <w:rFonts w:hint="eastAsia" w:ascii="宋体" w:hAnsi="宋体" w:cs="宋体"/>
          <w:kern w:val="0"/>
          <w:szCs w:val="24"/>
        </w:rPr>
      </w:pPr>
    </w:p>
    <w:p>
      <w:pPr>
        <w:widowControl/>
        <w:adjustRightInd w:val="0"/>
        <w:spacing w:after="200" w:line="500" w:lineRule="exact"/>
        <w:ind w:firstLine="240" w:firstLineChars="100"/>
        <w:jc w:val="left"/>
        <w:textAlignment w:val="baseline"/>
        <w:rPr>
          <w:rFonts w:hint="eastAsia" w:ascii="宋体" w:hAnsi="宋体" w:cs="宋体"/>
          <w:kern w:val="0"/>
          <w:szCs w:val="24"/>
        </w:rPr>
      </w:pPr>
      <w:r>
        <w:rPr>
          <w:rFonts w:hint="eastAsia" w:ascii="宋体" w:hAnsi="宋体" w:cs="宋体"/>
          <w:kern w:val="0"/>
          <w:szCs w:val="24"/>
        </w:rPr>
        <w:t>响应单位：（单位盖章）</w:t>
      </w:r>
    </w:p>
    <w:p>
      <w:pPr>
        <w:widowControl/>
        <w:spacing w:after="200" w:line="500" w:lineRule="exact"/>
        <w:ind w:firstLine="240" w:firstLineChars="100"/>
        <w:jc w:val="left"/>
        <w:rPr>
          <w:rFonts w:hint="eastAsia" w:ascii="宋体" w:hAnsi="宋体" w:cs="宋体"/>
          <w:kern w:val="0"/>
          <w:szCs w:val="24"/>
        </w:rPr>
      </w:pPr>
      <w:r>
        <w:rPr>
          <w:rFonts w:hint="eastAsia" w:ascii="宋体" w:hAnsi="宋体" w:cs="宋体"/>
          <w:kern w:val="0"/>
          <w:szCs w:val="24"/>
        </w:rPr>
        <w:t>法定代表人或授权代理人（签字或盖章）</w:t>
      </w:r>
    </w:p>
    <w:p>
      <w:pPr>
        <w:widowControl/>
        <w:spacing w:after="200" w:line="500" w:lineRule="exact"/>
        <w:ind w:firstLine="240" w:firstLineChars="100"/>
        <w:jc w:val="left"/>
        <w:rPr>
          <w:rFonts w:hint="eastAsia" w:ascii="宋体" w:hAnsi="宋体" w:cs="宋体"/>
          <w:kern w:val="0"/>
          <w:szCs w:val="24"/>
        </w:rPr>
      </w:pPr>
      <w:r>
        <w:rPr>
          <w:rFonts w:hint="eastAsia" w:ascii="宋体" w:hAnsi="宋体" w:cs="宋体"/>
          <w:kern w:val="0"/>
          <w:szCs w:val="24"/>
        </w:rPr>
        <w:t>响应日期： 年 月 日</w:t>
      </w:r>
    </w:p>
    <w:p>
      <w:pPr>
        <w:spacing w:after="200" w:line="580" w:lineRule="exact"/>
        <w:rPr>
          <w:rFonts w:ascii="Arial" w:hAnsi="宋体" w:eastAsia="Arial"/>
          <w:b/>
          <w:sz w:val="32"/>
          <w:szCs w:val="32"/>
        </w:rPr>
      </w:pPr>
      <w:r>
        <w:rPr>
          <w:rFonts w:ascii="Arial" w:hAnsi="宋体" w:eastAsia="Arial"/>
          <w:szCs w:val="20"/>
        </w:rPr>
        <w:br w:type="page"/>
      </w:r>
      <w:r>
        <w:rPr>
          <w:rFonts w:hint="eastAsia" w:ascii="Arial" w:hAnsi="宋体" w:eastAsia="Arial"/>
          <w:b/>
          <w:sz w:val="32"/>
          <w:szCs w:val="32"/>
        </w:rPr>
        <w:t>3、参加政府采购活动前三年内，在经营活动中没有重大违法记录声明</w:t>
      </w:r>
    </w:p>
    <w:p>
      <w:pPr>
        <w:widowControl/>
        <w:spacing w:after="200" w:line="580" w:lineRule="exact"/>
        <w:ind w:left="-240" w:leftChars="-100" w:right="-240" w:rightChars="-100"/>
        <w:jc w:val="left"/>
        <w:rPr>
          <w:rFonts w:ascii="宋体" w:hAnsi="宋体" w:eastAsia="Arial" w:cs="宋体"/>
          <w:b/>
          <w:kern w:val="0"/>
          <w:sz w:val="22"/>
        </w:rPr>
      </w:pPr>
    </w:p>
    <w:p>
      <w:pPr>
        <w:widowControl/>
        <w:spacing w:after="200" w:line="580" w:lineRule="exact"/>
        <w:jc w:val="center"/>
        <w:rPr>
          <w:rFonts w:hint="eastAsia" w:ascii="宋体" w:hAnsi="宋体" w:cs="宋体"/>
          <w:kern w:val="0"/>
          <w:szCs w:val="24"/>
        </w:rPr>
      </w:pPr>
      <w:r>
        <w:rPr>
          <w:rFonts w:hint="eastAsia" w:ascii="宋体" w:hAnsi="宋体" w:cs="宋体"/>
          <w:b/>
          <w:kern w:val="0"/>
          <w:szCs w:val="24"/>
        </w:rPr>
        <w:t>参加政府采购活动前三年内，在经营活动中没有重大违法记录声明</w:t>
      </w:r>
    </w:p>
    <w:p>
      <w:pPr>
        <w:widowControl/>
        <w:spacing w:after="200"/>
        <w:jc w:val="left"/>
        <w:rPr>
          <w:rFonts w:hint="eastAsia" w:ascii="宋体" w:hAnsi="宋体" w:cs="宋体"/>
          <w:kern w:val="0"/>
          <w:szCs w:val="24"/>
        </w:rPr>
      </w:pPr>
    </w:p>
    <w:p>
      <w:pPr>
        <w:widowControl/>
        <w:spacing w:after="200"/>
        <w:jc w:val="left"/>
        <w:rPr>
          <w:rFonts w:hint="eastAsia" w:ascii="宋体" w:hAnsi="宋体" w:cs="宋体"/>
          <w:kern w:val="0"/>
          <w:szCs w:val="24"/>
        </w:rPr>
      </w:pPr>
      <w:r>
        <w:rPr>
          <w:rFonts w:hint="eastAsia" w:ascii="宋体" w:hAnsi="宋体" w:cs="宋体"/>
          <w:kern w:val="0"/>
          <w:szCs w:val="24"/>
        </w:rPr>
        <w:t>致：苏州市公共资源交易中心太仓分中心：</w:t>
      </w:r>
    </w:p>
    <w:p>
      <w:pPr>
        <w:widowControl/>
        <w:spacing w:after="200"/>
        <w:ind w:firstLine="420"/>
        <w:jc w:val="left"/>
        <w:rPr>
          <w:rFonts w:hint="eastAsia" w:ascii="宋体" w:hAnsi="宋体" w:cs="宋体"/>
          <w:kern w:val="0"/>
          <w:szCs w:val="24"/>
        </w:rPr>
      </w:pPr>
      <w:r>
        <w:rPr>
          <w:rFonts w:hint="eastAsia" w:ascii="宋体" w:hAnsi="宋体" w:cs="宋体"/>
          <w:kern w:val="0"/>
          <w:szCs w:val="24"/>
        </w:rPr>
        <w:t>我单位</w:t>
      </w:r>
      <w:r>
        <w:rPr>
          <w:rFonts w:hint="eastAsia" w:ascii="宋体" w:hAnsi="宋体" w:cs="宋体"/>
          <w:kern w:val="0"/>
          <w:szCs w:val="24"/>
          <w:u w:val="single"/>
        </w:rPr>
        <w:t xml:space="preserve">         （供应商名称）        </w:t>
      </w:r>
      <w:r>
        <w:rPr>
          <w:rFonts w:hint="eastAsia" w:ascii="宋体" w:hAnsi="宋体" w:cs="宋体"/>
          <w:kern w:val="0"/>
          <w:szCs w:val="24"/>
        </w:rPr>
        <w:t xml:space="preserve"> 在参加政府采购活动前三年内，没有重大违法记录，特此声明。</w:t>
      </w:r>
    </w:p>
    <w:p>
      <w:pPr>
        <w:widowControl/>
        <w:spacing w:after="200"/>
        <w:ind w:firstLine="420"/>
        <w:jc w:val="left"/>
        <w:rPr>
          <w:rFonts w:hint="eastAsia" w:ascii="宋体" w:hAnsi="宋体" w:cs="宋体"/>
          <w:kern w:val="0"/>
          <w:szCs w:val="24"/>
        </w:rPr>
      </w:pPr>
      <w:r>
        <w:rPr>
          <w:rFonts w:hint="eastAsia" w:ascii="宋体" w:hAnsi="宋体" w:cs="宋体"/>
          <w:kern w:val="0"/>
          <w:szCs w:val="24"/>
        </w:rPr>
        <w:t>若采购代理机构在本项目采购过程中发现我单位近三年内在经营活动中有重大违法记录，我单位将无条件退出本项目的招标，并承担因此引起的一起后果。</w:t>
      </w:r>
    </w:p>
    <w:p>
      <w:pPr>
        <w:widowControl/>
        <w:spacing w:after="200"/>
        <w:ind w:firstLine="420"/>
        <w:jc w:val="left"/>
        <w:rPr>
          <w:rFonts w:hint="eastAsia" w:ascii="宋体" w:hAnsi="宋体" w:cs="宋体"/>
          <w:kern w:val="0"/>
          <w:szCs w:val="24"/>
        </w:rPr>
      </w:pPr>
    </w:p>
    <w:p>
      <w:pPr>
        <w:widowControl/>
        <w:spacing w:after="200"/>
        <w:jc w:val="left"/>
        <w:rPr>
          <w:rFonts w:hint="eastAsia" w:ascii="宋体" w:hAnsi="宋体" w:cs="宋体"/>
          <w:kern w:val="0"/>
          <w:szCs w:val="24"/>
        </w:rPr>
      </w:pPr>
      <w:r>
        <w:rPr>
          <w:rFonts w:hint="eastAsia" w:ascii="宋体" w:hAnsi="宋体" w:cs="宋体"/>
          <w:kern w:val="0"/>
          <w:szCs w:val="24"/>
        </w:rPr>
        <w:t>响应单位（单位公章）：</w:t>
      </w:r>
    </w:p>
    <w:p>
      <w:pPr>
        <w:widowControl/>
        <w:spacing w:after="200"/>
        <w:jc w:val="left"/>
        <w:rPr>
          <w:rFonts w:hint="eastAsia" w:ascii="宋体" w:hAnsi="宋体" w:cs="宋体"/>
          <w:kern w:val="0"/>
          <w:szCs w:val="24"/>
        </w:rPr>
      </w:pPr>
      <w:r>
        <w:rPr>
          <w:rFonts w:hint="eastAsia" w:ascii="宋体" w:hAnsi="宋体" w:cs="宋体"/>
          <w:kern w:val="0"/>
          <w:szCs w:val="24"/>
        </w:rPr>
        <w:t>法定代表人或授权代理人（签字或盖章）：</w:t>
      </w:r>
    </w:p>
    <w:p>
      <w:pPr>
        <w:widowControl/>
        <w:spacing w:after="200"/>
        <w:jc w:val="left"/>
        <w:rPr>
          <w:rFonts w:hint="eastAsia" w:ascii="宋体" w:hAnsi="宋体" w:cs="宋体"/>
          <w:kern w:val="0"/>
          <w:szCs w:val="24"/>
        </w:rPr>
      </w:pPr>
      <w:r>
        <w:rPr>
          <w:rFonts w:hint="eastAsia" w:ascii="宋体" w:hAnsi="宋体" w:cs="宋体"/>
          <w:kern w:val="0"/>
          <w:szCs w:val="24"/>
        </w:rPr>
        <w:t>响应日期：  年   月   日</w:t>
      </w:r>
    </w:p>
    <w:p>
      <w:pPr>
        <w:overflowPunct w:val="0"/>
        <w:spacing w:after="200" w:line="400" w:lineRule="exact"/>
        <w:rPr>
          <w:rFonts w:ascii="宋体" w:hAnsi="宋体" w:eastAsia="Arial"/>
          <w:sz w:val="28"/>
          <w:szCs w:val="32"/>
        </w:rPr>
      </w:pPr>
      <w:r>
        <w:rPr>
          <w:rFonts w:ascii="宋体" w:hAnsi="宋体" w:eastAsia="Arial"/>
          <w:sz w:val="22"/>
          <w:szCs w:val="24"/>
        </w:rPr>
        <w:br w:type="page"/>
      </w:r>
      <w:r>
        <w:rPr>
          <w:rFonts w:hint="eastAsia" w:ascii="宋体" w:hAnsi="宋体" w:eastAsia="Arial"/>
          <w:b/>
          <w:sz w:val="28"/>
          <w:szCs w:val="32"/>
        </w:rPr>
        <w:t>4、响应单位情况表</w:t>
      </w:r>
    </w:p>
    <w:p>
      <w:pPr>
        <w:overflowPunct w:val="0"/>
        <w:spacing w:line="480" w:lineRule="exact"/>
        <w:ind w:left="1440" w:leftChars="600" w:firstLine="2175" w:firstLineChars="725"/>
        <w:rPr>
          <w:rFonts w:ascii="宋体" w:hAnsi="宋体" w:eastAsia="Arial"/>
          <w:sz w:val="30"/>
          <w:szCs w:val="30"/>
        </w:rPr>
      </w:pPr>
      <w:r>
        <w:rPr>
          <w:rFonts w:hint="eastAsia" w:ascii="宋体" w:hAnsi="宋体" w:eastAsia="Arial"/>
          <w:sz w:val="30"/>
          <w:szCs w:val="30"/>
        </w:rPr>
        <w:t>响应单位情况表</w:t>
      </w:r>
    </w:p>
    <w:p>
      <w:pPr>
        <w:overflowPunct w:val="0"/>
        <w:spacing w:line="480" w:lineRule="exact"/>
        <w:ind w:firstLine="480" w:firstLineChars="200"/>
        <w:rPr>
          <w:rFonts w:hint="eastAsia" w:ascii="宋体" w:hAnsi="宋体" w:cs="宋体"/>
          <w:szCs w:val="24"/>
        </w:rPr>
      </w:pPr>
      <w:r>
        <w:rPr>
          <w:rFonts w:hint="eastAsia" w:ascii="宋体" w:hAnsi="宋体" w:cs="宋体"/>
          <w:szCs w:val="24"/>
        </w:rPr>
        <w:t>单位名称（盖章）：</w:t>
      </w:r>
    </w:p>
    <w:tbl>
      <w:tblPr>
        <w:tblStyle w:val="17"/>
        <w:tblW w:w="908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744"/>
        <w:gridCol w:w="1632"/>
        <w:gridCol w:w="1500"/>
        <w:gridCol w:w="2004"/>
        <w:gridCol w:w="120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法定代表人</w:t>
            </w:r>
          </w:p>
        </w:tc>
        <w:tc>
          <w:tcPr>
            <w:tcW w:w="1632" w:type="dxa"/>
          </w:tcPr>
          <w:p>
            <w:pPr>
              <w:overflowPunct w:val="0"/>
              <w:spacing w:after="200" w:line="240" w:lineRule="auto"/>
              <w:ind w:left="1260"/>
              <w:rPr>
                <w:rFonts w:hint="eastAsia" w:ascii="宋体" w:hAnsi="宋体" w:cs="宋体"/>
                <w:szCs w:val="24"/>
                <w:lang w:eastAsia="en-US"/>
              </w:rPr>
            </w:pPr>
          </w:p>
        </w:tc>
        <w:tc>
          <w:tcPr>
            <w:tcW w:w="1500"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成立日期</w:t>
            </w:r>
          </w:p>
        </w:tc>
        <w:tc>
          <w:tcPr>
            <w:tcW w:w="3211" w:type="dxa"/>
            <w:gridSpan w:val="2"/>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企业地址</w:t>
            </w:r>
          </w:p>
        </w:tc>
        <w:tc>
          <w:tcPr>
            <w:tcW w:w="1632" w:type="dxa"/>
          </w:tcPr>
          <w:p>
            <w:pPr>
              <w:overflowPunct w:val="0"/>
              <w:spacing w:after="200" w:line="240" w:lineRule="auto"/>
              <w:ind w:left="1260"/>
              <w:rPr>
                <w:rFonts w:hint="eastAsia" w:ascii="宋体" w:hAnsi="宋体" w:cs="宋体"/>
                <w:szCs w:val="24"/>
                <w:lang w:eastAsia="en-US"/>
              </w:rPr>
            </w:pPr>
          </w:p>
        </w:tc>
        <w:tc>
          <w:tcPr>
            <w:tcW w:w="1500"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注册资本</w:t>
            </w:r>
          </w:p>
        </w:tc>
        <w:tc>
          <w:tcPr>
            <w:tcW w:w="3211" w:type="dxa"/>
            <w:gridSpan w:val="2"/>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 xml:space="preserve">                  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经营范围</w:t>
            </w:r>
          </w:p>
        </w:tc>
        <w:tc>
          <w:tcPr>
            <w:tcW w:w="6343" w:type="dxa"/>
            <w:gridSpan w:val="4"/>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职工人数</w:t>
            </w:r>
          </w:p>
        </w:tc>
        <w:tc>
          <w:tcPr>
            <w:tcW w:w="1632" w:type="dxa"/>
          </w:tcPr>
          <w:p>
            <w:pPr>
              <w:overflowPunct w:val="0"/>
              <w:spacing w:after="200" w:line="240" w:lineRule="auto"/>
              <w:rPr>
                <w:rFonts w:hint="eastAsia" w:ascii="宋体" w:hAnsi="宋体" w:cs="宋体"/>
                <w:szCs w:val="24"/>
                <w:lang w:eastAsia="en-US"/>
              </w:rPr>
            </w:pPr>
          </w:p>
        </w:tc>
        <w:tc>
          <w:tcPr>
            <w:tcW w:w="3504" w:type="dxa"/>
            <w:gridSpan w:val="2"/>
          </w:tcPr>
          <w:p>
            <w:pPr>
              <w:overflowPunct w:val="0"/>
              <w:spacing w:after="200" w:line="240" w:lineRule="auto"/>
              <w:rPr>
                <w:rFonts w:hint="eastAsia" w:ascii="宋体" w:hAnsi="宋体" w:cs="宋体"/>
                <w:szCs w:val="24"/>
              </w:rPr>
            </w:pPr>
            <w:r>
              <w:rPr>
                <w:rFonts w:hint="eastAsia" w:ascii="宋体" w:hAnsi="宋体" w:cs="宋体"/>
                <w:szCs w:val="24"/>
              </w:rPr>
              <w:t>其中：有中高级以上职称的人数</w:t>
            </w:r>
          </w:p>
        </w:tc>
        <w:tc>
          <w:tcPr>
            <w:tcW w:w="1207" w:type="dxa"/>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资产总计</w:t>
            </w:r>
          </w:p>
        </w:tc>
        <w:tc>
          <w:tcPr>
            <w:tcW w:w="1632" w:type="dxa"/>
            <w:vAlign w:val="center"/>
          </w:tcPr>
          <w:p>
            <w:pPr>
              <w:overflowPunct w:val="0"/>
              <w:spacing w:after="200" w:line="240" w:lineRule="auto"/>
              <w:ind w:firstLine="120" w:firstLineChars="50"/>
              <w:rPr>
                <w:rFonts w:hint="eastAsia" w:ascii="宋体" w:hAnsi="宋体" w:cs="宋体"/>
                <w:szCs w:val="24"/>
                <w:lang w:eastAsia="en-US"/>
              </w:rPr>
            </w:pPr>
            <w:r>
              <w:rPr>
                <w:rFonts w:hint="eastAsia" w:ascii="宋体" w:hAnsi="宋体" w:cs="宋体"/>
                <w:szCs w:val="24"/>
                <w:lang w:eastAsia="en-US"/>
              </w:rPr>
              <w:t xml:space="preserve">      万元</w:t>
            </w:r>
          </w:p>
        </w:tc>
        <w:tc>
          <w:tcPr>
            <w:tcW w:w="1500"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净资产</w:t>
            </w:r>
          </w:p>
        </w:tc>
        <w:tc>
          <w:tcPr>
            <w:tcW w:w="3211" w:type="dxa"/>
            <w:gridSpan w:val="2"/>
            <w:vAlign w:val="center"/>
          </w:tcPr>
          <w:p>
            <w:pPr>
              <w:overflowPunct w:val="0"/>
              <w:spacing w:after="200" w:line="240" w:lineRule="auto"/>
              <w:ind w:left="1260"/>
              <w:jc w:val="center"/>
              <w:rPr>
                <w:rFonts w:hint="eastAsia" w:ascii="宋体" w:hAnsi="宋体" w:cs="宋体"/>
                <w:szCs w:val="24"/>
                <w:lang w:eastAsia="en-US"/>
              </w:rPr>
            </w:pPr>
            <w:r>
              <w:rPr>
                <w:rFonts w:hint="eastAsia" w:ascii="宋体" w:hAnsi="宋体" w:cs="宋体"/>
                <w:szCs w:val="24"/>
                <w:lang w:eastAsia="en-US"/>
              </w:rPr>
              <w:t xml:space="preserve">     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股东权益</w:t>
            </w:r>
          </w:p>
        </w:tc>
        <w:tc>
          <w:tcPr>
            <w:tcW w:w="1632" w:type="dxa"/>
            <w:vAlign w:val="center"/>
          </w:tcPr>
          <w:p>
            <w:pPr>
              <w:overflowPunct w:val="0"/>
              <w:spacing w:after="200" w:line="240" w:lineRule="auto"/>
              <w:ind w:firstLine="480" w:firstLineChars="200"/>
              <w:rPr>
                <w:rFonts w:hint="eastAsia" w:ascii="宋体" w:hAnsi="宋体" w:cs="宋体"/>
                <w:szCs w:val="24"/>
                <w:lang w:eastAsia="en-US"/>
              </w:rPr>
            </w:pPr>
            <w:r>
              <w:rPr>
                <w:rFonts w:hint="eastAsia" w:ascii="宋体" w:hAnsi="宋体" w:cs="宋体"/>
                <w:szCs w:val="24"/>
                <w:lang w:eastAsia="en-US"/>
              </w:rPr>
              <w:t>万元</w:t>
            </w:r>
          </w:p>
        </w:tc>
        <w:tc>
          <w:tcPr>
            <w:tcW w:w="1500"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销售收入</w:t>
            </w:r>
          </w:p>
        </w:tc>
        <w:tc>
          <w:tcPr>
            <w:tcW w:w="3211" w:type="dxa"/>
            <w:gridSpan w:val="2"/>
            <w:vAlign w:val="center"/>
          </w:tcPr>
          <w:p>
            <w:pPr>
              <w:overflowPunct w:val="0"/>
              <w:spacing w:after="200" w:line="240" w:lineRule="auto"/>
              <w:rPr>
                <w:rFonts w:hint="eastAsia" w:ascii="宋体" w:hAnsi="宋体" w:cs="宋体"/>
                <w:b/>
                <w:szCs w:val="24"/>
                <w:lang w:eastAsia="en-US"/>
              </w:rPr>
            </w:pPr>
            <w:r>
              <w:rPr>
                <w:rFonts w:hint="eastAsia" w:ascii="宋体" w:hAnsi="宋体" w:cs="宋体"/>
                <w:b/>
                <w:szCs w:val="24"/>
                <w:lang w:eastAsia="en-US"/>
              </w:rPr>
              <w:t>202</w:t>
            </w:r>
            <w:r>
              <w:rPr>
                <w:rFonts w:hint="eastAsia" w:ascii="宋体" w:hAnsi="宋体" w:cs="宋体"/>
                <w:b/>
                <w:szCs w:val="24"/>
              </w:rPr>
              <w:t>5</w:t>
            </w:r>
            <w:r>
              <w:rPr>
                <w:rFonts w:hint="eastAsia" w:ascii="宋体" w:hAnsi="宋体" w:cs="宋体"/>
                <w:b/>
                <w:szCs w:val="24"/>
                <w:lang w:eastAsia="en-US"/>
              </w:rPr>
              <w:t>年</w:t>
            </w:r>
            <w:r>
              <w:rPr>
                <w:rFonts w:hint="eastAsia" w:ascii="宋体" w:hAnsi="宋体" w:cs="宋体"/>
                <w:b/>
                <w:szCs w:val="24"/>
              </w:rPr>
              <w:t xml:space="preserve">    </w:t>
            </w:r>
            <w:r>
              <w:rPr>
                <w:rFonts w:hint="eastAsia" w:ascii="宋体" w:hAnsi="宋体" w:cs="宋体"/>
                <w:b/>
                <w:szCs w:val="24"/>
                <w:lang w:eastAsia="en-US"/>
              </w:rPr>
              <w:t>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实现利润</w:t>
            </w:r>
          </w:p>
        </w:tc>
        <w:tc>
          <w:tcPr>
            <w:tcW w:w="1632" w:type="dxa"/>
          </w:tcPr>
          <w:p>
            <w:pPr>
              <w:overflowPunct w:val="0"/>
              <w:spacing w:after="200" w:line="240" w:lineRule="auto"/>
              <w:rPr>
                <w:rFonts w:hint="eastAsia" w:ascii="宋体" w:hAnsi="宋体" w:cs="宋体"/>
                <w:b/>
                <w:szCs w:val="24"/>
                <w:lang w:eastAsia="en-US"/>
              </w:rPr>
            </w:pPr>
            <w:r>
              <w:rPr>
                <w:rFonts w:hint="eastAsia" w:ascii="宋体" w:hAnsi="宋体" w:cs="宋体"/>
                <w:b/>
                <w:szCs w:val="24"/>
                <w:lang w:eastAsia="en-US"/>
              </w:rPr>
              <w:t>202</w:t>
            </w:r>
            <w:r>
              <w:rPr>
                <w:rFonts w:hint="eastAsia" w:ascii="宋体" w:hAnsi="宋体" w:cs="宋体"/>
                <w:b/>
                <w:szCs w:val="24"/>
              </w:rPr>
              <w:t>5</w:t>
            </w:r>
            <w:r>
              <w:rPr>
                <w:rFonts w:hint="eastAsia" w:ascii="宋体" w:hAnsi="宋体" w:cs="宋体"/>
                <w:b/>
                <w:szCs w:val="24"/>
                <w:lang w:eastAsia="en-US"/>
              </w:rPr>
              <w:t>年 万元</w:t>
            </w:r>
          </w:p>
        </w:tc>
        <w:tc>
          <w:tcPr>
            <w:tcW w:w="1500" w:type="dxa"/>
          </w:tcPr>
          <w:p>
            <w:pPr>
              <w:overflowPunct w:val="0"/>
              <w:spacing w:after="200" w:line="240" w:lineRule="auto"/>
              <w:ind w:left="1260"/>
              <w:rPr>
                <w:rFonts w:hint="eastAsia" w:ascii="宋体" w:hAnsi="宋体" w:cs="宋体"/>
                <w:szCs w:val="24"/>
                <w:lang w:eastAsia="en-US"/>
              </w:rPr>
            </w:pPr>
          </w:p>
        </w:tc>
        <w:tc>
          <w:tcPr>
            <w:tcW w:w="3211" w:type="dxa"/>
            <w:gridSpan w:val="2"/>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2744" w:type="dxa"/>
          </w:tcPr>
          <w:p>
            <w:pPr>
              <w:overflowPunct w:val="0"/>
              <w:spacing w:line="240" w:lineRule="auto"/>
              <w:rPr>
                <w:rFonts w:hint="eastAsia" w:ascii="宋体" w:hAnsi="宋体" w:cs="宋体"/>
                <w:szCs w:val="24"/>
              </w:rPr>
            </w:pPr>
            <w:r>
              <w:rPr>
                <w:rFonts w:hint="eastAsia" w:ascii="宋体" w:hAnsi="宋体" w:cs="宋体"/>
                <w:szCs w:val="24"/>
              </w:rPr>
              <w:t>营业面积（含厂房面积）</w:t>
            </w:r>
          </w:p>
        </w:tc>
        <w:tc>
          <w:tcPr>
            <w:tcW w:w="1632" w:type="dxa"/>
            <w:vAlign w:val="center"/>
          </w:tcPr>
          <w:p>
            <w:pPr>
              <w:overflowPunct w:val="0"/>
              <w:spacing w:line="240" w:lineRule="auto"/>
              <w:rPr>
                <w:rFonts w:hint="eastAsia" w:ascii="宋体" w:hAnsi="宋体" w:cs="宋体"/>
                <w:szCs w:val="24"/>
                <w:lang w:eastAsia="en-US"/>
              </w:rPr>
            </w:pPr>
            <w:r>
              <w:rPr>
                <w:rFonts w:hint="eastAsia" w:ascii="宋体" w:hAnsi="宋体" w:cs="宋体"/>
                <w:szCs w:val="24"/>
              </w:rPr>
              <w:t xml:space="preserve">    </w:t>
            </w:r>
            <w:r>
              <w:rPr>
                <w:rFonts w:hint="eastAsia" w:ascii="宋体" w:hAnsi="宋体" w:cs="宋体"/>
                <w:szCs w:val="24"/>
                <w:lang w:eastAsia="en-US"/>
              </w:rPr>
              <w:t>平方米</w:t>
            </w:r>
          </w:p>
        </w:tc>
        <w:tc>
          <w:tcPr>
            <w:tcW w:w="1500" w:type="dxa"/>
          </w:tcPr>
          <w:p>
            <w:pPr>
              <w:overflowPunct w:val="0"/>
              <w:spacing w:line="240" w:lineRule="auto"/>
              <w:rPr>
                <w:rFonts w:hint="eastAsia" w:ascii="宋体" w:hAnsi="宋体" w:cs="宋体"/>
                <w:szCs w:val="24"/>
                <w:lang w:eastAsia="en-US"/>
              </w:rPr>
            </w:pPr>
            <w:r>
              <w:rPr>
                <w:rFonts w:hint="eastAsia" w:ascii="宋体" w:hAnsi="宋体" w:cs="宋体"/>
                <w:szCs w:val="24"/>
                <w:lang w:eastAsia="en-US"/>
              </w:rPr>
              <w:t>其中</w:t>
            </w:r>
          </w:p>
        </w:tc>
        <w:tc>
          <w:tcPr>
            <w:tcW w:w="3211" w:type="dxa"/>
            <w:gridSpan w:val="2"/>
          </w:tcPr>
          <w:p>
            <w:pPr>
              <w:overflowPunct w:val="0"/>
              <w:spacing w:line="240" w:lineRule="auto"/>
              <w:rPr>
                <w:rFonts w:hint="eastAsia" w:ascii="宋体" w:hAnsi="宋体" w:cs="宋体"/>
                <w:szCs w:val="24"/>
              </w:rPr>
            </w:pPr>
            <w:r>
              <w:rPr>
                <w:rFonts w:hint="eastAsia" w:ascii="宋体" w:hAnsi="宋体" w:cs="宋体"/>
                <w:szCs w:val="24"/>
              </w:rPr>
              <w:t>自有面积平方米</w:t>
            </w:r>
          </w:p>
          <w:p>
            <w:pPr>
              <w:overflowPunct w:val="0"/>
              <w:spacing w:line="240" w:lineRule="auto"/>
              <w:rPr>
                <w:rFonts w:hint="eastAsia" w:ascii="宋体" w:hAnsi="宋体" w:cs="宋体"/>
                <w:szCs w:val="24"/>
              </w:rPr>
            </w:pPr>
            <w:r>
              <w:rPr>
                <w:rFonts w:hint="eastAsia" w:ascii="宋体" w:hAnsi="宋体" w:cs="宋体"/>
                <w:szCs w:val="24"/>
              </w:rPr>
              <w:t>承租面积平方米</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744" w:type="dxa"/>
            <w:vAlign w:val="center"/>
          </w:tcPr>
          <w:p>
            <w:pPr>
              <w:overflowPunct w:val="0"/>
              <w:spacing w:after="200" w:line="240" w:lineRule="auto"/>
              <w:rPr>
                <w:rFonts w:hint="eastAsia" w:ascii="宋体" w:hAnsi="宋体" w:cs="宋体"/>
                <w:szCs w:val="24"/>
              </w:rPr>
            </w:pPr>
            <w:r>
              <w:rPr>
                <w:rFonts w:hint="eastAsia" w:ascii="宋体" w:hAnsi="宋体" w:cs="宋体"/>
                <w:szCs w:val="24"/>
              </w:rPr>
              <w:t>单位简历及内设机构情况</w:t>
            </w:r>
          </w:p>
        </w:tc>
        <w:tc>
          <w:tcPr>
            <w:tcW w:w="6343" w:type="dxa"/>
            <w:gridSpan w:val="4"/>
          </w:tcPr>
          <w:p>
            <w:pPr>
              <w:overflowPunct w:val="0"/>
              <w:spacing w:after="200" w:line="240" w:lineRule="auto"/>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2744" w:type="dxa"/>
            <w:vAlign w:val="center"/>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单位优势及特长</w:t>
            </w:r>
          </w:p>
        </w:tc>
        <w:tc>
          <w:tcPr>
            <w:tcW w:w="6343" w:type="dxa"/>
            <w:gridSpan w:val="4"/>
          </w:tcPr>
          <w:p>
            <w:pPr>
              <w:overflowPunct w:val="0"/>
              <w:spacing w:after="200" w:line="240" w:lineRule="auto"/>
              <w:ind w:left="1260"/>
              <w:rPr>
                <w:rFonts w:hint="eastAsia" w:ascii="宋体" w:hAnsi="宋体" w:cs="宋体"/>
                <w:szCs w:val="24"/>
                <w:lang w:eastAsia="en-US"/>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近两年来完成或正在履行的重大合同情况</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最近2年内在经营过程中受到何种奖励或处分（包括情况和结果）</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最近3年内有无因售假、售劣或是其他原因被消费者投诉或起诉的情况及说明（包括解决方式和结果）</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最近3年内主要负责人有无因经济犯罪被司法机关追究的情况及说明</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744" w:type="dxa"/>
          </w:tcPr>
          <w:p>
            <w:pPr>
              <w:overflowPunct w:val="0"/>
              <w:spacing w:after="200" w:line="240" w:lineRule="auto"/>
              <w:rPr>
                <w:rFonts w:hint="eastAsia" w:ascii="宋体" w:hAnsi="宋体" w:cs="宋体"/>
                <w:szCs w:val="24"/>
              </w:rPr>
            </w:pPr>
            <w:r>
              <w:rPr>
                <w:rFonts w:hint="eastAsia" w:ascii="宋体" w:hAnsi="宋体" w:cs="宋体"/>
                <w:szCs w:val="24"/>
              </w:rPr>
              <w:t>获得技术认证的工程师及简介</w:t>
            </w:r>
          </w:p>
        </w:tc>
        <w:tc>
          <w:tcPr>
            <w:tcW w:w="6343" w:type="dxa"/>
            <w:gridSpan w:val="4"/>
          </w:tcPr>
          <w:p>
            <w:pPr>
              <w:overflowPunct w:val="0"/>
              <w:spacing w:after="200" w:line="240" w:lineRule="auto"/>
              <w:ind w:left="1260"/>
              <w:rPr>
                <w:rFonts w:hint="eastAsia" w:ascii="宋体" w:hAnsi="宋体" w:cs="宋体"/>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744" w:type="dxa"/>
          </w:tcPr>
          <w:p>
            <w:pPr>
              <w:overflowPunct w:val="0"/>
              <w:spacing w:after="200" w:line="240" w:lineRule="auto"/>
              <w:rPr>
                <w:rFonts w:hint="eastAsia" w:ascii="宋体" w:hAnsi="宋体" w:cs="宋体"/>
                <w:szCs w:val="24"/>
                <w:lang w:eastAsia="en-US"/>
              </w:rPr>
            </w:pPr>
            <w:r>
              <w:rPr>
                <w:rFonts w:hint="eastAsia" w:ascii="宋体" w:hAnsi="宋体" w:cs="宋体"/>
                <w:szCs w:val="24"/>
                <w:lang w:eastAsia="en-US"/>
              </w:rPr>
              <w:t>其他需要说明的情况</w:t>
            </w:r>
          </w:p>
        </w:tc>
        <w:tc>
          <w:tcPr>
            <w:tcW w:w="6343" w:type="dxa"/>
            <w:gridSpan w:val="4"/>
          </w:tcPr>
          <w:p>
            <w:pPr>
              <w:overflowPunct w:val="0"/>
              <w:spacing w:after="200" w:line="240" w:lineRule="auto"/>
              <w:ind w:left="1260"/>
              <w:rPr>
                <w:rFonts w:hint="eastAsia" w:ascii="宋体" w:hAnsi="宋体" w:cs="宋体"/>
                <w:szCs w:val="24"/>
                <w:lang w:eastAsia="en-US"/>
              </w:rPr>
            </w:pPr>
          </w:p>
        </w:tc>
      </w:tr>
    </w:tbl>
    <w:p>
      <w:pPr>
        <w:widowControl/>
        <w:spacing w:after="200" w:line="276" w:lineRule="auto"/>
        <w:jc w:val="left"/>
        <w:rPr>
          <w:rFonts w:ascii="宋体" w:hAnsi="宋体" w:eastAsia="Arial"/>
          <w:b/>
          <w:kern w:val="0"/>
          <w:sz w:val="32"/>
          <w:szCs w:val="32"/>
        </w:rPr>
      </w:pPr>
      <w:r>
        <w:rPr>
          <w:rFonts w:hint="eastAsia" w:ascii="宋体" w:hAnsi="宋体" w:eastAsia="Arial"/>
          <w:b/>
          <w:kern w:val="0"/>
          <w:sz w:val="32"/>
          <w:szCs w:val="32"/>
        </w:rPr>
        <w:br w:type="page"/>
      </w:r>
      <w:r>
        <w:rPr>
          <w:rFonts w:hint="eastAsia" w:ascii="宋体" w:hAnsi="宋体" w:eastAsia="Arial"/>
          <w:b/>
          <w:kern w:val="0"/>
          <w:sz w:val="32"/>
          <w:szCs w:val="32"/>
        </w:rPr>
        <w:t>5、法定代表人授权委托书 （如有）</w:t>
      </w:r>
    </w:p>
    <w:p>
      <w:pPr>
        <w:widowControl/>
        <w:overflowPunct w:val="0"/>
        <w:adjustRightInd w:val="0"/>
        <w:spacing w:after="200" w:line="276" w:lineRule="auto"/>
        <w:jc w:val="left"/>
        <w:textAlignment w:val="baseline"/>
        <w:rPr>
          <w:rFonts w:ascii="宋体" w:hAnsi="宋体" w:eastAsia="Arial"/>
          <w:kern w:val="0"/>
          <w:sz w:val="22"/>
        </w:rPr>
      </w:pPr>
    </w:p>
    <w:p>
      <w:pPr>
        <w:widowControl/>
        <w:overflowPunct w:val="0"/>
        <w:adjustRightInd w:val="0"/>
        <w:spacing w:after="200" w:line="276" w:lineRule="auto"/>
        <w:ind w:firstLine="420"/>
        <w:jc w:val="center"/>
        <w:textAlignment w:val="baseline"/>
        <w:rPr>
          <w:rFonts w:ascii="宋体" w:hAnsi="宋体" w:eastAsia="Arial"/>
          <w:kern w:val="0"/>
          <w:sz w:val="22"/>
        </w:rPr>
      </w:pPr>
    </w:p>
    <w:p>
      <w:pPr>
        <w:widowControl/>
        <w:overflowPunct w:val="0"/>
        <w:adjustRightInd w:val="0"/>
        <w:spacing w:after="200" w:line="276" w:lineRule="auto"/>
        <w:ind w:firstLine="420"/>
        <w:jc w:val="center"/>
        <w:textAlignment w:val="baseline"/>
        <w:rPr>
          <w:rFonts w:ascii="宋体" w:hAnsi="宋体" w:eastAsia="Arial"/>
          <w:kern w:val="0"/>
          <w:sz w:val="32"/>
          <w:szCs w:val="32"/>
        </w:rPr>
      </w:pPr>
      <w:r>
        <w:rPr>
          <w:rFonts w:hint="eastAsia" w:ascii="宋体" w:hAnsi="宋体" w:eastAsia="Arial"/>
          <w:kern w:val="0"/>
          <w:sz w:val="32"/>
          <w:szCs w:val="32"/>
        </w:rPr>
        <w:t>授权委托书</w:t>
      </w:r>
    </w:p>
    <w:p>
      <w:pPr>
        <w:widowControl/>
        <w:overflowPunct w:val="0"/>
        <w:adjustRightInd w:val="0"/>
        <w:spacing w:after="200" w:line="276" w:lineRule="auto"/>
        <w:ind w:firstLine="420"/>
        <w:jc w:val="left"/>
        <w:textAlignment w:val="baseline"/>
        <w:rPr>
          <w:rFonts w:ascii="宋体" w:hAnsi="宋体" w:eastAsia="Arial"/>
          <w:kern w:val="0"/>
          <w:sz w:val="22"/>
        </w:rPr>
      </w:pPr>
    </w:p>
    <w:p>
      <w:pPr>
        <w:widowControl/>
        <w:overflowPunct w:val="0"/>
        <w:adjustRightInd w:val="0"/>
        <w:spacing w:after="200" w:line="276" w:lineRule="auto"/>
        <w:ind w:firstLine="420"/>
        <w:jc w:val="left"/>
        <w:textAlignment w:val="baseline"/>
        <w:rPr>
          <w:rFonts w:ascii="宋体" w:hAnsi="宋体" w:eastAsia="Arial"/>
          <w:kern w:val="0"/>
          <w:sz w:val="22"/>
        </w:rPr>
      </w:pPr>
    </w:p>
    <w:p>
      <w:pPr>
        <w:widowControl/>
        <w:overflowPunct w:val="0"/>
        <w:adjustRightInd w:val="0"/>
        <w:spacing w:after="200" w:line="460" w:lineRule="exact"/>
        <w:ind w:firstLine="420"/>
        <w:jc w:val="left"/>
        <w:textAlignment w:val="baseline"/>
        <w:rPr>
          <w:rFonts w:hint="eastAsia" w:ascii="宋体" w:hAnsi="宋体" w:cs="宋体"/>
          <w:kern w:val="0"/>
          <w:szCs w:val="24"/>
        </w:rPr>
      </w:pPr>
      <w:r>
        <w:rPr>
          <w:rFonts w:hint="eastAsia" w:ascii="宋体" w:hAnsi="宋体" w:cs="宋体"/>
          <w:kern w:val="0"/>
          <w:szCs w:val="24"/>
        </w:rPr>
        <w:t>本授权委托书声明：我</w:t>
      </w:r>
      <w:r>
        <w:rPr>
          <w:rFonts w:hint="eastAsia" w:ascii="宋体" w:hAnsi="宋体" w:cs="宋体"/>
          <w:b/>
          <w:kern w:val="0"/>
          <w:szCs w:val="24"/>
          <w:u w:val="single"/>
        </w:rPr>
        <w:t xml:space="preserve">        </w:t>
      </w:r>
      <w:r>
        <w:rPr>
          <w:rFonts w:hint="eastAsia" w:ascii="宋体" w:hAnsi="宋体" w:cs="宋体"/>
          <w:kern w:val="0"/>
          <w:szCs w:val="24"/>
        </w:rPr>
        <w:t>（姓名）系</w:t>
      </w:r>
      <w:r>
        <w:rPr>
          <w:rFonts w:hint="eastAsia" w:ascii="宋体" w:hAnsi="宋体" w:cs="宋体"/>
          <w:b/>
          <w:kern w:val="0"/>
          <w:szCs w:val="24"/>
          <w:u w:val="single"/>
        </w:rPr>
        <w:t xml:space="preserve">               </w:t>
      </w:r>
      <w:r>
        <w:rPr>
          <w:rFonts w:hint="eastAsia" w:ascii="宋体" w:hAnsi="宋体" w:cs="宋体"/>
          <w:kern w:val="0"/>
          <w:szCs w:val="24"/>
        </w:rPr>
        <w:t>（响应单位名称）的法定代表人，现授权委托</w:t>
      </w:r>
      <w:r>
        <w:rPr>
          <w:rFonts w:hint="eastAsia" w:ascii="宋体" w:hAnsi="宋体" w:cs="宋体"/>
          <w:b/>
          <w:kern w:val="0"/>
          <w:szCs w:val="24"/>
          <w:u w:val="single"/>
        </w:rPr>
        <w:t xml:space="preserve">                   </w:t>
      </w:r>
      <w:r>
        <w:rPr>
          <w:rFonts w:hint="eastAsia" w:ascii="宋体" w:hAnsi="宋体" w:cs="宋体"/>
          <w:kern w:val="0"/>
          <w:szCs w:val="24"/>
        </w:rPr>
        <w:t>（单位名称）的</w:t>
      </w:r>
      <w:r>
        <w:rPr>
          <w:rFonts w:hint="eastAsia" w:ascii="宋体" w:hAnsi="宋体" w:cs="宋体"/>
          <w:b/>
          <w:kern w:val="0"/>
          <w:szCs w:val="24"/>
          <w:u w:val="single"/>
        </w:rPr>
        <w:t xml:space="preserve">        </w:t>
      </w:r>
      <w:r>
        <w:rPr>
          <w:rFonts w:hint="eastAsia" w:ascii="宋体" w:hAnsi="宋体" w:cs="宋体"/>
          <w:kern w:val="0"/>
          <w:szCs w:val="24"/>
        </w:rPr>
        <w:t>（姓名）为我公司代理人，以本公司的名义参加</w:t>
      </w:r>
      <w:r>
        <w:rPr>
          <w:rFonts w:hint="eastAsia" w:ascii="宋体" w:hAnsi="宋体" w:cs="宋体"/>
          <w:b/>
          <w:kern w:val="0"/>
          <w:szCs w:val="24"/>
          <w:u w:val="single"/>
        </w:rPr>
        <w:t>苏州市公共资源交易中心太仓分中心</w:t>
      </w:r>
      <w:r>
        <w:rPr>
          <w:rFonts w:hint="eastAsia" w:ascii="宋体" w:hAnsi="宋体" w:cs="宋体"/>
          <w:kern w:val="0"/>
          <w:szCs w:val="24"/>
        </w:rPr>
        <w:t>组织实施的编号为</w:t>
      </w:r>
      <w:r>
        <w:rPr>
          <w:rFonts w:hint="eastAsia" w:ascii="宋体" w:hAnsi="宋体" w:cs="宋体"/>
          <w:b/>
          <w:kern w:val="0"/>
          <w:szCs w:val="24"/>
          <w:u w:val="single"/>
        </w:rPr>
        <w:t>JSZC-320585-JZCG-D2026-0035</w:t>
      </w:r>
      <w:r>
        <w:rPr>
          <w:rFonts w:hint="eastAsia" w:ascii="宋体" w:hAnsi="宋体" w:cs="宋体"/>
          <w:kern w:val="0"/>
          <w:szCs w:val="24"/>
        </w:rPr>
        <w:t>号的采购活动。代理人在开标、评审、合同谈判过程中所签署的一切文件和处理与这有关的一切事务，我均予以承认。</w:t>
      </w:r>
    </w:p>
    <w:p>
      <w:pPr>
        <w:widowControl/>
        <w:overflowPunct w:val="0"/>
        <w:adjustRightInd w:val="0"/>
        <w:spacing w:after="200" w:line="460" w:lineRule="exact"/>
        <w:ind w:firstLine="420"/>
        <w:jc w:val="left"/>
        <w:textAlignment w:val="baseline"/>
        <w:rPr>
          <w:rFonts w:hint="eastAsia" w:ascii="宋体" w:hAnsi="宋体" w:cs="宋体"/>
          <w:kern w:val="0"/>
          <w:szCs w:val="24"/>
        </w:rPr>
      </w:pPr>
      <w:r>
        <w:rPr>
          <w:rFonts w:hint="eastAsia" w:ascii="宋体" w:hAnsi="宋体" w:cs="宋体"/>
          <w:kern w:val="0"/>
          <w:szCs w:val="24"/>
        </w:rPr>
        <w:t>代理人在授权委托书有效期内签署的所有文件不因授权委托的撤销而失效，除非有撤销授权委托的书面通知，本授权委托书自响应开始至合同履行完毕止。</w:t>
      </w:r>
    </w:p>
    <w:p>
      <w:pPr>
        <w:widowControl/>
        <w:overflowPunct w:val="0"/>
        <w:adjustRightInd w:val="0"/>
        <w:spacing w:after="200" w:line="460" w:lineRule="exact"/>
        <w:ind w:firstLine="420"/>
        <w:jc w:val="left"/>
        <w:textAlignment w:val="baseline"/>
        <w:rPr>
          <w:rFonts w:hint="eastAsia" w:ascii="宋体" w:hAnsi="宋体" w:cs="宋体"/>
          <w:kern w:val="0"/>
          <w:szCs w:val="24"/>
        </w:rPr>
      </w:pPr>
      <w:r>
        <w:rPr>
          <w:rFonts w:hint="eastAsia" w:ascii="宋体" w:hAnsi="宋体" w:cs="宋体"/>
          <w:kern w:val="0"/>
          <w:szCs w:val="24"/>
        </w:rPr>
        <w:t>代理人无转委托权。特此委托！</w:t>
      </w:r>
    </w:p>
    <w:p>
      <w:pPr>
        <w:widowControl/>
        <w:overflowPunct w:val="0"/>
        <w:adjustRightInd w:val="0"/>
        <w:spacing w:after="200" w:line="460" w:lineRule="exact"/>
        <w:ind w:firstLine="420"/>
        <w:jc w:val="left"/>
        <w:textAlignment w:val="baseline"/>
        <w:rPr>
          <w:rFonts w:hint="eastAsia" w:ascii="宋体" w:hAnsi="宋体" w:cs="宋体"/>
          <w:kern w:val="0"/>
          <w:szCs w:val="24"/>
        </w:rPr>
      </w:pPr>
    </w:p>
    <w:p>
      <w:pPr>
        <w:widowControl/>
        <w:overflowPunct w:val="0"/>
        <w:adjustRightInd w:val="0"/>
        <w:spacing w:after="200" w:line="460" w:lineRule="exact"/>
        <w:jc w:val="left"/>
        <w:textAlignment w:val="baseline"/>
        <w:rPr>
          <w:rFonts w:hint="eastAsia" w:ascii="宋体" w:hAnsi="宋体" w:cs="宋体"/>
          <w:kern w:val="0"/>
          <w:szCs w:val="24"/>
        </w:rPr>
      </w:pPr>
      <w:r>
        <w:rPr>
          <w:rFonts w:hint="eastAsia" w:ascii="宋体" w:hAnsi="宋体" w:cs="宋体"/>
          <w:kern w:val="0"/>
          <w:szCs w:val="24"/>
        </w:rPr>
        <w:t>响应单位：（单位盖章）</w:t>
      </w:r>
    </w:p>
    <w:p>
      <w:pPr>
        <w:widowControl/>
        <w:overflowPunct w:val="0"/>
        <w:adjustRightInd w:val="0"/>
        <w:spacing w:after="200" w:line="460" w:lineRule="exact"/>
        <w:jc w:val="left"/>
        <w:textAlignment w:val="baseline"/>
        <w:rPr>
          <w:rFonts w:hint="eastAsia" w:ascii="宋体" w:hAnsi="宋体" w:cs="宋体"/>
          <w:kern w:val="0"/>
          <w:szCs w:val="24"/>
        </w:rPr>
      </w:pPr>
      <w:r>
        <w:rPr>
          <w:rFonts w:hint="eastAsia" w:ascii="宋体" w:hAnsi="宋体" w:cs="宋体"/>
          <w:kern w:val="0"/>
          <w:szCs w:val="24"/>
        </w:rPr>
        <w:t>法定代表人：（签字或盖章）</w:t>
      </w:r>
    </w:p>
    <w:p>
      <w:pPr>
        <w:widowControl/>
        <w:overflowPunct w:val="0"/>
        <w:adjustRightInd w:val="0"/>
        <w:spacing w:after="200" w:line="460" w:lineRule="exact"/>
        <w:jc w:val="left"/>
        <w:textAlignment w:val="baseline"/>
        <w:rPr>
          <w:rFonts w:hint="eastAsia" w:ascii="宋体" w:hAnsi="宋体" w:cs="宋体"/>
          <w:kern w:val="0"/>
          <w:szCs w:val="24"/>
        </w:rPr>
      </w:pPr>
      <w:r>
        <w:rPr>
          <w:rFonts w:hint="eastAsia" w:ascii="宋体" w:hAnsi="宋体" w:cs="宋体"/>
          <w:kern w:val="0"/>
          <w:szCs w:val="24"/>
        </w:rPr>
        <w:t>授权代理人：（签字或盖章）</w:t>
      </w:r>
    </w:p>
    <w:p>
      <w:pPr>
        <w:widowControl/>
        <w:spacing w:after="200" w:line="460" w:lineRule="exact"/>
        <w:jc w:val="left"/>
        <w:rPr>
          <w:rFonts w:hint="eastAsia" w:ascii="宋体" w:hAnsi="宋体" w:cs="宋体"/>
          <w:kern w:val="0"/>
          <w:szCs w:val="24"/>
        </w:rPr>
      </w:pPr>
      <w:r>
        <w:rPr>
          <w:rFonts w:hint="eastAsia" w:ascii="宋体" w:hAnsi="宋体" w:cs="宋体"/>
          <w:kern w:val="0"/>
          <w:szCs w:val="24"/>
        </w:rPr>
        <w:t>响应日期：年   月   日</w:t>
      </w:r>
    </w:p>
    <w:p>
      <w:pPr>
        <w:widowControl/>
        <w:adjustRightInd w:val="0"/>
        <w:spacing w:after="200" w:line="360" w:lineRule="exact"/>
        <w:jc w:val="left"/>
        <w:textAlignment w:val="baseline"/>
        <w:rPr>
          <w:rFonts w:ascii="宋体" w:hAnsi="宋体" w:eastAsia="Arial"/>
          <w:kern w:val="0"/>
          <w:sz w:val="32"/>
          <w:szCs w:val="32"/>
        </w:rPr>
      </w:pPr>
      <w:r>
        <w:rPr>
          <w:rFonts w:ascii="宋体" w:hAnsi="宋体" w:eastAsia="Arial"/>
          <w:kern w:val="0"/>
          <w:sz w:val="22"/>
          <w:szCs w:val="24"/>
        </w:rPr>
        <w:br w:type="page"/>
      </w:r>
      <w:r>
        <w:rPr>
          <w:rFonts w:hint="eastAsia" w:ascii="宋体" w:hAnsi="宋体" w:eastAsia="Arial"/>
          <w:b/>
          <w:kern w:val="0"/>
          <w:sz w:val="32"/>
          <w:szCs w:val="32"/>
        </w:rPr>
        <w:t>6、开标一览表</w:t>
      </w:r>
    </w:p>
    <w:p>
      <w:pPr>
        <w:widowControl/>
        <w:adjustRightInd w:val="0"/>
        <w:spacing w:after="200" w:line="276" w:lineRule="auto"/>
        <w:jc w:val="left"/>
        <w:textAlignment w:val="baseline"/>
        <w:rPr>
          <w:rFonts w:ascii="宋体" w:hAnsi="宋体" w:eastAsia="Arial"/>
          <w:b/>
          <w:kern w:val="0"/>
          <w:sz w:val="22"/>
        </w:rPr>
      </w:pPr>
    </w:p>
    <w:p>
      <w:pPr>
        <w:widowControl/>
        <w:adjustRightInd w:val="0"/>
        <w:spacing w:after="200" w:line="276" w:lineRule="auto"/>
        <w:jc w:val="center"/>
        <w:textAlignment w:val="baseline"/>
        <w:rPr>
          <w:rFonts w:ascii="宋体" w:hAnsi="宋体" w:eastAsia="Arial"/>
          <w:kern w:val="0"/>
          <w:sz w:val="22"/>
        </w:rPr>
      </w:pPr>
    </w:p>
    <w:p>
      <w:pPr>
        <w:widowControl/>
        <w:adjustRightInd w:val="0"/>
        <w:spacing w:after="200" w:line="276" w:lineRule="auto"/>
        <w:jc w:val="center"/>
        <w:textAlignment w:val="baseline"/>
        <w:rPr>
          <w:rFonts w:ascii="宋体" w:hAnsi="宋体" w:eastAsia="Arial"/>
          <w:kern w:val="0"/>
          <w:sz w:val="32"/>
          <w:szCs w:val="32"/>
        </w:rPr>
      </w:pPr>
      <w:r>
        <w:rPr>
          <w:rFonts w:hint="eastAsia" w:ascii="宋体" w:hAnsi="宋体" w:eastAsia="Arial"/>
          <w:b/>
          <w:kern w:val="0"/>
          <w:sz w:val="32"/>
          <w:szCs w:val="32"/>
        </w:rPr>
        <w:t>开标一览表</w:t>
      </w:r>
    </w:p>
    <w:p>
      <w:pPr>
        <w:widowControl/>
        <w:adjustRightInd w:val="0"/>
        <w:spacing w:after="200" w:line="276" w:lineRule="auto"/>
        <w:jc w:val="left"/>
        <w:textAlignment w:val="baseline"/>
        <w:rPr>
          <w:rFonts w:hint="eastAsia" w:ascii="宋体" w:hAnsi="宋体" w:cs="宋体"/>
          <w:kern w:val="0"/>
          <w:szCs w:val="24"/>
        </w:rPr>
      </w:pPr>
    </w:p>
    <w:p>
      <w:pPr>
        <w:widowControl/>
        <w:adjustRightInd w:val="0"/>
        <w:spacing w:after="200" w:line="276" w:lineRule="auto"/>
        <w:ind w:firstLine="720" w:firstLineChars="300"/>
        <w:jc w:val="left"/>
        <w:textAlignment w:val="baseline"/>
        <w:rPr>
          <w:rFonts w:hint="eastAsia" w:ascii="宋体" w:hAnsi="宋体" w:cs="宋体"/>
          <w:kern w:val="0"/>
          <w:szCs w:val="24"/>
        </w:rPr>
      </w:pPr>
      <w:r>
        <w:rPr>
          <w:rFonts w:hint="eastAsia" w:ascii="宋体" w:hAnsi="宋体" w:cs="宋体"/>
          <w:kern w:val="0"/>
          <w:szCs w:val="24"/>
        </w:rPr>
        <w:t>项目编号：JSZC-320585-JZCG-D2026-0035</w:t>
      </w:r>
    </w:p>
    <w:p>
      <w:pPr>
        <w:widowControl/>
        <w:adjustRightInd w:val="0"/>
        <w:spacing w:after="200" w:line="276" w:lineRule="auto"/>
        <w:ind w:firstLine="720" w:firstLineChars="300"/>
        <w:jc w:val="left"/>
        <w:textAlignment w:val="baseline"/>
        <w:rPr>
          <w:rFonts w:hint="eastAsia" w:ascii="宋体" w:hAnsi="宋体" w:cs="宋体"/>
          <w:kern w:val="0"/>
          <w:szCs w:val="24"/>
        </w:rPr>
      </w:pPr>
      <w:r>
        <w:rPr>
          <w:rFonts w:hint="eastAsia" w:ascii="宋体" w:hAnsi="宋体" w:cs="宋体"/>
          <w:kern w:val="0"/>
          <w:szCs w:val="24"/>
        </w:rPr>
        <w:t>项目名称： 太仓市“一网通办”平台（六期）</w:t>
      </w:r>
    </w:p>
    <w:tbl>
      <w:tblPr>
        <w:tblStyle w:val="17"/>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pPr>
              <w:adjustRightInd w:val="0"/>
              <w:spacing w:line="360" w:lineRule="exact"/>
              <w:jc w:val="center"/>
              <w:rPr>
                <w:rFonts w:hint="eastAsia" w:ascii="宋体" w:hAnsi="宋体" w:cs="宋体"/>
                <w:szCs w:val="24"/>
                <w:lang w:eastAsia="en-US"/>
              </w:rPr>
            </w:pPr>
            <w:r>
              <w:rPr>
                <w:rFonts w:hint="eastAsia" w:ascii="宋体" w:hAnsi="宋体" w:cs="宋体"/>
                <w:szCs w:val="24"/>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pPr>
              <w:adjustRightInd w:val="0"/>
              <w:spacing w:line="360" w:lineRule="exact"/>
              <w:jc w:val="center"/>
              <w:rPr>
                <w:rFonts w:hint="eastAsia" w:ascii="宋体" w:hAnsi="宋体" w:cs="宋体"/>
                <w:szCs w:val="24"/>
                <w:lang w:eastAsia="en-US"/>
              </w:rPr>
            </w:pPr>
            <w:r>
              <w:rPr>
                <w:rFonts w:hint="eastAsia" w:ascii="宋体" w:hAnsi="宋体" w:cs="宋体"/>
                <w:szCs w:val="24"/>
                <w:lang w:eastAsia="en-US"/>
              </w:rPr>
              <w:t>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pPr>
              <w:adjustRightInd w:val="0"/>
              <w:spacing w:line="360" w:lineRule="exact"/>
              <w:jc w:val="center"/>
              <w:rPr>
                <w:rFonts w:hint="eastAsia" w:ascii="宋体" w:hAnsi="宋体" w:cs="宋体"/>
                <w:szCs w:val="24"/>
                <w:lang w:eastAsia="en-US"/>
              </w:rPr>
            </w:pPr>
            <w:r>
              <w:rPr>
                <w:rFonts w:hint="eastAsia" w:ascii="宋体" w:hAnsi="宋体" w:cs="宋体"/>
                <w:szCs w:val="24"/>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pPr>
              <w:adjustRightInd w:val="0"/>
              <w:spacing w:line="360" w:lineRule="exact"/>
              <w:ind w:firstLine="2880" w:firstLineChars="1200"/>
              <w:rPr>
                <w:rFonts w:hint="eastAsia" w:ascii="宋体" w:hAnsi="宋体" w:cs="宋体"/>
                <w:szCs w:val="24"/>
                <w:lang w:eastAsia="en-US"/>
              </w:rPr>
            </w:pPr>
            <w:r>
              <w:rPr>
                <w:rFonts w:hint="eastAsia" w:ascii="宋体" w:hAnsi="宋体" w:cs="宋体"/>
                <w:szCs w:val="24"/>
                <w:lang w:eastAsia="en-US"/>
              </w:rPr>
              <w:t xml:space="preserve">元          </w:t>
            </w:r>
          </w:p>
        </w:tc>
      </w:tr>
    </w:tbl>
    <w:p>
      <w:pPr>
        <w:widowControl/>
        <w:adjustRightInd w:val="0"/>
        <w:spacing w:after="200" w:line="276" w:lineRule="auto"/>
        <w:ind w:firstLine="723" w:firstLineChars="300"/>
        <w:jc w:val="left"/>
        <w:textAlignment w:val="baseline"/>
        <w:rPr>
          <w:rFonts w:hint="eastAsia" w:ascii="宋体" w:hAnsi="宋体" w:cs="宋体"/>
          <w:b/>
          <w:kern w:val="0"/>
          <w:szCs w:val="24"/>
          <w:lang w:eastAsia="en-US"/>
        </w:rPr>
      </w:pPr>
    </w:p>
    <w:p>
      <w:pPr>
        <w:widowControl/>
        <w:wordWrap w:val="0"/>
        <w:spacing w:after="200" w:line="500" w:lineRule="exact"/>
        <w:ind w:right="960"/>
        <w:jc w:val="left"/>
        <w:rPr>
          <w:rFonts w:hint="eastAsia" w:ascii="宋体" w:hAnsi="宋体" w:cs="宋体"/>
          <w:kern w:val="0"/>
          <w:szCs w:val="24"/>
          <w:lang w:eastAsia="en-US"/>
        </w:rPr>
      </w:pPr>
    </w:p>
    <w:p>
      <w:pPr>
        <w:widowControl/>
        <w:wordWrap w:val="0"/>
        <w:spacing w:after="200" w:line="500" w:lineRule="exact"/>
        <w:ind w:right="960" w:firstLine="3120" w:firstLineChars="1300"/>
        <w:jc w:val="left"/>
        <w:rPr>
          <w:rFonts w:hint="eastAsia" w:ascii="宋体" w:hAnsi="宋体" w:cs="宋体"/>
          <w:kern w:val="0"/>
          <w:szCs w:val="24"/>
        </w:rPr>
      </w:pPr>
      <w:r>
        <w:rPr>
          <w:rFonts w:hint="eastAsia" w:ascii="宋体" w:hAnsi="宋体" w:cs="宋体"/>
          <w:kern w:val="0"/>
          <w:szCs w:val="24"/>
        </w:rPr>
        <w:t xml:space="preserve">响应单位（单位盖章）：   </w:t>
      </w:r>
    </w:p>
    <w:p>
      <w:pPr>
        <w:widowControl/>
        <w:wordWrap w:val="0"/>
        <w:spacing w:after="200" w:line="500" w:lineRule="exact"/>
        <w:ind w:right="960" w:firstLine="3120" w:firstLineChars="1300"/>
        <w:jc w:val="left"/>
        <w:rPr>
          <w:rFonts w:hint="eastAsia" w:ascii="宋体" w:hAnsi="宋体" w:cs="宋体"/>
          <w:kern w:val="0"/>
          <w:szCs w:val="24"/>
        </w:rPr>
      </w:pPr>
      <w:r>
        <w:rPr>
          <w:rFonts w:hint="eastAsia" w:ascii="宋体" w:hAnsi="宋体" w:cs="宋体"/>
          <w:kern w:val="0"/>
          <w:szCs w:val="24"/>
        </w:rPr>
        <w:t xml:space="preserve">法定代表人或代理人（签字或盖章）： </w:t>
      </w:r>
    </w:p>
    <w:p>
      <w:pPr>
        <w:widowControl/>
        <w:wordWrap w:val="0"/>
        <w:spacing w:after="200" w:line="500" w:lineRule="exact"/>
        <w:ind w:right="960" w:firstLine="3120" w:firstLineChars="1300"/>
        <w:jc w:val="left"/>
        <w:rPr>
          <w:rFonts w:hint="eastAsia" w:ascii="宋体" w:hAnsi="宋体" w:cs="宋体"/>
          <w:kern w:val="0"/>
          <w:szCs w:val="24"/>
        </w:rPr>
      </w:pPr>
      <w:r>
        <w:rPr>
          <w:rFonts w:hint="eastAsia" w:ascii="宋体" w:hAnsi="宋体" w:cs="宋体"/>
          <w:kern w:val="0"/>
          <w:szCs w:val="24"/>
        </w:rPr>
        <w:t xml:space="preserve">响应日期：   年  月  日 </w:t>
      </w:r>
    </w:p>
    <w:p>
      <w:pPr>
        <w:widowControl/>
        <w:spacing w:after="200" w:line="460" w:lineRule="exact"/>
        <w:jc w:val="left"/>
        <w:rPr>
          <w:rFonts w:hint="eastAsia" w:ascii="宋体" w:hAnsi="宋体" w:cs="宋体"/>
          <w:b/>
          <w:kern w:val="0"/>
          <w:szCs w:val="24"/>
        </w:rPr>
      </w:pPr>
    </w:p>
    <w:p>
      <w:pPr>
        <w:widowControl/>
        <w:spacing w:after="200" w:line="460" w:lineRule="exact"/>
        <w:ind w:firstLine="482" w:firstLineChars="200"/>
        <w:jc w:val="left"/>
        <w:rPr>
          <w:rFonts w:hint="eastAsia" w:ascii="宋体" w:hAnsi="宋体" w:cs="宋体"/>
          <w:b/>
          <w:kern w:val="0"/>
          <w:szCs w:val="24"/>
        </w:rPr>
      </w:pPr>
      <w:r>
        <w:rPr>
          <w:rFonts w:hint="eastAsia" w:ascii="宋体" w:hAnsi="宋体" w:cs="宋体"/>
          <w:b/>
          <w:kern w:val="0"/>
          <w:szCs w:val="24"/>
        </w:rPr>
        <w:t xml:space="preserve">注： </w:t>
      </w:r>
      <w:r>
        <w:rPr>
          <w:rFonts w:hint="eastAsia" w:ascii="宋体" w:hAnsi="宋体" w:cs="宋体"/>
          <w:kern w:val="0"/>
          <w:szCs w:val="24"/>
        </w:rPr>
        <w:t>响应</w:t>
      </w:r>
      <w:r>
        <w:rPr>
          <w:rFonts w:hint="eastAsia" w:ascii="宋体" w:hAnsi="宋体" w:cs="宋体"/>
          <w:kern w:val="1"/>
          <w:szCs w:val="24"/>
        </w:rPr>
        <w:t>报价一次报定，包括上述货物、服务管理、人员、培训、管理、维护、保险、利润、税金、调试达到正常可使用状态、政策性文件规定及合同包含的所有风险、责任等各项应有费用。</w:t>
      </w:r>
    </w:p>
    <w:p>
      <w:pPr>
        <w:widowControl/>
        <w:adjustRightInd w:val="0"/>
        <w:spacing w:after="200" w:line="276" w:lineRule="auto"/>
        <w:ind w:firstLine="660" w:firstLineChars="300"/>
        <w:jc w:val="left"/>
        <w:textAlignment w:val="baseline"/>
        <w:rPr>
          <w:rFonts w:ascii="宋体" w:hAnsi="宋体" w:eastAsia="Arial"/>
          <w:b/>
          <w:kern w:val="0"/>
          <w:sz w:val="22"/>
        </w:rPr>
      </w:pPr>
    </w:p>
    <w:p>
      <w:pPr>
        <w:widowControl/>
        <w:spacing w:after="200" w:line="276" w:lineRule="auto"/>
        <w:jc w:val="left"/>
        <w:rPr>
          <w:rFonts w:ascii="宋体" w:hAnsi="宋体" w:eastAsia="Arial"/>
          <w:b/>
          <w:kern w:val="0"/>
          <w:sz w:val="28"/>
          <w:szCs w:val="32"/>
        </w:rPr>
      </w:pPr>
      <w:r>
        <w:rPr>
          <w:rFonts w:hint="eastAsia" w:ascii="宋体" w:hAnsi="宋体" w:eastAsia="Arial"/>
          <w:b/>
          <w:kern w:val="0"/>
          <w:sz w:val="28"/>
          <w:szCs w:val="32"/>
        </w:rPr>
        <w:br w:type="page"/>
      </w:r>
    </w:p>
    <w:p>
      <w:pPr>
        <w:widowControl/>
        <w:snapToGrid w:val="0"/>
        <w:spacing w:after="200" w:line="276" w:lineRule="auto"/>
        <w:jc w:val="left"/>
        <w:rPr>
          <w:rFonts w:ascii="宋体" w:hAnsi="宋体" w:eastAsia="Arial"/>
          <w:b/>
          <w:kern w:val="0"/>
          <w:sz w:val="28"/>
          <w:szCs w:val="32"/>
        </w:rPr>
      </w:pPr>
      <w:r>
        <w:rPr>
          <w:rFonts w:hint="eastAsia" w:ascii="宋体" w:hAnsi="宋体" w:eastAsia="Arial"/>
          <w:b/>
          <w:kern w:val="0"/>
          <w:sz w:val="28"/>
          <w:szCs w:val="32"/>
        </w:rPr>
        <w:t>7、响应报价明细表</w:t>
      </w:r>
    </w:p>
    <w:p>
      <w:pPr>
        <w:widowControl/>
        <w:snapToGrid w:val="0"/>
        <w:spacing w:after="200" w:line="276" w:lineRule="auto"/>
        <w:jc w:val="left"/>
        <w:rPr>
          <w:rFonts w:ascii="宋体" w:hAnsi="宋体" w:eastAsia="Arial"/>
          <w:b/>
          <w:kern w:val="0"/>
          <w:sz w:val="28"/>
          <w:szCs w:val="32"/>
        </w:rPr>
      </w:pPr>
    </w:p>
    <w:p>
      <w:pPr>
        <w:widowControl/>
        <w:snapToGrid w:val="0"/>
        <w:spacing w:after="200" w:line="276" w:lineRule="auto"/>
        <w:ind w:firstLine="3001" w:firstLineChars="1000"/>
        <w:jc w:val="left"/>
        <w:rPr>
          <w:rFonts w:ascii="宋体" w:hAnsi="宋体" w:eastAsia="Arial"/>
          <w:b/>
          <w:kern w:val="0"/>
          <w:sz w:val="30"/>
          <w:szCs w:val="30"/>
        </w:rPr>
      </w:pPr>
      <w:bookmarkStart w:id="210" w:name="OLE_LINK8"/>
      <w:bookmarkStart w:id="211" w:name="OLE_LINK2"/>
      <w:r>
        <w:rPr>
          <w:rFonts w:hint="eastAsia" w:ascii="宋体" w:hAnsi="宋体" w:eastAsia="Arial"/>
          <w:b/>
          <w:kern w:val="0"/>
          <w:sz w:val="30"/>
          <w:szCs w:val="30"/>
        </w:rPr>
        <w:t>（一）响应报价明细表</w:t>
      </w:r>
    </w:p>
    <w:p>
      <w:pPr>
        <w:widowControl/>
        <w:snapToGrid w:val="0"/>
        <w:spacing w:after="200" w:line="276" w:lineRule="auto"/>
        <w:ind w:firstLine="2409" w:firstLineChars="1000"/>
        <w:jc w:val="left"/>
        <w:rPr>
          <w:rFonts w:hint="eastAsia" w:ascii="宋体" w:hAnsi="宋体" w:cs="宋体"/>
          <w:b/>
          <w:kern w:val="0"/>
          <w:szCs w:val="24"/>
        </w:rPr>
      </w:pPr>
    </w:p>
    <w:tbl>
      <w:tblPr>
        <w:tblStyle w:val="17"/>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备注</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380" w:lineRule="exact"/>
              <w:ind w:right="-228" w:rightChars="-95"/>
              <w:jc w:val="center"/>
              <w:rPr>
                <w:rFonts w:hint="eastAsia" w:ascii="宋体" w:hAnsi="宋体" w:cs="宋体"/>
                <w:b/>
                <w:bCs/>
                <w:kern w:val="0"/>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380" w:lineRule="exact"/>
              <w:jc w:val="center"/>
              <w:rPr>
                <w:rFonts w:hint="eastAsia" w:ascii="宋体" w:hAnsi="宋体" w:cs="宋体"/>
                <w:b/>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pPr>
              <w:widowControl/>
              <w:autoSpaceDE w:val="0"/>
              <w:autoSpaceDN w:val="0"/>
              <w:adjustRightInd w:val="0"/>
              <w:spacing w:after="200" w:line="276" w:lineRule="auto"/>
              <w:jc w:val="center"/>
              <w:rPr>
                <w:rFonts w:hint="eastAsia" w:ascii="宋体" w:hAnsi="宋体" w:cs="宋体"/>
                <w:bCs/>
                <w:kern w:val="0"/>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pPr>
              <w:widowControl/>
              <w:autoSpaceDE w:val="0"/>
              <w:autoSpaceDN w:val="0"/>
              <w:adjustRightInd w:val="0"/>
              <w:spacing w:after="200" w:line="276" w:lineRule="auto"/>
              <w:jc w:val="center"/>
              <w:rPr>
                <w:rFonts w:hint="eastAsia" w:ascii="宋体" w:hAnsi="宋体" w:cs="宋体"/>
                <w:bCs/>
                <w:kern w:val="0"/>
                <w:szCs w:val="24"/>
                <w:lang w:eastAsia="en-US"/>
              </w:rPr>
            </w:pPr>
            <w:r>
              <w:rPr>
                <w:rFonts w:hint="eastAsia" w:ascii="宋体" w:hAnsi="宋体" w:cs="宋体"/>
                <w:bCs/>
                <w:kern w:val="0"/>
                <w:szCs w:val="24"/>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pPr>
              <w:widowControl/>
              <w:autoSpaceDE w:val="0"/>
              <w:autoSpaceDN w:val="0"/>
              <w:adjustRightInd w:val="0"/>
              <w:spacing w:after="200" w:line="276" w:lineRule="auto"/>
              <w:jc w:val="left"/>
              <w:rPr>
                <w:rFonts w:hint="eastAsia" w:ascii="宋体" w:hAnsi="宋体" w:cs="宋体"/>
                <w:bCs/>
                <w:kern w:val="0"/>
                <w:szCs w:val="24"/>
                <w:lang w:eastAsia="en-US"/>
              </w:rPr>
            </w:pPr>
            <w:r>
              <w:rPr>
                <w:rFonts w:hint="eastAsia" w:ascii="宋体" w:hAnsi="宋体" w:cs="宋体"/>
                <w:bCs/>
                <w:kern w:val="0"/>
                <w:szCs w:val="24"/>
                <w:lang w:eastAsia="en-US"/>
              </w:rPr>
              <w:t>大写：       元 ； 小写：        元</w:t>
            </w:r>
          </w:p>
        </w:tc>
      </w:tr>
    </w:tbl>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注：本表报价的合计金额应与开标一览表报价一致</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响应单位：（单位盖章）</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 xml:space="preserve">法定代表人或委托代理人（签字或盖章）： </w:t>
      </w:r>
    </w:p>
    <w:p>
      <w:pPr>
        <w:widowControl/>
        <w:adjustRightInd w:val="0"/>
        <w:spacing w:after="200" w:line="500" w:lineRule="exact"/>
        <w:jc w:val="left"/>
        <w:textAlignment w:val="baseline"/>
        <w:rPr>
          <w:rFonts w:hint="eastAsia" w:ascii="宋体" w:hAnsi="宋体" w:cs="宋体"/>
          <w:kern w:val="0"/>
          <w:szCs w:val="24"/>
        </w:rPr>
      </w:pPr>
      <w:r>
        <w:rPr>
          <w:rFonts w:hint="eastAsia" w:ascii="宋体" w:hAnsi="宋体" w:cs="宋体"/>
          <w:kern w:val="0"/>
          <w:szCs w:val="24"/>
        </w:rPr>
        <w:t>响应日期：  年  月  日</w:t>
      </w:r>
    </w:p>
    <w:p>
      <w:pPr>
        <w:spacing w:after="200" w:line="200" w:lineRule="exact"/>
        <w:ind w:firstLine="301"/>
        <w:rPr>
          <w:rFonts w:ascii="Arial" w:hAnsi="Arial" w:eastAsia="Arial"/>
          <w:szCs w:val="2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30"/>
          <w:szCs w:val="30"/>
        </w:rPr>
      </w:pPr>
    </w:p>
    <w:p>
      <w:pPr>
        <w:widowControl/>
        <w:spacing w:after="200" w:line="276" w:lineRule="auto"/>
        <w:ind w:firstLine="1501" w:firstLineChars="500"/>
        <w:jc w:val="left"/>
        <w:rPr>
          <w:rFonts w:ascii="宋体" w:hAnsi="宋体" w:eastAsia="Arial"/>
          <w:b/>
          <w:kern w:val="0"/>
          <w:sz w:val="22"/>
          <w:szCs w:val="24"/>
        </w:rPr>
      </w:pPr>
      <w:r>
        <w:rPr>
          <w:rFonts w:hint="eastAsia" w:ascii="宋体" w:hAnsi="宋体" w:eastAsia="Arial"/>
          <w:b/>
          <w:kern w:val="0"/>
          <w:sz w:val="30"/>
          <w:szCs w:val="30"/>
        </w:rPr>
        <w:t>（二）响应报价合理性说明（如有）</w:t>
      </w:r>
    </w:p>
    <w:bookmarkEnd w:id="210"/>
    <w:p>
      <w:pPr>
        <w:spacing w:line="420" w:lineRule="exact"/>
        <w:ind w:firstLine="482" w:firstLineChars="200"/>
        <w:rPr>
          <w:rFonts w:hint="eastAsia" w:ascii="宋体" w:hAnsi="宋体" w:cs="宋体"/>
          <w:b/>
          <w:szCs w:val="24"/>
        </w:rPr>
      </w:pPr>
      <w:r>
        <w:rPr>
          <w:rFonts w:hint="eastAsia" w:ascii="宋体" w:hAnsi="宋体" w:cs="宋体"/>
          <w:b/>
          <w:szCs w:val="24"/>
        </w:rPr>
        <w:t>注：根据财政部《关于推动解决政府采购异常低价问题的通知》（财库〔2026〕2号） ，若投标人的投标（响应）报价满足以下任一条件：</w:t>
      </w:r>
    </w:p>
    <w:p>
      <w:pPr>
        <w:spacing w:line="420" w:lineRule="exact"/>
        <w:ind w:firstLine="482" w:firstLineChars="200"/>
        <w:rPr>
          <w:rFonts w:hint="eastAsia" w:ascii="宋体" w:hAnsi="宋体" w:cs="宋体"/>
          <w:b/>
          <w:szCs w:val="24"/>
        </w:rPr>
      </w:pPr>
      <w:r>
        <w:rPr>
          <w:rFonts w:hint="eastAsia" w:ascii="宋体" w:hAnsi="宋体" w:cs="宋体"/>
          <w:b/>
          <w:szCs w:val="24"/>
        </w:rPr>
        <w:t>1）</w:t>
      </w:r>
      <w:r>
        <w:rPr>
          <w:rFonts w:hint="eastAsia" w:ascii="宋体" w:hAnsi="宋体" w:cs="宋体"/>
          <w:b/>
          <w:bCs/>
          <w:szCs w:val="24"/>
        </w:rPr>
        <w:t>投标（响应）报价低于全部通过符合性审查供应商投标（响应）报价平均值50%的，即投标（响应）报价&lt;全部通过符合性审查供应商投标（响应）报价平均值×50%；</w:t>
      </w:r>
    </w:p>
    <w:p>
      <w:pPr>
        <w:spacing w:line="420" w:lineRule="exact"/>
        <w:ind w:firstLine="482" w:firstLineChars="200"/>
        <w:rPr>
          <w:rFonts w:hint="eastAsia" w:ascii="宋体" w:hAnsi="宋体" w:cs="宋体"/>
          <w:b/>
          <w:szCs w:val="24"/>
        </w:rPr>
      </w:pPr>
      <w:r>
        <w:rPr>
          <w:rFonts w:hint="eastAsia" w:ascii="宋体" w:hAnsi="宋体" w:cs="宋体"/>
          <w:b/>
          <w:szCs w:val="24"/>
        </w:rPr>
        <w:t>2）</w:t>
      </w:r>
      <w:r>
        <w:rPr>
          <w:rFonts w:hint="eastAsia" w:ascii="宋体" w:hAnsi="宋体" w:cs="宋体"/>
          <w:b/>
          <w:bCs/>
          <w:szCs w:val="24"/>
        </w:rPr>
        <w:t>投标（响应）报价低于通过符合性审查的次低报价供应商投标（响应）报价50%的，即投标（响应）报价&lt;通过符合性审查的次低报价供应商投标（响应）报价×50%</w:t>
      </w:r>
      <w:r>
        <w:rPr>
          <w:rFonts w:hint="eastAsia" w:ascii="宋体" w:hAnsi="宋体" w:cs="宋体"/>
          <w:b/>
          <w:szCs w:val="24"/>
        </w:rPr>
        <w:t>；</w:t>
      </w:r>
    </w:p>
    <w:p>
      <w:pPr>
        <w:adjustRightInd w:val="0"/>
        <w:spacing w:line="500" w:lineRule="exact"/>
        <w:ind w:firstLine="482" w:firstLineChars="200"/>
        <w:textAlignment w:val="baseline"/>
        <w:rPr>
          <w:rFonts w:hint="eastAsia" w:ascii="宋体" w:hAnsi="宋体" w:cs="宋体"/>
          <w:b/>
          <w:bCs/>
          <w:szCs w:val="24"/>
        </w:rPr>
      </w:pPr>
      <w:r>
        <w:rPr>
          <w:rFonts w:hint="eastAsia" w:ascii="宋体" w:hAnsi="宋体" w:cs="宋体"/>
          <w:b/>
          <w:bCs/>
          <w:szCs w:val="24"/>
        </w:rPr>
        <w:t>3）投标（响应）报价低于采购项目最高限价45%的，即投标（响应）报价&lt;采购项目最高限价×45%；</w:t>
      </w:r>
      <w:r>
        <w:rPr>
          <w:rFonts w:hint="eastAsia" w:ascii="宋体" w:hAnsi="宋体" w:cs="宋体"/>
          <w:b/>
          <w:bCs/>
          <w:szCs w:val="24"/>
        </w:rPr>
        <w:br w:type="textWrapping"/>
      </w:r>
      <w:r>
        <w:rPr>
          <w:rFonts w:hint="eastAsia" w:ascii="宋体" w:hAnsi="宋体" w:cs="宋体"/>
          <w:b/>
          <w:bCs/>
          <w:szCs w:val="24"/>
        </w:rPr>
        <w:t xml:space="preserve">    4）评审委员会基于专业判断，认为供应商报价过低，有可能影响产品质量或者不能诚信履约的其他情形。</w:t>
      </w:r>
      <w:r>
        <w:rPr>
          <w:rFonts w:hint="eastAsia" w:ascii="宋体" w:hAnsi="宋体" w:cs="宋体"/>
          <w:b/>
          <w:bCs/>
          <w:szCs w:val="24"/>
        </w:rPr>
        <w:br w:type="textWrapping"/>
      </w:r>
      <w:r>
        <w:rPr>
          <w:rFonts w:hint="eastAsia" w:ascii="宋体" w:hAnsi="宋体" w:cs="宋体"/>
          <w:b/>
          <w:bCs/>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pPr>
        <w:adjustRightInd w:val="0"/>
        <w:spacing w:line="500" w:lineRule="exact"/>
        <w:textAlignment w:val="baseline"/>
        <w:rPr>
          <w:rFonts w:hint="eastAsia" w:ascii="宋体" w:hAnsi="宋体" w:cs="宋体"/>
          <w:b/>
          <w:bCs/>
          <w:szCs w:val="24"/>
        </w:rPr>
      </w:pPr>
    </w:p>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投标单位：（公章）</w:t>
      </w:r>
    </w:p>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 xml:space="preserve">法定代表人或委托代理人（签字或盖章）： </w:t>
      </w:r>
    </w:p>
    <w:p>
      <w:pPr>
        <w:widowControl/>
        <w:snapToGrid w:val="0"/>
        <w:spacing w:after="200" w:line="500" w:lineRule="exact"/>
        <w:jc w:val="left"/>
        <w:rPr>
          <w:rFonts w:hint="eastAsia" w:ascii="宋体" w:hAnsi="宋体" w:cs="宋体"/>
          <w:kern w:val="0"/>
          <w:szCs w:val="24"/>
        </w:rPr>
      </w:pPr>
      <w:r>
        <w:rPr>
          <w:rFonts w:hint="eastAsia" w:ascii="宋体" w:hAnsi="宋体" w:cs="宋体"/>
          <w:kern w:val="0"/>
          <w:szCs w:val="24"/>
        </w:rPr>
        <w:t>日期：      年     月     日</w:t>
      </w:r>
    </w:p>
    <w:p>
      <w:pPr>
        <w:widowControl/>
        <w:snapToGrid w:val="0"/>
        <w:spacing w:after="200" w:line="500" w:lineRule="exact"/>
        <w:jc w:val="left"/>
        <w:rPr>
          <w:rFonts w:ascii="宋体" w:hAnsi="宋体" w:eastAsia="Arial"/>
          <w:b/>
          <w:bCs/>
          <w:kern w:val="0"/>
          <w:sz w:val="22"/>
          <w:szCs w:val="24"/>
        </w:rPr>
      </w:pPr>
      <w:r>
        <w:rPr>
          <w:rFonts w:hint="eastAsia" w:ascii="宋体" w:hAnsi="宋体" w:cs="宋体"/>
          <w:kern w:val="0"/>
          <w:szCs w:val="24"/>
        </w:rPr>
        <w:br w:type="page"/>
      </w:r>
      <w:bookmarkEnd w:id="211"/>
      <w:r>
        <w:rPr>
          <w:rFonts w:hint="eastAsia" w:ascii="宋体" w:hAnsi="宋体" w:eastAsia="Arial"/>
          <w:b/>
          <w:bCs/>
          <w:kern w:val="0"/>
          <w:sz w:val="32"/>
          <w:szCs w:val="32"/>
        </w:rPr>
        <w:t>8、服务要求偏离表</w:t>
      </w:r>
    </w:p>
    <w:p>
      <w:pPr>
        <w:widowControl/>
        <w:spacing w:after="200"/>
        <w:jc w:val="center"/>
        <w:rPr>
          <w:rFonts w:ascii="宋体" w:hAnsi="宋体" w:eastAsia="Arial"/>
          <w:kern w:val="0"/>
          <w:sz w:val="22"/>
          <w:lang w:eastAsia="en-US"/>
        </w:rPr>
      </w:pPr>
      <w:r>
        <w:rPr>
          <w:rFonts w:hint="eastAsia" w:ascii="宋体" w:hAnsi="宋体" w:eastAsia="Arial" w:cs="宋体"/>
          <w:b/>
          <w:kern w:val="0"/>
          <w:sz w:val="30"/>
          <w:szCs w:val="30"/>
          <w:lang w:eastAsia="en-US"/>
        </w:rPr>
        <w:t>服务要求偏离表</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序号</w:t>
            </w:r>
          </w:p>
        </w:tc>
        <w:tc>
          <w:tcPr>
            <w:tcW w:w="2010"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内容</w:t>
            </w:r>
          </w:p>
        </w:tc>
        <w:tc>
          <w:tcPr>
            <w:tcW w:w="2526"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采购文件</w:t>
            </w:r>
          </w:p>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技术要求</w:t>
            </w:r>
          </w:p>
        </w:tc>
        <w:tc>
          <w:tcPr>
            <w:tcW w:w="1843"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响应文件</w:t>
            </w:r>
          </w:p>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响应要求</w:t>
            </w:r>
          </w:p>
        </w:tc>
        <w:tc>
          <w:tcPr>
            <w:tcW w:w="1559" w:type="dxa"/>
            <w:vAlign w:val="center"/>
          </w:tcPr>
          <w:p>
            <w:pPr>
              <w:widowControl/>
              <w:spacing w:after="200" w:line="420" w:lineRule="atLeast"/>
              <w:jc w:val="center"/>
              <w:rPr>
                <w:rFonts w:ascii="宋体" w:hAnsi="宋体" w:eastAsia="Arial"/>
                <w:kern w:val="0"/>
                <w:sz w:val="22"/>
                <w:lang w:eastAsia="en-US"/>
              </w:rPr>
            </w:pPr>
            <w:r>
              <w:rPr>
                <w:rFonts w:hint="eastAsia" w:ascii="宋体" w:hAnsi="宋体" w:eastAsia="Arial"/>
                <w:kern w:val="0"/>
                <w:sz w:val="22"/>
                <w:lang w:eastAsia="en-US"/>
              </w:rPr>
              <w:t xml:space="preserve"> 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1</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2</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3</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4</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5</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6</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7</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8</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widowControl/>
              <w:spacing w:after="200" w:line="400" w:lineRule="atLeast"/>
              <w:jc w:val="center"/>
              <w:rPr>
                <w:rFonts w:ascii="宋体" w:hAnsi="宋体" w:eastAsia="Arial"/>
                <w:kern w:val="0"/>
                <w:sz w:val="22"/>
                <w:lang w:eastAsia="en-US"/>
              </w:rPr>
            </w:pPr>
            <w:r>
              <w:rPr>
                <w:rFonts w:hint="eastAsia" w:ascii="宋体" w:hAnsi="宋体" w:eastAsia="Arial"/>
                <w:kern w:val="0"/>
                <w:sz w:val="22"/>
                <w:lang w:eastAsia="en-US"/>
              </w:rPr>
              <w:t>...</w:t>
            </w:r>
          </w:p>
        </w:tc>
        <w:tc>
          <w:tcPr>
            <w:tcW w:w="2010" w:type="dxa"/>
            <w:vAlign w:val="center"/>
          </w:tcPr>
          <w:p>
            <w:pPr>
              <w:widowControl/>
              <w:spacing w:after="200" w:line="400" w:lineRule="atLeast"/>
              <w:jc w:val="center"/>
              <w:rPr>
                <w:rFonts w:ascii="宋体" w:hAnsi="宋体" w:eastAsia="Arial"/>
                <w:kern w:val="0"/>
                <w:sz w:val="22"/>
                <w:lang w:eastAsia="en-US"/>
              </w:rPr>
            </w:pPr>
          </w:p>
        </w:tc>
        <w:tc>
          <w:tcPr>
            <w:tcW w:w="2526" w:type="dxa"/>
            <w:vAlign w:val="center"/>
          </w:tcPr>
          <w:p>
            <w:pPr>
              <w:widowControl/>
              <w:spacing w:after="200" w:line="400" w:lineRule="atLeast"/>
              <w:jc w:val="center"/>
              <w:rPr>
                <w:rFonts w:ascii="宋体" w:hAnsi="宋体" w:eastAsia="Arial"/>
                <w:kern w:val="0"/>
                <w:sz w:val="22"/>
                <w:lang w:eastAsia="en-US"/>
              </w:rPr>
            </w:pPr>
          </w:p>
        </w:tc>
        <w:tc>
          <w:tcPr>
            <w:tcW w:w="1843" w:type="dxa"/>
            <w:vAlign w:val="center"/>
          </w:tcPr>
          <w:p>
            <w:pPr>
              <w:widowControl/>
              <w:spacing w:after="200" w:line="400" w:lineRule="atLeast"/>
              <w:jc w:val="center"/>
              <w:rPr>
                <w:rFonts w:ascii="宋体" w:hAnsi="宋体" w:eastAsia="Arial"/>
                <w:kern w:val="0"/>
                <w:sz w:val="22"/>
                <w:lang w:eastAsia="en-US"/>
              </w:rPr>
            </w:pPr>
          </w:p>
        </w:tc>
        <w:tc>
          <w:tcPr>
            <w:tcW w:w="1559" w:type="dxa"/>
            <w:vAlign w:val="center"/>
          </w:tcPr>
          <w:p>
            <w:pPr>
              <w:widowControl/>
              <w:spacing w:after="200" w:line="400" w:lineRule="atLeast"/>
              <w:jc w:val="center"/>
              <w:rPr>
                <w:rFonts w:ascii="宋体" w:hAnsi="宋体" w:eastAsia="Arial"/>
                <w:kern w:val="0"/>
                <w:sz w:val="22"/>
                <w:lang w:eastAsia="en-US"/>
              </w:rPr>
            </w:pPr>
          </w:p>
        </w:tc>
      </w:tr>
    </w:tbl>
    <w:p>
      <w:pPr>
        <w:widowControl/>
        <w:autoSpaceDE w:val="0"/>
        <w:autoSpaceDN w:val="0"/>
        <w:adjustRightInd w:val="0"/>
        <w:snapToGrid w:val="0"/>
        <w:spacing w:after="200"/>
        <w:jc w:val="left"/>
        <w:rPr>
          <w:rFonts w:hint="eastAsia" w:ascii="宋体" w:hAnsi="宋体" w:cs="宋体"/>
          <w:kern w:val="0"/>
          <w:szCs w:val="24"/>
        </w:rPr>
      </w:pPr>
      <w:r>
        <w:rPr>
          <w:rFonts w:hint="eastAsia" w:ascii="宋体" w:hAnsi="宋体" w:cs="宋体"/>
          <w:kern w:val="0"/>
          <w:szCs w:val="24"/>
          <w:lang w:val="zh-CN"/>
        </w:rPr>
        <w:t>注：</w:t>
      </w:r>
      <w:r>
        <w:rPr>
          <w:rFonts w:hint="eastAsia" w:ascii="宋体" w:hAnsi="宋体" w:cs="宋体"/>
          <w:kern w:val="0"/>
          <w:szCs w:val="24"/>
        </w:rPr>
        <w:t>1.响应人应在本表中对照采购文件服务要求与实际响应服务要求逐项对应列出，并在“偏离说明”项下填写以下内容：优于的，填写“正偏离”；符合的，填写“无偏离”；低于的，填写“负偏离”。</w:t>
      </w:r>
    </w:p>
    <w:p>
      <w:pPr>
        <w:widowControl/>
        <w:adjustRightInd w:val="0"/>
        <w:snapToGrid w:val="0"/>
        <w:spacing w:after="200"/>
        <w:ind w:firstLine="480" w:firstLineChars="200"/>
        <w:jc w:val="left"/>
        <w:rPr>
          <w:rFonts w:hint="eastAsia" w:ascii="宋体" w:hAnsi="宋体" w:cs="宋体"/>
          <w:kern w:val="0"/>
          <w:szCs w:val="24"/>
        </w:rPr>
      </w:pPr>
      <w:r>
        <w:rPr>
          <w:rFonts w:hint="eastAsia" w:ascii="宋体" w:hAnsi="宋体" w:cs="宋体"/>
          <w:kern w:val="0"/>
          <w:szCs w:val="24"/>
        </w:rPr>
        <w:t>2.若事项较多，响应人可根据响应内容的实际情况另纸说明。</w:t>
      </w:r>
    </w:p>
    <w:p>
      <w:pPr>
        <w:widowControl/>
        <w:adjustRightInd w:val="0"/>
        <w:snapToGrid w:val="0"/>
        <w:spacing w:after="200" w:line="460" w:lineRule="exact"/>
        <w:jc w:val="left"/>
        <w:rPr>
          <w:rFonts w:hint="eastAsia" w:ascii="宋体" w:hAnsi="宋体" w:cs="宋体"/>
          <w:kern w:val="0"/>
          <w:szCs w:val="24"/>
        </w:rPr>
      </w:pPr>
    </w:p>
    <w:p>
      <w:pPr>
        <w:widowControl/>
        <w:adjustRightInd w:val="0"/>
        <w:snapToGrid w:val="0"/>
        <w:spacing w:after="200" w:line="460" w:lineRule="exact"/>
        <w:jc w:val="left"/>
        <w:rPr>
          <w:rFonts w:hint="eastAsia" w:ascii="宋体" w:hAnsi="宋体" w:cs="宋体"/>
          <w:kern w:val="0"/>
          <w:szCs w:val="24"/>
        </w:rPr>
      </w:pPr>
      <w:r>
        <w:rPr>
          <w:rFonts w:hint="eastAsia" w:ascii="宋体" w:hAnsi="宋体" w:cs="宋体"/>
          <w:kern w:val="0"/>
          <w:szCs w:val="24"/>
        </w:rPr>
        <w:t>响应单位：（单位公章）</w:t>
      </w:r>
    </w:p>
    <w:p>
      <w:pPr>
        <w:widowControl/>
        <w:adjustRightInd w:val="0"/>
        <w:snapToGrid w:val="0"/>
        <w:spacing w:after="200" w:line="460" w:lineRule="exact"/>
        <w:jc w:val="left"/>
        <w:rPr>
          <w:rFonts w:hint="eastAsia" w:ascii="宋体" w:hAnsi="宋体" w:cs="宋体"/>
          <w:bCs/>
          <w:kern w:val="0"/>
          <w:szCs w:val="24"/>
        </w:rPr>
      </w:pPr>
      <w:r>
        <w:rPr>
          <w:rFonts w:hint="eastAsia" w:ascii="宋体" w:hAnsi="宋体" w:cs="宋体"/>
          <w:kern w:val="0"/>
          <w:szCs w:val="24"/>
        </w:rPr>
        <w:t>法定代表人或代理人（签字或盖章）</w:t>
      </w:r>
      <w:r>
        <w:rPr>
          <w:rFonts w:hint="eastAsia" w:ascii="宋体" w:hAnsi="宋体" w:cs="宋体"/>
          <w:bCs/>
          <w:kern w:val="0"/>
          <w:szCs w:val="24"/>
        </w:rPr>
        <w:t>：</w:t>
      </w:r>
    </w:p>
    <w:p>
      <w:pPr>
        <w:widowControl/>
        <w:spacing w:after="200" w:line="460" w:lineRule="exact"/>
        <w:jc w:val="left"/>
        <w:rPr>
          <w:rFonts w:hint="eastAsia" w:ascii="宋体" w:hAnsi="宋体" w:cs="宋体"/>
          <w:kern w:val="0"/>
          <w:szCs w:val="24"/>
        </w:rPr>
      </w:pPr>
      <w:r>
        <w:rPr>
          <w:rFonts w:hint="eastAsia" w:ascii="宋体" w:hAnsi="宋体" w:cs="宋体"/>
          <w:kern w:val="0"/>
          <w:szCs w:val="24"/>
        </w:rPr>
        <w:t>响应日期：   年   月   日</w:t>
      </w:r>
    </w:p>
    <w:p>
      <w:pPr>
        <w:snapToGrid w:val="0"/>
        <w:spacing w:before="156" w:beforeLines="50" w:after="156" w:afterLines="50"/>
        <w:rPr>
          <w:rFonts w:ascii="宋体" w:hAnsi="宋体" w:eastAsia="Arial"/>
          <w:b/>
          <w:bCs/>
          <w:sz w:val="32"/>
          <w:szCs w:val="32"/>
        </w:rPr>
      </w:pPr>
    </w:p>
    <w:p>
      <w:pPr>
        <w:snapToGrid w:val="0"/>
        <w:spacing w:before="156" w:beforeLines="50" w:after="156" w:afterLines="50"/>
        <w:rPr>
          <w:rFonts w:ascii="宋体" w:hAnsi="宋体" w:eastAsia="Arial"/>
          <w:b/>
          <w:bCs/>
          <w:sz w:val="32"/>
          <w:szCs w:val="32"/>
        </w:rPr>
      </w:pPr>
      <w:r>
        <w:rPr>
          <w:rFonts w:hint="eastAsia" w:ascii="宋体" w:hAnsi="宋体" w:eastAsia="Arial"/>
          <w:b/>
          <w:bCs/>
          <w:sz w:val="32"/>
          <w:szCs w:val="32"/>
        </w:rPr>
        <w:t>9、商务偏离表</w:t>
      </w:r>
    </w:p>
    <w:p>
      <w:pPr>
        <w:widowControl/>
        <w:snapToGrid w:val="0"/>
        <w:spacing w:after="200"/>
        <w:jc w:val="center"/>
        <w:rPr>
          <w:rFonts w:ascii="宋体" w:hAnsi="宋体" w:eastAsia="Arial"/>
          <w:b/>
          <w:spacing w:val="20"/>
          <w:kern w:val="0"/>
          <w:sz w:val="32"/>
          <w:szCs w:val="32"/>
          <w:lang w:eastAsia="en-US"/>
        </w:rPr>
      </w:pPr>
      <w:r>
        <w:rPr>
          <w:rFonts w:hint="eastAsia" w:ascii="宋体" w:hAnsi="宋体" w:eastAsia="Arial"/>
          <w:b/>
          <w:spacing w:val="20"/>
          <w:kern w:val="0"/>
          <w:sz w:val="32"/>
          <w:szCs w:val="32"/>
          <w:lang w:eastAsia="en-US"/>
        </w:rPr>
        <w:t>商务条款偏离表</w:t>
      </w:r>
    </w:p>
    <w:tbl>
      <w:tblPr>
        <w:tblStyle w:val="17"/>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ascii="宋体" w:hAnsi="宋体" w:eastAsia="Arial" w:cs="宋体"/>
                <w:kern w:val="1"/>
                <w:sz w:val="22"/>
                <w:szCs w:val="24"/>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cs="宋体"/>
                <w:kern w:val="1"/>
                <w:sz w:val="22"/>
                <w:szCs w:val="24"/>
                <w:lang w:eastAsia="en-US"/>
              </w:rPr>
              <w:t>响应</w:t>
            </w:r>
            <w:r>
              <w:rPr>
                <w:rFonts w:ascii="宋体" w:hAnsi="宋体" w:eastAsia="Arial" w:cs="宋体"/>
                <w:kern w:val="1"/>
                <w:sz w:val="22"/>
                <w:szCs w:val="24"/>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cs="宋体"/>
                <w:kern w:val="1"/>
                <w:sz w:val="22"/>
                <w:szCs w:val="24"/>
                <w:lang w:eastAsia="en-US"/>
              </w:rPr>
            </w:pPr>
            <w:r>
              <w:rPr>
                <w:rFonts w:hint="eastAsia" w:ascii="宋体" w:hAnsi="宋体" w:eastAsia="Arial" w:cs="宋体"/>
                <w:kern w:val="1"/>
                <w:sz w:val="22"/>
                <w:szCs w:val="24"/>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1</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2</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3</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4</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5</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6</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hint="eastAsia" w:ascii="宋体" w:hAnsi="宋体" w:eastAsia="Arial"/>
                <w:bCs/>
                <w:kern w:val="0"/>
                <w:sz w:val="22"/>
                <w:szCs w:val="24"/>
                <w:lang w:eastAsia="en-US"/>
              </w:rPr>
              <w:t>7</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r>
              <w:rPr>
                <w:rFonts w:ascii="宋体" w:hAnsi="宋体" w:eastAsia="Arial"/>
                <w:bCs/>
                <w:kern w:val="0"/>
                <w:sz w:val="22"/>
                <w:szCs w:val="24"/>
                <w:lang w:eastAsia="en-US"/>
              </w:rPr>
              <w:t>…</w:t>
            </w: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widowControl/>
              <w:snapToGrid w:val="0"/>
              <w:spacing w:after="200"/>
              <w:jc w:val="center"/>
              <w:rPr>
                <w:rFonts w:ascii="宋体" w:hAnsi="宋体" w:eastAsia="Arial"/>
                <w:bCs/>
                <w:kern w:val="0"/>
                <w:sz w:val="22"/>
                <w:szCs w:val="24"/>
                <w:lang w:eastAsia="en-US"/>
              </w:rPr>
            </w:pPr>
          </w:p>
        </w:tc>
        <w:tc>
          <w:tcPr>
            <w:tcW w:w="2213"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pPr>
              <w:widowControl/>
              <w:snapToGrid w:val="0"/>
              <w:spacing w:after="200"/>
              <w:jc w:val="left"/>
              <w:rPr>
                <w:rFonts w:ascii="宋体" w:hAnsi="宋体" w:eastAsia="Arial"/>
                <w:kern w:val="0"/>
                <w:sz w:val="22"/>
                <w:szCs w:val="24"/>
                <w:lang w:eastAsia="en-US"/>
              </w:rPr>
            </w:pPr>
          </w:p>
        </w:tc>
      </w:tr>
    </w:tbl>
    <w:p>
      <w:pPr>
        <w:widowControl/>
        <w:snapToGrid w:val="0"/>
        <w:spacing w:after="200"/>
        <w:ind w:firstLine="440" w:firstLineChars="200"/>
        <w:jc w:val="left"/>
        <w:rPr>
          <w:rFonts w:ascii="宋体" w:hAnsi="宋体" w:eastAsia="Arial"/>
          <w:b/>
          <w:kern w:val="0"/>
          <w:sz w:val="22"/>
          <w:szCs w:val="24"/>
          <w:lang w:eastAsia="en-US"/>
        </w:rPr>
      </w:pPr>
    </w:p>
    <w:p>
      <w:pPr>
        <w:widowControl/>
        <w:autoSpaceDE w:val="0"/>
        <w:autoSpaceDN w:val="0"/>
        <w:adjustRightInd w:val="0"/>
        <w:snapToGrid w:val="0"/>
        <w:spacing w:after="200"/>
        <w:jc w:val="left"/>
        <w:rPr>
          <w:rFonts w:hint="eastAsia" w:ascii="宋体" w:hAnsi="宋体" w:cs="宋体"/>
          <w:kern w:val="0"/>
          <w:szCs w:val="24"/>
        </w:rPr>
      </w:pPr>
      <w:r>
        <w:rPr>
          <w:rFonts w:hint="eastAsia" w:ascii="宋体" w:hAnsi="宋体" w:cs="宋体"/>
          <w:kern w:val="0"/>
          <w:szCs w:val="24"/>
          <w:lang w:val="zh-CN"/>
        </w:rPr>
        <w:t>注：</w:t>
      </w:r>
      <w:r>
        <w:rPr>
          <w:rFonts w:hint="eastAsia" w:ascii="宋体" w:hAnsi="宋体" w:cs="宋体"/>
          <w:kern w:val="0"/>
          <w:szCs w:val="24"/>
        </w:rPr>
        <w:t>1.供应商应在本表中把采购文件商务要求与实际响应商务要求逐项对应列出，并在“偏离说明”项下填写以下内容：优于的，填写“正偏离”；符合的，填写“无偏离”；低于的，填写“负偏离”。</w:t>
      </w:r>
    </w:p>
    <w:p>
      <w:pPr>
        <w:overflowPunct w:val="0"/>
        <w:spacing w:after="200"/>
        <w:rPr>
          <w:rFonts w:hint="eastAsia" w:ascii="宋体" w:hAnsi="宋体" w:cs="宋体"/>
          <w:szCs w:val="24"/>
        </w:rPr>
      </w:pPr>
      <w:r>
        <w:rPr>
          <w:rFonts w:hint="eastAsia" w:ascii="宋体" w:hAnsi="宋体" w:cs="宋体"/>
          <w:szCs w:val="24"/>
        </w:rPr>
        <w:t>2.若事项较多，响应人可根据响应内容的实际情况另纸说明。</w:t>
      </w:r>
    </w:p>
    <w:p>
      <w:pPr>
        <w:widowControl/>
        <w:adjustRightInd w:val="0"/>
        <w:snapToGrid w:val="0"/>
        <w:spacing w:after="200"/>
        <w:jc w:val="left"/>
        <w:rPr>
          <w:rFonts w:hint="eastAsia" w:ascii="宋体" w:hAnsi="宋体" w:cs="宋体"/>
          <w:kern w:val="0"/>
          <w:szCs w:val="24"/>
        </w:rPr>
      </w:pPr>
    </w:p>
    <w:p>
      <w:pPr>
        <w:widowControl/>
        <w:adjustRightInd w:val="0"/>
        <w:snapToGrid w:val="0"/>
        <w:spacing w:after="200"/>
        <w:jc w:val="left"/>
        <w:rPr>
          <w:rFonts w:hint="eastAsia" w:ascii="宋体" w:hAnsi="宋体" w:cs="宋体"/>
          <w:kern w:val="0"/>
          <w:szCs w:val="24"/>
        </w:rPr>
      </w:pPr>
      <w:r>
        <w:rPr>
          <w:rFonts w:hint="eastAsia" w:ascii="宋体" w:hAnsi="宋体" w:cs="宋体"/>
          <w:kern w:val="0"/>
          <w:szCs w:val="24"/>
        </w:rPr>
        <w:t>响应单位：（单位公章）</w:t>
      </w:r>
    </w:p>
    <w:p>
      <w:pPr>
        <w:widowControl/>
        <w:adjustRightInd w:val="0"/>
        <w:snapToGrid w:val="0"/>
        <w:spacing w:after="200"/>
        <w:jc w:val="left"/>
        <w:rPr>
          <w:rFonts w:hint="eastAsia" w:ascii="宋体" w:hAnsi="宋体" w:cs="宋体"/>
          <w:kern w:val="0"/>
          <w:szCs w:val="24"/>
        </w:rPr>
      </w:pPr>
      <w:r>
        <w:rPr>
          <w:rFonts w:hint="eastAsia" w:ascii="宋体" w:hAnsi="宋体" w:cs="宋体"/>
          <w:kern w:val="0"/>
          <w:szCs w:val="24"/>
        </w:rPr>
        <w:t>法定代表人或代理人（签字或盖章）</w:t>
      </w:r>
      <w:r>
        <w:rPr>
          <w:rFonts w:hint="eastAsia" w:ascii="宋体" w:hAnsi="宋体" w:cs="宋体"/>
          <w:bCs/>
          <w:kern w:val="0"/>
          <w:szCs w:val="24"/>
        </w:rPr>
        <w:t>：</w:t>
      </w:r>
    </w:p>
    <w:p>
      <w:pPr>
        <w:widowControl/>
        <w:adjustRightInd w:val="0"/>
        <w:snapToGrid w:val="0"/>
        <w:spacing w:after="200"/>
        <w:jc w:val="left"/>
        <w:rPr>
          <w:rFonts w:hint="eastAsia" w:ascii="宋体" w:hAnsi="宋体" w:cs="宋体"/>
          <w:kern w:val="0"/>
          <w:szCs w:val="24"/>
        </w:rPr>
      </w:pPr>
      <w:r>
        <w:rPr>
          <w:rFonts w:hint="eastAsia" w:ascii="宋体" w:hAnsi="宋体" w:cs="宋体"/>
          <w:bCs/>
          <w:kern w:val="0"/>
          <w:szCs w:val="24"/>
        </w:rPr>
        <w:t>响应日期:   年  月   日</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10、项目技术方案及服务方案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kern w:val="0"/>
          <w:sz w:val="22"/>
        </w:rPr>
      </w:pPr>
      <w:r>
        <w:rPr>
          <w:rFonts w:ascii="宋体" w:hAnsi="宋体" w:cs="宋体"/>
          <w:kern w:val="0"/>
        </w:rPr>
        <w:t>响应人根据项目需求编写针对本项目的技术方案及服务方案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11、项目实施方案及进度方案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kern w:val="0"/>
          <w:sz w:val="22"/>
        </w:rPr>
      </w:pPr>
      <w:r>
        <w:rPr>
          <w:rFonts w:ascii="宋体" w:hAnsi="宋体" w:cs="宋体"/>
          <w:kern w:val="0"/>
        </w:rPr>
        <w:t>响应人根据项目需求编写针对本项目的实施方案及进度方案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12、项目质量保证措施及承诺</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kern w:val="0"/>
          <w:sz w:val="22"/>
        </w:rPr>
      </w:pPr>
      <w:r>
        <w:rPr>
          <w:rFonts w:ascii="宋体" w:hAnsi="宋体" w:cs="宋体"/>
          <w:kern w:val="0"/>
        </w:rPr>
        <w:t>响应人根据项目需求编写针对本项目的质量保证措施及承诺</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13、项目售后服务方案</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 </w:t>
      </w:r>
    </w:p>
    <w:p>
      <w:pPr>
        <w:widowControl/>
        <w:pBdr>
          <w:top w:val="none" w:color="000000" w:sz="0" w:space="0"/>
          <w:left w:val="none" w:color="000000" w:sz="0" w:space="0"/>
          <w:bottom w:val="none" w:color="000000" w:sz="0" w:space="0"/>
          <w:right w:val="none" w:color="000000" w:sz="0" w:space="0"/>
        </w:pBdr>
        <w:spacing w:line="276" w:lineRule="auto"/>
        <w:ind w:firstLine="708"/>
        <w:rPr>
          <w:rFonts w:ascii="Arial" w:hAnsi="Arial" w:eastAsia="Arial"/>
          <w:kern w:val="0"/>
          <w:sz w:val="22"/>
        </w:rPr>
      </w:pPr>
      <w:r>
        <w:rPr>
          <w:rFonts w:ascii="宋体" w:hAnsi="宋体" w:cs="宋体"/>
          <w:kern w:val="0"/>
        </w:rPr>
        <w:t>响应人根据项目需求编写针对本项目的售后服务方案</w:t>
      </w:r>
    </w:p>
    <w:p>
      <w:pPr>
        <w:widowControl/>
        <w:spacing w:after="200" w:line="276" w:lineRule="auto"/>
        <w:jc w:val="left"/>
        <w:rPr>
          <w:rFonts w:ascii="宋体" w:hAnsi="宋体" w:eastAsia="Arial"/>
          <w:b/>
          <w:kern w:val="0"/>
          <w:sz w:val="28"/>
          <w:szCs w:val="32"/>
        </w:rPr>
      </w:pPr>
      <w:r>
        <w:rPr>
          <w:rFonts w:ascii="宋体" w:hAnsi="宋体" w:eastAsia="Arial"/>
          <w:b/>
          <w:kern w:val="0"/>
          <w:sz w:val="28"/>
          <w:szCs w:val="32"/>
        </w:rPr>
        <w:br w:type="page"/>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14、企业类似业绩一览表</w:t>
      </w:r>
      <w:r>
        <w:rPr>
          <w:rFonts w:hint="eastAsia" w:ascii="宋体" w:hAnsi="宋体" w:cs="宋体"/>
          <w:b/>
          <w:kern w:val="0"/>
          <w:sz w:val="32"/>
        </w:rPr>
        <w:t>（如有）</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28"/>
        </w:rPr>
        <w:t> </w:t>
      </w:r>
    </w:p>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rPr>
      </w:pPr>
      <w:r>
        <w:rPr>
          <w:rFonts w:ascii="宋体" w:hAnsi="宋体" w:cs="宋体"/>
          <w:b/>
          <w:kern w:val="0"/>
          <w:sz w:val="28"/>
        </w:rPr>
        <w:t>企业类似业绩一览表</w:t>
      </w:r>
    </w:p>
    <w:tbl>
      <w:tblPr>
        <w:tblStyle w:val="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14"/>
        <w:gridCol w:w="1091"/>
        <w:gridCol w:w="1160"/>
        <w:gridCol w:w="1591"/>
        <w:gridCol w:w="105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序号</w:t>
            </w:r>
          </w:p>
        </w:tc>
        <w:tc>
          <w:tcPr>
            <w:tcW w:w="11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项目名称</w:t>
            </w:r>
          </w:p>
        </w:tc>
        <w:tc>
          <w:tcPr>
            <w:tcW w:w="10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项目时间</w:t>
            </w:r>
          </w:p>
        </w:tc>
        <w:tc>
          <w:tcPr>
            <w:tcW w:w="11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合同金额</w:t>
            </w:r>
          </w:p>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1</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2</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3</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4</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5</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6</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kern w:val="0"/>
                <w:sz w:val="22"/>
                <w:lang w:eastAsia="en-US"/>
              </w:rPr>
            </w:pPr>
            <w:r>
              <w:rPr>
                <w:rFonts w:ascii="宋体" w:hAnsi="宋体" w:cs="宋体"/>
                <w:kern w:val="0"/>
                <w:lang w:eastAsia="en-US"/>
              </w:rPr>
              <w:t> </w:t>
            </w:r>
          </w:p>
        </w:tc>
      </w:tr>
    </w:tbl>
    <w:p>
      <w:pPr>
        <w:widowControl/>
        <w:pBdr>
          <w:top w:val="none" w:color="000000" w:sz="0" w:space="0"/>
          <w:left w:val="none" w:color="000000" w:sz="0" w:space="0"/>
          <w:bottom w:val="none" w:color="000000" w:sz="0" w:space="0"/>
          <w:right w:val="none" w:color="000000" w:sz="0" w:space="0"/>
        </w:pBdr>
        <w:spacing w:line="439" w:lineRule="atLeast"/>
        <w:ind w:firstLine="240"/>
        <w:rPr>
          <w:rFonts w:ascii="Arial" w:hAnsi="Arial" w:eastAsia="Arial"/>
          <w:kern w:val="0"/>
          <w:sz w:val="22"/>
        </w:rPr>
      </w:pPr>
      <w:r>
        <w:rPr>
          <w:rFonts w:ascii="宋体" w:hAnsi="宋体" w:cs="宋体"/>
          <w:kern w:val="0"/>
        </w:rPr>
        <w:t>附：按照</w:t>
      </w:r>
      <w:r>
        <w:rPr>
          <w:rFonts w:hint="eastAsia" w:ascii="宋体" w:hAnsi="宋体" w:cs="宋体"/>
          <w:kern w:val="0"/>
        </w:rPr>
        <w:t>采购文件</w:t>
      </w:r>
      <w:r>
        <w:rPr>
          <w:rFonts w:ascii="宋体" w:hAnsi="宋体" w:cs="宋体"/>
          <w:kern w:val="0"/>
        </w:rPr>
        <w:t>要求及评分标准提供相应证明材料</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 xml:space="preserve">响应单位（单位盖章）： </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法定代表人或代理人（签字或盖章）：</w:t>
      </w:r>
    </w:p>
    <w:p>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kern w:val="0"/>
          <w:sz w:val="22"/>
        </w:rPr>
      </w:pPr>
      <w:r>
        <w:rPr>
          <w:rFonts w:ascii="宋体" w:hAnsi="宋体" w:cs="宋体"/>
          <w:kern w:val="0"/>
        </w:rPr>
        <w:t>日期：年月日</w:t>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Arial" w:hAnsi="Arial" w:eastAsia="Arial"/>
          <w:kern w:val="0"/>
          <w:sz w:val="22"/>
        </w:rPr>
        <w:br w:type="page" w:clear="all"/>
      </w:r>
    </w:p>
    <w:p>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kern w:val="0"/>
          <w:sz w:val="22"/>
        </w:rPr>
      </w:pPr>
      <w:r>
        <w:rPr>
          <w:rFonts w:ascii="宋体" w:hAnsi="宋体" w:cs="宋体"/>
          <w:b/>
          <w:kern w:val="0"/>
          <w:sz w:val="32"/>
        </w:rPr>
        <w:t>15、拟投入本项目的专业技术（服务）人员情况一览表</w:t>
      </w:r>
    </w:p>
    <w:p>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kern w:val="0"/>
          <w:sz w:val="22"/>
        </w:rPr>
      </w:pPr>
      <w:r>
        <w:rPr>
          <w:rFonts w:ascii="宋体" w:hAnsi="宋体" w:cs="宋体"/>
          <w:b/>
          <w:kern w:val="0"/>
          <w:sz w:val="28"/>
        </w:rPr>
        <w:t>拟投入本项目的专业技术（服务）人员情况一览表</w:t>
      </w:r>
    </w:p>
    <w:tbl>
      <w:tblPr>
        <w:tblStyle w:val="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0"/>
        <w:gridCol w:w="1726"/>
        <w:gridCol w:w="1126"/>
        <w:gridCol w:w="943"/>
        <w:gridCol w:w="740"/>
        <w:gridCol w:w="1002"/>
        <w:gridCol w:w="1595"/>
        <w:gridCol w:w="88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b/>
                <w:kern w:val="0"/>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1"/>
              <w:rPr>
                <w:rFonts w:ascii="Arial" w:hAnsi="Arial" w:eastAsia="Arial"/>
                <w:kern w:val="0"/>
                <w:sz w:val="22"/>
                <w:lang w:eastAsia="en-US"/>
              </w:rPr>
            </w:pPr>
            <w:r>
              <w:rPr>
                <w:rFonts w:ascii="宋体" w:hAnsi="宋体" w:cs="宋体"/>
                <w:b/>
                <w:kern w:val="0"/>
                <w:lang w:eastAsia="en-US"/>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0"/>
              <w:rPr>
                <w:rFonts w:ascii="Arial" w:hAnsi="Arial" w:eastAsia="Arial"/>
                <w:kern w:val="0"/>
                <w:sz w:val="22"/>
                <w:lang w:eastAsia="en-US"/>
              </w:rPr>
            </w:pPr>
            <w:r>
              <w:rPr>
                <w:rFonts w:ascii="宋体" w:hAnsi="宋体" w:cs="宋体"/>
                <w:kern w:val="0"/>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0"/>
              <w:rPr>
                <w:rFonts w:ascii="Arial" w:hAnsi="Arial" w:eastAsia="Arial"/>
                <w:kern w:val="0"/>
                <w:sz w:val="22"/>
                <w:lang w:eastAsia="en-US"/>
              </w:rPr>
            </w:pPr>
            <w:r>
              <w:rPr>
                <w:rFonts w:ascii="宋体" w:hAnsi="宋体" w:cs="宋体"/>
                <w:kern w:val="0"/>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210"/>
              <w:rPr>
                <w:rFonts w:ascii="Arial" w:hAnsi="Arial" w:eastAsia="Arial"/>
                <w:kern w:val="0"/>
                <w:sz w:val="22"/>
                <w:lang w:eastAsia="en-US"/>
              </w:rPr>
            </w:pPr>
            <w:r>
              <w:rPr>
                <w:rFonts w:ascii="宋体" w:hAnsi="宋体" w:cs="宋体"/>
                <w:kern w:val="0"/>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jc w:val="center"/>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widowControl/>
              <w:pBdr>
                <w:top w:val="none" w:color="000000" w:sz="0" w:space="0"/>
                <w:left w:val="none" w:color="000000" w:sz="0" w:space="0"/>
                <w:bottom w:val="none" w:color="000000" w:sz="0" w:space="0"/>
                <w:right w:val="none" w:color="000000" w:sz="0" w:space="0"/>
              </w:pBdr>
              <w:ind w:firstLine="480"/>
              <w:rPr>
                <w:rFonts w:ascii="Arial" w:hAnsi="Arial" w:eastAsia="Arial"/>
                <w:kern w:val="0"/>
                <w:sz w:val="22"/>
                <w:lang w:eastAsia="en-US"/>
              </w:rPr>
            </w:pPr>
            <w:r>
              <w:rPr>
                <w:rFonts w:ascii="宋体" w:hAnsi="宋体" w:cs="宋体"/>
                <w:kern w:val="0"/>
                <w:lang w:eastAsia="en-US"/>
              </w:rPr>
              <w:t> </w:t>
            </w:r>
          </w:p>
        </w:tc>
      </w:tr>
    </w:tbl>
    <w:p>
      <w:pPr>
        <w:widowControl/>
        <w:pBdr>
          <w:top w:val="none" w:color="000000" w:sz="0" w:space="0"/>
          <w:left w:val="none" w:color="000000" w:sz="0" w:space="0"/>
          <w:bottom w:val="none" w:color="000000" w:sz="0" w:space="0"/>
          <w:right w:val="none" w:color="000000" w:sz="0" w:space="0"/>
        </w:pBdr>
        <w:spacing w:line="419" w:lineRule="atLeast"/>
        <w:jc w:val="left"/>
        <w:rPr>
          <w:rFonts w:ascii="Arial" w:hAnsi="Arial" w:eastAsia="Arial"/>
          <w:kern w:val="0"/>
          <w:sz w:val="22"/>
        </w:rPr>
      </w:pPr>
      <w:r>
        <w:rPr>
          <w:rFonts w:ascii="宋体" w:hAnsi="宋体" w:cs="宋体"/>
          <w:kern w:val="0"/>
        </w:rPr>
        <w:t>附：1、按照</w:t>
      </w:r>
      <w:r>
        <w:rPr>
          <w:rFonts w:hint="eastAsia" w:ascii="宋体" w:hAnsi="宋体" w:cs="宋体"/>
          <w:kern w:val="0"/>
        </w:rPr>
        <w:t>采购文件</w:t>
      </w:r>
      <w:r>
        <w:rPr>
          <w:rFonts w:ascii="宋体" w:hAnsi="宋体" w:cs="宋体"/>
          <w:kern w:val="0"/>
        </w:rPr>
        <w:t>要求提供相应资质证明材料。</w:t>
      </w:r>
    </w:p>
    <w:p>
      <w:pPr>
        <w:widowControl/>
        <w:pBdr>
          <w:top w:val="none" w:color="000000" w:sz="0" w:space="0"/>
          <w:left w:val="none" w:color="000000" w:sz="0" w:space="0"/>
          <w:bottom w:val="none" w:color="000000" w:sz="0" w:space="0"/>
          <w:right w:val="none" w:color="000000" w:sz="0" w:space="0"/>
        </w:pBdr>
        <w:spacing w:line="419" w:lineRule="atLeast"/>
        <w:rPr>
          <w:rFonts w:ascii="Arial" w:hAnsi="Arial" w:eastAsia="Arial"/>
          <w:kern w:val="0"/>
          <w:sz w:val="22"/>
        </w:rPr>
      </w:pPr>
      <w:r>
        <w:rPr>
          <w:rFonts w:ascii="宋体" w:hAnsi="宋体" w:cs="宋体"/>
          <w:kern w:val="0"/>
        </w:rPr>
        <w:t> </w:t>
      </w:r>
    </w:p>
    <w:p>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kern w:val="0"/>
          <w:sz w:val="22"/>
        </w:rPr>
      </w:pPr>
      <w:r>
        <w:rPr>
          <w:rFonts w:ascii="宋体" w:hAnsi="宋体" w:cs="宋体"/>
          <w:kern w:val="0"/>
          <w:sz w:val="28"/>
        </w:rPr>
        <w:t> </w:t>
      </w:r>
    </w:p>
    <w:p>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kern w:val="0"/>
          <w:sz w:val="22"/>
        </w:rPr>
      </w:pPr>
      <w:r>
        <w:rPr>
          <w:rFonts w:ascii="宋体" w:hAnsi="宋体" w:cs="宋体"/>
          <w:kern w:val="0"/>
          <w:sz w:val="28"/>
        </w:rPr>
        <w:t> </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 xml:space="preserve">响应单位（单位盖章）： </w:t>
      </w:r>
    </w:p>
    <w:p>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kern w:val="0"/>
          <w:sz w:val="22"/>
        </w:rPr>
      </w:pPr>
      <w:r>
        <w:rPr>
          <w:rFonts w:ascii="宋体" w:hAnsi="宋体" w:cs="宋体"/>
          <w:kern w:val="0"/>
        </w:rPr>
        <w:t>法定代表人或代理人（签字或盖章）</w:t>
      </w:r>
    </w:p>
    <w:p>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kern w:val="0"/>
          <w:sz w:val="22"/>
        </w:rPr>
      </w:pPr>
      <w:r>
        <w:rPr>
          <w:rFonts w:ascii="宋体" w:hAnsi="宋体" w:cs="宋体"/>
          <w:kern w:val="0"/>
        </w:rPr>
        <w:t>日期：年月日</w:t>
      </w: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kern w:val="0"/>
          <w:sz w:val="28"/>
        </w:rPr>
      </w:pPr>
    </w:p>
    <w:p>
      <w:pPr>
        <w:rPr>
          <w:rFonts w:hint="eastAsia" w:ascii="宋体" w:hAnsi="宋体" w:cs="宋体"/>
          <w:b/>
          <w:kern w:val="0"/>
          <w:szCs w:val="24"/>
        </w:rPr>
      </w:pPr>
    </w:p>
    <w:p>
      <w:pPr>
        <w:rPr>
          <w:rFonts w:hint="eastAsia" w:ascii="宋体" w:hAnsi="宋体" w:cs="宋体"/>
          <w:b/>
          <w:szCs w:val="24"/>
        </w:rPr>
      </w:pPr>
      <w:r>
        <w:rPr>
          <w:rFonts w:hint="eastAsia" w:ascii="宋体" w:hAnsi="宋体" w:cs="宋体"/>
          <w:b/>
          <w:kern w:val="0"/>
          <w:szCs w:val="24"/>
        </w:rPr>
        <w:t>16、</w:t>
      </w:r>
      <w:r>
        <w:rPr>
          <w:rFonts w:hint="eastAsia" w:ascii="宋体" w:hAnsi="宋体" w:cs="宋体"/>
          <w:b/>
          <w:kern w:val="0"/>
          <w:sz w:val="32"/>
        </w:rPr>
        <w:t xml:space="preserve">中小企业声明函 </w:t>
      </w:r>
      <w:r>
        <w:rPr>
          <w:rFonts w:hint="eastAsia" w:ascii="宋体" w:hAnsi="宋体" w:cs="宋体"/>
          <w:b/>
          <w:szCs w:val="24"/>
        </w:rPr>
        <w:t xml:space="preserve">                  </w:t>
      </w:r>
    </w:p>
    <w:p>
      <w:pPr>
        <w:spacing w:line="460" w:lineRule="exact"/>
        <w:rPr>
          <w:rFonts w:hint="eastAsia" w:ascii="宋体" w:hAnsi="宋体" w:cs="宋体"/>
          <w:b/>
          <w:szCs w:val="24"/>
        </w:rPr>
      </w:pPr>
      <w:r>
        <w:rPr>
          <w:rFonts w:hint="eastAsia" w:ascii="宋体" w:hAnsi="宋体" w:cs="宋体"/>
          <w:b/>
          <w:szCs w:val="24"/>
        </w:rPr>
        <w:t xml:space="preserve">                        </w:t>
      </w:r>
    </w:p>
    <w:p>
      <w:pPr>
        <w:pBdr>
          <w:top w:val="none" w:color="000000" w:sz="0" w:space="0"/>
          <w:left w:val="none" w:color="000000" w:sz="0" w:space="0"/>
          <w:bottom w:val="none" w:color="000000" w:sz="0" w:space="0"/>
          <w:right w:val="none" w:color="000000" w:sz="0" w:space="0"/>
        </w:pBdr>
        <w:jc w:val="center"/>
        <w:rPr>
          <w:rFonts w:hint="eastAsia" w:ascii="宋体" w:hAnsi="宋体" w:cs="宋体"/>
          <w:szCs w:val="24"/>
        </w:rPr>
      </w:pPr>
      <w:bookmarkStart w:id="212" w:name="OLE_LINK4"/>
      <w:r>
        <w:rPr>
          <w:rFonts w:hint="eastAsia" w:ascii="宋体" w:hAnsi="宋体" w:cs="宋体"/>
          <w:szCs w:val="24"/>
        </w:rPr>
        <w:t>中小企业声明函（服务）</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本公司郑重声明，根据《政府采购促进中小企业发展管理办法》（财库﹝2020﹞46号）的规定，本公司参加</w:t>
      </w:r>
      <w:r>
        <w:rPr>
          <w:rFonts w:hint="eastAsia" w:ascii="宋体" w:hAnsi="宋体" w:cs="宋体"/>
          <w:szCs w:val="24"/>
          <w:u w:val="single"/>
        </w:rPr>
        <w:t>（</w:t>
      </w:r>
      <w:r>
        <w:rPr>
          <w:rFonts w:hint="eastAsia" w:ascii="宋体" w:hAnsi="宋体" w:cs="宋体"/>
          <w:i/>
          <w:szCs w:val="24"/>
          <w:u w:val="single"/>
        </w:rPr>
        <w:t>单位名称）</w:t>
      </w:r>
      <w:r>
        <w:rPr>
          <w:rFonts w:hint="eastAsia" w:ascii="宋体" w:hAnsi="宋体" w:cs="宋体"/>
          <w:szCs w:val="24"/>
        </w:rPr>
        <w:t>的</w:t>
      </w:r>
      <w:r>
        <w:rPr>
          <w:rFonts w:hint="eastAsia" w:ascii="宋体" w:hAnsi="宋体" w:cs="宋体"/>
          <w:i/>
          <w:szCs w:val="24"/>
          <w:u w:val="single"/>
        </w:rPr>
        <w:t>（项目名称）</w:t>
      </w:r>
      <w:r>
        <w:rPr>
          <w:rFonts w:hint="eastAsia" w:ascii="宋体" w:hAnsi="宋体" w:cs="宋体"/>
          <w:szCs w:val="24"/>
        </w:rPr>
        <w:t>采购活动，服务全部由符合政策要求的中小企业承接。相关企业的具体情况如下：</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1、</w:t>
      </w:r>
      <w:r>
        <w:rPr>
          <w:rFonts w:hint="eastAsia" w:ascii="宋体" w:hAnsi="宋体" w:cs="宋体"/>
          <w:i/>
          <w:szCs w:val="24"/>
          <w:u w:val="single"/>
        </w:rPr>
        <w:t>（标的名称）</w:t>
      </w:r>
      <w:r>
        <w:rPr>
          <w:rFonts w:hint="eastAsia" w:ascii="宋体" w:hAnsi="宋体" w:cs="宋体"/>
          <w:szCs w:val="24"/>
        </w:rPr>
        <w:t>，属于</w:t>
      </w:r>
      <w:r>
        <w:rPr>
          <w:rFonts w:hint="eastAsia" w:ascii="宋体" w:hAnsi="宋体" w:cs="宋体"/>
          <w:szCs w:val="24"/>
          <w:u w:val="single"/>
        </w:rPr>
        <w:t xml:space="preserve">  软件和信息技术服务业  </w:t>
      </w:r>
      <w:r>
        <w:rPr>
          <w:rFonts w:hint="eastAsia" w:ascii="宋体" w:hAnsi="宋体" w:cs="宋体"/>
          <w:i/>
          <w:szCs w:val="24"/>
        </w:rPr>
        <w:t>行业</w:t>
      </w:r>
      <w:r>
        <w:rPr>
          <w:rFonts w:hint="eastAsia" w:ascii="宋体" w:hAnsi="宋体" w:cs="宋体"/>
          <w:szCs w:val="24"/>
        </w:rPr>
        <w:t>；承接企业为</w:t>
      </w:r>
      <w:r>
        <w:rPr>
          <w:rFonts w:hint="eastAsia" w:ascii="宋体" w:hAnsi="宋体" w:cs="宋体"/>
          <w:i/>
          <w:szCs w:val="24"/>
          <w:u w:val="single"/>
        </w:rPr>
        <w:t>（企业名称）</w:t>
      </w:r>
      <w:r>
        <w:rPr>
          <w:rFonts w:hint="eastAsia" w:ascii="宋体" w:hAnsi="宋体" w:cs="宋体"/>
          <w:szCs w:val="24"/>
        </w:rPr>
        <w:t>，从业人员</w:t>
      </w:r>
      <w:r>
        <w:rPr>
          <w:rFonts w:hint="eastAsia" w:ascii="宋体" w:hAnsi="宋体" w:cs="宋体"/>
          <w:szCs w:val="24"/>
          <w:u w:val="single"/>
        </w:rPr>
        <w:t xml:space="preserve">         </w:t>
      </w:r>
      <w:r>
        <w:rPr>
          <w:rFonts w:hint="eastAsia" w:ascii="宋体" w:hAnsi="宋体" w:cs="宋体"/>
          <w:szCs w:val="24"/>
        </w:rPr>
        <w:t>人，营业收入为</w:t>
      </w:r>
      <w:r>
        <w:rPr>
          <w:rFonts w:hint="eastAsia" w:ascii="宋体" w:hAnsi="宋体" w:cs="宋体"/>
          <w:szCs w:val="24"/>
          <w:u w:val="single"/>
        </w:rPr>
        <w:t xml:space="preserve">         </w:t>
      </w:r>
      <w:r>
        <w:rPr>
          <w:rFonts w:hint="eastAsia" w:ascii="宋体" w:hAnsi="宋体" w:cs="宋体"/>
          <w:szCs w:val="24"/>
        </w:rPr>
        <w:t>万元，资产总额为</w:t>
      </w:r>
      <w:r>
        <w:rPr>
          <w:rFonts w:hint="eastAsia" w:ascii="宋体" w:hAnsi="宋体" w:cs="宋体"/>
          <w:szCs w:val="24"/>
          <w:u w:val="single"/>
        </w:rPr>
        <w:t xml:space="preserve">         </w:t>
      </w:r>
      <w:r>
        <w:rPr>
          <w:rFonts w:hint="eastAsia" w:ascii="宋体" w:hAnsi="宋体" w:cs="宋体"/>
          <w:szCs w:val="24"/>
        </w:rPr>
        <w:t>万元</w:t>
      </w: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1"/>
          <w:rFonts w:hint="eastAsia" w:ascii="宋体" w:hAnsi="宋体" w:cs="宋体"/>
          <w:color w:val="auto"/>
          <w:szCs w:val="24"/>
          <w:u w:val="none"/>
        </w:rPr>
        <w:t>1</w:t>
      </w:r>
      <w:r>
        <w:rPr>
          <w:rStyle w:val="21"/>
          <w:rFonts w:hint="eastAsia" w:ascii="宋体" w:hAnsi="宋体" w:cs="宋体"/>
          <w:color w:val="auto"/>
          <w:szCs w:val="24"/>
          <w:u w:val="none"/>
        </w:rPr>
        <w:fldChar w:fldCharType="end"/>
      </w:r>
      <w:r>
        <w:rPr>
          <w:rFonts w:hint="eastAsia" w:ascii="宋体" w:hAnsi="宋体" w:cs="宋体"/>
          <w:szCs w:val="24"/>
        </w:rPr>
        <w:t>，属于</w:t>
      </w:r>
      <w:r>
        <w:rPr>
          <w:rFonts w:hint="eastAsia" w:ascii="宋体" w:hAnsi="宋体" w:cs="宋体"/>
          <w:szCs w:val="24"/>
          <w:u w:val="single"/>
        </w:rPr>
        <w:t xml:space="preserve">         </w:t>
      </w:r>
      <w:r>
        <w:rPr>
          <w:rFonts w:hint="eastAsia" w:ascii="宋体" w:hAnsi="宋体" w:cs="宋体"/>
          <w:i/>
          <w:szCs w:val="24"/>
        </w:rPr>
        <w:t>（中型企业、小型企业、微型企业，三者选一填写）</w:t>
      </w:r>
      <w:r>
        <w:rPr>
          <w:rFonts w:hint="eastAsia" w:ascii="宋体" w:hAnsi="宋体" w:cs="宋体"/>
          <w:szCs w:val="24"/>
        </w:rPr>
        <w:t>；</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cs="宋体"/>
          <w:szCs w:val="24"/>
        </w:rPr>
      </w:pPr>
      <w:r>
        <w:rPr>
          <w:rFonts w:hint="eastAsia" w:ascii="宋体" w:hAnsi="宋体" w:cs="宋体"/>
          <w:szCs w:val="24"/>
        </w:rPr>
        <w:t>本企业对上述声明内容的真实性负责。如有虚假，将依法承担相应责任。</w:t>
      </w:r>
    </w:p>
    <w:p>
      <w:pPr>
        <w:pBdr>
          <w:top w:val="none" w:color="000000" w:sz="0" w:space="0"/>
          <w:left w:val="none" w:color="000000" w:sz="0" w:space="0"/>
          <w:bottom w:val="none" w:color="000000" w:sz="0" w:space="0"/>
          <w:right w:val="none" w:color="000000" w:sz="0" w:space="0"/>
        </w:pBdr>
        <w:spacing w:line="439" w:lineRule="atLeast"/>
        <w:ind w:right="960" w:firstLine="4800"/>
        <w:rPr>
          <w:rFonts w:hint="eastAsia" w:ascii="宋体" w:hAnsi="宋体" w:cs="宋体"/>
          <w:szCs w:val="24"/>
        </w:rPr>
      </w:pPr>
      <w:r>
        <w:rPr>
          <w:rFonts w:hint="eastAsia" w:ascii="宋体" w:hAnsi="宋体" w:cs="宋体"/>
          <w:szCs w:val="24"/>
        </w:rPr>
        <w:t>企业名称（盖章）：</w:t>
      </w:r>
    </w:p>
    <w:p>
      <w:pPr>
        <w:pBdr>
          <w:top w:val="none" w:color="000000" w:sz="0" w:space="0"/>
          <w:left w:val="none" w:color="000000" w:sz="0" w:space="0"/>
          <w:bottom w:val="none" w:color="000000" w:sz="0" w:space="0"/>
          <w:right w:val="none" w:color="000000" w:sz="0" w:space="0"/>
        </w:pBdr>
        <w:spacing w:line="439" w:lineRule="atLeast"/>
        <w:ind w:right="1120" w:firstLine="4800"/>
        <w:rPr>
          <w:rFonts w:hint="eastAsia" w:ascii="宋体" w:hAnsi="宋体" w:cs="宋体"/>
          <w:szCs w:val="24"/>
        </w:rPr>
      </w:pPr>
      <w:r>
        <w:rPr>
          <w:rFonts w:hint="eastAsia" w:ascii="宋体" w:hAnsi="宋体" w:cs="宋体"/>
          <w:szCs w:val="24"/>
        </w:rPr>
        <w:t>日期：</w:t>
      </w:r>
    </w:p>
    <w:p>
      <w:pPr>
        <w:pBdr>
          <w:top w:val="none" w:color="000000" w:sz="0" w:space="0"/>
          <w:left w:val="none" w:color="000000" w:sz="0" w:space="0"/>
          <w:bottom w:val="none" w:color="000000" w:sz="0" w:space="0"/>
          <w:right w:val="none" w:color="000000" w:sz="0" w:space="0"/>
        </w:pBdr>
        <w:spacing w:line="439" w:lineRule="atLeast"/>
        <w:rPr>
          <w:rFonts w:hint="eastAsia" w:ascii="宋体" w:hAnsi="宋体" w:cs="宋体"/>
          <w:szCs w:val="24"/>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1"/>
          <w:rFonts w:hint="eastAsia" w:ascii="宋体" w:hAnsi="宋体" w:cs="宋体"/>
          <w:color w:val="auto"/>
          <w:szCs w:val="24"/>
          <w:u w:val="none"/>
        </w:rPr>
        <w:t>1</w:t>
      </w:r>
      <w:r>
        <w:rPr>
          <w:rStyle w:val="21"/>
          <w:rFonts w:hint="eastAsia" w:ascii="宋体" w:hAnsi="宋体" w:cs="宋体"/>
          <w:color w:val="auto"/>
          <w:szCs w:val="24"/>
          <w:u w:val="none"/>
        </w:rPr>
        <w:fldChar w:fldCharType="end"/>
      </w:r>
      <w:r>
        <w:rPr>
          <w:rFonts w:hint="eastAsia" w:ascii="宋体" w:hAnsi="宋体" w:cs="宋体"/>
          <w:szCs w:val="24"/>
        </w:rPr>
        <w:t>从业人员、营业收入、资产总额填报上一年度数据，无上一年度数据的新成立企业可不填报，但须提供情况说明。</w:t>
      </w:r>
    </w:p>
    <w:p>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cs="宋体"/>
          <w:szCs w:val="24"/>
        </w:rPr>
      </w:pPr>
      <w:r>
        <w:rPr>
          <w:rFonts w:hint="eastAsia" w:ascii="宋体" w:hAnsi="宋体" w:cs="宋体"/>
          <w:b/>
          <w:szCs w:val="24"/>
        </w:rPr>
        <w:t>备注：</w:t>
      </w:r>
    </w:p>
    <w:p>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szCs w:val="24"/>
        </w:rPr>
      </w:pPr>
      <w:r>
        <w:rPr>
          <w:rFonts w:hint="eastAsia" w:ascii="宋体" w:hAnsi="宋体" w:cs="宋体"/>
          <w:szCs w:val="24"/>
        </w:rPr>
        <w:t>1、</w:t>
      </w:r>
      <w:r>
        <w:rPr>
          <w:rFonts w:hint="eastAsia" w:ascii="宋体" w:hAnsi="宋体" w:cs="宋体"/>
          <w:b/>
          <w:szCs w:val="24"/>
        </w:rPr>
        <w:t>本项目专门面向中小企业采购，响应供应商应提供中小企业声明函或残疾人福利性单位声明函或省级以上监狱管理局、戒毒管理局（含新疆生产建设兵团）出具的属于监狱企业的证明文件,否则视为响应无效。</w:t>
      </w:r>
    </w:p>
    <w:p>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cs="宋体"/>
          <w:szCs w:val="24"/>
        </w:rPr>
      </w:pPr>
      <w:r>
        <w:rPr>
          <w:rFonts w:hint="eastAsia" w:ascii="宋体" w:hAnsi="宋体" w:cs="宋体"/>
          <w:szCs w:val="24"/>
        </w:rPr>
        <w:t>2、响应供应商提供的中小企业声明函必须包含本项目所有服务及其服务承接企业，并按照声明函格式填写完整、明确，否则视为未按规定提供声明函，响应无效。</w:t>
      </w:r>
    </w:p>
    <w:p>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cs="宋体"/>
          <w:szCs w:val="24"/>
        </w:rPr>
      </w:pPr>
      <w:r>
        <w:rPr>
          <w:rFonts w:hint="eastAsia" w:ascii="宋体" w:hAnsi="宋体" w:cs="宋体"/>
          <w:szCs w:val="24"/>
        </w:rPr>
        <w:t>3、中标、成交供应商享受规定的中小企业扶持政策的，《中小企业声明函》应当随中标、成交结果同时公告，接受社会监督。</w:t>
      </w:r>
      <w:bookmarkEnd w:id="212"/>
    </w:p>
    <w:p>
      <w:pPr>
        <w:spacing w:line="400" w:lineRule="exact"/>
        <w:ind w:firstLine="480"/>
        <w:rPr>
          <w:rFonts w:hint="eastAsia" w:ascii="宋体" w:hAnsi="宋体" w:cs="宋体"/>
          <w:szCs w:val="24"/>
        </w:rPr>
      </w:pPr>
    </w:p>
    <w:p>
      <w:pPr>
        <w:spacing w:line="400" w:lineRule="exact"/>
        <w:ind w:firstLine="480"/>
        <w:rPr>
          <w:rFonts w:hint="eastAsia" w:ascii="宋体" w:hAnsi="宋体" w:cs="宋体"/>
          <w:szCs w:val="24"/>
        </w:rPr>
      </w:pPr>
    </w:p>
    <w:p>
      <w:pPr>
        <w:spacing w:line="500" w:lineRule="exact"/>
        <w:ind w:firstLine="480"/>
        <w:rPr>
          <w:rFonts w:hint="eastAsia" w:ascii="宋体" w:hAnsi="宋体" w:cs="宋体"/>
          <w:szCs w:val="24"/>
        </w:rPr>
      </w:pPr>
    </w:p>
    <w:p>
      <w:pPr>
        <w:pStyle w:val="15"/>
        <w:rPr>
          <w:rFonts w:hint="eastAsia" w:ascii="宋体" w:hAnsi="宋体" w:eastAsia="宋体" w:cs="宋体"/>
        </w:rPr>
      </w:pPr>
    </w:p>
    <w:p>
      <w:pPr>
        <w:outlineLvl w:val="0"/>
        <w:rPr>
          <w:rFonts w:hint="eastAsia" w:ascii="宋体" w:hAnsi="宋体" w:cs="宋体"/>
          <w:b/>
          <w:szCs w:val="24"/>
        </w:rPr>
      </w:pPr>
    </w:p>
    <w:p>
      <w:pPr>
        <w:outlineLvl w:val="0"/>
        <w:rPr>
          <w:rFonts w:hint="eastAsia" w:ascii="宋体" w:hAnsi="宋体" w:cs="宋体"/>
          <w:b/>
          <w:szCs w:val="24"/>
        </w:rPr>
      </w:pPr>
    </w:p>
    <w:p>
      <w:pPr>
        <w:outlineLvl w:val="0"/>
        <w:rPr>
          <w:rFonts w:hint="eastAsia" w:ascii="宋体" w:hAnsi="宋体" w:cs="宋体"/>
          <w:b/>
          <w:kern w:val="0"/>
          <w:sz w:val="32"/>
        </w:rPr>
      </w:pPr>
      <w:r>
        <w:rPr>
          <w:rFonts w:hint="eastAsia" w:ascii="宋体" w:hAnsi="宋体" w:cs="宋体"/>
          <w:b/>
          <w:szCs w:val="24"/>
        </w:rPr>
        <w:t>17、</w:t>
      </w:r>
      <w:r>
        <w:rPr>
          <w:rFonts w:hint="eastAsia" w:ascii="宋体" w:hAnsi="宋体" w:cs="宋体"/>
          <w:b/>
          <w:kern w:val="0"/>
          <w:sz w:val="32"/>
        </w:rPr>
        <w:t>残疾人福利性单位声明函（如有）</w:t>
      </w:r>
    </w:p>
    <w:p>
      <w:pPr>
        <w:spacing w:line="500" w:lineRule="exact"/>
        <w:rPr>
          <w:rFonts w:hint="eastAsia" w:ascii="宋体" w:hAnsi="宋体" w:cs="宋体"/>
          <w:szCs w:val="24"/>
        </w:rPr>
      </w:pPr>
    </w:p>
    <w:p>
      <w:pPr>
        <w:pBdr>
          <w:top w:val="none" w:color="000000" w:sz="0" w:space="0"/>
          <w:left w:val="none" w:color="000000" w:sz="0" w:space="0"/>
          <w:bottom w:val="none" w:color="000000" w:sz="0" w:space="0"/>
          <w:right w:val="none" w:color="000000" w:sz="0" w:space="0"/>
        </w:pBdr>
        <w:spacing w:line="479" w:lineRule="atLeast"/>
        <w:ind w:firstLine="2560"/>
        <w:outlineLvl w:val="0"/>
        <w:rPr>
          <w:rFonts w:hint="eastAsia" w:ascii="宋体" w:hAnsi="宋体" w:cs="宋体"/>
          <w:szCs w:val="24"/>
        </w:rPr>
      </w:pPr>
      <w:r>
        <w:rPr>
          <w:rFonts w:hint="eastAsia" w:ascii="宋体" w:hAnsi="宋体" w:cs="宋体"/>
          <w:szCs w:val="24"/>
        </w:rPr>
        <w:t>残疾人福利性单位声明函</w:t>
      </w:r>
    </w:p>
    <w:p>
      <w:pPr>
        <w:pBdr>
          <w:top w:val="none" w:color="000000" w:sz="0" w:space="0"/>
          <w:left w:val="none" w:color="000000" w:sz="0" w:space="0"/>
          <w:bottom w:val="none" w:color="000000" w:sz="0" w:space="0"/>
          <w:right w:val="none" w:color="000000" w:sz="0" w:space="0"/>
        </w:pBdr>
        <w:spacing w:line="479" w:lineRule="atLeast"/>
        <w:ind w:firstLine="1928"/>
        <w:rPr>
          <w:rFonts w:hint="eastAsia" w:ascii="宋体" w:hAnsi="宋体" w:cs="宋体"/>
          <w:szCs w:val="24"/>
        </w:rPr>
      </w:pPr>
      <w:r>
        <w:rPr>
          <w:rFonts w:hint="eastAsia" w:ascii="宋体" w:hAnsi="宋体" w:cs="宋体"/>
          <w:b/>
          <w:szCs w:val="24"/>
        </w:rPr>
        <w:t> </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szCs w:val="24"/>
        </w:rPr>
      </w:pPr>
      <w:r>
        <w:rPr>
          <w:rFonts w:hint="eastAsia" w:ascii="宋体" w:hAnsi="宋体" w:cs="宋体"/>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szCs w:val="24"/>
        </w:rPr>
      </w:pPr>
      <w:r>
        <w:rPr>
          <w:rFonts w:hint="eastAsia" w:ascii="宋体" w:hAnsi="宋体" w:cs="宋体"/>
          <w:szCs w:val="24"/>
        </w:rPr>
        <w:t>本单位对上述声明的真实性负责。如有虚假，将依法承担相应责任。</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单位名称（盖章）：</w:t>
      </w:r>
    </w:p>
    <w:p>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szCs w:val="24"/>
        </w:rPr>
      </w:pPr>
      <w:r>
        <w:rPr>
          <w:rFonts w:hint="eastAsia" w:ascii="宋体" w:hAnsi="宋体" w:cs="宋体"/>
          <w:szCs w:val="24"/>
        </w:rPr>
        <w:t>                    日 期：</w:t>
      </w:r>
    </w:p>
    <w:p>
      <w:pPr>
        <w:pBdr>
          <w:top w:val="none" w:color="000000" w:sz="0" w:space="0"/>
          <w:left w:val="none" w:color="000000" w:sz="0" w:space="0"/>
          <w:bottom w:val="none" w:color="000000" w:sz="0" w:space="0"/>
          <w:right w:val="none" w:color="000000" w:sz="0" w:space="0"/>
        </w:pBdr>
        <w:ind w:firstLine="482"/>
        <w:rPr>
          <w:rFonts w:hint="eastAsia" w:ascii="宋体" w:hAnsi="宋体" w:cs="宋体"/>
          <w:b/>
          <w:szCs w:val="24"/>
        </w:rPr>
      </w:pPr>
    </w:p>
    <w:p>
      <w:pPr>
        <w:pBdr>
          <w:top w:val="none" w:color="000000" w:sz="0" w:space="0"/>
          <w:left w:val="none" w:color="000000" w:sz="0" w:space="0"/>
          <w:bottom w:val="none" w:color="000000" w:sz="0" w:space="0"/>
          <w:right w:val="none" w:color="000000" w:sz="0" w:space="0"/>
        </w:pBdr>
        <w:ind w:firstLine="482"/>
        <w:rPr>
          <w:rFonts w:hint="eastAsia" w:ascii="宋体" w:hAnsi="宋体" w:cs="宋体"/>
          <w:szCs w:val="24"/>
        </w:rPr>
      </w:pPr>
      <w:r>
        <w:rPr>
          <w:rFonts w:hint="eastAsia" w:ascii="宋体" w:hAnsi="宋体" w:cs="宋体"/>
          <w:b/>
          <w:szCs w:val="24"/>
        </w:rPr>
        <w:t>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szCs w:val="24"/>
        </w:rPr>
      </w:pPr>
      <w:r>
        <w:rPr>
          <w:rFonts w:hint="eastAsia" w:ascii="宋体" w:hAnsi="宋体" w:cs="宋体"/>
          <w:kern w:val="0"/>
          <w:szCs w:val="24"/>
        </w:rPr>
        <w:t> </w:t>
      </w: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b/>
          <w:sz w:val="32"/>
        </w:rPr>
      </w:pPr>
    </w:p>
    <w:p>
      <w:pPr>
        <w:pBdr>
          <w:top w:val="none" w:color="000000" w:sz="0" w:space="0"/>
          <w:left w:val="none" w:color="000000" w:sz="0" w:space="0"/>
          <w:bottom w:val="none" w:color="000000" w:sz="0" w:space="0"/>
          <w:right w:val="none" w:color="000000" w:sz="0" w:space="0"/>
        </w:pBdr>
        <w:rPr>
          <w:rFonts w:hint="eastAsia" w:ascii="宋体" w:hAnsi="宋体" w:cs="宋体"/>
        </w:rPr>
      </w:pPr>
      <w:r>
        <w:rPr>
          <w:rFonts w:hint="eastAsia" w:ascii="宋体" w:hAnsi="宋体" w:cs="宋体"/>
          <w:b/>
          <w:sz w:val="32"/>
        </w:rPr>
        <w:t>18、监狱企业证明文件（如有）</w:t>
      </w:r>
      <w:r>
        <w:rPr>
          <w:rFonts w:hint="eastAsia" w:ascii="宋体" w:hAnsi="宋体" w:cs="宋体"/>
          <w:b/>
          <w:sz w:val="32"/>
        </w:rPr>
        <w:br w:type="textWrapping"/>
      </w:r>
      <w:r>
        <w:rPr>
          <w:rFonts w:hint="eastAsia" w:ascii="宋体" w:hAnsi="宋体" w:cs="宋体"/>
          <w:szCs w:val="24"/>
        </w:rPr>
        <w:br w:type="textWrapping"/>
      </w:r>
      <w:r>
        <w:rPr>
          <w:rFonts w:hint="eastAsia" w:ascii="宋体" w:hAnsi="宋体" w:cs="宋体"/>
          <w:szCs w:val="24"/>
        </w:rPr>
        <w:br w:type="textWrapping"/>
      </w:r>
      <w:r>
        <w:rPr>
          <w:rFonts w:hint="eastAsia" w:ascii="宋体" w:hAnsi="宋体" w:cs="宋体"/>
          <w:szCs w:val="24"/>
        </w:rPr>
        <w:t xml:space="preserve">                    </w:t>
      </w:r>
      <w:r>
        <w:rPr>
          <w:rFonts w:hint="eastAsia" w:ascii="宋体" w:hAnsi="宋体" w:cs="宋体"/>
          <w:sz w:val="32"/>
        </w:rPr>
        <w:t>监狱企业证明文件</w:t>
      </w:r>
      <w:r>
        <w:rPr>
          <w:rFonts w:hint="eastAsia" w:ascii="宋体" w:hAnsi="宋体" w:cs="宋体"/>
          <w:sz w:val="32"/>
        </w:rPr>
        <w:br w:type="textWrapping"/>
      </w:r>
      <w:r>
        <w:rPr>
          <w:rFonts w:hint="eastAsia" w:ascii="宋体" w:hAnsi="宋体" w:cs="宋体"/>
          <w:sz w:val="32"/>
        </w:rPr>
        <w:br w:type="textWrapping"/>
      </w:r>
      <w:r>
        <w:rPr>
          <w:rFonts w:hint="eastAsia" w:ascii="宋体" w:hAnsi="宋体" w:cs="宋体"/>
          <w:sz w:val="32"/>
        </w:rPr>
        <w:t xml:space="preserve"> </w:t>
      </w:r>
      <w:r>
        <w:rPr>
          <w:rFonts w:hint="eastAsia" w:ascii="宋体" w:hAnsi="宋体" w:cs="宋体"/>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pPr>
        <w:pBdr>
          <w:top w:val="none" w:color="000000" w:sz="0" w:space="0"/>
          <w:left w:val="none" w:color="000000" w:sz="0" w:space="0"/>
          <w:bottom w:val="none" w:color="000000" w:sz="0" w:space="0"/>
          <w:right w:val="none" w:color="000000" w:sz="0" w:space="0"/>
        </w:pBdr>
        <w:rPr>
          <w:rFonts w:hint="eastAsia" w:ascii="宋体" w:hAnsi="宋体" w:cs="宋体"/>
          <w:szCs w:val="24"/>
        </w:rPr>
      </w:pPr>
    </w:p>
    <w:p>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kern w:val="0"/>
        </w:rPr>
      </w:pPr>
    </w:p>
    <w:p>
      <w:pPr>
        <w:widowControl/>
        <w:pBdr>
          <w:top w:val="none" w:color="000000" w:sz="0" w:space="0"/>
          <w:left w:val="none" w:color="000000" w:sz="0" w:space="0"/>
          <w:bottom w:val="none" w:color="000000" w:sz="0" w:space="0"/>
          <w:right w:val="none" w:color="000000" w:sz="0" w:space="0"/>
        </w:pBdr>
        <w:spacing w:line="439" w:lineRule="atLeast"/>
        <w:jc w:val="center"/>
        <w:rPr>
          <w:rFonts w:ascii="Arial" w:hAnsi="Arial" w:eastAsia="Arial"/>
          <w:kern w:val="0"/>
          <w:sz w:val="22"/>
        </w:rPr>
      </w:pPr>
      <w:r>
        <w:rPr>
          <w:rFonts w:ascii="宋体" w:hAnsi="宋体" w:cs="宋体"/>
          <w:kern w:val="0"/>
        </w:rPr>
        <w:t>（全文完）</w:t>
      </w:r>
    </w:p>
    <w:p>
      <w:pPr>
        <w:pStyle w:val="5"/>
        <w:numPr>
          <w:ilvl w:val="2"/>
          <w:numId w:val="0"/>
        </w:numPr>
      </w:pPr>
    </w:p>
    <w:p>
      <w:pPr>
        <w:spacing w:line="480" w:lineRule="exact"/>
        <w:rPr>
          <w:rFonts w:hint="eastAsia" w:ascii="宋体" w:hAnsi="宋体" w:cs="宋体"/>
          <w:bCs/>
        </w:rPr>
      </w:pPr>
    </w:p>
    <w:p>
      <w:pPr>
        <w:spacing w:line="480" w:lineRule="exact"/>
        <w:ind w:firstLine="480" w:firstLineChars="200"/>
        <w:rPr>
          <w:rFonts w:hint="eastAsia" w:ascii="宋体" w:hAnsi="宋体" w:cs="宋体"/>
          <w:bCs/>
        </w:rPr>
      </w:pPr>
    </w:p>
    <w:p>
      <w:pPr>
        <w:spacing w:line="480" w:lineRule="exact"/>
        <w:ind w:firstLine="480" w:firstLineChars="200"/>
        <w:rPr>
          <w:rFonts w:hint="eastAsia" w:ascii="宋体" w:hAnsi="宋体" w:cs="宋体"/>
          <w:bCs/>
        </w:rPr>
      </w:pPr>
    </w:p>
    <w:p>
      <w:pPr>
        <w:spacing w:line="480" w:lineRule="exact"/>
        <w:ind w:firstLine="480" w:firstLineChars="200"/>
        <w:rPr>
          <w:rFonts w:hint="eastAsia" w:ascii="宋体" w:hAnsi="宋体" w:cs="宋体"/>
          <w:bCs/>
        </w:rPr>
      </w:pPr>
    </w:p>
    <w:p>
      <w:pPr>
        <w:spacing w:line="480" w:lineRule="exact"/>
        <w:ind w:firstLine="480" w:firstLineChars="200"/>
        <w:rPr>
          <w:rFonts w:hint="eastAsia" w:ascii="宋体" w:hAnsi="宋体" w:cs="宋体"/>
          <w:bCs/>
        </w:rPr>
      </w:pPr>
    </w:p>
    <w:p>
      <w:pPr>
        <w:spacing w:line="480" w:lineRule="exact"/>
        <w:ind w:firstLine="480" w:firstLineChars="200"/>
        <w:rPr>
          <w:rFonts w:hint="eastAsia" w:ascii="宋体" w:hAnsi="宋体" w:cs="宋体"/>
          <w:bCs/>
        </w:rPr>
      </w:pPr>
    </w:p>
    <w:p>
      <w:pPr>
        <w:spacing w:line="480" w:lineRule="exact"/>
        <w:ind w:firstLine="480" w:firstLineChars="200"/>
        <w:rPr>
          <w:rFonts w:hint="eastAsia" w:ascii="宋体" w:hAnsi="宋体" w:cs="宋体"/>
          <w:bCs/>
        </w:rPr>
      </w:pPr>
    </w:p>
    <w:sectPr>
      <w:pgSz w:w="11906" w:h="16838"/>
      <w:pgMar w:top="1440" w:right="1236" w:bottom="1440" w:left="1463"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宋体"/>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F5343"/>
    <w:multiLevelType w:val="singleLevel"/>
    <w:tmpl w:val="824F5343"/>
    <w:lvl w:ilvl="0" w:tentative="0">
      <w:start w:val="1"/>
      <w:numFmt w:val="chineseCounting"/>
      <w:suff w:val="nothing"/>
      <w:lvlText w:val="（%1）"/>
      <w:lvlJc w:val="left"/>
      <w:pPr>
        <w:ind w:left="0" w:firstLine="0"/>
      </w:pPr>
      <w:rPr>
        <w:rFonts w:hint="eastAsia"/>
      </w:rPr>
    </w:lvl>
  </w:abstractNum>
  <w:abstractNum w:abstractNumId="1">
    <w:nsid w:val="87005CB2"/>
    <w:multiLevelType w:val="singleLevel"/>
    <w:tmpl w:val="87005CB2"/>
    <w:lvl w:ilvl="0" w:tentative="0">
      <w:start w:val="1"/>
      <w:numFmt w:val="decimal"/>
      <w:suff w:val="space"/>
      <w:lvlText w:val="(%1)"/>
      <w:lvlJc w:val="left"/>
      <w:pPr>
        <w:ind w:left="0" w:firstLine="482"/>
      </w:pPr>
      <w:rPr>
        <w:rFonts w:hint="default" w:ascii="宋体" w:hAnsi="宋体" w:eastAsia="宋体" w:cs="宋体"/>
      </w:rPr>
    </w:lvl>
  </w:abstractNum>
  <w:abstractNum w:abstractNumId="2">
    <w:nsid w:val="8736800A"/>
    <w:multiLevelType w:val="singleLevel"/>
    <w:tmpl w:val="8736800A"/>
    <w:lvl w:ilvl="0" w:tentative="0">
      <w:start w:val="1"/>
      <w:numFmt w:val="decimalEnclosedCircleChinese"/>
      <w:suff w:val="nothing"/>
      <w:lvlText w:val="%1　"/>
      <w:lvlJc w:val="left"/>
      <w:pPr>
        <w:tabs>
          <w:tab w:val="left" w:pos="0"/>
        </w:tabs>
        <w:ind w:left="0" w:firstLine="567"/>
      </w:pPr>
      <w:rPr>
        <w:rFonts w:hint="eastAsia" w:ascii="宋体" w:hAnsi="宋体"/>
      </w:rPr>
    </w:lvl>
  </w:abstractNum>
  <w:abstractNum w:abstractNumId="3">
    <w:nsid w:val="89C4DDCF"/>
    <w:multiLevelType w:val="singleLevel"/>
    <w:tmpl w:val="89C4DDCF"/>
    <w:lvl w:ilvl="0" w:tentative="0">
      <w:start w:val="1"/>
      <w:numFmt w:val="decimal"/>
      <w:suff w:val="space"/>
      <w:lvlText w:val="(%1)"/>
      <w:lvlJc w:val="left"/>
      <w:pPr>
        <w:ind w:left="0" w:firstLine="482"/>
      </w:pPr>
      <w:rPr>
        <w:rFonts w:hint="default" w:ascii="宋体" w:hAnsi="宋体" w:eastAsia="宋体" w:cs="宋体"/>
      </w:rPr>
    </w:lvl>
  </w:abstractNum>
  <w:abstractNum w:abstractNumId="4">
    <w:nsid w:val="912291B6"/>
    <w:multiLevelType w:val="singleLevel"/>
    <w:tmpl w:val="912291B6"/>
    <w:lvl w:ilvl="0" w:tentative="0">
      <w:start w:val="1"/>
      <w:numFmt w:val="decimal"/>
      <w:suff w:val="space"/>
      <w:lvlText w:val="(%1)"/>
      <w:lvlJc w:val="left"/>
      <w:pPr>
        <w:ind w:left="0" w:firstLine="482"/>
      </w:pPr>
      <w:rPr>
        <w:rFonts w:hint="default" w:ascii="宋体" w:hAnsi="宋体" w:eastAsia="宋体" w:cs="宋体"/>
      </w:rPr>
    </w:lvl>
  </w:abstractNum>
  <w:abstractNum w:abstractNumId="5">
    <w:nsid w:val="9D3D57E0"/>
    <w:multiLevelType w:val="singleLevel"/>
    <w:tmpl w:val="9D3D57E0"/>
    <w:lvl w:ilvl="0" w:tentative="0">
      <w:start w:val="1"/>
      <w:numFmt w:val="decimal"/>
      <w:suff w:val="space"/>
      <w:lvlText w:val="(%1)"/>
      <w:lvlJc w:val="left"/>
      <w:pPr>
        <w:ind w:left="0" w:firstLine="482"/>
      </w:pPr>
      <w:rPr>
        <w:rFonts w:hint="default" w:ascii="宋体" w:hAnsi="宋体" w:eastAsia="宋体" w:cs="宋体"/>
      </w:rPr>
    </w:lvl>
  </w:abstractNum>
  <w:abstractNum w:abstractNumId="6">
    <w:nsid w:val="A2BA556F"/>
    <w:multiLevelType w:val="singleLevel"/>
    <w:tmpl w:val="A2BA556F"/>
    <w:lvl w:ilvl="0" w:tentative="0">
      <w:start w:val="1"/>
      <w:numFmt w:val="decimal"/>
      <w:suff w:val="nothing"/>
      <w:lvlText w:val="%1．"/>
      <w:lvlJc w:val="left"/>
      <w:pPr>
        <w:ind w:left="40" w:firstLine="400"/>
      </w:pPr>
      <w:rPr>
        <w:rFonts w:hint="default" w:ascii="宋体" w:hAnsi="宋体" w:eastAsia="宋体" w:cs="宋体"/>
      </w:rPr>
    </w:lvl>
  </w:abstractNum>
  <w:abstractNum w:abstractNumId="7">
    <w:nsid w:val="A8A1A3C7"/>
    <w:multiLevelType w:val="singleLevel"/>
    <w:tmpl w:val="A8A1A3C7"/>
    <w:lvl w:ilvl="0" w:tentative="0">
      <w:start w:val="3"/>
      <w:numFmt w:val="chineseCounting"/>
      <w:suff w:val="nothing"/>
      <w:lvlText w:val="（%1）"/>
      <w:lvlJc w:val="left"/>
      <w:rPr>
        <w:rFonts w:hint="eastAsia"/>
      </w:rPr>
    </w:lvl>
  </w:abstractNum>
  <w:abstractNum w:abstractNumId="8">
    <w:nsid w:val="AABD4C5D"/>
    <w:multiLevelType w:val="singleLevel"/>
    <w:tmpl w:val="AABD4C5D"/>
    <w:lvl w:ilvl="0" w:tentative="0">
      <w:start w:val="1"/>
      <w:numFmt w:val="decimalEnclosedCircleChinese"/>
      <w:suff w:val="nothing"/>
      <w:lvlText w:val="%1　"/>
      <w:lvlJc w:val="left"/>
      <w:pPr>
        <w:ind w:left="0" w:firstLine="400"/>
      </w:pPr>
      <w:rPr>
        <w:rFonts w:hint="eastAsia"/>
      </w:rPr>
    </w:lvl>
  </w:abstractNum>
  <w:abstractNum w:abstractNumId="9">
    <w:nsid w:val="B0AE6561"/>
    <w:multiLevelType w:val="singleLevel"/>
    <w:tmpl w:val="B0AE6561"/>
    <w:lvl w:ilvl="0" w:tentative="0">
      <w:start w:val="5"/>
      <w:numFmt w:val="chineseCounting"/>
      <w:suff w:val="space"/>
      <w:lvlText w:val="第%1部分"/>
      <w:lvlJc w:val="left"/>
      <w:rPr>
        <w:rFonts w:hint="eastAsia"/>
      </w:rPr>
    </w:lvl>
  </w:abstractNum>
  <w:abstractNum w:abstractNumId="10">
    <w:nsid w:val="B4674134"/>
    <w:multiLevelType w:val="singleLevel"/>
    <w:tmpl w:val="B4674134"/>
    <w:lvl w:ilvl="0" w:tentative="0">
      <w:start w:val="1"/>
      <w:numFmt w:val="decimalEnclosedCircleChinese"/>
      <w:suff w:val="nothing"/>
      <w:lvlText w:val="%1　"/>
      <w:lvlJc w:val="left"/>
      <w:pPr>
        <w:ind w:left="0" w:firstLine="400"/>
      </w:pPr>
      <w:rPr>
        <w:rFonts w:hint="eastAsia"/>
      </w:rPr>
    </w:lvl>
  </w:abstractNum>
  <w:abstractNum w:abstractNumId="11">
    <w:nsid w:val="BBC2D50C"/>
    <w:multiLevelType w:val="singleLevel"/>
    <w:tmpl w:val="BBC2D50C"/>
    <w:lvl w:ilvl="0" w:tentative="0">
      <w:start w:val="1"/>
      <w:numFmt w:val="decimal"/>
      <w:suff w:val="nothing"/>
      <w:lvlText w:val="%1．"/>
      <w:lvlJc w:val="left"/>
      <w:pPr>
        <w:ind w:left="40" w:firstLine="400"/>
      </w:pPr>
      <w:rPr>
        <w:rFonts w:hint="default" w:ascii="宋体" w:hAnsi="宋体" w:eastAsia="宋体" w:cs="宋体"/>
      </w:rPr>
    </w:lvl>
  </w:abstractNum>
  <w:abstractNum w:abstractNumId="12">
    <w:nsid w:val="C1CE8509"/>
    <w:multiLevelType w:val="singleLevel"/>
    <w:tmpl w:val="C1CE8509"/>
    <w:lvl w:ilvl="0" w:tentative="0">
      <w:start w:val="1"/>
      <w:numFmt w:val="decimal"/>
      <w:suff w:val="space"/>
      <w:lvlText w:val="(%1)"/>
      <w:lvlJc w:val="left"/>
      <w:pPr>
        <w:ind w:left="0" w:firstLine="482"/>
      </w:pPr>
      <w:rPr>
        <w:rFonts w:hint="default" w:ascii="宋体" w:hAnsi="宋体" w:eastAsia="宋体" w:cs="宋体"/>
      </w:rPr>
    </w:lvl>
  </w:abstractNum>
  <w:abstractNum w:abstractNumId="13">
    <w:nsid w:val="C7DCDDC3"/>
    <w:multiLevelType w:val="singleLevel"/>
    <w:tmpl w:val="C7DCDDC3"/>
    <w:lvl w:ilvl="0" w:tentative="0">
      <w:start w:val="1"/>
      <w:numFmt w:val="decimal"/>
      <w:suff w:val="nothing"/>
      <w:lvlText w:val="%1．"/>
      <w:lvlJc w:val="left"/>
      <w:pPr>
        <w:ind w:left="0" w:firstLine="400"/>
      </w:pPr>
      <w:rPr>
        <w:rFonts w:hint="default"/>
        <w:highlight w:val="none"/>
      </w:rPr>
    </w:lvl>
  </w:abstractNum>
  <w:abstractNum w:abstractNumId="14">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15">
    <w:nsid w:val="D0DE1753"/>
    <w:multiLevelType w:val="singleLevel"/>
    <w:tmpl w:val="D0DE1753"/>
    <w:lvl w:ilvl="0" w:tentative="0">
      <w:start w:val="1"/>
      <w:numFmt w:val="decimal"/>
      <w:suff w:val="space"/>
      <w:lvlText w:val="(%1)"/>
      <w:lvlJc w:val="left"/>
      <w:pPr>
        <w:ind w:left="0" w:firstLine="367"/>
      </w:pPr>
      <w:rPr>
        <w:rFonts w:hint="default"/>
      </w:rPr>
    </w:lvl>
  </w:abstractNum>
  <w:abstractNum w:abstractNumId="16">
    <w:nsid w:val="D3196B7A"/>
    <w:multiLevelType w:val="singleLevel"/>
    <w:tmpl w:val="D3196B7A"/>
    <w:lvl w:ilvl="0" w:tentative="0">
      <w:start w:val="1"/>
      <w:numFmt w:val="chineseCounting"/>
      <w:pStyle w:val="4"/>
      <w:suff w:val="nothing"/>
      <w:lvlText w:val="（%1）"/>
      <w:lvlJc w:val="left"/>
      <w:pPr>
        <w:ind w:left="0" w:firstLine="0"/>
      </w:pPr>
      <w:rPr>
        <w:rFonts w:hint="eastAsia"/>
      </w:rPr>
    </w:lvl>
  </w:abstractNum>
  <w:abstractNum w:abstractNumId="17">
    <w:nsid w:val="ECBA666F"/>
    <w:multiLevelType w:val="singleLevel"/>
    <w:tmpl w:val="ECBA666F"/>
    <w:lvl w:ilvl="0" w:tentative="0">
      <w:start w:val="1"/>
      <w:numFmt w:val="decimalEnclosedCircleChinese"/>
      <w:suff w:val="nothing"/>
      <w:lvlText w:val="%1　"/>
      <w:lvlJc w:val="left"/>
      <w:pPr>
        <w:tabs>
          <w:tab w:val="left" w:pos="0"/>
        </w:tabs>
        <w:ind w:left="0" w:firstLine="567"/>
      </w:pPr>
      <w:rPr>
        <w:rFonts w:hint="eastAsia" w:ascii="宋体" w:hAnsi="宋体"/>
      </w:rPr>
    </w:lvl>
  </w:abstractNum>
  <w:abstractNum w:abstractNumId="18">
    <w:nsid w:val="F763C1F5"/>
    <w:multiLevelType w:val="singleLevel"/>
    <w:tmpl w:val="F763C1F5"/>
    <w:lvl w:ilvl="0" w:tentative="0">
      <w:start w:val="1"/>
      <w:numFmt w:val="decimalEnclosedCircleChinese"/>
      <w:suff w:val="nothing"/>
      <w:lvlText w:val="%1　"/>
      <w:lvlJc w:val="left"/>
      <w:pPr>
        <w:tabs>
          <w:tab w:val="left" w:pos="0"/>
        </w:tabs>
        <w:ind w:left="0" w:firstLine="567"/>
      </w:pPr>
      <w:rPr>
        <w:rFonts w:hint="eastAsia" w:ascii="宋体" w:hAnsi="宋体"/>
      </w:rPr>
    </w:lvl>
  </w:abstractNum>
  <w:abstractNum w:abstractNumId="19">
    <w:nsid w:val="FE583B9A"/>
    <w:multiLevelType w:val="singleLevel"/>
    <w:tmpl w:val="FE583B9A"/>
    <w:lvl w:ilvl="0" w:tentative="0">
      <w:start w:val="1"/>
      <w:numFmt w:val="decimalEnclosedCircleChinese"/>
      <w:suff w:val="nothing"/>
      <w:lvlText w:val="%1　"/>
      <w:lvlJc w:val="left"/>
      <w:pPr>
        <w:ind w:left="0" w:firstLine="400"/>
      </w:pPr>
      <w:rPr>
        <w:rFonts w:hint="eastAsia"/>
      </w:rPr>
    </w:lvl>
  </w:abstractNum>
  <w:abstractNum w:abstractNumId="20">
    <w:nsid w:val="043B8A1D"/>
    <w:multiLevelType w:val="singleLevel"/>
    <w:tmpl w:val="043B8A1D"/>
    <w:lvl w:ilvl="0" w:tentative="0">
      <w:start w:val="1"/>
      <w:numFmt w:val="decimal"/>
      <w:suff w:val="nothing"/>
      <w:lvlText w:val="%1．"/>
      <w:lvlJc w:val="left"/>
      <w:pPr>
        <w:ind w:left="40" w:firstLine="400"/>
      </w:pPr>
      <w:rPr>
        <w:rFonts w:hint="default" w:ascii="宋体" w:hAnsi="宋体" w:eastAsia="宋体" w:cs="宋体"/>
      </w:rPr>
    </w:lvl>
  </w:abstractNum>
  <w:abstractNum w:abstractNumId="21">
    <w:nsid w:val="085A3EC4"/>
    <w:multiLevelType w:val="singleLevel"/>
    <w:tmpl w:val="085A3EC4"/>
    <w:lvl w:ilvl="0" w:tentative="0">
      <w:start w:val="1"/>
      <w:numFmt w:val="decimal"/>
      <w:suff w:val="space"/>
      <w:lvlText w:val="(%1)"/>
      <w:lvlJc w:val="left"/>
      <w:pPr>
        <w:ind w:left="0" w:firstLine="482"/>
      </w:pPr>
      <w:rPr>
        <w:rFonts w:hint="default" w:ascii="宋体" w:hAnsi="宋体" w:eastAsia="宋体" w:cs="宋体"/>
      </w:rPr>
    </w:lvl>
  </w:abstractNum>
  <w:abstractNum w:abstractNumId="22">
    <w:nsid w:val="0D8A1DA0"/>
    <w:multiLevelType w:val="singleLevel"/>
    <w:tmpl w:val="0D8A1DA0"/>
    <w:lvl w:ilvl="0" w:tentative="0">
      <w:start w:val="1"/>
      <w:numFmt w:val="decimalEnclosedCircleChinese"/>
      <w:suff w:val="nothing"/>
      <w:lvlText w:val="%1　"/>
      <w:lvlJc w:val="left"/>
      <w:pPr>
        <w:ind w:left="0" w:firstLine="400"/>
      </w:pPr>
      <w:rPr>
        <w:rFonts w:hint="eastAsia"/>
      </w:rPr>
    </w:lvl>
  </w:abstractNum>
  <w:abstractNum w:abstractNumId="23">
    <w:nsid w:val="22F7572B"/>
    <w:multiLevelType w:val="singleLevel"/>
    <w:tmpl w:val="22F7572B"/>
    <w:lvl w:ilvl="0" w:tentative="0">
      <w:start w:val="1"/>
      <w:numFmt w:val="chineseCounting"/>
      <w:suff w:val="nothing"/>
      <w:lvlText w:val="（%1）"/>
      <w:lvlJc w:val="left"/>
      <w:pPr>
        <w:ind w:left="0" w:firstLine="0"/>
      </w:pPr>
      <w:rPr>
        <w:rFonts w:hint="eastAsia"/>
      </w:rPr>
    </w:lvl>
  </w:abstractNum>
  <w:abstractNum w:abstractNumId="24">
    <w:nsid w:val="2CB3B045"/>
    <w:multiLevelType w:val="singleLevel"/>
    <w:tmpl w:val="2CB3B045"/>
    <w:lvl w:ilvl="0" w:tentative="0">
      <w:start w:val="1"/>
      <w:numFmt w:val="decimal"/>
      <w:lvlText w:val="%1."/>
      <w:lvlJc w:val="left"/>
      <w:pPr>
        <w:tabs>
          <w:tab w:val="left" w:pos="420"/>
        </w:tabs>
        <w:ind w:left="845" w:hanging="425"/>
      </w:pPr>
      <w:rPr>
        <w:rFonts w:hint="default"/>
      </w:rPr>
    </w:lvl>
  </w:abstractNum>
  <w:abstractNum w:abstractNumId="25">
    <w:nsid w:val="2D3510A2"/>
    <w:multiLevelType w:val="singleLevel"/>
    <w:tmpl w:val="2D3510A2"/>
    <w:lvl w:ilvl="0" w:tentative="0">
      <w:start w:val="1"/>
      <w:numFmt w:val="decimalEnclosedCircleChinese"/>
      <w:suff w:val="nothing"/>
      <w:lvlText w:val="%1　"/>
      <w:lvlJc w:val="left"/>
      <w:pPr>
        <w:ind w:left="0" w:firstLine="400"/>
      </w:pPr>
      <w:rPr>
        <w:rFonts w:hint="eastAsia"/>
      </w:rPr>
    </w:lvl>
  </w:abstractNum>
  <w:abstractNum w:abstractNumId="26">
    <w:nsid w:val="41C24A23"/>
    <w:multiLevelType w:val="singleLevel"/>
    <w:tmpl w:val="41C24A23"/>
    <w:lvl w:ilvl="0" w:tentative="0">
      <w:start w:val="1"/>
      <w:numFmt w:val="decimal"/>
      <w:suff w:val="nothing"/>
      <w:lvlText w:val="%1．"/>
      <w:lvlJc w:val="left"/>
      <w:pPr>
        <w:ind w:left="0" w:firstLine="400"/>
      </w:pPr>
      <w:rPr>
        <w:rFonts w:hint="default" w:ascii="宋体" w:hAnsi="宋体" w:eastAsia="宋体" w:cs="宋体"/>
      </w:rPr>
    </w:lvl>
  </w:abstractNum>
  <w:abstractNum w:abstractNumId="27">
    <w:nsid w:val="43EE929B"/>
    <w:multiLevelType w:val="singleLevel"/>
    <w:tmpl w:val="43EE929B"/>
    <w:lvl w:ilvl="0" w:tentative="0">
      <w:start w:val="1"/>
      <w:numFmt w:val="decimalEnclosedCircleChinese"/>
      <w:suff w:val="nothing"/>
      <w:lvlText w:val="%1　"/>
      <w:lvlJc w:val="left"/>
      <w:pPr>
        <w:ind w:left="0" w:firstLine="400"/>
      </w:pPr>
      <w:rPr>
        <w:rFonts w:hint="eastAsia"/>
      </w:rPr>
    </w:lvl>
  </w:abstractNum>
  <w:abstractNum w:abstractNumId="28">
    <w:nsid w:val="46023234"/>
    <w:multiLevelType w:val="singleLevel"/>
    <w:tmpl w:val="46023234"/>
    <w:lvl w:ilvl="0" w:tentative="0">
      <w:start w:val="1"/>
      <w:numFmt w:val="decimal"/>
      <w:suff w:val="space"/>
      <w:lvlText w:val="(%1)"/>
      <w:lvlJc w:val="left"/>
      <w:pPr>
        <w:ind w:left="0" w:firstLine="482"/>
      </w:pPr>
      <w:rPr>
        <w:rFonts w:hint="default" w:ascii="宋体" w:hAnsi="宋体" w:eastAsia="宋体" w:cs="宋体"/>
      </w:rPr>
    </w:lvl>
  </w:abstractNum>
  <w:abstractNum w:abstractNumId="29">
    <w:nsid w:val="463E4FE0"/>
    <w:multiLevelType w:val="singleLevel"/>
    <w:tmpl w:val="463E4FE0"/>
    <w:lvl w:ilvl="0" w:tentative="0">
      <w:start w:val="1"/>
      <w:numFmt w:val="decimal"/>
      <w:lvlText w:val="%1)"/>
      <w:lvlJc w:val="left"/>
      <w:pPr>
        <w:ind w:left="425" w:hanging="425"/>
      </w:pPr>
      <w:rPr>
        <w:rFonts w:hint="default"/>
      </w:rPr>
    </w:lvl>
  </w:abstractNum>
  <w:abstractNum w:abstractNumId="30">
    <w:nsid w:val="4733F420"/>
    <w:multiLevelType w:val="singleLevel"/>
    <w:tmpl w:val="4733F420"/>
    <w:lvl w:ilvl="0" w:tentative="0">
      <w:start w:val="1"/>
      <w:numFmt w:val="decimal"/>
      <w:suff w:val="space"/>
      <w:lvlText w:val="(%1)"/>
      <w:lvlJc w:val="left"/>
      <w:pPr>
        <w:ind w:left="0" w:firstLine="482"/>
      </w:pPr>
      <w:rPr>
        <w:rFonts w:hint="default" w:ascii="宋体" w:hAnsi="宋体" w:eastAsia="宋体" w:cs="宋体"/>
      </w:rPr>
    </w:lvl>
  </w:abstractNum>
  <w:abstractNum w:abstractNumId="31">
    <w:nsid w:val="4BCEF298"/>
    <w:multiLevelType w:val="singleLevel"/>
    <w:tmpl w:val="4BCEF298"/>
    <w:lvl w:ilvl="0" w:tentative="0">
      <w:start w:val="1"/>
      <w:numFmt w:val="chineseCounting"/>
      <w:pStyle w:val="3"/>
      <w:suff w:val="nothing"/>
      <w:lvlText w:val="%1、"/>
      <w:lvlJc w:val="left"/>
      <w:pPr>
        <w:ind w:left="0" w:firstLine="420"/>
      </w:pPr>
      <w:rPr>
        <w:rFonts w:hint="eastAsia"/>
      </w:rPr>
    </w:lvl>
  </w:abstractNum>
  <w:abstractNum w:abstractNumId="32">
    <w:nsid w:val="4DDC60DC"/>
    <w:multiLevelType w:val="multilevel"/>
    <w:tmpl w:val="4DDC60DC"/>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33">
    <w:nsid w:val="4DFA936B"/>
    <w:multiLevelType w:val="singleLevel"/>
    <w:tmpl w:val="4DFA936B"/>
    <w:lvl w:ilvl="0" w:tentative="0">
      <w:start w:val="1"/>
      <w:numFmt w:val="decimalEnclosedCircleChinese"/>
      <w:suff w:val="nothing"/>
      <w:lvlText w:val="%1　"/>
      <w:lvlJc w:val="left"/>
      <w:pPr>
        <w:ind w:left="0" w:firstLine="400"/>
      </w:pPr>
      <w:rPr>
        <w:rFonts w:hint="eastAsia"/>
      </w:rPr>
    </w:lvl>
  </w:abstractNum>
  <w:abstractNum w:abstractNumId="34">
    <w:nsid w:val="518337F2"/>
    <w:multiLevelType w:val="singleLevel"/>
    <w:tmpl w:val="518337F2"/>
    <w:lvl w:ilvl="0" w:tentative="0">
      <w:start w:val="1"/>
      <w:numFmt w:val="decimalEnclosedCircleChinese"/>
      <w:suff w:val="nothing"/>
      <w:lvlText w:val="%1　"/>
      <w:lvlJc w:val="left"/>
      <w:pPr>
        <w:ind w:left="0" w:firstLine="400"/>
      </w:pPr>
      <w:rPr>
        <w:rFonts w:hint="eastAsia"/>
      </w:rPr>
    </w:lvl>
  </w:abstractNum>
  <w:abstractNum w:abstractNumId="35">
    <w:nsid w:val="51FA2645"/>
    <w:multiLevelType w:val="multilevel"/>
    <w:tmpl w:val="51FA2645"/>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6">
    <w:nsid w:val="5B5366BF"/>
    <w:multiLevelType w:val="singleLevel"/>
    <w:tmpl w:val="5B5366BF"/>
    <w:lvl w:ilvl="0" w:tentative="0">
      <w:start w:val="1"/>
      <w:numFmt w:val="decimal"/>
      <w:suff w:val="space"/>
      <w:lvlText w:val="(%1)"/>
      <w:lvlJc w:val="left"/>
      <w:pPr>
        <w:ind w:left="0" w:firstLine="482"/>
      </w:pPr>
      <w:rPr>
        <w:rFonts w:hint="default" w:ascii="宋体" w:hAnsi="宋体" w:eastAsia="宋体" w:cs="宋体"/>
      </w:rPr>
    </w:lvl>
  </w:abstractNum>
  <w:abstractNum w:abstractNumId="37">
    <w:nsid w:val="5C67E649"/>
    <w:multiLevelType w:val="singleLevel"/>
    <w:tmpl w:val="5C67E649"/>
    <w:lvl w:ilvl="0" w:tentative="0">
      <w:start w:val="1"/>
      <w:numFmt w:val="decimal"/>
      <w:suff w:val="space"/>
      <w:lvlText w:val="(%1)"/>
      <w:lvlJc w:val="left"/>
      <w:pPr>
        <w:ind w:left="0" w:firstLine="482"/>
      </w:pPr>
      <w:rPr>
        <w:rFonts w:hint="default" w:ascii="宋体" w:hAnsi="宋体" w:eastAsia="宋体" w:cs="宋体"/>
      </w:rPr>
    </w:lvl>
  </w:abstractNum>
  <w:abstractNum w:abstractNumId="38">
    <w:nsid w:val="5E29C949"/>
    <w:multiLevelType w:val="singleLevel"/>
    <w:tmpl w:val="5E29C949"/>
    <w:lvl w:ilvl="0" w:tentative="0">
      <w:start w:val="1"/>
      <w:numFmt w:val="chineseCounting"/>
      <w:suff w:val="space"/>
      <w:lvlText w:val="第%1部分"/>
      <w:lvlJc w:val="left"/>
      <w:rPr>
        <w:rFonts w:hint="eastAsia"/>
      </w:rPr>
    </w:lvl>
  </w:abstractNum>
  <w:abstractNum w:abstractNumId="39">
    <w:nsid w:val="6163D1CF"/>
    <w:multiLevelType w:val="singleLevel"/>
    <w:tmpl w:val="6163D1CF"/>
    <w:lvl w:ilvl="0" w:tentative="0">
      <w:start w:val="3"/>
      <w:numFmt w:val="chineseCounting"/>
      <w:suff w:val="nothing"/>
      <w:lvlText w:val="（%1）"/>
      <w:lvlJc w:val="left"/>
      <w:rPr>
        <w:rFonts w:hint="eastAsia"/>
      </w:rPr>
    </w:lvl>
  </w:abstractNum>
  <w:abstractNum w:abstractNumId="40">
    <w:nsid w:val="6C9EBA28"/>
    <w:multiLevelType w:val="singleLevel"/>
    <w:tmpl w:val="6C9EBA28"/>
    <w:lvl w:ilvl="0" w:tentative="0">
      <w:start w:val="1"/>
      <w:numFmt w:val="decimal"/>
      <w:suff w:val="space"/>
      <w:lvlText w:val="(%1)"/>
      <w:lvlJc w:val="left"/>
      <w:pPr>
        <w:ind w:left="0" w:firstLine="482"/>
      </w:pPr>
      <w:rPr>
        <w:rFonts w:hint="default" w:ascii="宋体" w:hAnsi="宋体" w:eastAsia="宋体" w:cs="宋体"/>
      </w:rPr>
    </w:lvl>
  </w:abstractNum>
  <w:abstractNum w:abstractNumId="41">
    <w:nsid w:val="6D1871C7"/>
    <w:multiLevelType w:val="singleLevel"/>
    <w:tmpl w:val="6D1871C7"/>
    <w:lvl w:ilvl="0" w:tentative="0">
      <w:start w:val="1"/>
      <w:numFmt w:val="decimal"/>
      <w:lvlText w:val="%1."/>
      <w:lvlJc w:val="left"/>
      <w:pPr>
        <w:tabs>
          <w:tab w:val="left" w:pos="420"/>
        </w:tabs>
        <w:ind w:left="845" w:hanging="425"/>
      </w:pPr>
      <w:rPr>
        <w:rFonts w:hint="default"/>
      </w:rPr>
    </w:lvl>
  </w:abstractNum>
  <w:abstractNum w:abstractNumId="42">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6"/>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43">
    <w:nsid w:val="7F093E57"/>
    <w:multiLevelType w:val="multilevel"/>
    <w:tmpl w:val="7F093E57"/>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1"/>
  </w:num>
  <w:num w:numId="2">
    <w:abstractNumId w:val="16"/>
  </w:num>
  <w:num w:numId="3">
    <w:abstractNumId w:val="42"/>
  </w:num>
  <w:num w:numId="4">
    <w:abstractNumId w:val="32"/>
  </w:num>
  <w:num w:numId="5">
    <w:abstractNumId w:val="38"/>
  </w:num>
  <w:num w:numId="6">
    <w:abstractNumId w:val="39"/>
  </w:num>
  <w:num w:numId="7">
    <w:abstractNumId w:val="35"/>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5"/>
  </w:num>
  <w:num w:numId="11">
    <w:abstractNumId w:val="7"/>
  </w:num>
  <w:num w:numId="12">
    <w:abstractNumId w:val="24"/>
  </w:num>
  <w:num w:numId="13">
    <w:abstractNumId w:val="40"/>
  </w:num>
  <w:num w:numId="14">
    <w:abstractNumId w:val="1"/>
  </w:num>
  <w:num w:numId="15">
    <w:abstractNumId w:val="3"/>
  </w:num>
  <w:num w:numId="16">
    <w:abstractNumId w:val="17"/>
  </w:num>
  <w:num w:numId="17">
    <w:abstractNumId w:val="30"/>
  </w:num>
  <w:num w:numId="18">
    <w:abstractNumId w:val="28"/>
  </w:num>
  <w:num w:numId="19">
    <w:abstractNumId w:val="12"/>
  </w:num>
  <w:num w:numId="20">
    <w:abstractNumId w:val="2"/>
  </w:num>
  <w:num w:numId="21">
    <w:abstractNumId w:val="18"/>
  </w:num>
  <w:num w:numId="22">
    <w:abstractNumId w:val="5"/>
  </w:num>
  <w:num w:numId="23">
    <w:abstractNumId w:val="41"/>
  </w:num>
  <w:num w:numId="24">
    <w:abstractNumId w:val="21"/>
  </w:num>
  <w:num w:numId="25">
    <w:abstractNumId w:val="37"/>
  </w:num>
  <w:num w:numId="26">
    <w:abstractNumId w:val="36"/>
  </w:num>
  <w:num w:numId="27">
    <w:abstractNumId w:val="8"/>
  </w:num>
  <w:num w:numId="28">
    <w:abstractNumId w:val="29"/>
  </w:num>
  <w:num w:numId="29">
    <w:abstractNumId w:val="10"/>
  </w:num>
  <w:num w:numId="30">
    <w:abstractNumId w:val="33"/>
  </w:num>
  <w:num w:numId="31">
    <w:abstractNumId w:val="25"/>
  </w:num>
  <w:num w:numId="32">
    <w:abstractNumId w:val="19"/>
  </w:num>
  <w:num w:numId="33">
    <w:abstractNumId w:val="4"/>
  </w:num>
  <w:num w:numId="34">
    <w:abstractNumId w:val="27"/>
  </w:num>
  <w:num w:numId="35">
    <w:abstractNumId w:val="34"/>
  </w:num>
  <w:num w:numId="36">
    <w:abstractNumId w:val="22"/>
  </w:num>
  <w:num w:numId="37">
    <w:abstractNumId w:val="0"/>
  </w:num>
  <w:num w:numId="38">
    <w:abstractNumId w:val="13"/>
  </w:num>
  <w:num w:numId="39">
    <w:abstractNumId w:val="23"/>
  </w:num>
  <w:num w:numId="40">
    <w:abstractNumId w:val="11"/>
  </w:num>
  <w:num w:numId="41">
    <w:abstractNumId w:val="20"/>
  </w:num>
  <w:num w:numId="42">
    <w:abstractNumId w:val="6"/>
  </w:num>
  <w:num w:numId="43">
    <w:abstractNumId w:val="9"/>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4C505C"/>
    <w:rsid w:val="000C625F"/>
    <w:rsid w:val="00121A7B"/>
    <w:rsid w:val="00216DBC"/>
    <w:rsid w:val="00261CD3"/>
    <w:rsid w:val="003A794A"/>
    <w:rsid w:val="003C3495"/>
    <w:rsid w:val="004F2581"/>
    <w:rsid w:val="00640612"/>
    <w:rsid w:val="008B7662"/>
    <w:rsid w:val="009069C8"/>
    <w:rsid w:val="009E22DC"/>
    <w:rsid w:val="00AA072E"/>
    <w:rsid w:val="00AB4C39"/>
    <w:rsid w:val="00BA03FD"/>
    <w:rsid w:val="00D237EC"/>
    <w:rsid w:val="00DA2B63"/>
    <w:rsid w:val="00E66AFB"/>
    <w:rsid w:val="00F81160"/>
    <w:rsid w:val="00F838E6"/>
    <w:rsid w:val="012A5E60"/>
    <w:rsid w:val="01D02B34"/>
    <w:rsid w:val="02697E4F"/>
    <w:rsid w:val="02D21E5F"/>
    <w:rsid w:val="03E633D7"/>
    <w:rsid w:val="061322F8"/>
    <w:rsid w:val="06BF7E71"/>
    <w:rsid w:val="073D657B"/>
    <w:rsid w:val="07CF558B"/>
    <w:rsid w:val="08E840F5"/>
    <w:rsid w:val="094C505C"/>
    <w:rsid w:val="0AB93D89"/>
    <w:rsid w:val="0DD70E38"/>
    <w:rsid w:val="0E0B282B"/>
    <w:rsid w:val="0EBF026F"/>
    <w:rsid w:val="10294501"/>
    <w:rsid w:val="12A65AFE"/>
    <w:rsid w:val="145D7425"/>
    <w:rsid w:val="165247B2"/>
    <w:rsid w:val="16CE7431"/>
    <w:rsid w:val="16F76919"/>
    <w:rsid w:val="19480548"/>
    <w:rsid w:val="1A07646C"/>
    <w:rsid w:val="1A0C443A"/>
    <w:rsid w:val="1B0E79C2"/>
    <w:rsid w:val="1B2E7C18"/>
    <w:rsid w:val="1BAA627C"/>
    <w:rsid w:val="1BD9511F"/>
    <w:rsid w:val="1CCE3D66"/>
    <w:rsid w:val="1D366624"/>
    <w:rsid w:val="1F4F53ED"/>
    <w:rsid w:val="208615F2"/>
    <w:rsid w:val="212958EE"/>
    <w:rsid w:val="22050BC4"/>
    <w:rsid w:val="224F000F"/>
    <w:rsid w:val="227E7F2C"/>
    <w:rsid w:val="239F6ABA"/>
    <w:rsid w:val="24EE628B"/>
    <w:rsid w:val="251E2F91"/>
    <w:rsid w:val="252A5D0B"/>
    <w:rsid w:val="25A5529F"/>
    <w:rsid w:val="27263723"/>
    <w:rsid w:val="278301EA"/>
    <w:rsid w:val="28571814"/>
    <w:rsid w:val="29A56057"/>
    <w:rsid w:val="2A1D07DB"/>
    <w:rsid w:val="2A3E5490"/>
    <w:rsid w:val="2A787251"/>
    <w:rsid w:val="2AA76BC6"/>
    <w:rsid w:val="2B261DB6"/>
    <w:rsid w:val="2BA42450"/>
    <w:rsid w:val="2BD547C9"/>
    <w:rsid w:val="2C3C2DEB"/>
    <w:rsid w:val="2E872635"/>
    <w:rsid w:val="2EFF6BA3"/>
    <w:rsid w:val="2F8512FC"/>
    <w:rsid w:val="2FC91004"/>
    <w:rsid w:val="306179F9"/>
    <w:rsid w:val="314A0400"/>
    <w:rsid w:val="31A17F44"/>
    <w:rsid w:val="32534C01"/>
    <w:rsid w:val="32987C64"/>
    <w:rsid w:val="33B71CE9"/>
    <w:rsid w:val="33BC70C5"/>
    <w:rsid w:val="35435BBA"/>
    <w:rsid w:val="35A135C3"/>
    <w:rsid w:val="373759C7"/>
    <w:rsid w:val="37E7128D"/>
    <w:rsid w:val="37EC2055"/>
    <w:rsid w:val="389D76B7"/>
    <w:rsid w:val="38CE5AC2"/>
    <w:rsid w:val="399C4492"/>
    <w:rsid w:val="3A3F5EE1"/>
    <w:rsid w:val="3C7B5666"/>
    <w:rsid w:val="3D5D4DD5"/>
    <w:rsid w:val="3FCA2093"/>
    <w:rsid w:val="401342C3"/>
    <w:rsid w:val="40701CD6"/>
    <w:rsid w:val="432818AD"/>
    <w:rsid w:val="44E147EC"/>
    <w:rsid w:val="47695873"/>
    <w:rsid w:val="49693CBF"/>
    <w:rsid w:val="4AEA213C"/>
    <w:rsid w:val="4BDD010C"/>
    <w:rsid w:val="4C04071D"/>
    <w:rsid w:val="4C0D0E2B"/>
    <w:rsid w:val="4C2902E2"/>
    <w:rsid w:val="4FC14A60"/>
    <w:rsid w:val="4FF21A56"/>
    <w:rsid w:val="4FF840EB"/>
    <w:rsid w:val="511A2A66"/>
    <w:rsid w:val="517A0479"/>
    <w:rsid w:val="53C41322"/>
    <w:rsid w:val="54410538"/>
    <w:rsid w:val="5628607B"/>
    <w:rsid w:val="56E25BFD"/>
    <w:rsid w:val="577C6E3C"/>
    <w:rsid w:val="59146830"/>
    <w:rsid w:val="592B55AE"/>
    <w:rsid w:val="5D1A479C"/>
    <w:rsid w:val="5EBC76FA"/>
    <w:rsid w:val="6117297D"/>
    <w:rsid w:val="61CE3DEA"/>
    <w:rsid w:val="61F432CC"/>
    <w:rsid w:val="62AC6722"/>
    <w:rsid w:val="631F578E"/>
    <w:rsid w:val="649F0475"/>
    <w:rsid w:val="65684DC0"/>
    <w:rsid w:val="65A27DB9"/>
    <w:rsid w:val="6714498E"/>
    <w:rsid w:val="673147DF"/>
    <w:rsid w:val="68787CEB"/>
    <w:rsid w:val="6C1B4508"/>
    <w:rsid w:val="6CCF4E37"/>
    <w:rsid w:val="6D3A0379"/>
    <w:rsid w:val="6DFF2918"/>
    <w:rsid w:val="6E742032"/>
    <w:rsid w:val="6E8C6F52"/>
    <w:rsid w:val="6F1B232D"/>
    <w:rsid w:val="6F654B39"/>
    <w:rsid w:val="6F9700B3"/>
    <w:rsid w:val="6FDE119D"/>
    <w:rsid w:val="6FFE789F"/>
    <w:rsid w:val="70FC3BFE"/>
    <w:rsid w:val="738356C8"/>
    <w:rsid w:val="74F612D2"/>
    <w:rsid w:val="781829F7"/>
    <w:rsid w:val="782149CF"/>
    <w:rsid w:val="78620A58"/>
    <w:rsid w:val="786F1FE4"/>
    <w:rsid w:val="7945635D"/>
    <w:rsid w:val="7B07773B"/>
    <w:rsid w:val="7BB24E85"/>
    <w:rsid w:val="7CC07E15"/>
    <w:rsid w:val="7DC9032F"/>
    <w:rsid w:val="7FEA452E"/>
    <w:rsid w:val="7FFF2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styleId="3">
    <w:name w:val="heading 1"/>
    <w:basedOn w:val="1"/>
    <w:next w:val="1"/>
    <w:qFormat/>
    <w:uiPriority w:val="0"/>
    <w:pPr>
      <w:keepNext/>
      <w:keepLines/>
      <w:numPr>
        <w:ilvl w:val="0"/>
        <w:numId w:val="1"/>
      </w:numPr>
      <w:ind w:firstLine="0"/>
      <w:outlineLvl w:val="0"/>
    </w:pPr>
    <w:rPr>
      <w:b/>
      <w:kern w:val="44"/>
    </w:rPr>
  </w:style>
  <w:style w:type="paragraph" w:styleId="4">
    <w:name w:val="heading 2"/>
    <w:basedOn w:val="1"/>
    <w:next w:val="1"/>
    <w:unhideWhenUsed/>
    <w:qFormat/>
    <w:uiPriority w:val="0"/>
    <w:pPr>
      <w:keepNext/>
      <w:keepLines/>
      <w:numPr>
        <w:ilvl w:val="0"/>
        <w:numId w:val="2"/>
      </w:numPr>
      <w:outlineLvl w:val="1"/>
    </w:pPr>
    <w:rPr>
      <w:rFonts w:ascii="Arial" w:hAnsi="Arial"/>
      <w:b/>
    </w:rPr>
  </w:style>
  <w:style w:type="paragraph" w:styleId="5">
    <w:name w:val="heading 3"/>
    <w:basedOn w:val="1"/>
    <w:next w:val="1"/>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unhideWhenUsed/>
    <w:qFormat/>
    <w:uiPriority w:val="9"/>
    <w:pPr>
      <w:keepNext/>
      <w:keepLines/>
      <w:numPr>
        <w:ilvl w:val="3"/>
        <w:numId w:val="3"/>
      </w:numPr>
      <w:spacing w:before="60" w:after="60"/>
      <w:ind w:left="0" w:firstLine="0"/>
      <w:outlineLvl w:val="3"/>
    </w:pPr>
    <w:rPr>
      <w:rFonts w:eastAsia="黑体" w:asciiTheme="majorHAnsi" w:hAnsiTheme="majorHAnsi" w:cstheme="majorBidi"/>
      <w:b/>
      <w:bCs/>
      <w:sz w:val="28"/>
      <w:szCs w:val="28"/>
    </w:rPr>
  </w:style>
  <w:style w:type="paragraph" w:styleId="7">
    <w:name w:val="heading 5"/>
    <w:basedOn w:val="1"/>
    <w:next w:val="1"/>
    <w:unhideWhenUsed/>
    <w:qFormat/>
    <w:uiPriority w:val="9"/>
    <w:pPr>
      <w:keepNext/>
      <w:keepLines/>
      <w:numPr>
        <w:ilvl w:val="4"/>
        <w:numId w:val="4"/>
      </w:numPr>
      <w:spacing w:before="280" w:after="290" w:line="372" w:lineRule="auto"/>
      <w:outlineLvl w:val="4"/>
    </w:pPr>
    <w:rPr>
      <w:b/>
    </w:rPr>
  </w:style>
  <w:style w:type="character" w:default="1" w:styleId="19">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szCs w:val="20"/>
    </w:rPr>
  </w:style>
  <w:style w:type="paragraph" w:styleId="8">
    <w:name w:val="Normal Indent"/>
    <w:basedOn w:val="1"/>
    <w:next w:val="1"/>
    <w:unhideWhenUsed/>
    <w:qFormat/>
    <w:uiPriority w:val="99"/>
    <w:pPr>
      <w:ind w:firstLine="420" w:firstLineChars="200"/>
    </w:pPr>
  </w:style>
  <w:style w:type="paragraph" w:styleId="9">
    <w:name w:val="Document Map"/>
    <w:basedOn w:val="1"/>
    <w:next w:val="2"/>
    <w:qFormat/>
    <w:uiPriority w:val="99"/>
    <w:pPr>
      <w:shd w:val="clear" w:color="auto" w:fill="000080"/>
    </w:pPr>
    <w:rPr>
      <w:sz w:val="21"/>
      <w:szCs w:val="21"/>
    </w:rPr>
  </w:style>
  <w:style w:type="paragraph" w:styleId="10">
    <w:name w:val="annotation text"/>
    <w:basedOn w:val="1"/>
    <w:link w:val="25"/>
    <w:unhideWhenUsed/>
    <w:qFormat/>
    <w:uiPriority w:val="99"/>
  </w:style>
  <w:style w:type="paragraph" w:styleId="11">
    <w:name w:val="Body Text Indent"/>
    <w:basedOn w:val="1"/>
    <w:link w:val="24"/>
    <w:qFormat/>
    <w:uiPriority w:val="0"/>
    <w:pPr>
      <w:spacing w:after="120"/>
      <w:ind w:left="420" w:leftChars="200"/>
    </w:p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4">
    <w:name w:val="Normal (Web)"/>
    <w:basedOn w:val="1"/>
    <w:qFormat/>
    <w:uiPriority w:val="0"/>
    <w:pPr>
      <w:spacing w:beforeAutospacing="1" w:afterAutospacing="1"/>
      <w:jc w:val="left"/>
    </w:pPr>
    <w:rPr>
      <w:kern w:val="0"/>
    </w:rPr>
  </w:style>
  <w:style w:type="paragraph" w:styleId="15">
    <w:name w:val="Body Text First Indent"/>
    <w:basedOn w:val="1"/>
    <w:next w:val="1"/>
    <w:qFormat/>
    <w:uiPriority w:val="0"/>
    <w:pPr>
      <w:spacing w:after="120"/>
      <w:ind w:firstLine="420"/>
    </w:pPr>
    <w:rPr>
      <w:rFonts w:ascii="Tahoma" w:hAnsi="Tahoma" w:eastAsia="Times New Roman"/>
      <w:szCs w:val="24"/>
    </w:rPr>
  </w:style>
  <w:style w:type="paragraph" w:styleId="16">
    <w:name w:val="Body Text First Indent 2"/>
    <w:basedOn w:val="11"/>
    <w:unhideWhenUsed/>
    <w:qFormat/>
    <w:uiPriority w:val="99"/>
    <w:pPr>
      <w:widowControl/>
      <w:spacing w:after="0"/>
      <w:ind w:left="0" w:leftChars="0"/>
      <w:jc w:val="center"/>
    </w:pPr>
    <w:rPr>
      <w:rFonts w:ascii="仿宋" w:hAnsi="仿宋"/>
    </w:rPr>
  </w:style>
  <w:style w:type="table" w:styleId="18">
    <w:name w:val="Table Grid"/>
    <w:basedOn w:val="17"/>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basedOn w:val="19"/>
    <w:qFormat/>
    <w:uiPriority w:val="0"/>
    <w:rPr>
      <w:b/>
    </w:rPr>
  </w:style>
  <w:style w:type="character" w:styleId="21">
    <w:name w:val="Hyperlink"/>
    <w:unhideWhenUsed/>
    <w:qFormat/>
    <w:uiPriority w:val="99"/>
    <w:rPr>
      <w:color w:val="0026E5" w:themeColor="hyperlink"/>
      <w:u w:val="single"/>
      <w14:textFill>
        <w14:solidFill>
          <w14:schemeClr w14:val="hlink"/>
        </w14:solidFill>
      </w14:textFill>
    </w:rPr>
  </w:style>
  <w:style w:type="character" w:styleId="22">
    <w:name w:val="annotation reference"/>
    <w:basedOn w:val="19"/>
    <w:semiHidden/>
    <w:unhideWhenUsed/>
    <w:qFormat/>
    <w:uiPriority w:val="99"/>
    <w:rPr>
      <w:sz w:val="21"/>
      <w:szCs w:val="21"/>
    </w:rPr>
  </w:style>
  <w:style w:type="paragraph" w:styleId="23">
    <w:name w:val="List Paragraph"/>
    <w:basedOn w:val="1"/>
    <w:qFormat/>
    <w:uiPriority w:val="99"/>
    <w:pPr>
      <w:ind w:firstLine="420"/>
    </w:pPr>
  </w:style>
  <w:style w:type="character" w:customStyle="1" w:styleId="24">
    <w:name w:val="正文文本缩进 字符"/>
    <w:basedOn w:val="19"/>
    <w:link w:val="11"/>
    <w:qFormat/>
    <w:uiPriority w:val="0"/>
    <w:rPr>
      <w:rFonts w:ascii="Arial" w:hAnsi="Arial" w:eastAsia="宋体" w:cs="Times New Roman"/>
      <w:sz w:val="22"/>
      <w:szCs w:val="22"/>
      <w:lang w:eastAsia="en-US"/>
    </w:rPr>
  </w:style>
  <w:style w:type="character" w:customStyle="1" w:styleId="25">
    <w:name w:val="批注文字 字符"/>
    <w:basedOn w:val="19"/>
    <w:link w:val="10"/>
    <w:qFormat/>
    <w:uiPriority w:val="0"/>
    <w:rPr>
      <w:rFonts w:hint="default" w:ascii="Arial" w:hAnsi="Arial" w:eastAsia="宋体" w:cs="Times New Roman"/>
      <w:sz w:val="22"/>
      <w:szCs w:val="22"/>
      <w:lang w:eastAsia="en-US"/>
    </w:rPr>
  </w:style>
  <w:style w:type="paragraph" w:customStyle="1" w:styleId="26">
    <w:name w:val="方案正文"/>
    <w:basedOn w:val="1"/>
    <w:qFormat/>
    <w:uiPriority w:val="0"/>
    <w:pPr>
      <w:snapToGrid w:val="0"/>
      <w:spacing w:line="440" w:lineRule="atLeast"/>
    </w:pPr>
  </w:style>
  <w:style w:type="paragraph" w:styleId="27">
    <w:name w:val="No Spacing"/>
    <w:qFormat/>
    <w:uiPriority w:val="99"/>
    <w:pPr>
      <w:widowControl w:val="0"/>
      <w:jc w:val="both"/>
    </w:pPr>
    <w:rPr>
      <w:rFonts w:ascii="Calibri Light" w:hAnsi="Calibri Light" w:eastAsia="@楷体_GB2312" w:cs="Calibri Light"/>
      <w:kern w:val="2"/>
      <w:sz w:val="26"/>
      <w:szCs w:val="26"/>
      <w:lang w:val="en-US" w:eastAsia="zh-CN" w:bidi="ar-SA"/>
    </w:rPr>
  </w:style>
  <w:style w:type="paragraph" w:customStyle="1" w:styleId="28">
    <w:name w:val="纯文本1"/>
    <w:basedOn w:val="1"/>
    <w:qFormat/>
    <w:uiPriority w:val="0"/>
    <w:rPr>
      <w:rFonts w:ascii="宋体" w:hAnsi="Courier New"/>
      <w:szCs w:val="20"/>
    </w:rPr>
  </w:style>
  <w:style w:type="paragraph" w:customStyle="1" w:styleId="29">
    <w:name w:val="纯文本2"/>
    <w:basedOn w:val="1"/>
    <w:qFormat/>
    <w:uiPriority w:val="0"/>
    <w:rPr>
      <w:rFonts w:ascii="宋体" w:hAnsi="Courier New" w:eastAsia="楷体_GB2312"/>
      <w:sz w:val="26"/>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79</Pages>
  <Words>24741</Words>
  <Characters>25732</Characters>
  <Lines>1354</Lines>
  <Paragraphs>1231</Paragraphs>
  <TotalTime>1</TotalTime>
  <ScaleCrop>false</ScaleCrop>
  <LinksUpToDate>false</LinksUpToDate>
  <CharactersWithSpaces>49242</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2026-05-21T07:16:00Z</dcterms:created>
  <dc:creator>WPS_1729327929</dc:creator>
  <cp:lastModifiedBy>周萌</cp:lastModifiedBy>
  <dcterms:modified xsi:type="dcterms:W3CDTF">2026-05-21T07:39:10Z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B0E4ACED19BA42D09C3DE80D9002A456_13</vt:lpwstr>
  </property>
  <property fmtid="{D5CDD505-2E9C-101B-9397-08002B2CF9AE}" pid="4" name="KSOTemplateDocerSaveRecord">
    <vt:lpwstr>eyJoZGlkIjoiMWU1NmM5NTEwZTNjYTdlNTc0ZTJjMTM3OTkxYWUyM2IiLCJ1c2VySWQiOiIxNjQ3NDg1OTA1In0=</vt:lpwstr>
  </property>
</Properties>
</file>