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51964">
      <w:pPr>
        <w:spacing w:line="240" w:lineRule="atLeast"/>
        <w:jc w:val="center"/>
        <w:rPr>
          <w:rFonts w:hint="eastAsia" w:ascii="微软雅黑" w:hAnsi="微软雅黑" w:eastAsia="微软雅黑" w:cs="微软雅黑"/>
          <w:b/>
          <w:color w:val="auto"/>
          <w:sz w:val="52"/>
          <w:szCs w:val="52"/>
          <w:highlight w:val="none"/>
        </w:rPr>
      </w:pPr>
      <w:bookmarkStart w:id="0" w:name="_Toc13057"/>
      <w:bookmarkStart w:id="1" w:name="_Toc16093"/>
      <w:bookmarkStart w:id="2" w:name="_Toc29241"/>
      <w:bookmarkStart w:id="3" w:name="_Toc12442"/>
      <w:bookmarkStart w:id="4" w:name="_Toc11880"/>
      <w:bookmarkStart w:id="5" w:name="_Toc4177"/>
      <w:bookmarkStart w:id="6" w:name="_Toc13297"/>
      <w:bookmarkStart w:id="7" w:name="_Toc31636"/>
      <w:bookmarkStart w:id="8" w:name="_Toc17321"/>
      <w:bookmarkStart w:id="9" w:name="_Toc22083"/>
      <w:bookmarkStart w:id="10" w:name="_Toc3501"/>
      <w:bookmarkStart w:id="11" w:name="_Toc1934"/>
      <w:bookmarkStart w:id="12" w:name="_Toc31645"/>
      <w:bookmarkStart w:id="13" w:name="_Toc27286"/>
      <w:bookmarkStart w:id="14" w:name="_Toc218935355"/>
      <w:bookmarkStart w:id="15" w:name="_Toc507399907"/>
      <w:bookmarkStart w:id="16" w:name="_Toc216582826"/>
      <w:bookmarkStart w:id="17" w:name="_Toc7971"/>
      <w:bookmarkStart w:id="18" w:name="_Toc219175639"/>
      <w:bookmarkStart w:id="19" w:name="_Toc32647"/>
      <w:bookmarkStart w:id="20" w:name="_Toc515647832"/>
    </w:p>
    <w:p w14:paraId="1C9A13C2">
      <w:pPr>
        <w:spacing w:line="240" w:lineRule="atLeast"/>
        <w:jc w:val="center"/>
        <w:rPr>
          <w:rFonts w:hint="eastAsia" w:ascii="微软雅黑" w:hAnsi="微软雅黑" w:eastAsia="微软雅黑" w:cs="微软雅黑"/>
          <w:b/>
          <w:color w:val="auto"/>
          <w:kern w:val="0"/>
          <w:sz w:val="44"/>
          <w:szCs w:val="44"/>
          <w:highlight w:val="none"/>
          <w:lang w:val="en-US" w:eastAsia="zh-CN" w:bidi="ar-SA"/>
        </w:rPr>
      </w:pPr>
      <w:r>
        <w:rPr>
          <w:rFonts w:hint="eastAsia" w:ascii="微软雅黑" w:hAnsi="微软雅黑" w:eastAsia="微软雅黑" w:cs="微软雅黑"/>
          <w:b/>
          <w:color w:val="auto"/>
          <w:sz w:val="52"/>
          <w:szCs w:val="52"/>
          <w:highlight w:val="none"/>
          <w:lang w:eastAsia="zh-CN"/>
        </w:rPr>
        <w:t>喀什大学智慧教学转型研究与应用项目（第一标段、第二标段、第五标段）</w:t>
      </w:r>
    </w:p>
    <w:p w14:paraId="1474DE59">
      <w:pPr>
        <w:pStyle w:val="12"/>
        <w:pageBreakBefore w:val="0"/>
        <w:kinsoku/>
        <w:wordWrap w:val="0"/>
        <w:overflowPunct/>
        <w:topLinePunct w:val="0"/>
        <w:bidi w:val="0"/>
        <w:spacing w:before="91" w:line="219" w:lineRule="auto"/>
        <w:jc w:val="center"/>
        <w:rPr>
          <w:rFonts w:hint="eastAsia" w:ascii="微软雅黑" w:hAnsi="微软雅黑" w:eastAsia="微软雅黑" w:cs="微软雅黑"/>
          <w:b/>
          <w:color w:val="auto"/>
          <w:kern w:val="0"/>
          <w:sz w:val="44"/>
          <w:szCs w:val="44"/>
          <w:highlight w:val="none"/>
          <w:lang w:val="en-US" w:eastAsia="zh-CN" w:bidi="ar-SA"/>
        </w:rPr>
      </w:pPr>
      <w:r>
        <w:rPr>
          <w:rFonts w:hint="eastAsia" w:ascii="微软雅黑" w:hAnsi="微软雅黑" w:eastAsia="微软雅黑" w:cs="微软雅黑"/>
          <w:b/>
          <w:color w:val="auto"/>
          <w:kern w:val="0"/>
          <w:sz w:val="44"/>
          <w:szCs w:val="44"/>
          <w:highlight w:val="none"/>
          <w:lang w:val="en-US" w:eastAsia="zh-CN" w:bidi="ar-SA"/>
        </w:rPr>
        <w:t>项目编号：26GJ-(GK)021</w:t>
      </w:r>
    </w:p>
    <w:p w14:paraId="2CBB9213">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40"/>
          <w:szCs w:val="40"/>
          <w:highlight w:val="none"/>
          <w:lang w:eastAsia="zh-CN"/>
        </w:rPr>
      </w:pPr>
      <w:r>
        <w:rPr>
          <w:rFonts w:hint="eastAsia" w:ascii="微软雅黑" w:hAnsi="微软雅黑" w:eastAsia="微软雅黑" w:cs="微软雅黑"/>
          <w:b/>
          <w:color w:val="auto"/>
          <w:sz w:val="40"/>
          <w:szCs w:val="40"/>
          <w:highlight w:val="none"/>
          <w:lang w:eastAsia="zh-CN"/>
        </w:rPr>
        <w:t>（第五标段）</w:t>
      </w:r>
    </w:p>
    <w:p w14:paraId="5E0FD8B0">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40"/>
          <w:szCs w:val="40"/>
          <w:highlight w:val="none"/>
          <w:lang w:eastAsia="zh-CN"/>
        </w:rPr>
      </w:pPr>
    </w:p>
    <w:p w14:paraId="14716ABA">
      <w:pPr>
        <w:pageBreakBefore w:val="0"/>
        <w:kinsoku/>
        <w:wordWrap w:val="0"/>
        <w:overflowPunct/>
        <w:topLinePunct w:val="0"/>
        <w:bidi w:val="0"/>
        <w:spacing w:line="240" w:lineRule="atLeast"/>
        <w:jc w:val="center"/>
        <w:rPr>
          <w:rFonts w:hint="eastAsia" w:ascii="微软雅黑" w:hAnsi="微软雅黑" w:eastAsia="微软雅黑" w:cs="微软雅黑"/>
          <w:b/>
          <w:color w:val="auto"/>
          <w:sz w:val="60"/>
          <w:szCs w:val="60"/>
          <w:highlight w:val="none"/>
        </w:rPr>
      </w:pPr>
      <w:r>
        <w:rPr>
          <w:rFonts w:hint="eastAsia" w:ascii="微软雅黑" w:hAnsi="微软雅黑" w:eastAsia="微软雅黑" w:cs="微软雅黑"/>
          <w:b/>
          <w:color w:val="auto"/>
          <w:sz w:val="60"/>
          <w:szCs w:val="60"/>
          <w:highlight w:val="none"/>
        </w:rPr>
        <w:t>招标文件</w:t>
      </w:r>
    </w:p>
    <w:p w14:paraId="11CD38A0">
      <w:pPr>
        <w:pageBreakBefore w:val="0"/>
        <w:kinsoku/>
        <w:wordWrap w:val="0"/>
        <w:overflowPunct/>
        <w:topLinePunct w:val="0"/>
        <w:bidi w:val="0"/>
        <w:spacing w:line="240" w:lineRule="atLeast"/>
        <w:jc w:val="both"/>
        <w:rPr>
          <w:rFonts w:hint="eastAsia" w:ascii="微软雅黑" w:hAnsi="微软雅黑" w:eastAsia="微软雅黑" w:cs="微软雅黑"/>
          <w:b/>
          <w:color w:val="auto"/>
          <w:sz w:val="32"/>
          <w:szCs w:val="32"/>
          <w:highlight w:val="none"/>
          <w:lang w:eastAsia="zh-CN"/>
        </w:rPr>
      </w:pPr>
    </w:p>
    <w:p w14:paraId="09020741">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采</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购</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喀什大学             </w:t>
      </w:r>
    </w:p>
    <w:p w14:paraId="2DDCF3C6">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u w:val="single"/>
          <w:lang w:eastAsia="zh-CN"/>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孟老师</w:t>
      </w:r>
      <w:r>
        <w:rPr>
          <w:rFonts w:hint="eastAsia" w:ascii="微软雅黑" w:hAnsi="微软雅黑" w:eastAsia="微软雅黑" w:cs="微软雅黑"/>
          <w:b/>
          <w:color w:val="auto"/>
          <w:sz w:val="32"/>
          <w:szCs w:val="32"/>
          <w:highlight w:val="none"/>
          <w:u w:val="single"/>
        </w:rPr>
        <w:t xml:space="preserve">              </w:t>
      </w:r>
    </w:p>
    <w:p w14:paraId="1080BE63">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18899357172</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36148C12">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4D4E598B">
      <w:pPr>
        <w:pageBreakBefore w:val="0"/>
        <w:kinsoku/>
        <w:wordWrap w:val="0"/>
        <w:overflowPunct/>
        <w:topLinePunct w:val="0"/>
        <w:bidi w:val="0"/>
        <w:rPr>
          <w:rFonts w:hint="eastAsia" w:ascii="微软雅黑" w:hAnsi="微软雅黑" w:eastAsia="微软雅黑" w:cs="微软雅黑"/>
          <w:color w:val="auto"/>
          <w:sz w:val="32"/>
          <w:szCs w:val="32"/>
          <w:highlight w:val="none"/>
        </w:rPr>
      </w:pPr>
    </w:p>
    <w:p w14:paraId="51CDFC84">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代理机构：</w:t>
      </w:r>
      <w:r>
        <w:rPr>
          <w:rFonts w:hint="eastAsia" w:ascii="微软雅黑" w:hAnsi="微软雅黑" w:eastAsia="微软雅黑" w:cs="微软雅黑"/>
          <w:b/>
          <w:color w:val="auto"/>
          <w:sz w:val="32"/>
          <w:szCs w:val="32"/>
          <w:highlight w:val="none"/>
          <w:u w:val="single"/>
        </w:rPr>
        <w:t>新疆共建恒业信息咨询有限责任公司</w:t>
      </w:r>
    </w:p>
    <w:p w14:paraId="665D37AE">
      <w:pPr>
        <w:pageBreakBefore w:val="0"/>
        <w:kinsoku/>
        <w:wordWrap w:val="0"/>
        <w:overflowPunct/>
        <w:topLinePunct w:val="0"/>
        <w:bidi w:val="0"/>
        <w:spacing w:line="240" w:lineRule="atLeast"/>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系</w:t>
      </w:r>
      <w:r>
        <w:rPr>
          <w:rFonts w:hint="eastAsia" w:ascii="微软雅黑" w:hAnsi="微软雅黑" w:eastAsia="微软雅黑" w:cs="微软雅黑"/>
          <w:b/>
          <w:color w:val="auto"/>
          <w:sz w:val="32"/>
          <w:szCs w:val="32"/>
          <w:highlight w:val="none"/>
          <w:lang w:val="en-US" w:eastAsia="zh-CN"/>
        </w:rPr>
        <w:t xml:space="preserve"> </w:t>
      </w:r>
      <w:r>
        <w:rPr>
          <w:rFonts w:hint="eastAsia" w:ascii="微软雅黑" w:hAnsi="微软雅黑" w:eastAsia="微软雅黑" w:cs="微软雅黑"/>
          <w:b/>
          <w:color w:val="auto"/>
          <w:sz w:val="32"/>
          <w:szCs w:val="32"/>
          <w:highlight w:val="none"/>
        </w:rPr>
        <w:t>人：</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刘薇、朱萍</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p>
    <w:p w14:paraId="212E0559">
      <w:pPr>
        <w:pageBreakBefore w:val="0"/>
        <w:kinsoku/>
        <w:wordWrap w:val="0"/>
        <w:overflowPunct/>
        <w:topLinePunct w:val="0"/>
        <w:bidi w:val="0"/>
        <w:ind w:firstLine="640" w:firstLineChars="20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联系电话：</w:t>
      </w:r>
      <w:r>
        <w:rPr>
          <w:rFonts w:hint="eastAsia" w:ascii="微软雅黑" w:hAnsi="微软雅黑" w:eastAsia="微软雅黑" w:cs="微软雅黑"/>
          <w:b/>
          <w:color w:val="auto"/>
          <w:sz w:val="32"/>
          <w:szCs w:val="32"/>
          <w:highlight w:val="none"/>
          <w:u w:val="single"/>
        </w:rPr>
        <w:t xml:space="preserve">         18209987338         </w:t>
      </w:r>
    </w:p>
    <w:p w14:paraId="7D8FF9D3">
      <w:pPr>
        <w:pageBreakBefore w:val="0"/>
        <w:kinsoku/>
        <w:wordWrap w:val="0"/>
        <w:overflowPunct/>
        <w:topLinePunct w:val="0"/>
        <w:bidi w:val="0"/>
        <w:rPr>
          <w:rFonts w:hint="eastAsia" w:ascii="微软雅黑" w:hAnsi="微软雅黑" w:eastAsia="微软雅黑" w:cs="微软雅黑"/>
          <w:b/>
          <w:bCs/>
          <w:color w:val="auto"/>
          <w:sz w:val="32"/>
          <w:szCs w:val="40"/>
          <w:highlight w:val="none"/>
        </w:rPr>
      </w:pPr>
    </w:p>
    <w:p w14:paraId="590FB3FB">
      <w:pPr>
        <w:pStyle w:val="12"/>
        <w:pageBreakBefore w:val="0"/>
        <w:kinsoku/>
        <w:wordWrap w:val="0"/>
        <w:overflowPunct/>
        <w:topLinePunct w:val="0"/>
        <w:bidi w:val="0"/>
        <w:spacing w:before="78" w:line="219" w:lineRule="auto"/>
        <w:ind w:left="2941"/>
        <w:rPr>
          <w:rFonts w:hint="eastAsia" w:ascii="微软雅黑" w:hAnsi="微软雅黑" w:eastAsia="微软雅黑" w:cs="微软雅黑"/>
          <w:b/>
          <w:color w:val="auto"/>
          <w:kern w:val="2"/>
          <w:sz w:val="28"/>
          <w:szCs w:val="28"/>
          <w:highlight w:val="none"/>
          <w:lang w:val="en-US" w:eastAsia="zh-CN" w:bidi="ar-SA"/>
        </w:rPr>
      </w:pPr>
      <w:r>
        <w:rPr>
          <w:rFonts w:hint="eastAsia" w:ascii="微软雅黑" w:hAnsi="微软雅黑" w:eastAsia="微软雅黑" w:cs="微软雅黑"/>
          <w:b/>
          <w:color w:val="auto"/>
          <w:kern w:val="2"/>
          <w:sz w:val="28"/>
          <w:szCs w:val="28"/>
          <w:highlight w:val="none"/>
          <w:lang w:val="en-US" w:eastAsia="zh-CN" w:bidi="ar-SA"/>
        </w:rPr>
        <w:t>编制日期：2026年4月</w:t>
      </w:r>
    </w:p>
    <w:p w14:paraId="52FCB812">
      <w:pPr>
        <w:pageBreakBefore w:val="0"/>
        <w:kinsoku/>
        <w:wordWrap w:val="0"/>
        <w:overflowPunct/>
        <w:topLinePunct w:val="0"/>
        <w:bidi w:val="0"/>
        <w:rPr>
          <w:rFonts w:hint="eastAsia" w:ascii="微软雅黑" w:hAnsi="微软雅黑" w:eastAsia="微软雅黑" w:cs="微软雅黑"/>
          <w:b/>
          <w:bCs/>
          <w:color w:val="auto"/>
          <w:sz w:val="32"/>
          <w:szCs w:val="40"/>
          <w:highlight w:val="none"/>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41A0234C">
      <w:pPr>
        <w:ind w:firstLine="3522" w:firstLineChars="1100"/>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bCs/>
          <w:color w:val="auto"/>
          <w:sz w:val="32"/>
          <w:szCs w:val="40"/>
          <w:highlight w:val="none"/>
        </w:rPr>
        <w:t>目录</w:t>
      </w:r>
    </w:p>
    <w:p w14:paraId="3653DD5E">
      <w:pPr>
        <w:pStyle w:val="26"/>
        <w:tabs>
          <w:tab w:val="right" w:leader="dot" w:pos="8312"/>
        </w:tabs>
        <w:rPr>
          <w:color w:val="auto"/>
          <w:highlight w:val="none"/>
        </w:rPr>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TOC \o "1-3" \h \u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color w:val="auto"/>
          <w:szCs w:val="21"/>
          <w:highlight w:val="none"/>
        </w:rPr>
        <w:instrText xml:space="preserve"> HYPERLINK \l _Toc32488 </w:instrText>
      </w:r>
      <w:r>
        <w:rPr>
          <w:rFonts w:hint="eastAsia" w:ascii="微软雅黑" w:hAnsi="微软雅黑" w:eastAsia="微软雅黑" w:cs="微软雅黑"/>
          <w:color w:val="auto"/>
          <w:szCs w:val="21"/>
          <w:highlight w:val="none"/>
        </w:rPr>
        <w:fldChar w:fldCharType="separate"/>
      </w:r>
      <w:r>
        <w:rPr>
          <w:rFonts w:hint="eastAsia" w:ascii="微软雅黑" w:hAnsi="微软雅黑" w:eastAsia="微软雅黑" w:cs="微软雅黑"/>
          <w:bCs/>
          <w:color w:val="auto"/>
          <w:szCs w:val="32"/>
          <w:highlight w:val="none"/>
        </w:rPr>
        <w:t>第1章</w:t>
      </w:r>
      <w:r>
        <w:rPr>
          <w:rFonts w:hint="eastAsia" w:ascii="微软雅黑" w:hAnsi="微软雅黑" w:eastAsia="微软雅黑" w:cs="微软雅黑"/>
          <w:bCs/>
          <w:color w:val="auto"/>
          <w:szCs w:val="32"/>
          <w:highlight w:val="none"/>
          <w:lang w:val="en-US" w:eastAsia="zh-CN"/>
        </w:rPr>
        <w:t xml:space="preserve">  </w:t>
      </w:r>
      <w:r>
        <w:rPr>
          <w:rFonts w:hint="eastAsia" w:ascii="微软雅黑" w:hAnsi="微软雅黑" w:eastAsia="微软雅黑" w:cs="微软雅黑"/>
          <w:bCs/>
          <w:color w:val="auto"/>
          <w:szCs w:val="32"/>
          <w:highlight w:val="none"/>
        </w:rPr>
        <w:t>供应商须知</w:t>
      </w:r>
      <w:r>
        <w:rPr>
          <w:color w:val="auto"/>
          <w:highlight w:val="none"/>
        </w:rPr>
        <w:tab/>
      </w:r>
      <w:r>
        <w:rPr>
          <w:color w:val="auto"/>
          <w:highlight w:val="none"/>
        </w:rPr>
        <w:fldChar w:fldCharType="begin"/>
      </w:r>
      <w:r>
        <w:rPr>
          <w:color w:val="auto"/>
          <w:highlight w:val="none"/>
        </w:rPr>
        <w:instrText xml:space="preserve"> PAGEREF _Toc32488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szCs w:val="21"/>
          <w:highlight w:val="none"/>
        </w:rPr>
        <w:fldChar w:fldCharType="end"/>
      </w:r>
    </w:p>
    <w:p w14:paraId="0FFEBBF4">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_Toc23482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一</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总</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则</w:t>
      </w:r>
      <w:r>
        <w:rPr>
          <w:color w:val="auto"/>
          <w:highlight w:val="none"/>
        </w:rPr>
        <w:tab/>
      </w:r>
      <w:r>
        <w:rPr>
          <w:color w:val="auto"/>
          <w:highlight w:val="none"/>
        </w:rPr>
        <w:fldChar w:fldCharType="begin"/>
      </w:r>
      <w:r>
        <w:rPr>
          <w:color w:val="auto"/>
          <w:highlight w:val="none"/>
        </w:rPr>
        <w:instrText xml:space="preserve"> PAGEREF _Toc23482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5A31EBA">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_Toc545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二</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_Toc545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5A5192B">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_Toc12939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三</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_Toc12939 \h </w:instrText>
      </w:r>
      <w:r>
        <w:rPr>
          <w:color w:val="auto"/>
          <w:highlight w:val="none"/>
        </w:rPr>
        <w:fldChar w:fldCharType="separate"/>
      </w:r>
      <w:r>
        <w:rPr>
          <w:color w:val="auto"/>
          <w:highlight w:val="none"/>
        </w:rPr>
        <w:t>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9324FC1">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_Toc28472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四</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_Toc28472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D51EC29">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_Toc4638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五</w:t>
      </w:r>
      <w:r>
        <w:rPr>
          <w:rFonts w:hint="eastAsia" w:ascii="微软雅黑" w:hAnsi="微软雅黑" w:eastAsia="微软雅黑" w:cs="微软雅黑"/>
          <w:bCs/>
          <w:color w:val="auto"/>
          <w:highlight w:val="none"/>
          <w:lang w:val="en-US" w:eastAsia="zh-CN"/>
        </w:rPr>
        <w:t xml:space="preserve">  </w:t>
      </w:r>
      <w:r>
        <w:rPr>
          <w:rFonts w:hint="eastAsia" w:ascii="微软雅黑" w:hAnsi="微软雅黑" w:eastAsia="微软雅黑" w:cs="微软雅黑"/>
          <w:bCs/>
          <w:color w:val="auto"/>
          <w:highlight w:val="none"/>
        </w:rPr>
        <w:t>开标及评标</w:t>
      </w:r>
      <w:r>
        <w:rPr>
          <w:color w:val="auto"/>
          <w:highlight w:val="none"/>
        </w:rPr>
        <w:tab/>
      </w:r>
      <w:r>
        <w:rPr>
          <w:color w:val="auto"/>
          <w:highlight w:val="none"/>
        </w:rPr>
        <w:fldChar w:fldCharType="begin"/>
      </w:r>
      <w:r>
        <w:rPr>
          <w:color w:val="auto"/>
          <w:highlight w:val="none"/>
        </w:rPr>
        <w:instrText xml:space="preserve"> PAGEREF _Toc4638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50A4D59A">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_Toc20525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六</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确定中标</w:t>
      </w:r>
      <w:r>
        <w:rPr>
          <w:color w:val="auto"/>
          <w:highlight w:val="none"/>
        </w:rPr>
        <w:tab/>
      </w:r>
      <w:r>
        <w:rPr>
          <w:color w:val="auto"/>
          <w:highlight w:val="none"/>
        </w:rPr>
        <w:fldChar w:fldCharType="begin"/>
      </w:r>
      <w:r>
        <w:rPr>
          <w:color w:val="auto"/>
          <w:highlight w:val="none"/>
        </w:rPr>
        <w:instrText xml:space="preserve"> PAGEREF _Toc20525 \h </w:instrText>
      </w:r>
      <w:r>
        <w:rPr>
          <w:color w:val="auto"/>
          <w:highlight w:val="none"/>
        </w:rPr>
        <w:fldChar w:fldCharType="separate"/>
      </w:r>
      <w:r>
        <w:rPr>
          <w:color w:val="auto"/>
          <w:highlight w:val="none"/>
        </w:rPr>
        <w:t>13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9DC165A">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_Toc10160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2"/>
          <w:highlight w:val="none"/>
        </w:rPr>
        <w:t>第2章投标文件格式</w:t>
      </w:r>
      <w:r>
        <w:rPr>
          <w:color w:val="auto"/>
          <w:highlight w:val="none"/>
        </w:rPr>
        <w:tab/>
      </w:r>
      <w:r>
        <w:rPr>
          <w:color w:val="auto"/>
          <w:highlight w:val="none"/>
        </w:rPr>
        <w:fldChar w:fldCharType="begin"/>
      </w:r>
      <w:r>
        <w:rPr>
          <w:color w:val="auto"/>
          <w:highlight w:val="none"/>
        </w:rPr>
        <w:instrText xml:space="preserve"> PAGEREF _Toc10160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2E78889">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_Toc16217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8"/>
          <w:highlight w:val="none"/>
        </w:rPr>
        <w:t>第一部分开标一览表及资格证明文件</w:t>
      </w:r>
      <w:r>
        <w:rPr>
          <w:color w:val="auto"/>
          <w:highlight w:val="none"/>
        </w:rPr>
        <w:tab/>
      </w:r>
      <w:r>
        <w:rPr>
          <w:color w:val="auto"/>
          <w:highlight w:val="none"/>
        </w:rPr>
        <w:fldChar w:fldCharType="begin"/>
      </w:r>
      <w:r>
        <w:rPr>
          <w:color w:val="auto"/>
          <w:highlight w:val="none"/>
        </w:rPr>
        <w:instrText xml:space="preserve"> PAGEREF _Toc16217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81BF987">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_Toc1843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1、开标一览表</w:t>
      </w:r>
      <w:bookmarkStart w:id="3745" w:name="_GoBack"/>
      <w:bookmarkEnd w:id="3745"/>
      <w:r>
        <w:rPr>
          <w:color w:val="auto"/>
          <w:highlight w:val="none"/>
        </w:rPr>
        <w:tab/>
      </w:r>
      <w:r>
        <w:rPr>
          <w:color w:val="auto"/>
          <w:highlight w:val="none"/>
        </w:rPr>
        <w:fldChar w:fldCharType="begin"/>
      </w:r>
      <w:r>
        <w:rPr>
          <w:color w:val="auto"/>
          <w:highlight w:val="none"/>
        </w:rPr>
        <w:instrText xml:space="preserve"> PAGEREF _Toc1843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4B2FD1B">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_Toc1939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2、具有有效的营业执照；</w:t>
      </w:r>
      <w:r>
        <w:rPr>
          <w:color w:val="auto"/>
          <w:highlight w:val="none"/>
        </w:rPr>
        <w:tab/>
      </w:r>
      <w:r>
        <w:rPr>
          <w:color w:val="auto"/>
          <w:highlight w:val="none"/>
        </w:rPr>
        <w:fldChar w:fldCharType="begin"/>
      </w:r>
      <w:r>
        <w:rPr>
          <w:color w:val="auto"/>
          <w:highlight w:val="none"/>
        </w:rPr>
        <w:instrText xml:space="preserve"> PAGEREF _Toc1939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BADE600">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_Toc12634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3、</w:t>
      </w:r>
      <w:r>
        <w:rPr>
          <w:rFonts w:hint="eastAsia" w:ascii="微软雅黑" w:hAnsi="微软雅黑" w:eastAsia="微软雅黑" w:cs="微软雅黑"/>
          <w:bCs/>
          <w:color w:val="auto"/>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_Toc12634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865DF00">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_Toc23354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4、</w:t>
      </w:r>
      <w:r>
        <w:rPr>
          <w:rFonts w:hint="eastAsia" w:ascii="微软雅黑" w:hAnsi="微软雅黑" w:eastAsia="微软雅黑" w:cs="微软雅黑"/>
          <w:color w:val="auto"/>
          <w:kern w:val="0"/>
          <w:highlight w:val="none"/>
          <w:lang w:eastAsia="zh-CN"/>
        </w:rPr>
        <w:t>提供2024年或2025年任意一年完整的财务审计报告，成立时间未满十二个月的公司可提供近三个月内任意一个月的银行资信证明</w:t>
      </w:r>
      <w:r>
        <w:rPr>
          <w:color w:val="auto"/>
          <w:highlight w:val="none"/>
        </w:rPr>
        <w:tab/>
      </w:r>
      <w:r>
        <w:rPr>
          <w:color w:val="auto"/>
          <w:highlight w:val="none"/>
        </w:rPr>
        <w:fldChar w:fldCharType="begin"/>
      </w:r>
      <w:r>
        <w:rPr>
          <w:color w:val="auto"/>
          <w:highlight w:val="none"/>
        </w:rPr>
        <w:instrText xml:space="preserve"> PAGEREF _Toc23354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5D9710EE">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_Toc12333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5、提供依法缴纳近6个月任意1个月社会保险的证明；</w:t>
      </w:r>
      <w:r>
        <w:rPr>
          <w:color w:val="auto"/>
          <w:highlight w:val="none"/>
        </w:rPr>
        <w:tab/>
      </w:r>
      <w:r>
        <w:rPr>
          <w:color w:val="auto"/>
          <w:highlight w:val="none"/>
        </w:rPr>
        <w:fldChar w:fldCharType="begin"/>
      </w:r>
      <w:r>
        <w:rPr>
          <w:color w:val="auto"/>
          <w:highlight w:val="none"/>
        </w:rPr>
        <w:instrText xml:space="preserve"> PAGEREF _Toc12333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01204468">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_Toc8458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6、提供依法缴纳近6个月任意1个月的税收证明</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_Toc8458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BC2AF82">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_Toc2304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color w:val="auto"/>
          <w:kern w:val="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_Toc2304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BA73BFC">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_Toc17516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8、提供参加政府采购活动前3年内在经营活动中没有重大违法记录的书面声明函</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_Toc17516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0B57917">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_Toc3956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9、</w:t>
      </w:r>
      <w:r>
        <w:rPr>
          <w:rFonts w:hint="eastAsia" w:ascii="微软雅黑" w:hAnsi="微软雅黑" w:eastAsia="微软雅黑" w:cs="微软雅黑"/>
          <w:bCs/>
          <w:color w:val="auto"/>
          <w:highlight w:val="none"/>
        </w:rPr>
        <w:t>缴纳投标保证金有效凭证；</w:t>
      </w:r>
      <w:r>
        <w:rPr>
          <w:color w:val="auto"/>
          <w:highlight w:val="none"/>
        </w:rPr>
        <w:tab/>
      </w:r>
      <w:r>
        <w:rPr>
          <w:color w:val="auto"/>
          <w:highlight w:val="none"/>
        </w:rPr>
        <w:fldChar w:fldCharType="begin"/>
      </w:r>
      <w:r>
        <w:rPr>
          <w:color w:val="auto"/>
          <w:highlight w:val="none"/>
        </w:rPr>
        <w:instrText xml:space="preserve"> PAGEREF _Toc3956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A7B7459">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_Toc28903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10、</w:t>
      </w:r>
      <w:r>
        <w:rPr>
          <w:rFonts w:hint="eastAsia" w:ascii="微软雅黑" w:hAnsi="微软雅黑" w:eastAsia="微软雅黑" w:cs="微软雅黑"/>
          <w:color w:val="auto"/>
          <w:kern w:val="0"/>
          <w:szCs w:val="24"/>
          <w:highlight w:val="none"/>
        </w:rPr>
        <w:t>银行开户许可证复印件或银行基本账户信息(包含：银行账号及开户行名称）；</w:t>
      </w:r>
      <w:r>
        <w:rPr>
          <w:color w:val="auto"/>
          <w:highlight w:val="none"/>
        </w:rPr>
        <w:tab/>
      </w:r>
      <w:r>
        <w:rPr>
          <w:color w:val="auto"/>
          <w:highlight w:val="none"/>
        </w:rPr>
        <w:fldChar w:fldCharType="begin"/>
      </w:r>
      <w:r>
        <w:rPr>
          <w:color w:val="auto"/>
          <w:highlight w:val="none"/>
        </w:rPr>
        <w:instrText xml:space="preserve"> PAGEREF _Toc28903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395BB7B">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_Toc5529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11、</w:t>
      </w:r>
      <w:r>
        <w:rPr>
          <w:rFonts w:hint="eastAsia" w:ascii="微软雅黑" w:hAnsi="微软雅黑" w:eastAsia="微软雅黑" w:cs="微软雅黑"/>
          <w:color w:val="auto"/>
          <w:kern w:val="0"/>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_Toc5529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AA46A94">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_Toc23123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第二部分商务及技术文件</w:t>
      </w:r>
      <w:r>
        <w:rPr>
          <w:color w:val="auto"/>
          <w:highlight w:val="none"/>
        </w:rPr>
        <w:tab/>
      </w:r>
      <w:r>
        <w:rPr>
          <w:color w:val="auto"/>
          <w:highlight w:val="none"/>
        </w:rPr>
        <w:fldChar w:fldCharType="begin"/>
      </w:r>
      <w:r>
        <w:rPr>
          <w:color w:val="auto"/>
          <w:highlight w:val="none"/>
        </w:rPr>
        <w:instrText xml:space="preserve"> PAGEREF _Toc23123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B67FFB1">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_Toc2534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1、投标书</w:t>
      </w:r>
      <w:r>
        <w:rPr>
          <w:color w:val="auto"/>
          <w:highlight w:val="none"/>
        </w:rPr>
        <w:tab/>
      </w:r>
      <w:r>
        <w:rPr>
          <w:color w:val="auto"/>
          <w:highlight w:val="none"/>
        </w:rPr>
        <w:fldChar w:fldCharType="begin"/>
      </w:r>
      <w:r>
        <w:rPr>
          <w:color w:val="auto"/>
          <w:highlight w:val="none"/>
        </w:rPr>
        <w:instrText xml:space="preserve"> PAGEREF _Toc2534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E8ADFFD">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_Toc32603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2、投标分项报价表</w:t>
      </w:r>
      <w:r>
        <w:rPr>
          <w:color w:val="auto"/>
          <w:highlight w:val="none"/>
        </w:rPr>
        <w:tab/>
      </w:r>
      <w:r>
        <w:rPr>
          <w:color w:val="auto"/>
          <w:highlight w:val="none"/>
        </w:rPr>
        <w:fldChar w:fldCharType="begin"/>
      </w:r>
      <w:r>
        <w:rPr>
          <w:color w:val="auto"/>
          <w:highlight w:val="none"/>
        </w:rPr>
        <w:instrText xml:space="preserve"> PAGEREF _Toc32603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70656F9">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_Toc335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3、货物说明一览表</w:t>
      </w:r>
      <w:r>
        <w:rPr>
          <w:color w:val="auto"/>
          <w:highlight w:val="none"/>
        </w:rPr>
        <w:tab/>
      </w:r>
      <w:r>
        <w:rPr>
          <w:color w:val="auto"/>
          <w:highlight w:val="none"/>
        </w:rPr>
        <w:fldChar w:fldCharType="begin"/>
      </w:r>
      <w:r>
        <w:rPr>
          <w:color w:val="auto"/>
          <w:highlight w:val="none"/>
        </w:rPr>
        <w:instrText xml:space="preserve"> PAGEREF _Toc335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8AE5EC7">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_Toc27254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4、技术规格偏离表</w:t>
      </w:r>
      <w:r>
        <w:rPr>
          <w:color w:val="auto"/>
          <w:highlight w:val="none"/>
        </w:rPr>
        <w:tab/>
      </w:r>
      <w:r>
        <w:rPr>
          <w:color w:val="auto"/>
          <w:highlight w:val="none"/>
        </w:rPr>
        <w:fldChar w:fldCharType="begin"/>
      </w:r>
      <w:r>
        <w:rPr>
          <w:color w:val="auto"/>
          <w:highlight w:val="none"/>
        </w:rPr>
        <w:instrText xml:space="preserve"> PAGEREF _Toc27254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7C2CEFD">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_Toc17243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6-1中小企业声明函（货物）</w:t>
      </w:r>
      <w:r>
        <w:rPr>
          <w:color w:val="auto"/>
          <w:highlight w:val="none"/>
        </w:rPr>
        <w:tab/>
      </w:r>
      <w:r>
        <w:rPr>
          <w:color w:val="auto"/>
          <w:highlight w:val="none"/>
        </w:rPr>
        <w:fldChar w:fldCharType="begin"/>
      </w:r>
      <w:r>
        <w:rPr>
          <w:color w:val="auto"/>
          <w:highlight w:val="none"/>
        </w:rPr>
        <w:instrText xml:space="preserve"> PAGEREF _Toc17243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106A88C5">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_Toc10825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6-2残疾人福利</w:t>
      </w:r>
      <w:r>
        <w:rPr>
          <w:rFonts w:hint="eastAsia" w:ascii="微软雅黑" w:hAnsi="微软雅黑" w:eastAsia="微软雅黑" w:cs="微软雅黑"/>
          <w:bCs/>
          <w:color w:val="auto"/>
          <w:kern w:val="2"/>
          <w:szCs w:val="24"/>
          <w:highlight w:val="none"/>
        </w:rPr>
        <w:t>性单</w:t>
      </w:r>
      <w:r>
        <w:rPr>
          <w:rFonts w:hint="eastAsia" w:ascii="微软雅黑" w:hAnsi="微软雅黑" w:eastAsia="微软雅黑" w:cs="微软雅黑"/>
          <w:color w:val="auto"/>
          <w:szCs w:val="24"/>
          <w:highlight w:val="none"/>
        </w:rPr>
        <w:t>位声明函</w:t>
      </w:r>
      <w:r>
        <w:rPr>
          <w:color w:val="auto"/>
          <w:highlight w:val="none"/>
        </w:rPr>
        <w:tab/>
      </w:r>
      <w:r>
        <w:rPr>
          <w:color w:val="auto"/>
          <w:highlight w:val="none"/>
        </w:rPr>
        <w:fldChar w:fldCharType="begin"/>
      </w:r>
      <w:r>
        <w:rPr>
          <w:color w:val="auto"/>
          <w:highlight w:val="none"/>
        </w:rPr>
        <w:instrText xml:space="preserve"> PAGEREF _Toc10825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434560D">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_Toc21659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4"/>
          <w:highlight w:val="none"/>
        </w:rPr>
        <w:t>7、供应商关联单位的说明</w:t>
      </w:r>
      <w:r>
        <w:rPr>
          <w:color w:val="auto"/>
          <w:highlight w:val="none"/>
        </w:rPr>
        <w:tab/>
      </w:r>
      <w:r>
        <w:rPr>
          <w:color w:val="auto"/>
          <w:highlight w:val="none"/>
        </w:rPr>
        <w:fldChar w:fldCharType="begin"/>
      </w:r>
      <w:r>
        <w:rPr>
          <w:color w:val="auto"/>
          <w:highlight w:val="none"/>
        </w:rPr>
        <w:instrText xml:space="preserve"> PAGEREF _Toc21659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C007E77">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_Toc23682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24"/>
          <w:highlight w:val="none"/>
        </w:rPr>
        <w:t>8、供应商可提供有利于投标的其他资格证明材料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_Toc23682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0480AC92">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_Toc5997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kern w:val="0"/>
          <w:highlight w:val="none"/>
        </w:rPr>
        <w:t>9、投标文件格式范本</w:t>
      </w:r>
      <w:r>
        <w:rPr>
          <w:color w:val="auto"/>
          <w:highlight w:val="none"/>
        </w:rPr>
        <w:tab/>
      </w:r>
      <w:r>
        <w:rPr>
          <w:color w:val="auto"/>
          <w:highlight w:val="none"/>
        </w:rPr>
        <w:fldChar w:fldCharType="begin"/>
      </w:r>
      <w:r>
        <w:rPr>
          <w:color w:val="auto"/>
          <w:highlight w:val="none"/>
        </w:rPr>
        <w:instrText xml:space="preserve"> PAGEREF _Toc5997 \h </w:instrText>
      </w:r>
      <w:r>
        <w:rPr>
          <w:color w:val="auto"/>
          <w:highlight w:val="none"/>
        </w:rPr>
        <w:fldChar w:fldCharType="separate"/>
      </w:r>
      <w:r>
        <w:rPr>
          <w:color w:val="auto"/>
          <w:highlight w:val="none"/>
        </w:rPr>
        <w:t>36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4CC07CD">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_Toc12150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第3章投标邀请</w:t>
      </w:r>
      <w:r>
        <w:rPr>
          <w:color w:val="auto"/>
          <w:highlight w:val="none"/>
        </w:rPr>
        <w:tab/>
      </w:r>
      <w:r>
        <w:rPr>
          <w:color w:val="auto"/>
          <w:highlight w:val="none"/>
        </w:rPr>
        <w:fldChar w:fldCharType="begin"/>
      </w:r>
      <w:r>
        <w:rPr>
          <w:color w:val="auto"/>
          <w:highlight w:val="none"/>
        </w:rPr>
        <w:instrText xml:space="preserve"> PAGEREF _Toc12150 \h </w:instrText>
      </w:r>
      <w:r>
        <w:rPr>
          <w:color w:val="auto"/>
          <w:highlight w:val="none"/>
        </w:rPr>
        <w:fldChar w:fldCharType="separate"/>
      </w:r>
      <w:r>
        <w:rPr>
          <w:color w:val="auto"/>
          <w:highlight w:val="none"/>
        </w:rPr>
        <w:t>38</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D0A507C">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_Toc24673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highlight w:val="none"/>
        </w:rPr>
        <w:t>第4章供应商须知资料表</w:t>
      </w:r>
      <w:r>
        <w:rPr>
          <w:color w:val="auto"/>
          <w:highlight w:val="none"/>
        </w:rPr>
        <w:tab/>
      </w:r>
      <w:r>
        <w:rPr>
          <w:color w:val="auto"/>
          <w:highlight w:val="none"/>
        </w:rPr>
        <w:fldChar w:fldCharType="begin"/>
      </w:r>
      <w:r>
        <w:rPr>
          <w:color w:val="auto"/>
          <w:highlight w:val="none"/>
        </w:rPr>
        <w:instrText xml:space="preserve"> PAGEREF _Toc24673 \h </w:instrText>
      </w:r>
      <w:r>
        <w:rPr>
          <w:color w:val="auto"/>
          <w:highlight w:val="none"/>
        </w:rPr>
        <w:fldChar w:fldCharType="separate"/>
      </w:r>
      <w:r>
        <w:rPr>
          <w:color w:val="auto"/>
          <w:highlight w:val="none"/>
        </w:rPr>
        <w:t>42</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DC1A4E4">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_Toc18685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lang w:val="en-US" w:eastAsia="zh-CN"/>
        </w:rPr>
        <w:t>第5章</w:t>
      </w:r>
      <w:r>
        <w:rPr>
          <w:rFonts w:hint="eastAsia" w:ascii="微软雅黑" w:hAnsi="微软雅黑" w:eastAsia="微软雅黑" w:cs="微软雅黑"/>
          <w:color w:val="auto"/>
          <w:szCs w:val="32"/>
          <w:highlight w:val="none"/>
        </w:rPr>
        <w:t>货物内容及项目要求</w:t>
      </w:r>
      <w:r>
        <w:rPr>
          <w:color w:val="auto"/>
          <w:highlight w:val="none"/>
        </w:rPr>
        <w:tab/>
      </w:r>
      <w:r>
        <w:rPr>
          <w:color w:val="auto"/>
          <w:highlight w:val="none"/>
        </w:rPr>
        <w:fldChar w:fldCharType="begin"/>
      </w:r>
      <w:r>
        <w:rPr>
          <w:color w:val="auto"/>
          <w:highlight w:val="none"/>
        </w:rPr>
        <w:instrText xml:space="preserve"> PAGEREF _Toc18685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332BA21">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_Toc10694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lang w:val="en-US" w:eastAsia="zh-CN"/>
        </w:rPr>
        <w:t>一、 货物内容</w:t>
      </w:r>
      <w:r>
        <w:rPr>
          <w:color w:val="auto"/>
          <w:highlight w:val="none"/>
        </w:rPr>
        <w:tab/>
      </w:r>
      <w:r>
        <w:rPr>
          <w:color w:val="auto"/>
          <w:highlight w:val="none"/>
        </w:rPr>
        <w:fldChar w:fldCharType="begin"/>
      </w:r>
      <w:r>
        <w:rPr>
          <w:color w:val="auto"/>
          <w:highlight w:val="none"/>
        </w:rPr>
        <w:instrText xml:space="preserve"> PAGEREF _Toc10694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3FD1F659">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_Toc20865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28"/>
          <w:highlight w:val="none"/>
          <w:lang w:val="en-US" w:eastAsia="zh-CN"/>
        </w:rPr>
        <w:t>第五标段：未来教学空间采购项目</w:t>
      </w:r>
      <w:r>
        <w:rPr>
          <w:color w:val="auto"/>
          <w:highlight w:val="none"/>
        </w:rPr>
        <w:tab/>
      </w:r>
      <w:r>
        <w:rPr>
          <w:color w:val="auto"/>
          <w:highlight w:val="none"/>
        </w:rPr>
        <w:fldChar w:fldCharType="begin"/>
      </w:r>
      <w:r>
        <w:rPr>
          <w:color w:val="auto"/>
          <w:highlight w:val="none"/>
        </w:rPr>
        <w:instrText xml:space="preserve"> PAGEREF _Toc20865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22F02AFC">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_Toc28219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rPr>
        <w:t xml:space="preserve">二、 </w:t>
      </w:r>
      <w:r>
        <w:rPr>
          <w:rFonts w:hint="eastAsia" w:ascii="微软雅黑" w:hAnsi="微软雅黑" w:eastAsia="微软雅黑" w:cs="微软雅黑"/>
          <w:color w:val="auto"/>
          <w:szCs w:val="32"/>
          <w:highlight w:val="none"/>
          <w:lang w:val="en-US" w:eastAsia="zh-CN"/>
        </w:rPr>
        <w:t>项目要求</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97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A05BEE4">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_Toc17852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szCs w:val="32"/>
          <w:highlight w:val="none"/>
        </w:rPr>
        <w:t>第6章评标方法和标准</w:t>
      </w:r>
      <w:r>
        <w:rPr>
          <w:color w:val="auto"/>
          <w:highlight w:val="none"/>
        </w:rPr>
        <w:tab/>
      </w:r>
      <w:r>
        <w:rPr>
          <w:color w:val="auto"/>
          <w:highlight w:val="none"/>
        </w:rPr>
        <w:fldChar w:fldCharType="begin"/>
      </w:r>
      <w:r>
        <w:rPr>
          <w:color w:val="auto"/>
          <w:highlight w:val="none"/>
        </w:rPr>
        <w:instrText xml:space="preserve"> PAGEREF _Toc17852 \h </w:instrText>
      </w:r>
      <w:r>
        <w:rPr>
          <w:color w:val="auto"/>
          <w:highlight w:val="none"/>
        </w:rPr>
        <w:fldChar w:fldCharType="separate"/>
      </w:r>
      <w:r>
        <w:rPr>
          <w:color w:val="auto"/>
          <w:highlight w:val="none"/>
        </w:rPr>
        <w:t>100</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3A3FF29">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_Toc14817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_Toc14817 \h </w:instrText>
      </w:r>
      <w:r>
        <w:rPr>
          <w:color w:val="auto"/>
          <w:highlight w:val="none"/>
        </w:rPr>
        <w:fldChar w:fldCharType="separate"/>
      </w:r>
      <w:r>
        <w:rPr>
          <w:color w:val="auto"/>
          <w:highlight w:val="none"/>
        </w:rPr>
        <w:t>105</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E145A2B">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_Toc8809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color w:val="auto"/>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_Toc8809 \h </w:instrText>
      </w:r>
      <w:r>
        <w:rPr>
          <w:color w:val="auto"/>
          <w:highlight w:val="none"/>
        </w:rPr>
        <w:fldChar w:fldCharType="separate"/>
      </w:r>
      <w:r>
        <w:rPr>
          <w:color w:val="auto"/>
          <w:highlight w:val="none"/>
        </w:rPr>
        <w:t>106</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45D99491">
      <w:pPr>
        <w:pStyle w:val="31"/>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_Toc15133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0"/>
          <w:highlight w:val="none"/>
          <w:lang w:eastAsia="zh-CN"/>
        </w:rPr>
        <w:t>综合评分表（第五标段）</w:t>
      </w:r>
      <w:r>
        <w:rPr>
          <w:color w:val="auto"/>
          <w:highlight w:val="none"/>
        </w:rPr>
        <w:tab/>
      </w:r>
      <w:r>
        <w:rPr>
          <w:color w:val="auto"/>
          <w:highlight w:val="none"/>
        </w:rPr>
        <w:fldChar w:fldCharType="begin"/>
      </w:r>
      <w:r>
        <w:rPr>
          <w:color w:val="auto"/>
          <w:highlight w:val="none"/>
        </w:rPr>
        <w:instrText xml:space="preserve"> PAGEREF _Toc15133 \h </w:instrText>
      </w:r>
      <w:r>
        <w:rPr>
          <w:color w:val="auto"/>
          <w:highlight w:val="none"/>
        </w:rPr>
        <w:fldChar w:fldCharType="separate"/>
      </w:r>
      <w:r>
        <w:rPr>
          <w:color w:val="auto"/>
          <w:highlight w:val="none"/>
        </w:rPr>
        <w:t>107</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7610A246">
      <w:pPr>
        <w:pStyle w:val="26"/>
        <w:tabs>
          <w:tab w:val="right" w:leader="dot" w:pos="8312"/>
        </w:tabs>
        <w:rPr>
          <w:color w:val="auto"/>
          <w:highlight w:val="none"/>
        </w:rPr>
      </w:pPr>
      <w:r>
        <w:rPr>
          <w:rFonts w:hint="eastAsia" w:ascii="微软雅黑" w:hAnsi="微软雅黑" w:eastAsia="微软雅黑" w:cs="微软雅黑"/>
          <w:color w:val="auto"/>
          <w:kern w:val="2"/>
          <w:szCs w:val="21"/>
          <w:highlight w:val="none"/>
        </w:rPr>
        <w:fldChar w:fldCharType="begin"/>
      </w:r>
      <w:r>
        <w:rPr>
          <w:rFonts w:hint="eastAsia" w:ascii="微软雅黑" w:hAnsi="微软雅黑" w:eastAsia="微软雅黑" w:cs="微软雅黑"/>
          <w:color w:val="auto"/>
          <w:kern w:val="2"/>
          <w:szCs w:val="21"/>
          <w:highlight w:val="none"/>
        </w:rPr>
        <w:instrText xml:space="preserve"> HYPERLINK \l _Toc22155 </w:instrText>
      </w:r>
      <w:r>
        <w:rPr>
          <w:rFonts w:hint="eastAsia" w:ascii="微软雅黑" w:hAnsi="微软雅黑" w:eastAsia="微软雅黑" w:cs="微软雅黑"/>
          <w:color w:val="auto"/>
          <w:kern w:val="2"/>
          <w:szCs w:val="21"/>
          <w:highlight w:val="none"/>
        </w:rPr>
        <w:fldChar w:fldCharType="separate"/>
      </w:r>
      <w:r>
        <w:rPr>
          <w:rFonts w:hint="eastAsia" w:ascii="微软雅黑" w:hAnsi="微软雅黑" w:eastAsia="微软雅黑" w:cs="微软雅黑"/>
          <w:bCs/>
          <w:color w:val="auto"/>
          <w:szCs w:val="32"/>
          <w:highlight w:val="none"/>
        </w:rPr>
        <w:t>第7章政府采购合同</w:t>
      </w:r>
      <w:r>
        <w:rPr>
          <w:color w:val="auto"/>
          <w:highlight w:val="none"/>
        </w:rPr>
        <w:tab/>
      </w:r>
      <w:r>
        <w:rPr>
          <w:color w:val="auto"/>
          <w:highlight w:val="none"/>
        </w:rPr>
        <w:fldChar w:fldCharType="begin"/>
      </w:r>
      <w:r>
        <w:rPr>
          <w:color w:val="auto"/>
          <w:highlight w:val="none"/>
        </w:rPr>
        <w:instrText xml:space="preserve"> PAGEREF _Toc22155 \h </w:instrText>
      </w:r>
      <w:r>
        <w:rPr>
          <w:color w:val="auto"/>
          <w:highlight w:val="none"/>
        </w:rPr>
        <w:fldChar w:fldCharType="separate"/>
      </w:r>
      <w:r>
        <w:rPr>
          <w:color w:val="auto"/>
          <w:highlight w:val="none"/>
        </w:rPr>
        <w:t>112</w:t>
      </w:r>
      <w:r>
        <w:rPr>
          <w:color w:val="auto"/>
          <w:highlight w:val="none"/>
        </w:rPr>
        <w:fldChar w:fldCharType="end"/>
      </w:r>
      <w:r>
        <w:rPr>
          <w:rFonts w:hint="eastAsia" w:ascii="微软雅黑" w:hAnsi="微软雅黑" w:eastAsia="微软雅黑" w:cs="微软雅黑"/>
          <w:color w:val="auto"/>
          <w:kern w:val="2"/>
          <w:szCs w:val="21"/>
          <w:highlight w:val="none"/>
        </w:rPr>
        <w:fldChar w:fldCharType="end"/>
      </w:r>
    </w:p>
    <w:p w14:paraId="6CD12C8A">
      <w:pPr>
        <w:pStyle w:val="7"/>
        <w:ind w:firstLine="0"/>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2"/>
          <w:szCs w:val="21"/>
          <w:highlight w:val="none"/>
        </w:rPr>
        <w:fldChar w:fldCharType="end"/>
      </w:r>
      <w:bookmarkStart w:id="21" w:name="_Toc17230"/>
      <w:bookmarkStart w:id="22" w:name="_Toc8627"/>
      <w:bookmarkStart w:id="23" w:name="_Toc22782"/>
      <w:bookmarkStart w:id="24" w:name="_Toc216582804"/>
      <w:bookmarkStart w:id="25" w:name="_Toc25253"/>
      <w:bookmarkStart w:id="26" w:name="_Toc1148"/>
      <w:bookmarkStart w:id="27" w:name="_Toc515647798"/>
      <w:bookmarkStart w:id="28" w:name="_Toc16548"/>
      <w:bookmarkStart w:id="29" w:name="_Toc11115"/>
    </w:p>
    <w:p w14:paraId="4DABB7BC">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1"/>
    <w:bookmarkEnd w:id="22"/>
    <w:bookmarkEnd w:id="23"/>
    <w:bookmarkEnd w:id="24"/>
    <w:p w14:paraId="2DD6A932">
      <w:pPr>
        <w:spacing w:line="240" w:lineRule="atLeast"/>
        <w:jc w:val="center"/>
        <w:rPr>
          <w:rFonts w:hint="eastAsia" w:ascii="微软雅黑" w:hAnsi="微软雅黑" w:eastAsia="微软雅黑" w:cs="微软雅黑"/>
          <w:b/>
          <w:color w:val="auto"/>
          <w:sz w:val="40"/>
          <w:szCs w:val="40"/>
          <w:highlight w:val="none"/>
        </w:rPr>
      </w:pPr>
      <w:bookmarkStart w:id="30" w:name="_Toc23576"/>
      <w:bookmarkStart w:id="31" w:name="_Toc18196"/>
    </w:p>
    <w:p w14:paraId="2B3060E8">
      <w:pPr>
        <w:spacing w:line="240" w:lineRule="atLeast"/>
        <w:jc w:val="center"/>
        <w:rPr>
          <w:rFonts w:hint="eastAsia" w:ascii="微软雅黑" w:hAnsi="微软雅黑" w:eastAsia="微软雅黑" w:cs="微软雅黑"/>
          <w:b/>
          <w:color w:val="auto"/>
          <w:sz w:val="40"/>
          <w:szCs w:val="40"/>
          <w:highlight w:val="none"/>
        </w:rPr>
      </w:pPr>
    </w:p>
    <w:p w14:paraId="2ED0DFA7">
      <w:pPr>
        <w:spacing w:line="240" w:lineRule="atLeast"/>
        <w:jc w:val="center"/>
        <w:rPr>
          <w:rFonts w:hint="eastAsia" w:ascii="微软雅黑" w:hAnsi="微软雅黑" w:eastAsia="微软雅黑" w:cs="微软雅黑"/>
          <w:b/>
          <w:color w:val="auto"/>
          <w:sz w:val="40"/>
          <w:szCs w:val="40"/>
          <w:highlight w:val="none"/>
        </w:rPr>
      </w:pPr>
    </w:p>
    <w:p w14:paraId="62317540">
      <w:pPr>
        <w:spacing w:line="240" w:lineRule="atLeast"/>
        <w:jc w:val="center"/>
        <w:rPr>
          <w:rFonts w:hint="eastAsia" w:ascii="微软雅黑" w:hAnsi="微软雅黑" w:eastAsia="微软雅黑" w:cs="微软雅黑"/>
          <w:b/>
          <w:color w:val="auto"/>
          <w:sz w:val="40"/>
          <w:szCs w:val="40"/>
          <w:highlight w:val="none"/>
        </w:rPr>
      </w:pPr>
    </w:p>
    <w:p w14:paraId="3EF26AFB">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件</w:t>
      </w:r>
    </w:p>
    <w:p w14:paraId="4511D7AF">
      <w:pPr>
        <w:spacing w:line="360" w:lineRule="auto"/>
        <w:rPr>
          <w:rFonts w:hint="eastAsia" w:ascii="微软雅黑" w:hAnsi="微软雅黑" w:eastAsia="微软雅黑" w:cs="微软雅黑"/>
          <w:b/>
          <w:color w:val="auto"/>
          <w:sz w:val="40"/>
          <w:szCs w:val="40"/>
          <w:highlight w:val="none"/>
        </w:rPr>
      </w:pPr>
    </w:p>
    <w:p w14:paraId="392B9934">
      <w:pPr>
        <w:spacing w:line="360" w:lineRule="auto"/>
        <w:jc w:val="center"/>
        <w:rPr>
          <w:rFonts w:hint="eastAsia" w:ascii="微软雅黑" w:hAnsi="微软雅黑" w:eastAsia="微软雅黑" w:cs="微软雅黑"/>
          <w:b/>
          <w:color w:val="auto"/>
          <w:sz w:val="40"/>
          <w:szCs w:val="40"/>
          <w:highlight w:val="none"/>
          <w:lang w:eastAsia="zh-CN"/>
        </w:rPr>
      </w:pPr>
      <w:r>
        <w:rPr>
          <w:rFonts w:hint="eastAsia" w:ascii="微软雅黑" w:hAnsi="微软雅黑" w:eastAsia="微软雅黑" w:cs="微软雅黑"/>
          <w:b/>
          <w:color w:val="auto"/>
          <w:sz w:val="40"/>
          <w:szCs w:val="40"/>
          <w:highlight w:val="none"/>
        </w:rPr>
        <w:t>项目编号：</w:t>
      </w:r>
      <w:r>
        <w:rPr>
          <w:rFonts w:hint="eastAsia" w:ascii="微软雅黑" w:hAnsi="微软雅黑" w:eastAsia="微软雅黑" w:cs="微软雅黑"/>
          <w:b/>
          <w:color w:val="auto"/>
          <w:sz w:val="40"/>
          <w:szCs w:val="40"/>
          <w:highlight w:val="none"/>
          <w:lang w:eastAsia="zh-CN"/>
        </w:rPr>
        <w:t>26GJ-(GK)021</w:t>
      </w:r>
    </w:p>
    <w:p w14:paraId="5F143C2D">
      <w:pPr>
        <w:spacing w:line="240" w:lineRule="atLeast"/>
        <w:jc w:val="center"/>
        <w:rPr>
          <w:rFonts w:hint="eastAsia" w:ascii="微软雅黑" w:hAnsi="微软雅黑" w:eastAsia="微软雅黑" w:cs="微软雅黑"/>
          <w:b/>
          <w:color w:val="auto"/>
          <w:sz w:val="40"/>
          <w:szCs w:val="40"/>
          <w:highlight w:val="none"/>
        </w:rPr>
      </w:pPr>
    </w:p>
    <w:p w14:paraId="103CD143">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一</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册</w:t>
      </w:r>
    </w:p>
    <w:p w14:paraId="33080FA0">
      <w:pPr>
        <w:rPr>
          <w:rFonts w:hint="eastAsia" w:ascii="微软雅黑" w:hAnsi="微软雅黑" w:eastAsia="微软雅黑" w:cs="微软雅黑"/>
          <w:b/>
          <w:bCs/>
          <w:color w:val="auto"/>
          <w:sz w:val="32"/>
          <w:szCs w:val="32"/>
          <w:highlight w:val="none"/>
        </w:rPr>
      </w:pPr>
    </w:p>
    <w:p w14:paraId="3DFB1F10">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14:paraId="0F1AB995">
      <w:pPr>
        <w:pStyle w:val="7"/>
        <w:ind w:firstLine="0"/>
        <w:jc w:val="center"/>
        <w:outlineLvl w:val="0"/>
        <w:rPr>
          <w:rFonts w:hint="eastAsia" w:ascii="微软雅黑" w:hAnsi="微软雅黑" w:eastAsia="微软雅黑" w:cs="微软雅黑"/>
          <w:color w:val="auto"/>
          <w:sz w:val="32"/>
          <w:szCs w:val="32"/>
          <w:highlight w:val="none"/>
        </w:rPr>
      </w:pPr>
      <w:bookmarkStart w:id="32" w:name="_Toc32488"/>
      <w:r>
        <w:rPr>
          <w:rFonts w:hint="eastAsia" w:ascii="微软雅黑" w:hAnsi="微软雅黑" w:eastAsia="微软雅黑" w:cs="微软雅黑"/>
          <w:b/>
          <w:bCs/>
          <w:color w:val="auto"/>
          <w:sz w:val="32"/>
          <w:szCs w:val="32"/>
          <w:highlight w:val="none"/>
        </w:rPr>
        <w:t>第1章</w:t>
      </w:r>
      <w:bookmarkStart w:id="33" w:name="_Toc515647756"/>
      <w:r>
        <w:rPr>
          <w:rFonts w:hint="eastAsia" w:ascii="微软雅黑" w:hAnsi="微软雅黑" w:eastAsia="微软雅黑" w:cs="微软雅黑"/>
          <w:b/>
          <w:bCs/>
          <w:color w:val="auto"/>
          <w:sz w:val="32"/>
          <w:szCs w:val="32"/>
          <w:highlight w:val="none"/>
          <w:lang w:val="en-US" w:eastAsia="zh-CN"/>
        </w:rPr>
        <w:t xml:space="preserve">  </w:t>
      </w:r>
      <w:r>
        <w:rPr>
          <w:rFonts w:hint="eastAsia" w:ascii="微软雅黑" w:hAnsi="微软雅黑" w:eastAsia="微软雅黑" w:cs="微软雅黑"/>
          <w:b/>
          <w:bCs/>
          <w:color w:val="auto"/>
          <w:sz w:val="32"/>
          <w:szCs w:val="32"/>
          <w:highlight w:val="none"/>
        </w:rPr>
        <w:t>供应商须知</w:t>
      </w:r>
      <w:bookmarkEnd w:id="30"/>
      <w:bookmarkEnd w:id="31"/>
      <w:bookmarkEnd w:id="32"/>
      <w:bookmarkEnd w:id="33"/>
    </w:p>
    <w:p w14:paraId="277A11B4">
      <w:pPr>
        <w:pStyle w:val="3"/>
        <w:spacing w:before="0" w:line="240" w:lineRule="atLeast"/>
        <w:ind w:left="1080" w:leftChars="257" w:hanging="540"/>
        <w:rPr>
          <w:rFonts w:hint="eastAsia" w:ascii="微软雅黑" w:hAnsi="微软雅黑" w:eastAsia="微软雅黑" w:cs="微软雅黑"/>
          <w:color w:val="auto"/>
          <w:highlight w:val="none"/>
        </w:rPr>
      </w:pPr>
      <w:bookmarkStart w:id="34" w:name="_Toc520356143"/>
      <w:bookmarkStart w:id="35" w:name="_Toc515647757"/>
      <w:bookmarkStart w:id="36" w:name="_Toc216582805"/>
      <w:bookmarkStart w:id="37" w:name="_Toc21015"/>
      <w:bookmarkStart w:id="38" w:name="_Toc24746"/>
      <w:bookmarkStart w:id="39" w:name="_Toc11227"/>
      <w:bookmarkStart w:id="40" w:name="_Toc23482"/>
      <w:bookmarkStart w:id="41" w:name="_Toc24627"/>
      <w:bookmarkStart w:id="42" w:name="_Toc21215"/>
      <w:r>
        <w:rPr>
          <w:rFonts w:hint="eastAsia" w:ascii="微软雅黑" w:hAnsi="微软雅黑" w:eastAsia="微软雅黑" w:cs="微软雅黑"/>
          <w:color w:val="auto"/>
          <w:sz w:val="28"/>
          <w:highlight w:val="none"/>
        </w:rPr>
        <w:t>一</w:t>
      </w:r>
      <w:bookmarkEnd w:id="34"/>
      <w:bookmarkEnd w:id="35"/>
      <w:bookmarkEnd w:id="36"/>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总</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则</w:t>
      </w:r>
      <w:bookmarkEnd w:id="37"/>
      <w:bookmarkEnd w:id="38"/>
      <w:bookmarkEnd w:id="39"/>
      <w:bookmarkEnd w:id="40"/>
      <w:bookmarkEnd w:id="41"/>
      <w:bookmarkEnd w:id="42"/>
    </w:p>
    <w:p w14:paraId="6558C391">
      <w:pPr>
        <w:pStyle w:val="4"/>
        <w:numPr>
          <w:ilvl w:val="0"/>
          <w:numId w:val="4"/>
        </w:numPr>
        <w:spacing w:before="0" w:after="0" w:line="360" w:lineRule="exact"/>
        <w:rPr>
          <w:rFonts w:hint="eastAsia" w:ascii="微软雅黑" w:hAnsi="微软雅黑" w:eastAsia="微软雅黑" w:cs="微软雅黑"/>
          <w:b/>
          <w:bCs/>
          <w:color w:val="auto"/>
          <w:highlight w:val="none"/>
          <w:u w:val="none"/>
        </w:rPr>
      </w:pPr>
      <w:bookmarkStart w:id="43" w:name="_Toc31685"/>
      <w:bookmarkStart w:id="44" w:name="_Toc4880"/>
      <w:bookmarkStart w:id="45" w:name="_Toc28967"/>
      <w:bookmarkStart w:id="46" w:name="_Toc12861"/>
      <w:bookmarkStart w:id="47" w:name="_Toc520356144"/>
      <w:bookmarkStart w:id="48" w:name="_Toc32189"/>
      <w:bookmarkStart w:id="49" w:name="_Toc32623"/>
      <w:bookmarkStart w:id="50" w:name="_Toc515647758"/>
      <w:bookmarkStart w:id="51" w:name="_Toc11808"/>
      <w:bookmarkStart w:id="52" w:name="_Toc23985"/>
      <w:bookmarkStart w:id="53" w:name="_Toc29554"/>
      <w:bookmarkStart w:id="54" w:name="_Toc333"/>
      <w:bookmarkStart w:id="55" w:name="_Toc28093"/>
      <w:bookmarkStart w:id="56" w:name="_Toc31200"/>
      <w:bookmarkStart w:id="57" w:name="_Toc18135"/>
      <w:bookmarkStart w:id="58" w:name="_Toc23980"/>
      <w:bookmarkStart w:id="59" w:name="_Toc25520"/>
      <w:bookmarkStart w:id="60" w:name="_Toc23790"/>
      <w:bookmarkStart w:id="61" w:name="_Toc12038"/>
      <w:bookmarkStart w:id="62" w:name="_Toc24747"/>
      <w:bookmarkStart w:id="63" w:name="_Toc15895"/>
      <w:bookmarkStart w:id="64" w:name="_Toc19553"/>
      <w:bookmarkStart w:id="65" w:name="_Toc32450"/>
      <w:bookmarkStart w:id="66" w:name="_Toc16017"/>
      <w:bookmarkStart w:id="67" w:name="_Toc18298"/>
      <w:bookmarkStart w:id="68" w:name="_Toc3973"/>
      <w:bookmarkStart w:id="69" w:name="_Toc31949"/>
      <w:bookmarkStart w:id="70" w:name="_Toc12867"/>
      <w:bookmarkStart w:id="71" w:name="_Toc32697"/>
      <w:bookmarkStart w:id="72" w:name="_Toc15043"/>
      <w:bookmarkStart w:id="73" w:name="_Toc4664"/>
      <w:bookmarkStart w:id="74" w:name="_Toc7998"/>
      <w:bookmarkStart w:id="75" w:name="_Toc900"/>
      <w:bookmarkStart w:id="76" w:name="_Toc11631"/>
      <w:bookmarkStart w:id="77" w:name="_Toc3430"/>
      <w:bookmarkStart w:id="78" w:name="_Toc18168"/>
      <w:bookmarkStart w:id="79" w:name="_Toc29035"/>
      <w:bookmarkStart w:id="80" w:name="_Toc4715"/>
      <w:bookmarkStart w:id="81" w:name="_Toc14251"/>
      <w:bookmarkStart w:id="82" w:name="_Toc28261"/>
      <w:bookmarkStart w:id="83" w:name="_Toc23476"/>
      <w:bookmarkStart w:id="84" w:name="_Toc15030"/>
      <w:bookmarkStart w:id="85" w:name="_Toc25922"/>
      <w:bookmarkStart w:id="86" w:name="_Toc2727"/>
      <w:bookmarkStart w:id="87" w:name="_Toc6072"/>
      <w:bookmarkStart w:id="88" w:name="_Toc28372"/>
      <w:bookmarkStart w:id="89" w:name="_Toc32742"/>
      <w:bookmarkStart w:id="90" w:name="_Toc29399"/>
      <w:bookmarkStart w:id="91" w:name="_Toc15966"/>
      <w:bookmarkStart w:id="92" w:name="_Toc15892"/>
      <w:bookmarkStart w:id="93" w:name="_Toc20192"/>
      <w:bookmarkStart w:id="94" w:name="_Toc32249"/>
      <w:r>
        <w:rPr>
          <w:rFonts w:hint="eastAsia" w:ascii="微软雅黑" w:hAnsi="微软雅黑" w:eastAsia="微软雅黑" w:cs="微软雅黑"/>
          <w:b/>
          <w:bCs/>
          <w:color w:val="auto"/>
          <w:highlight w:val="none"/>
          <w:u w:val="none"/>
        </w:rPr>
        <w:t>采购人、采购代理机构及</w:t>
      </w:r>
      <w:bookmarkEnd w:id="43"/>
      <w:bookmarkEnd w:id="44"/>
      <w:bookmarkEnd w:id="45"/>
      <w:bookmarkEnd w:id="46"/>
      <w:bookmarkEnd w:id="47"/>
      <w:bookmarkEnd w:id="48"/>
      <w:bookmarkEnd w:id="49"/>
      <w:bookmarkEnd w:id="50"/>
      <w:bookmarkEnd w:id="51"/>
      <w:bookmarkEnd w:id="52"/>
      <w:bookmarkEnd w:id="53"/>
      <w:bookmarkEnd w:id="54"/>
      <w:r>
        <w:rPr>
          <w:rFonts w:hint="eastAsia" w:ascii="微软雅黑" w:hAnsi="微软雅黑" w:eastAsia="微软雅黑" w:cs="微软雅黑"/>
          <w:b/>
          <w:bCs/>
          <w:color w:val="auto"/>
          <w:highlight w:val="none"/>
          <w:u w:val="none"/>
        </w:rPr>
        <w:t>供应商</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4081082">
      <w:pPr>
        <w:tabs>
          <w:tab w:val="left" w:pos="0"/>
        </w:tabs>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1.1采购人：是指依法开展政府采购活动的国家机关、事业单位、团体组织。</w:t>
      </w:r>
    </w:p>
    <w:p w14:paraId="752FD6D9">
      <w:pPr>
        <w:tabs>
          <w:tab w:val="left" w:pos="0"/>
        </w:tabs>
        <w:spacing w:line="360" w:lineRule="exact"/>
        <w:ind w:firstLine="720" w:firstLine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543016AE">
      <w:pPr>
        <w:tabs>
          <w:tab w:val="left" w:pos="0"/>
        </w:tabs>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21C29D2D">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1.3供应商：是指向采购人提供货物、工程或者服务的法人、其他组织或者自然人。本项目的供应商及其投标货物须满足以下条件：</w:t>
      </w:r>
    </w:p>
    <w:p w14:paraId="3E4B29FA">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1.3.1在中华人民共和国境内注册，能够独立承担民事责任，有生产或供应能力的本国供应商。</w:t>
      </w:r>
    </w:p>
    <w:p w14:paraId="08F5992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1.3.2具备《中华人民共和国政府采购法》第二十二条关于供应商条件的规定，遵守本项目采购人本级和上级财政部门政府采购的有关规定。</w:t>
      </w:r>
    </w:p>
    <w:p w14:paraId="3F94C3B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1.3.3以采购代理机构认可的方式获得了本项目的招标文件。</w:t>
      </w:r>
    </w:p>
    <w:p w14:paraId="513961C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1.3.4符合</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中规定的其他要求。</w:t>
      </w:r>
    </w:p>
    <w:p w14:paraId="42D506AE">
      <w:pPr>
        <w:spacing w:line="360" w:lineRule="exact"/>
        <w:ind w:left="840" w:hanging="840" w:hangingChars="3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1.3.5若</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BDD3CA0">
      <w:pPr>
        <w:spacing w:line="360" w:lineRule="exact"/>
        <w:ind w:left="900" w:hanging="900" w:hangingChars="375"/>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1.3.6核心产品详见“供应商须知资料表”。</w:t>
      </w:r>
    </w:p>
    <w:p w14:paraId="6381ABE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1.4如</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中允许联合体投标，对联合体规定如下：</w:t>
      </w:r>
    </w:p>
    <w:p w14:paraId="0816F14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1.4.1两个以上供应商可以组成一个投标联合体，以一个供应商的身份投标。</w:t>
      </w:r>
    </w:p>
    <w:p w14:paraId="63E5521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1.4.2联合体各方均应符合《中华人民共和国政府采购法》第二十二条规定的条件。</w:t>
      </w:r>
    </w:p>
    <w:p w14:paraId="295694F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1.4.3采购人根据采购项目对供应商的特殊要求，联合体中至少应当有一方符合相关规定。</w:t>
      </w:r>
    </w:p>
    <w:p w14:paraId="691ABAA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1.4.4联合体各方应签订共同投标协议，明确约定联合体各方承担的工作和相应的责任，并将共同投标协议连同作为投标文件第一部分的内容提交。</w:t>
      </w:r>
    </w:p>
    <w:p w14:paraId="257F5B8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1.4.5大中型企业、其他自然人、法人或者其他组织与小型、微型企业组成联合体共同参加投标，共同投标协议中应写明小型、微型企业的协议合同金额占到共同投标协议投标总金额的比例。</w:t>
      </w:r>
    </w:p>
    <w:p w14:paraId="3FC2D449">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1.4.6联合体中有同类资质的供应商按照联合体分工承担相同工作的，按照较低的资质等级确定联合体的资质等级。</w:t>
      </w:r>
    </w:p>
    <w:p w14:paraId="3C38C44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0B65878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1.4.8对联合体投标的其他资格要求见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3C817D2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634311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C8737D9">
      <w:pPr>
        <w:pStyle w:val="4"/>
        <w:spacing w:before="0" w:after="0" w:line="360" w:lineRule="exact"/>
        <w:rPr>
          <w:rFonts w:hint="eastAsia" w:ascii="微软雅黑" w:hAnsi="微软雅黑" w:eastAsia="微软雅黑" w:cs="微软雅黑"/>
          <w:b/>
          <w:bCs/>
          <w:color w:val="auto"/>
          <w:highlight w:val="none"/>
          <w:u w:val="none"/>
        </w:rPr>
      </w:pPr>
      <w:bookmarkStart w:id="95" w:name="_Toc25558"/>
      <w:bookmarkStart w:id="96" w:name="_Toc9039"/>
      <w:bookmarkStart w:id="97" w:name="_Toc18983"/>
      <w:bookmarkStart w:id="98" w:name="_Toc28646"/>
      <w:bookmarkStart w:id="99" w:name="_Toc2672"/>
      <w:bookmarkStart w:id="100" w:name="_Toc1810"/>
      <w:bookmarkStart w:id="101" w:name="_Toc23554"/>
      <w:bookmarkStart w:id="102" w:name="_Toc11068"/>
      <w:bookmarkStart w:id="103" w:name="_Toc17083"/>
      <w:bookmarkStart w:id="104" w:name="_Toc29854"/>
      <w:bookmarkStart w:id="105" w:name="_Toc759"/>
      <w:bookmarkStart w:id="106" w:name="_Toc6851"/>
      <w:bookmarkStart w:id="107" w:name="_Toc6238"/>
      <w:bookmarkStart w:id="108" w:name="_Toc8897"/>
      <w:bookmarkStart w:id="109" w:name="_Toc30940"/>
      <w:bookmarkStart w:id="110" w:name="_Toc7800"/>
      <w:bookmarkStart w:id="111" w:name="_Toc5286"/>
      <w:bookmarkStart w:id="112" w:name="_Toc2406"/>
      <w:bookmarkStart w:id="113" w:name="_Toc27814"/>
      <w:bookmarkStart w:id="114" w:name="_Toc26154"/>
      <w:bookmarkStart w:id="115" w:name="_Toc26402"/>
      <w:bookmarkStart w:id="116" w:name="_Toc19970"/>
      <w:bookmarkStart w:id="117" w:name="_Toc4311"/>
      <w:bookmarkStart w:id="118" w:name="_Toc22911"/>
      <w:bookmarkStart w:id="119" w:name="_Toc12918"/>
      <w:bookmarkStart w:id="120" w:name="_Toc28649"/>
      <w:bookmarkStart w:id="121" w:name="_Toc3297"/>
      <w:bookmarkStart w:id="122" w:name="_Toc5327"/>
      <w:bookmarkStart w:id="123" w:name="_Toc4816"/>
      <w:bookmarkStart w:id="124" w:name="_Toc8409"/>
      <w:bookmarkStart w:id="125" w:name="_Toc19481"/>
      <w:bookmarkStart w:id="126" w:name="_Toc13272"/>
      <w:bookmarkStart w:id="127" w:name="_Toc26210"/>
      <w:bookmarkStart w:id="128" w:name="_Toc1403"/>
      <w:bookmarkStart w:id="129" w:name="_Toc12079"/>
      <w:bookmarkStart w:id="130" w:name="_Toc10189"/>
      <w:bookmarkStart w:id="131" w:name="_Toc15407"/>
      <w:bookmarkStart w:id="132" w:name="_Toc14977"/>
      <w:bookmarkStart w:id="133" w:name="_Toc32625"/>
      <w:bookmarkStart w:id="134" w:name="_Toc17421"/>
      <w:bookmarkStart w:id="135" w:name="_Toc10699"/>
      <w:bookmarkStart w:id="136" w:name="_Toc515647759"/>
      <w:bookmarkStart w:id="137" w:name="_Toc436"/>
      <w:bookmarkStart w:id="138" w:name="_Toc7473"/>
      <w:bookmarkStart w:id="139" w:name="_Toc21286"/>
      <w:bookmarkStart w:id="140" w:name="_Toc12139"/>
      <w:bookmarkStart w:id="141" w:name="_Toc28511"/>
      <w:bookmarkStart w:id="142" w:name="_Toc19762"/>
      <w:bookmarkStart w:id="143" w:name="_Toc13122"/>
      <w:bookmarkStart w:id="144" w:name="_Toc29222"/>
      <w:bookmarkStart w:id="145" w:name="_Toc1760"/>
      <w:r>
        <w:rPr>
          <w:rFonts w:hint="eastAsia" w:ascii="微软雅黑" w:hAnsi="微软雅黑" w:eastAsia="微软雅黑" w:cs="微软雅黑"/>
          <w:b/>
          <w:bCs/>
          <w:color w:val="auto"/>
          <w:highlight w:val="none"/>
          <w:u w:val="none"/>
        </w:rPr>
        <w:t>2.资金来源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9E7D30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2.1本项目的采购人已获得足以支付本次招标后所签订的合同项下的资金（包括财政性资金和本项目采购中无法与财政性资金分割的非财政性资金）。</w:t>
      </w:r>
    </w:p>
    <w:p w14:paraId="1B01151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2.2项目预算金额和分项或分包最高限价</w:t>
      </w:r>
      <w:r>
        <w:rPr>
          <w:rFonts w:hint="eastAsia" w:ascii="微软雅黑" w:hAnsi="微软雅黑" w:eastAsia="微软雅黑" w:cs="微软雅黑"/>
          <w:color w:val="auto"/>
          <w:sz w:val="24"/>
          <w:highlight w:val="none"/>
          <w:u w:val="single"/>
        </w:rPr>
        <w:t>见供应商须知资料表</w:t>
      </w:r>
      <w:r>
        <w:rPr>
          <w:rFonts w:hint="eastAsia" w:ascii="微软雅黑" w:hAnsi="微软雅黑" w:eastAsia="微软雅黑" w:cs="微软雅黑"/>
          <w:color w:val="auto"/>
          <w:sz w:val="24"/>
          <w:highlight w:val="none"/>
        </w:rPr>
        <w:t>。</w:t>
      </w:r>
    </w:p>
    <w:p w14:paraId="4143B86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2.3供应商报价超过招标文件规定的预算金额或者分项、分包最高限价的，其投标将被认定为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10A8866">
      <w:pPr>
        <w:pStyle w:val="4"/>
        <w:spacing w:before="0" w:after="0" w:line="360" w:lineRule="exact"/>
        <w:rPr>
          <w:rFonts w:hint="eastAsia" w:ascii="微软雅黑" w:hAnsi="微软雅黑" w:eastAsia="微软雅黑" w:cs="微软雅黑"/>
          <w:b/>
          <w:bCs/>
          <w:color w:val="auto"/>
          <w:highlight w:val="none"/>
          <w:u w:val="none"/>
        </w:rPr>
      </w:pPr>
      <w:bookmarkStart w:id="146" w:name="_Toc2738"/>
      <w:bookmarkStart w:id="147" w:name="_Toc23571"/>
      <w:bookmarkStart w:id="148" w:name="_Toc20248"/>
      <w:bookmarkStart w:id="149" w:name="_Toc29504"/>
      <w:bookmarkStart w:id="150" w:name="_Toc10890"/>
      <w:bookmarkStart w:id="151" w:name="_Toc7436"/>
      <w:bookmarkStart w:id="152" w:name="_Toc10963"/>
      <w:bookmarkStart w:id="153" w:name="_Toc16018"/>
      <w:bookmarkStart w:id="154" w:name="_Toc32004"/>
      <w:bookmarkStart w:id="155" w:name="_Toc14612"/>
      <w:bookmarkStart w:id="156" w:name="_Toc20526"/>
      <w:bookmarkStart w:id="157" w:name="_Toc6389"/>
      <w:bookmarkStart w:id="158" w:name="_Toc19047"/>
      <w:bookmarkStart w:id="159" w:name="_Toc10491"/>
      <w:bookmarkStart w:id="160" w:name="_Toc2156"/>
      <w:bookmarkStart w:id="161" w:name="_Toc16858"/>
      <w:bookmarkStart w:id="162" w:name="_Toc144"/>
      <w:bookmarkStart w:id="163" w:name="_Toc4285"/>
      <w:bookmarkStart w:id="164" w:name="_Toc30708"/>
      <w:bookmarkStart w:id="165" w:name="_Toc28744"/>
      <w:bookmarkStart w:id="166" w:name="_Toc18779"/>
      <w:bookmarkStart w:id="167" w:name="_Toc16105"/>
      <w:bookmarkStart w:id="168" w:name="_Toc10113"/>
      <w:bookmarkStart w:id="169" w:name="_Toc5225"/>
      <w:bookmarkStart w:id="170" w:name="_Toc6415"/>
      <w:bookmarkStart w:id="171" w:name="_Toc520356145"/>
      <w:bookmarkStart w:id="172" w:name="_Toc21137"/>
      <w:bookmarkStart w:id="173" w:name="_Toc11834"/>
      <w:bookmarkStart w:id="174" w:name="_Toc30650"/>
      <w:bookmarkStart w:id="175" w:name="_Toc27121"/>
      <w:bookmarkStart w:id="176" w:name="_Toc235"/>
      <w:bookmarkStart w:id="177" w:name="_Toc22731"/>
      <w:bookmarkStart w:id="178" w:name="_Toc20799"/>
      <w:bookmarkStart w:id="179" w:name="_Toc15518"/>
      <w:bookmarkStart w:id="180" w:name="_Toc29481"/>
      <w:bookmarkStart w:id="181" w:name="_Toc10919"/>
      <w:bookmarkStart w:id="182" w:name="_Toc31296"/>
      <w:bookmarkStart w:id="183" w:name="_Toc5207"/>
      <w:bookmarkStart w:id="184" w:name="_Toc26446"/>
      <w:bookmarkStart w:id="185" w:name="_Toc19126"/>
      <w:bookmarkStart w:id="186" w:name="_Toc23027"/>
      <w:bookmarkStart w:id="187" w:name="_Toc2730"/>
      <w:bookmarkStart w:id="188" w:name="_Toc31076"/>
      <w:bookmarkStart w:id="189" w:name="_Toc20044"/>
      <w:bookmarkStart w:id="190" w:name="_Toc15071"/>
      <w:bookmarkStart w:id="191" w:name="_Toc14049"/>
      <w:bookmarkStart w:id="192" w:name="_Toc20444"/>
      <w:bookmarkStart w:id="193" w:name="_Toc515647760"/>
      <w:bookmarkStart w:id="194" w:name="_Toc15936"/>
      <w:bookmarkStart w:id="195" w:name="_Toc25239"/>
      <w:bookmarkStart w:id="196" w:name="_Toc32159"/>
      <w:bookmarkStart w:id="197" w:name="_Toc16588"/>
      <w:r>
        <w:rPr>
          <w:rFonts w:hint="eastAsia" w:ascii="微软雅黑" w:hAnsi="微软雅黑" w:eastAsia="微软雅黑" w:cs="微软雅黑"/>
          <w:b/>
          <w:bCs/>
          <w:color w:val="auto"/>
          <w:highlight w:val="none"/>
          <w:u w:val="none"/>
        </w:rPr>
        <w:t>3.投标费用</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B624776">
      <w:pPr>
        <w:spacing w:line="360" w:lineRule="exact"/>
        <w:ind w:left="899" w:leftChars="228"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不论投标的结果如何，供应商应承担所有与准备和参加投标有关的费用。</w:t>
      </w:r>
    </w:p>
    <w:p w14:paraId="62198766">
      <w:pPr>
        <w:pStyle w:val="4"/>
        <w:spacing w:before="0" w:after="0" w:line="360" w:lineRule="exact"/>
        <w:rPr>
          <w:rFonts w:hint="eastAsia" w:ascii="微软雅黑" w:hAnsi="微软雅黑" w:eastAsia="微软雅黑" w:cs="微软雅黑"/>
          <w:color w:val="auto"/>
          <w:highlight w:val="none"/>
          <w:u w:val="none"/>
        </w:rPr>
      </w:pPr>
      <w:bookmarkStart w:id="198" w:name="_Toc30146"/>
      <w:bookmarkStart w:id="199" w:name="_Toc8416"/>
      <w:bookmarkStart w:id="200" w:name="_Toc16751"/>
      <w:bookmarkStart w:id="201" w:name="_Toc1809"/>
      <w:bookmarkStart w:id="202" w:name="_Toc2787"/>
      <w:bookmarkStart w:id="203" w:name="_Toc9885"/>
      <w:bookmarkStart w:id="204" w:name="_Toc7717"/>
      <w:bookmarkStart w:id="205" w:name="_Toc25508"/>
      <w:bookmarkStart w:id="206" w:name="_Toc21035"/>
      <w:bookmarkStart w:id="207" w:name="_Toc17308"/>
      <w:bookmarkStart w:id="208" w:name="_Toc515647761"/>
      <w:bookmarkStart w:id="209" w:name="_Toc23233"/>
      <w:bookmarkStart w:id="210" w:name="_Toc4463"/>
      <w:bookmarkStart w:id="211" w:name="_Toc10253"/>
      <w:bookmarkStart w:id="212" w:name="_Toc6116"/>
      <w:bookmarkStart w:id="213" w:name="_Toc14210"/>
      <w:bookmarkStart w:id="214" w:name="_Toc15303"/>
      <w:bookmarkStart w:id="215" w:name="_Toc16328"/>
      <w:bookmarkStart w:id="216" w:name="_Toc7511"/>
      <w:bookmarkStart w:id="217" w:name="_Toc7769"/>
      <w:bookmarkStart w:id="218" w:name="_Toc19130"/>
      <w:bookmarkStart w:id="219" w:name="_Toc1587"/>
      <w:bookmarkStart w:id="220" w:name="_Toc28032"/>
      <w:bookmarkStart w:id="221" w:name="_Toc27687"/>
      <w:bookmarkStart w:id="222" w:name="_Toc16992"/>
      <w:bookmarkStart w:id="223" w:name="_Toc28955"/>
      <w:bookmarkStart w:id="224" w:name="_Toc20080"/>
      <w:bookmarkStart w:id="225" w:name="_Toc22119"/>
      <w:bookmarkStart w:id="226" w:name="_Toc12920"/>
      <w:bookmarkStart w:id="227" w:name="_Toc11621"/>
      <w:bookmarkStart w:id="228" w:name="_Toc20820"/>
      <w:bookmarkStart w:id="229" w:name="_Toc11355"/>
      <w:bookmarkStart w:id="230" w:name="_Toc24953"/>
      <w:bookmarkStart w:id="231" w:name="_Toc7380"/>
      <w:bookmarkStart w:id="232" w:name="_Toc107"/>
      <w:bookmarkStart w:id="233" w:name="_Toc6457"/>
      <w:bookmarkStart w:id="234" w:name="_Toc30321"/>
      <w:bookmarkStart w:id="235" w:name="_Toc15600"/>
      <w:bookmarkStart w:id="236" w:name="_Toc30080"/>
      <w:bookmarkStart w:id="237" w:name="_Toc18172"/>
      <w:bookmarkStart w:id="238" w:name="_Toc6759"/>
      <w:bookmarkStart w:id="239" w:name="_Toc32363"/>
      <w:bookmarkStart w:id="240" w:name="_Toc5853"/>
      <w:bookmarkStart w:id="241" w:name="_Toc24881"/>
      <w:bookmarkStart w:id="242" w:name="_Toc21641"/>
      <w:bookmarkStart w:id="243" w:name="_Toc29011"/>
      <w:bookmarkStart w:id="244" w:name="_Toc17799"/>
      <w:bookmarkStart w:id="245" w:name="_Toc32272"/>
      <w:bookmarkStart w:id="246" w:name="_Toc10140"/>
      <w:bookmarkStart w:id="247" w:name="_Toc6143"/>
      <w:bookmarkStart w:id="248" w:name="_Toc1198"/>
      <w:bookmarkStart w:id="249" w:name="_Toc6385"/>
      <w:bookmarkStart w:id="250" w:name="_Toc520356146"/>
      <w:bookmarkStart w:id="251" w:name="_Toc8437"/>
      <w:bookmarkStart w:id="252" w:name="_Toc515647762"/>
      <w:bookmarkStart w:id="253" w:name="_Toc4365"/>
      <w:bookmarkStart w:id="254" w:name="_Toc216582806"/>
      <w:bookmarkStart w:id="255" w:name="_Toc21566"/>
      <w:bookmarkStart w:id="256" w:name="_Toc4258"/>
      <w:r>
        <w:rPr>
          <w:rFonts w:hint="eastAsia" w:ascii="微软雅黑" w:hAnsi="微软雅黑" w:eastAsia="微软雅黑" w:cs="微软雅黑"/>
          <w:b/>
          <w:bCs/>
          <w:color w:val="auto"/>
          <w:highlight w:val="none"/>
          <w:u w:val="none"/>
        </w:rPr>
        <w:t>4.适用法律</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673132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采购人、采购代理机构、供应商、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513F7256">
      <w:pPr>
        <w:spacing w:line="360" w:lineRule="exact"/>
        <w:rPr>
          <w:rFonts w:hint="eastAsia" w:ascii="微软雅黑" w:hAnsi="微软雅黑" w:eastAsia="微软雅黑" w:cs="微软雅黑"/>
          <w:color w:val="auto"/>
          <w:sz w:val="24"/>
          <w:highlight w:val="none"/>
        </w:rPr>
      </w:pPr>
    </w:p>
    <w:p w14:paraId="0A0A6C11">
      <w:pPr>
        <w:pStyle w:val="3"/>
        <w:spacing w:before="0" w:line="360" w:lineRule="exact"/>
        <w:rPr>
          <w:rFonts w:hint="eastAsia" w:ascii="微软雅黑" w:hAnsi="微软雅黑" w:eastAsia="微软雅黑" w:cs="微软雅黑"/>
          <w:color w:val="auto"/>
          <w:highlight w:val="none"/>
        </w:rPr>
      </w:pPr>
      <w:bookmarkStart w:id="257" w:name="_Toc545"/>
      <w:r>
        <w:rPr>
          <w:rFonts w:hint="eastAsia" w:ascii="微软雅黑" w:hAnsi="微软雅黑" w:eastAsia="微软雅黑" w:cs="微软雅黑"/>
          <w:color w:val="auto"/>
          <w:sz w:val="28"/>
          <w:highlight w:val="none"/>
        </w:rPr>
        <w:t>二</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招标文件</w:t>
      </w:r>
      <w:bookmarkEnd w:id="249"/>
      <w:bookmarkEnd w:id="250"/>
      <w:bookmarkEnd w:id="251"/>
      <w:bookmarkEnd w:id="252"/>
      <w:bookmarkEnd w:id="253"/>
      <w:bookmarkEnd w:id="254"/>
      <w:bookmarkEnd w:id="255"/>
      <w:bookmarkEnd w:id="256"/>
      <w:bookmarkEnd w:id="257"/>
    </w:p>
    <w:p w14:paraId="6BCD5FB2">
      <w:pPr>
        <w:pStyle w:val="4"/>
        <w:spacing w:before="0" w:after="0" w:line="360" w:lineRule="exact"/>
        <w:rPr>
          <w:rFonts w:hint="eastAsia" w:ascii="微软雅黑" w:hAnsi="微软雅黑" w:eastAsia="微软雅黑" w:cs="微软雅黑"/>
          <w:color w:val="auto"/>
          <w:highlight w:val="none"/>
          <w:u w:val="none"/>
        </w:rPr>
      </w:pPr>
      <w:bookmarkStart w:id="258" w:name="_Toc30686"/>
      <w:bookmarkStart w:id="259" w:name="_Toc30280"/>
      <w:bookmarkStart w:id="260" w:name="_Toc12512"/>
      <w:bookmarkStart w:id="261" w:name="_Toc6089"/>
      <w:bookmarkStart w:id="262" w:name="_Toc14338"/>
      <w:bookmarkStart w:id="263" w:name="_Toc21734"/>
      <w:bookmarkStart w:id="264" w:name="_Toc14873"/>
      <w:bookmarkStart w:id="265" w:name="_Toc27186"/>
      <w:bookmarkStart w:id="266" w:name="_Toc25743"/>
      <w:bookmarkStart w:id="267" w:name="_Toc21275"/>
      <w:bookmarkStart w:id="268" w:name="_Toc18213"/>
      <w:bookmarkStart w:id="269" w:name="_Toc17546"/>
      <w:bookmarkStart w:id="270" w:name="_Toc31231"/>
      <w:bookmarkStart w:id="271" w:name="_Toc3356"/>
      <w:bookmarkStart w:id="272" w:name="_Toc14734"/>
      <w:bookmarkStart w:id="273" w:name="_Toc31428"/>
      <w:bookmarkStart w:id="274" w:name="_Toc29550"/>
      <w:bookmarkStart w:id="275" w:name="_Toc4806"/>
      <w:bookmarkStart w:id="276" w:name="_Toc10939"/>
      <w:bookmarkStart w:id="277" w:name="_Toc520356147"/>
      <w:bookmarkStart w:id="278" w:name="_Toc5875"/>
      <w:bookmarkStart w:id="279" w:name="_Toc24736"/>
      <w:bookmarkStart w:id="280" w:name="_Toc18905"/>
      <w:bookmarkStart w:id="281" w:name="_Toc14656"/>
      <w:bookmarkStart w:id="282" w:name="_Toc515647763"/>
      <w:bookmarkStart w:id="283" w:name="_Toc272"/>
      <w:bookmarkStart w:id="284" w:name="_Toc4968"/>
      <w:bookmarkStart w:id="285" w:name="_Toc1044"/>
      <w:bookmarkStart w:id="286" w:name="_Toc28859"/>
      <w:bookmarkStart w:id="287" w:name="_Toc15203"/>
      <w:bookmarkStart w:id="288" w:name="_Toc26288"/>
      <w:bookmarkStart w:id="289" w:name="_Toc8341"/>
      <w:bookmarkStart w:id="290" w:name="_Toc32396"/>
      <w:bookmarkStart w:id="291" w:name="_Toc1187"/>
      <w:bookmarkStart w:id="292" w:name="_Toc14084"/>
      <w:bookmarkStart w:id="293" w:name="_Toc1759"/>
      <w:bookmarkStart w:id="294" w:name="_Toc12831"/>
      <w:bookmarkStart w:id="295" w:name="_Toc26987"/>
      <w:bookmarkStart w:id="296" w:name="_Toc10376"/>
      <w:bookmarkStart w:id="297" w:name="_Toc4028"/>
      <w:bookmarkStart w:id="298" w:name="_Toc25638"/>
      <w:bookmarkStart w:id="299" w:name="_Toc5714"/>
      <w:bookmarkStart w:id="300" w:name="_Toc18714"/>
      <w:bookmarkStart w:id="301" w:name="_Toc9411"/>
      <w:bookmarkStart w:id="302" w:name="_Toc31526"/>
      <w:bookmarkStart w:id="303" w:name="_Toc22229"/>
      <w:bookmarkStart w:id="304" w:name="_Toc24971"/>
      <w:bookmarkStart w:id="305" w:name="_Toc31365"/>
      <w:bookmarkStart w:id="306" w:name="_Toc32114"/>
      <w:bookmarkStart w:id="307" w:name="_Toc19671"/>
      <w:bookmarkStart w:id="308" w:name="_Toc26217"/>
      <w:bookmarkStart w:id="309" w:name="_Toc16634"/>
      <w:r>
        <w:rPr>
          <w:rFonts w:hint="eastAsia" w:ascii="微软雅黑" w:hAnsi="微软雅黑" w:eastAsia="微软雅黑" w:cs="微软雅黑"/>
          <w:b/>
          <w:bCs/>
          <w:color w:val="auto"/>
          <w:highlight w:val="none"/>
          <w:u w:val="none"/>
        </w:rPr>
        <w:t>5.招标文件构成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84631F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5.1招标文件分为三册共7章，内容如下：</w:t>
      </w:r>
    </w:p>
    <w:p w14:paraId="3820FEAA">
      <w:pPr>
        <w:spacing w:line="360" w:lineRule="exact"/>
        <w:ind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14:paraId="13FBB1CE">
      <w:pPr>
        <w:tabs>
          <w:tab w:val="left" w:pos="0"/>
        </w:tabs>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第1章供应商须知</w:t>
      </w:r>
    </w:p>
    <w:p w14:paraId="0F0929BF">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第2章投标文件格式</w:t>
      </w:r>
    </w:p>
    <w:p w14:paraId="10F6C64F">
      <w:pPr>
        <w:spacing w:line="360" w:lineRule="exact"/>
        <w:ind w:firstLine="33" w:firstLineChars="1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14:paraId="31E28711">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第3章投标邀请</w:t>
      </w:r>
    </w:p>
    <w:p w14:paraId="58B1F770">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第4章供应商须知资料表</w:t>
      </w:r>
    </w:p>
    <w:p w14:paraId="552A47B2">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第5章货物内容及项目要求</w:t>
      </w:r>
    </w:p>
    <w:p w14:paraId="16F661E4">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第6章评标方法和标准</w:t>
      </w:r>
    </w:p>
    <w:p w14:paraId="67F63423">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14:paraId="665A3BCF">
      <w:pPr>
        <w:spacing w:line="360" w:lineRule="exac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第7章政府采购合同</w:t>
      </w:r>
    </w:p>
    <w:p w14:paraId="1F2D735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5.2如本文件的前后内容不一致，以最后描述为准。</w:t>
      </w:r>
    </w:p>
    <w:p w14:paraId="6E661969">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5.3供应商应认真阅读招标文件所有的事项、格式、条款和技术规范等。如供应商没有按照招标文件要求提交全部资料，或者投标文件没有对招标文件在各方面都做出实质性响应，可能导致其投标将被认定为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5C208A0">
      <w:pPr>
        <w:pStyle w:val="4"/>
        <w:spacing w:before="0" w:after="0" w:line="360" w:lineRule="exact"/>
        <w:rPr>
          <w:rFonts w:hint="eastAsia" w:ascii="微软雅黑" w:hAnsi="微软雅黑" w:eastAsia="微软雅黑" w:cs="微软雅黑"/>
          <w:b/>
          <w:bCs/>
          <w:color w:val="auto"/>
          <w:highlight w:val="none"/>
          <w:u w:val="none"/>
        </w:rPr>
      </w:pPr>
      <w:bookmarkStart w:id="310" w:name="_Toc515904805"/>
      <w:bookmarkStart w:id="311" w:name="_Toc520356148"/>
      <w:bookmarkStart w:id="312" w:name="_Toc20368"/>
      <w:bookmarkStart w:id="313" w:name="_Toc28731"/>
      <w:bookmarkStart w:id="314" w:name="_Toc20202"/>
      <w:bookmarkStart w:id="315" w:name="_Toc32213"/>
      <w:bookmarkStart w:id="316" w:name="_Toc24450"/>
      <w:bookmarkStart w:id="317" w:name="_Toc20908"/>
      <w:bookmarkStart w:id="318" w:name="_Toc1955"/>
      <w:bookmarkStart w:id="319" w:name="_Toc28010"/>
      <w:bookmarkStart w:id="320" w:name="_Toc26044"/>
      <w:bookmarkStart w:id="321" w:name="_Toc12536"/>
      <w:bookmarkStart w:id="322" w:name="_Toc31282"/>
      <w:bookmarkStart w:id="323" w:name="_Toc19275"/>
      <w:bookmarkStart w:id="324" w:name="_Toc22710"/>
      <w:bookmarkStart w:id="325" w:name="_Toc30779"/>
      <w:bookmarkStart w:id="326" w:name="_Toc21098"/>
      <w:bookmarkStart w:id="327" w:name="_Toc29186"/>
      <w:bookmarkStart w:id="328" w:name="_Toc4683"/>
      <w:bookmarkStart w:id="329" w:name="_Toc12507"/>
      <w:bookmarkStart w:id="330" w:name="_Toc25496"/>
      <w:bookmarkStart w:id="331" w:name="_Toc8479"/>
      <w:bookmarkStart w:id="332" w:name="_Toc5922"/>
      <w:bookmarkStart w:id="333" w:name="_Toc10213"/>
      <w:bookmarkStart w:id="334" w:name="_Toc20556"/>
      <w:bookmarkStart w:id="335" w:name="_Toc15746"/>
      <w:bookmarkStart w:id="336" w:name="_Toc22448"/>
      <w:bookmarkStart w:id="337" w:name="_Toc25570"/>
      <w:bookmarkStart w:id="338" w:name="_Toc20604"/>
      <w:bookmarkStart w:id="339" w:name="_Toc6133"/>
      <w:bookmarkStart w:id="340" w:name="_Toc30495"/>
      <w:bookmarkStart w:id="341" w:name="_Toc9232"/>
      <w:bookmarkStart w:id="342" w:name="_Toc663"/>
      <w:bookmarkStart w:id="343" w:name="_Toc17263"/>
      <w:bookmarkStart w:id="344" w:name="_Toc5991"/>
      <w:bookmarkStart w:id="345" w:name="_Toc19267"/>
      <w:bookmarkStart w:id="346" w:name="_Toc30049"/>
      <w:bookmarkStart w:id="347" w:name="_Toc10187"/>
      <w:bookmarkStart w:id="348" w:name="_Toc12813"/>
      <w:bookmarkStart w:id="349" w:name="_Toc14791"/>
      <w:bookmarkStart w:id="350" w:name="_Toc1117"/>
      <w:bookmarkStart w:id="351" w:name="_Toc12062"/>
      <w:bookmarkStart w:id="352" w:name="_Toc13134"/>
      <w:bookmarkStart w:id="353" w:name="_Toc13899"/>
      <w:bookmarkStart w:id="354" w:name="_Toc8643"/>
      <w:bookmarkStart w:id="355" w:name="_Toc21165"/>
      <w:bookmarkStart w:id="356" w:name="_Toc10618"/>
      <w:bookmarkStart w:id="357" w:name="_Toc25866"/>
      <w:bookmarkStart w:id="358" w:name="_Toc29162"/>
      <w:bookmarkStart w:id="359" w:name="_Toc10716"/>
      <w:bookmarkStart w:id="360" w:name="_Toc10034"/>
      <w:bookmarkStart w:id="361" w:name="_Toc12052"/>
      <w:r>
        <w:rPr>
          <w:rFonts w:hint="eastAsia" w:ascii="微软雅黑" w:hAnsi="微软雅黑" w:eastAsia="微软雅黑" w:cs="微软雅黑"/>
          <w:b/>
          <w:bCs/>
          <w:color w:val="auto"/>
          <w:highlight w:val="none"/>
          <w:u w:val="none"/>
        </w:rPr>
        <w:t>6.招标文件的澄清</w:t>
      </w:r>
      <w:bookmarkEnd w:id="310"/>
      <w:bookmarkEnd w:id="311"/>
      <w:r>
        <w:rPr>
          <w:rFonts w:hint="eastAsia" w:ascii="微软雅黑" w:hAnsi="微软雅黑" w:eastAsia="微软雅黑" w:cs="微软雅黑"/>
          <w:b/>
          <w:bCs/>
          <w:color w:val="auto"/>
          <w:highlight w:val="none"/>
          <w:u w:val="none"/>
        </w:rPr>
        <w:t>与修改</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25AC0B0">
      <w:pPr>
        <w:pStyle w:val="7"/>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6.1为了保证对招标文件的澄清和修改满足法律的时限要求，任何要求对招标文件进行澄清的供应商，均应在投标截止期十五日前，以书面形式将澄清要求通知采购人或采购代理机构。</w:t>
      </w:r>
    </w:p>
    <w:p w14:paraId="7EE2848D">
      <w:pPr>
        <w:pStyle w:val="7"/>
        <w:spacing w:line="360" w:lineRule="exact"/>
        <w:ind w:left="840" w:hanging="840" w:hangingChars="350"/>
        <w:rPr>
          <w:rFonts w:hint="eastAsia" w:ascii="微软雅黑" w:hAnsi="微软雅黑" w:eastAsia="微软雅黑" w:cs="微软雅黑"/>
          <w:color w:val="auto"/>
          <w:szCs w:val="24"/>
          <w:highlight w:val="none"/>
        </w:rPr>
      </w:pPr>
      <w:bookmarkStart w:id="362" w:name="_Ref467378678"/>
      <w:bookmarkStart w:id="363" w:name="_Toc520356149"/>
      <w:bookmarkStart w:id="364" w:name="_Toc515904806"/>
      <w:r>
        <w:rPr>
          <w:rFonts w:hint="eastAsia" w:ascii="微软雅黑" w:hAnsi="微软雅黑" w:eastAsia="微软雅黑" w:cs="微软雅黑"/>
          <w:color w:val="auto"/>
          <w:szCs w:val="24"/>
          <w:highlight w:val="none"/>
        </w:rPr>
        <w:t>6.2采购人可主动地或在解答供应商提出的澄清问题时对招标文件进行澄清或修改。采购代理机构将以发布澄清（更正）公告的方式，澄清或修改招标文件，澄清或修改内容作为招标文件的组成部分。</w:t>
      </w:r>
    </w:p>
    <w:p w14:paraId="103EBB91">
      <w:pPr>
        <w:pStyle w:val="7"/>
        <w:spacing w:line="360" w:lineRule="exact"/>
        <w:ind w:left="840" w:hanging="840" w:hangingChars="35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6.3澄清或者修改的内容可能影响投标文件编制的，采购代理机构将以书面形式通知所有购买招标文件的潜在供应商，并对其具有约束力。供应商在收到上述通知后，应及时向采购代理机构回函确认。</w:t>
      </w:r>
    </w:p>
    <w:p w14:paraId="6EAD6AF2">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365" w:name="_Toc517"/>
      <w:bookmarkStart w:id="366" w:name="_Toc54"/>
      <w:bookmarkStart w:id="367" w:name="_Toc10823"/>
      <w:bookmarkStart w:id="368" w:name="_Toc17745"/>
      <w:bookmarkStart w:id="369" w:name="_Toc25979"/>
      <w:bookmarkStart w:id="370" w:name="_Toc28059"/>
      <w:bookmarkStart w:id="371" w:name="_Toc19072"/>
      <w:bookmarkStart w:id="372" w:name="_Toc5103"/>
      <w:bookmarkStart w:id="373" w:name="_Toc9941"/>
      <w:bookmarkStart w:id="374" w:name="_Toc4848"/>
      <w:bookmarkStart w:id="375" w:name="_Toc32714"/>
      <w:bookmarkStart w:id="376" w:name="_Toc16740"/>
      <w:bookmarkStart w:id="377" w:name="_Toc27811"/>
      <w:bookmarkStart w:id="378" w:name="_Toc1073"/>
      <w:bookmarkStart w:id="379" w:name="_Toc2202"/>
      <w:bookmarkStart w:id="380" w:name="_Toc834"/>
      <w:bookmarkStart w:id="381" w:name="_Toc12539"/>
      <w:bookmarkStart w:id="382" w:name="_Toc10609"/>
      <w:bookmarkStart w:id="383" w:name="_Toc24028"/>
      <w:bookmarkStart w:id="384" w:name="_Toc1998"/>
      <w:bookmarkStart w:id="385" w:name="_Toc12671"/>
      <w:bookmarkStart w:id="386" w:name="_Toc22511"/>
      <w:bookmarkStart w:id="387" w:name="_Toc11916"/>
      <w:bookmarkStart w:id="388" w:name="_Toc7919"/>
      <w:bookmarkStart w:id="389" w:name="_Toc14738"/>
      <w:bookmarkStart w:id="390" w:name="_Toc14569"/>
      <w:bookmarkStart w:id="391" w:name="_Toc21187"/>
      <w:bookmarkStart w:id="392" w:name="_Toc978"/>
      <w:bookmarkStart w:id="393" w:name="_Toc10649"/>
      <w:bookmarkStart w:id="394" w:name="_Toc5444"/>
      <w:bookmarkStart w:id="395" w:name="_Toc3119"/>
      <w:bookmarkStart w:id="396" w:name="_Toc4856"/>
      <w:bookmarkStart w:id="397" w:name="_Toc21530"/>
      <w:bookmarkStart w:id="398" w:name="_Toc13079"/>
      <w:bookmarkStart w:id="399" w:name="_Toc26226"/>
      <w:bookmarkStart w:id="400" w:name="_Toc1552"/>
      <w:bookmarkStart w:id="401" w:name="_Toc25635"/>
      <w:bookmarkStart w:id="402" w:name="_Toc3345"/>
      <w:bookmarkStart w:id="403" w:name="_Toc23285"/>
      <w:bookmarkStart w:id="404" w:name="_Toc14901"/>
      <w:bookmarkStart w:id="405" w:name="_Toc11082"/>
      <w:bookmarkStart w:id="406" w:name="_Toc9080"/>
      <w:bookmarkStart w:id="407" w:name="_Toc22107"/>
      <w:bookmarkStart w:id="408" w:name="_Toc6105"/>
      <w:bookmarkStart w:id="409" w:name="_Toc27786"/>
      <w:bookmarkStart w:id="410" w:name="_Toc13231"/>
      <w:bookmarkStart w:id="411" w:name="_Toc23315"/>
      <w:bookmarkStart w:id="412" w:name="_Toc8918"/>
      <w:bookmarkStart w:id="413" w:name="_Toc3161"/>
      <w:bookmarkStart w:id="414" w:name="_Toc14856"/>
      <w:r>
        <w:rPr>
          <w:rFonts w:hint="eastAsia" w:ascii="微软雅黑" w:hAnsi="微软雅黑" w:eastAsia="微软雅黑" w:cs="微软雅黑"/>
          <w:b/>
          <w:bCs/>
          <w:color w:val="auto"/>
          <w:highlight w:val="none"/>
          <w:u w:val="none"/>
        </w:rPr>
        <w:t>7</w:t>
      </w:r>
      <w:bookmarkEnd w:id="362"/>
      <w:bookmarkEnd w:id="363"/>
      <w:bookmarkEnd w:id="364"/>
      <w:r>
        <w:rPr>
          <w:rFonts w:hint="eastAsia" w:ascii="微软雅黑" w:hAnsi="微软雅黑" w:eastAsia="微软雅黑" w:cs="微软雅黑"/>
          <w:b/>
          <w:bCs/>
          <w:color w:val="auto"/>
          <w:highlight w:val="none"/>
          <w:u w:val="none"/>
        </w:rPr>
        <w:t>.投标截止时间的顺延</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414EBFC4">
      <w:pPr>
        <w:spacing w:line="360" w:lineRule="exact"/>
        <w:ind w:left="900" w:hanging="900" w:hangingChars="375"/>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为使供应商准备投标时有足够的时间对招标文件的澄清或者修改部分进行研究，采购人将依法决定是否顺延投标截止时间。</w:t>
      </w:r>
      <w:bookmarkStart w:id="415" w:name="_Toc516367020"/>
      <w:bookmarkStart w:id="416" w:name="_Toc515647766"/>
      <w:bookmarkStart w:id="417" w:name="_Toc7636"/>
      <w:bookmarkStart w:id="418" w:name="_Toc520356150"/>
      <w:bookmarkStart w:id="419" w:name="_Toc30808"/>
      <w:bookmarkStart w:id="420" w:name="_Toc216582807"/>
    </w:p>
    <w:p w14:paraId="6B661115">
      <w:pPr>
        <w:tabs>
          <w:tab w:val="left" w:pos="900"/>
        </w:tabs>
        <w:spacing w:line="360" w:lineRule="exact"/>
        <w:ind w:hanging="540"/>
        <w:rPr>
          <w:rFonts w:hint="eastAsia" w:ascii="微软雅黑" w:hAnsi="微软雅黑" w:eastAsia="微软雅黑" w:cs="微软雅黑"/>
          <w:color w:val="auto"/>
          <w:sz w:val="28"/>
          <w:highlight w:val="none"/>
        </w:rPr>
      </w:pPr>
    </w:p>
    <w:p w14:paraId="1EE3A22C">
      <w:pPr>
        <w:pStyle w:val="3"/>
        <w:tabs>
          <w:tab w:val="left" w:pos="900"/>
        </w:tabs>
        <w:spacing w:before="0" w:line="360" w:lineRule="exact"/>
        <w:ind w:hanging="540"/>
        <w:rPr>
          <w:rFonts w:hint="eastAsia" w:ascii="微软雅黑" w:hAnsi="微软雅黑" w:eastAsia="微软雅黑" w:cs="微软雅黑"/>
          <w:color w:val="auto"/>
          <w:sz w:val="28"/>
          <w:highlight w:val="none"/>
        </w:rPr>
      </w:pPr>
      <w:bookmarkStart w:id="421" w:name="_Toc932"/>
      <w:bookmarkStart w:id="422" w:name="_Toc29522"/>
      <w:bookmarkStart w:id="423" w:name="_Toc12939"/>
      <w:bookmarkStart w:id="424" w:name="_Toc21912"/>
      <w:r>
        <w:rPr>
          <w:rFonts w:hint="eastAsia" w:ascii="微软雅黑" w:hAnsi="微软雅黑" w:eastAsia="微软雅黑" w:cs="微软雅黑"/>
          <w:color w:val="auto"/>
          <w:sz w:val="28"/>
          <w:highlight w:val="none"/>
        </w:rPr>
        <w:t>三</w:t>
      </w:r>
      <w:r>
        <w:rPr>
          <w:rFonts w:hint="eastAsia" w:ascii="微软雅黑" w:hAnsi="微软雅黑" w:eastAsia="微软雅黑" w:cs="微软雅黑"/>
          <w:color w:val="auto"/>
          <w:sz w:val="28"/>
          <w:highlight w:val="none"/>
          <w:lang w:val="en-US" w:eastAsia="zh-CN"/>
        </w:rPr>
        <w:t xml:space="preserve">  </w:t>
      </w:r>
      <w:r>
        <w:rPr>
          <w:rFonts w:hint="eastAsia" w:ascii="微软雅黑" w:hAnsi="微软雅黑" w:eastAsia="微软雅黑" w:cs="微软雅黑"/>
          <w:color w:val="auto"/>
          <w:sz w:val="28"/>
          <w:highlight w:val="none"/>
        </w:rPr>
        <w:t>投标文件</w:t>
      </w:r>
      <w:bookmarkEnd w:id="415"/>
      <w:r>
        <w:rPr>
          <w:rFonts w:hint="eastAsia" w:ascii="微软雅黑" w:hAnsi="微软雅黑" w:eastAsia="微软雅黑" w:cs="微软雅黑"/>
          <w:color w:val="auto"/>
          <w:sz w:val="28"/>
          <w:highlight w:val="none"/>
        </w:rPr>
        <w:t>的编制</w:t>
      </w:r>
      <w:bookmarkEnd w:id="416"/>
      <w:bookmarkEnd w:id="417"/>
      <w:bookmarkEnd w:id="418"/>
      <w:bookmarkEnd w:id="419"/>
      <w:bookmarkEnd w:id="420"/>
      <w:bookmarkEnd w:id="421"/>
      <w:bookmarkEnd w:id="422"/>
      <w:bookmarkEnd w:id="423"/>
      <w:bookmarkEnd w:id="424"/>
    </w:p>
    <w:p w14:paraId="2F035EB5">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425" w:name="_Toc14602"/>
      <w:bookmarkStart w:id="426" w:name="_Toc14086"/>
      <w:bookmarkStart w:id="427" w:name="_Toc10748"/>
      <w:bookmarkStart w:id="428" w:name="_Toc24429"/>
      <w:bookmarkStart w:id="429" w:name="_Toc30945"/>
      <w:bookmarkStart w:id="430" w:name="_Toc4789"/>
      <w:bookmarkStart w:id="431" w:name="_Toc25336"/>
      <w:bookmarkStart w:id="432" w:name="_Toc15642"/>
      <w:bookmarkStart w:id="433" w:name="_Toc10145"/>
      <w:bookmarkStart w:id="434" w:name="_Toc24751"/>
      <w:bookmarkStart w:id="435" w:name="_Toc520356151"/>
      <w:bookmarkStart w:id="436" w:name="_Toc11687"/>
      <w:bookmarkStart w:id="437" w:name="_Toc24558"/>
      <w:bookmarkStart w:id="438" w:name="_Toc515647767"/>
      <w:bookmarkStart w:id="439" w:name="_Toc20486"/>
      <w:bookmarkStart w:id="440" w:name="_Toc11688"/>
      <w:bookmarkStart w:id="441" w:name="_Toc10847"/>
      <w:bookmarkStart w:id="442" w:name="_Toc2539"/>
      <w:bookmarkStart w:id="443" w:name="_Toc1775"/>
      <w:bookmarkStart w:id="444" w:name="_Toc1632"/>
      <w:bookmarkStart w:id="445" w:name="_Toc25406"/>
      <w:bookmarkStart w:id="446" w:name="_Toc5995"/>
      <w:bookmarkStart w:id="447" w:name="_Toc6575"/>
      <w:bookmarkStart w:id="448" w:name="_Toc6746"/>
      <w:bookmarkStart w:id="449" w:name="_Toc5025"/>
      <w:bookmarkStart w:id="450" w:name="_Toc516367021"/>
      <w:bookmarkStart w:id="451" w:name="_Toc2129"/>
      <w:bookmarkStart w:id="452" w:name="_Toc5044"/>
      <w:bookmarkStart w:id="453" w:name="_Toc8375"/>
      <w:bookmarkStart w:id="454" w:name="_Toc283"/>
      <w:bookmarkStart w:id="455" w:name="_Toc32487"/>
      <w:bookmarkStart w:id="456" w:name="_Toc7120"/>
      <w:bookmarkStart w:id="457" w:name="_Toc14739"/>
      <w:bookmarkStart w:id="458" w:name="_Toc3553"/>
      <w:bookmarkStart w:id="459" w:name="_Toc28980"/>
      <w:bookmarkStart w:id="460" w:name="_Toc10810"/>
      <w:bookmarkStart w:id="461" w:name="_Toc7786"/>
      <w:bookmarkStart w:id="462" w:name="_Toc26"/>
      <w:bookmarkStart w:id="463" w:name="_Toc23686"/>
      <w:bookmarkStart w:id="464" w:name="_Toc6426"/>
      <w:bookmarkStart w:id="465" w:name="_Toc2030"/>
      <w:bookmarkStart w:id="466" w:name="_Toc17656"/>
      <w:bookmarkStart w:id="467" w:name="_Toc13375"/>
      <w:bookmarkStart w:id="468" w:name="_Toc22639"/>
      <w:bookmarkStart w:id="469" w:name="_Toc15505"/>
      <w:bookmarkStart w:id="470" w:name="_Toc14993"/>
      <w:bookmarkStart w:id="471" w:name="_Toc6192"/>
      <w:bookmarkStart w:id="472" w:name="_Toc20831"/>
      <w:bookmarkStart w:id="473" w:name="_Toc2382"/>
      <w:bookmarkStart w:id="474" w:name="_Toc17678"/>
      <w:bookmarkStart w:id="475" w:name="_Toc26041"/>
      <w:bookmarkStart w:id="476" w:name="_Toc24131"/>
      <w:r>
        <w:rPr>
          <w:rFonts w:hint="eastAsia" w:ascii="微软雅黑" w:hAnsi="微软雅黑" w:eastAsia="微软雅黑" w:cs="微软雅黑"/>
          <w:b/>
          <w:bCs/>
          <w:color w:val="auto"/>
          <w:highlight w:val="none"/>
          <w:u w:val="none"/>
        </w:rPr>
        <w:t>8.</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投标范围及投标文件中标准和计量单位的使用</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CFA645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的，供应商可对招标文件其中某一个或几个</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服务进行投标，除非在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中另有规定。</w:t>
      </w:r>
    </w:p>
    <w:p w14:paraId="27E411A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8.2供应商应当对所投</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招标文件中“货物内容及项目要求”所列的所有内容进行投标，如仅响应某一</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中的部分内容，其该</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318021C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8.3除招标文件中有特殊要求外，投标文件中所使用的计量单位，应采用中华人民共和国法定计量单位。</w:t>
      </w:r>
    </w:p>
    <w:p w14:paraId="27EFA6AF">
      <w:pPr>
        <w:pStyle w:val="4"/>
        <w:tabs>
          <w:tab w:val="left" w:pos="900"/>
        </w:tabs>
        <w:spacing w:before="0" w:after="0" w:line="360" w:lineRule="exact"/>
        <w:rPr>
          <w:rFonts w:hint="eastAsia" w:ascii="微软雅黑" w:hAnsi="微软雅黑" w:eastAsia="微软雅黑" w:cs="微软雅黑"/>
          <w:color w:val="auto"/>
          <w:highlight w:val="none"/>
          <w:u w:val="none"/>
        </w:rPr>
      </w:pPr>
      <w:bookmarkStart w:id="477" w:name="_Ref467306195"/>
      <w:bookmarkStart w:id="478" w:name="_Toc516367022"/>
      <w:bookmarkStart w:id="479" w:name="_Ref467306676"/>
      <w:bookmarkStart w:id="480" w:name="_Toc32032"/>
      <w:bookmarkStart w:id="481" w:name="_Toc16016"/>
      <w:bookmarkStart w:id="482" w:name="_Toc7658"/>
      <w:bookmarkStart w:id="483" w:name="_Toc6271"/>
      <w:bookmarkStart w:id="484" w:name="_Toc20101"/>
      <w:bookmarkStart w:id="485" w:name="_Toc258"/>
      <w:bookmarkStart w:id="486" w:name="_Toc4703"/>
      <w:bookmarkStart w:id="487" w:name="_Toc5544"/>
      <w:bookmarkStart w:id="488" w:name="_Toc23291"/>
      <w:bookmarkStart w:id="489" w:name="_Toc6152"/>
      <w:bookmarkStart w:id="490" w:name="_Toc4852"/>
      <w:bookmarkStart w:id="491" w:name="_Toc10364"/>
      <w:bookmarkStart w:id="492" w:name="_Toc1035"/>
      <w:bookmarkStart w:id="493" w:name="_Toc11144"/>
      <w:bookmarkStart w:id="494" w:name="_Toc9418"/>
      <w:bookmarkStart w:id="495" w:name="_Toc12220"/>
      <w:bookmarkStart w:id="496" w:name="_Toc27002"/>
      <w:bookmarkStart w:id="497" w:name="_Toc12525"/>
      <w:bookmarkStart w:id="498" w:name="_Toc18673"/>
      <w:bookmarkStart w:id="499" w:name="_Toc25596"/>
      <w:bookmarkStart w:id="500" w:name="_Toc2591"/>
      <w:bookmarkStart w:id="501" w:name="_Toc15751"/>
      <w:bookmarkStart w:id="502" w:name="_Toc12373"/>
      <w:bookmarkStart w:id="503" w:name="_Toc28307"/>
      <w:bookmarkStart w:id="504" w:name="_Toc15740"/>
      <w:bookmarkStart w:id="505" w:name="_Toc24937"/>
      <w:bookmarkStart w:id="506" w:name="_Toc17996"/>
      <w:bookmarkStart w:id="507" w:name="_Toc15082"/>
      <w:bookmarkStart w:id="508" w:name="_Toc10887"/>
      <w:bookmarkStart w:id="509" w:name="_Toc25005"/>
      <w:bookmarkStart w:id="510" w:name="_Toc4699"/>
      <w:bookmarkStart w:id="511" w:name="_Toc19496"/>
      <w:bookmarkStart w:id="512" w:name="_Toc24313"/>
      <w:bookmarkStart w:id="513" w:name="_Toc30102"/>
      <w:bookmarkStart w:id="514" w:name="_Toc22958"/>
      <w:bookmarkStart w:id="515" w:name="_Toc11888"/>
      <w:bookmarkStart w:id="516" w:name="_Toc9281"/>
      <w:bookmarkStart w:id="517" w:name="_Toc10712"/>
      <w:bookmarkStart w:id="518" w:name="_Toc10573"/>
      <w:bookmarkStart w:id="519" w:name="_Toc27736"/>
      <w:bookmarkStart w:id="520" w:name="_Toc22417"/>
      <w:bookmarkStart w:id="521" w:name="_Toc24466"/>
      <w:bookmarkStart w:id="522" w:name="_Toc22897"/>
      <w:bookmarkStart w:id="523" w:name="_Toc6924"/>
      <w:bookmarkStart w:id="524" w:name="_Toc515647768"/>
      <w:bookmarkStart w:id="525" w:name="_Toc29717"/>
      <w:bookmarkStart w:id="526" w:name="_Toc10267"/>
      <w:bookmarkStart w:id="527" w:name="_Toc520356152"/>
      <w:bookmarkStart w:id="528" w:name="_Toc18576"/>
      <w:bookmarkStart w:id="529" w:name="_Toc22018"/>
      <w:bookmarkStart w:id="530" w:name="_Toc20711"/>
      <w:r>
        <w:rPr>
          <w:rFonts w:hint="eastAsia" w:ascii="微软雅黑" w:hAnsi="微软雅黑" w:eastAsia="微软雅黑" w:cs="微软雅黑"/>
          <w:b/>
          <w:bCs/>
          <w:color w:val="auto"/>
          <w:highlight w:val="none"/>
          <w:u w:val="none"/>
        </w:rPr>
        <w:t>9.投标文件</w:t>
      </w:r>
      <w:bookmarkEnd w:id="477"/>
      <w:bookmarkEnd w:id="478"/>
      <w:bookmarkEnd w:id="479"/>
      <w:r>
        <w:rPr>
          <w:rFonts w:hint="eastAsia" w:ascii="微软雅黑" w:hAnsi="微软雅黑" w:eastAsia="微软雅黑" w:cs="微软雅黑"/>
          <w:b/>
          <w:bCs/>
          <w:color w:val="auto"/>
          <w:highlight w:val="none"/>
          <w:u w:val="none"/>
        </w:rPr>
        <w:t>构成</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4472BD0">
      <w:pPr>
        <w:tabs>
          <w:tab w:val="left" w:pos="900"/>
          <w:tab w:val="left" w:pos="5580"/>
        </w:tabs>
        <w:spacing w:line="360" w:lineRule="exact"/>
        <w:ind w:left="960" w:hanging="960" w:hangingChars="400"/>
        <w:jc w:val="left"/>
        <w:rPr>
          <w:rFonts w:hint="eastAsia" w:ascii="微软雅黑" w:hAnsi="微软雅黑" w:eastAsia="微软雅黑" w:cs="微软雅黑"/>
          <w:color w:val="auto"/>
          <w:sz w:val="24"/>
          <w:highlight w:val="none"/>
          <w:u w:val="single"/>
        </w:rPr>
      </w:pPr>
      <w:bookmarkStart w:id="531" w:name="_Ref467052588"/>
      <w:r>
        <w:rPr>
          <w:rFonts w:hint="eastAsia" w:ascii="微软雅黑" w:hAnsi="微软雅黑" w:eastAsia="微软雅黑" w:cs="微软雅黑"/>
          <w:color w:val="auto"/>
          <w:sz w:val="24"/>
          <w:highlight w:val="none"/>
        </w:rPr>
        <w:t>9.1</w:t>
      </w:r>
      <w:r>
        <w:rPr>
          <w:rFonts w:hint="eastAsia" w:ascii="微软雅黑" w:hAnsi="微软雅黑" w:eastAsia="微软雅黑" w:cs="微软雅黑"/>
          <w:b/>
          <w:bCs/>
          <w:color w:val="auto"/>
          <w:sz w:val="24"/>
          <w:highlight w:val="none"/>
          <w:u w:val="single"/>
        </w:rPr>
        <w:t>供应商应完整地按招标文件提供的投标文件格式及要求编写投标文件，根据平台关联点上传对应佐证资料，供应商应承担上传失误产生的任何后果。</w:t>
      </w:r>
    </w:p>
    <w:p w14:paraId="6CC33F1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9.2上述文件应按照招标文件规定的格式填写、签署和盖章。</w:t>
      </w:r>
      <w:bookmarkEnd w:id="531"/>
    </w:p>
    <w:p w14:paraId="329EAA93">
      <w:pPr>
        <w:pStyle w:val="4"/>
        <w:tabs>
          <w:tab w:val="left" w:pos="900"/>
        </w:tabs>
        <w:spacing w:before="0" w:after="0" w:line="360" w:lineRule="exact"/>
        <w:rPr>
          <w:rFonts w:hint="eastAsia" w:ascii="微软雅黑" w:hAnsi="微软雅黑" w:eastAsia="微软雅黑" w:cs="微软雅黑"/>
          <w:color w:val="auto"/>
          <w:highlight w:val="none"/>
          <w:u w:val="none"/>
        </w:rPr>
      </w:pPr>
      <w:bookmarkStart w:id="532" w:name="_Toc1879"/>
      <w:bookmarkStart w:id="533" w:name="_Toc17715"/>
      <w:bookmarkStart w:id="534" w:name="_Toc10584"/>
      <w:bookmarkStart w:id="535" w:name="_Toc23453"/>
      <w:bookmarkStart w:id="536" w:name="_Toc20441"/>
      <w:bookmarkStart w:id="537" w:name="_Toc23994"/>
      <w:bookmarkStart w:id="538" w:name="_Toc520356153"/>
      <w:bookmarkStart w:id="539" w:name="_Toc12338"/>
      <w:bookmarkStart w:id="540" w:name="_Toc6978"/>
      <w:bookmarkStart w:id="541" w:name="_Toc26163"/>
      <w:bookmarkStart w:id="542" w:name="_Toc14035"/>
      <w:bookmarkStart w:id="543" w:name="_Toc28211"/>
      <w:bookmarkStart w:id="544" w:name="_Toc26248"/>
      <w:bookmarkStart w:id="545" w:name="_Toc15151"/>
      <w:bookmarkStart w:id="546" w:name="_Toc4246"/>
      <w:bookmarkStart w:id="547" w:name="_Toc8593"/>
      <w:bookmarkStart w:id="548" w:name="_Toc21131"/>
      <w:bookmarkStart w:id="549" w:name="_Toc23028"/>
      <w:bookmarkStart w:id="550" w:name="_Toc10379"/>
      <w:bookmarkStart w:id="551" w:name="_Toc25515"/>
      <w:bookmarkStart w:id="552" w:name="_Toc6734"/>
      <w:bookmarkStart w:id="553" w:name="_Toc10156"/>
      <w:bookmarkStart w:id="554" w:name="_Toc31686"/>
      <w:bookmarkStart w:id="555" w:name="_Toc4601"/>
      <w:bookmarkStart w:id="556" w:name="_Toc515647769"/>
      <w:bookmarkStart w:id="557" w:name="_Toc516367023"/>
      <w:bookmarkStart w:id="558" w:name="_Toc2056"/>
      <w:bookmarkStart w:id="559" w:name="_Toc28651"/>
      <w:bookmarkStart w:id="560" w:name="_Toc5419"/>
      <w:bookmarkStart w:id="561" w:name="_Toc30354"/>
      <w:bookmarkStart w:id="562" w:name="_Toc17150"/>
      <w:bookmarkStart w:id="563" w:name="_Toc7081"/>
      <w:bookmarkStart w:id="564" w:name="_Toc17873"/>
      <w:bookmarkStart w:id="565" w:name="_Toc18045"/>
      <w:bookmarkStart w:id="566" w:name="_Toc9536"/>
      <w:bookmarkStart w:id="567" w:name="_Toc18797"/>
      <w:bookmarkStart w:id="568" w:name="_Toc22195"/>
      <w:bookmarkStart w:id="569" w:name="_Toc3325"/>
      <w:bookmarkStart w:id="570" w:name="_Toc31216"/>
      <w:bookmarkStart w:id="571" w:name="_Toc714"/>
      <w:bookmarkStart w:id="572" w:name="_Toc21416"/>
      <w:bookmarkStart w:id="573" w:name="_Toc32499"/>
      <w:bookmarkStart w:id="574" w:name="_Toc11121"/>
      <w:bookmarkStart w:id="575" w:name="_Toc5756"/>
      <w:bookmarkStart w:id="576" w:name="_Toc18071"/>
      <w:bookmarkStart w:id="577" w:name="_Toc32291"/>
      <w:bookmarkStart w:id="578" w:name="_Toc18528"/>
      <w:bookmarkStart w:id="579" w:name="_Toc17541"/>
      <w:bookmarkStart w:id="580" w:name="_Toc11240"/>
      <w:bookmarkStart w:id="581" w:name="_Toc9962"/>
      <w:bookmarkStart w:id="582" w:name="_Toc12121"/>
      <w:bookmarkStart w:id="583" w:name="_Toc23650"/>
      <w:r>
        <w:rPr>
          <w:rFonts w:hint="eastAsia" w:ascii="微软雅黑" w:hAnsi="微软雅黑" w:eastAsia="微软雅黑" w:cs="微软雅黑"/>
          <w:b/>
          <w:bCs/>
          <w:color w:val="auto"/>
          <w:highlight w:val="none"/>
          <w:u w:val="none"/>
        </w:rPr>
        <w:t>10.</w:t>
      </w:r>
      <w:r>
        <w:rPr>
          <w:rFonts w:hint="eastAsia" w:ascii="微软雅黑" w:hAnsi="微软雅黑" w:eastAsia="微软雅黑" w:cs="微软雅黑"/>
          <w:b/>
          <w:bCs/>
          <w:color w:val="auto"/>
          <w:highlight w:val="none"/>
          <w:u w:val="none"/>
        </w:rPr>
        <w:tab/>
      </w:r>
      <w:r>
        <w:rPr>
          <w:rFonts w:hint="eastAsia" w:ascii="微软雅黑" w:hAnsi="微软雅黑" w:eastAsia="微软雅黑" w:cs="微软雅黑"/>
          <w:b/>
          <w:bCs/>
          <w:color w:val="auto"/>
          <w:highlight w:val="none"/>
          <w:u w:val="none"/>
        </w:rPr>
        <w:t>证明投标的的合格性和符合招标文件规定的技术文件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728C34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供应商应提交证明文件，证明其投标内容符合招标文件规定。该证明文件是投标文件的一部分。</w:t>
      </w:r>
    </w:p>
    <w:p w14:paraId="278C0479">
      <w:pPr>
        <w:spacing w:line="360" w:lineRule="exact"/>
        <w:ind w:left="900" w:hanging="900" w:hangingChars="375"/>
        <w:rPr>
          <w:rFonts w:hint="eastAsia" w:ascii="微软雅黑" w:hAnsi="微软雅黑" w:eastAsia="微软雅黑" w:cs="微软雅黑"/>
          <w:color w:val="auto"/>
          <w:sz w:val="24"/>
          <w:highlight w:val="none"/>
        </w:rPr>
      </w:pPr>
      <w:bookmarkStart w:id="584"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上款所述的证明文件，可以是文字资料、图片和数据，</w:t>
      </w:r>
      <w:bookmarkEnd w:id="584"/>
      <w:r>
        <w:rPr>
          <w:rFonts w:hint="eastAsia" w:ascii="微软雅黑" w:hAnsi="微软雅黑" w:eastAsia="微软雅黑" w:cs="微软雅黑"/>
          <w:color w:val="auto"/>
          <w:sz w:val="24"/>
          <w:highlight w:val="none"/>
        </w:rPr>
        <w:t>它包括：</w:t>
      </w:r>
    </w:p>
    <w:p w14:paraId="28AA07A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设备主要技术指标的详细说明；</w:t>
      </w:r>
    </w:p>
    <w:p w14:paraId="4B36C28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货物从买方开始使用至谈判文件规定的保质期内正常、连续地使用所必须的备件和专用工具清单，包括备件和专用工具的货源及现行价格；</w:t>
      </w:r>
    </w:p>
    <w:p w14:paraId="46FDAE5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对照招标文件技术规格，逐条说明所提供货物及伴随的工程和货物已对招标文件的技术规格做出了实质性的响应，或申明与技术规格条文的偏差和例外。</w:t>
      </w:r>
    </w:p>
    <w:p w14:paraId="53FE1D3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14:paraId="6E00F40C">
      <w:pPr>
        <w:pStyle w:val="4"/>
        <w:spacing w:before="0" w:after="0" w:line="360" w:lineRule="exact"/>
        <w:rPr>
          <w:rFonts w:hint="eastAsia" w:ascii="微软雅黑" w:hAnsi="微软雅黑" w:eastAsia="微软雅黑" w:cs="微软雅黑"/>
          <w:b/>
          <w:bCs/>
          <w:color w:val="auto"/>
          <w:highlight w:val="none"/>
          <w:u w:val="none"/>
        </w:rPr>
      </w:pPr>
      <w:bookmarkStart w:id="585" w:name="_Toc25118"/>
      <w:bookmarkStart w:id="586" w:name="_Toc26441"/>
      <w:bookmarkStart w:id="587" w:name="_Toc1272"/>
      <w:bookmarkStart w:id="588" w:name="_Toc14140"/>
      <w:bookmarkStart w:id="589" w:name="_Toc9815"/>
      <w:bookmarkStart w:id="590" w:name="_Toc23231"/>
      <w:bookmarkStart w:id="591" w:name="_Toc30467"/>
      <w:bookmarkStart w:id="592" w:name="_Toc5071"/>
      <w:bookmarkStart w:id="593" w:name="_Toc6630"/>
      <w:bookmarkStart w:id="594" w:name="_Toc3327"/>
      <w:bookmarkStart w:id="595" w:name="_Toc11457"/>
      <w:bookmarkStart w:id="596" w:name="_Toc520356155"/>
      <w:bookmarkStart w:id="597" w:name="_Toc4799"/>
      <w:bookmarkStart w:id="598" w:name="_Toc2756"/>
      <w:bookmarkStart w:id="599" w:name="_Toc30792"/>
      <w:bookmarkStart w:id="600" w:name="_Toc8053"/>
      <w:bookmarkStart w:id="601" w:name="_Toc10846"/>
      <w:bookmarkStart w:id="602" w:name="_Toc5144"/>
      <w:bookmarkStart w:id="603" w:name="_Toc6338"/>
      <w:bookmarkStart w:id="604" w:name="_Toc17175"/>
      <w:bookmarkStart w:id="605" w:name="_Toc13066"/>
      <w:bookmarkStart w:id="606" w:name="_Toc28480"/>
      <w:bookmarkStart w:id="607" w:name="_Toc29204"/>
      <w:bookmarkStart w:id="608" w:name="_Toc515647770"/>
      <w:bookmarkStart w:id="609" w:name="_Toc25641"/>
      <w:bookmarkStart w:id="610" w:name="_Toc29512"/>
      <w:bookmarkStart w:id="611" w:name="_Toc11160"/>
      <w:bookmarkStart w:id="612" w:name="_Toc26145"/>
      <w:bookmarkStart w:id="613" w:name="_Toc23138"/>
      <w:bookmarkStart w:id="614" w:name="_Toc2248"/>
      <w:bookmarkStart w:id="615" w:name="_Toc14799"/>
      <w:bookmarkStart w:id="616" w:name="_Toc18456"/>
      <w:bookmarkStart w:id="617" w:name="_Toc22704"/>
      <w:bookmarkStart w:id="618" w:name="_Toc16481"/>
      <w:bookmarkStart w:id="619" w:name="_Toc24468"/>
      <w:bookmarkStart w:id="620" w:name="_Toc301"/>
      <w:bookmarkStart w:id="621" w:name="_Toc9741"/>
      <w:bookmarkStart w:id="622" w:name="_Toc11431"/>
      <w:bookmarkStart w:id="623" w:name="_Toc2471"/>
      <w:bookmarkStart w:id="624" w:name="_Toc7663"/>
      <w:bookmarkStart w:id="625" w:name="_Toc3868"/>
      <w:bookmarkStart w:id="626" w:name="_Toc14759"/>
      <w:bookmarkStart w:id="627" w:name="_Toc2127"/>
      <w:bookmarkStart w:id="628" w:name="_Toc9374"/>
      <w:bookmarkStart w:id="629" w:name="_Toc29632"/>
      <w:bookmarkStart w:id="630" w:name="_Toc21396"/>
      <w:bookmarkStart w:id="631" w:name="_Toc29220"/>
      <w:bookmarkStart w:id="632" w:name="_Toc9233"/>
      <w:bookmarkStart w:id="633" w:name="_Toc1235"/>
      <w:bookmarkStart w:id="634" w:name="_Toc32162"/>
      <w:bookmarkStart w:id="635" w:name="_Toc16183"/>
      <w:r>
        <w:rPr>
          <w:rFonts w:hint="eastAsia" w:ascii="微软雅黑" w:hAnsi="微软雅黑" w:eastAsia="微软雅黑" w:cs="微软雅黑"/>
          <w:b/>
          <w:bCs/>
          <w:color w:val="auto"/>
          <w:highlight w:val="none"/>
          <w:u w:val="none"/>
        </w:rPr>
        <w:t>11.投标报价</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92F933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1FAD65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供应商应在投标分项报价表上标明投标相关货物的单价（如适用）和总价，并由法定代表人或其授权代表签署。</w:t>
      </w:r>
    </w:p>
    <w:p w14:paraId="483F5C7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14:paraId="117BA3D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64AFF24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每种货物只能有一个投标报价。采购人不接受具有附加条件的报价。</w:t>
      </w:r>
    </w:p>
    <w:p w14:paraId="53140B2B">
      <w:pPr>
        <w:pStyle w:val="4"/>
        <w:spacing w:before="0" w:after="0" w:line="360" w:lineRule="exact"/>
        <w:rPr>
          <w:rFonts w:hint="eastAsia" w:ascii="微软雅黑" w:hAnsi="微软雅黑" w:eastAsia="微软雅黑" w:cs="微软雅黑"/>
          <w:b/>
          <w:bCs/>
          <w:color w:val="auto"/>
          <w:highlight w:val="none"/>
          <w:u w:val="none"/>
        </w:rPr>
      </w:pPr>
      <w:bookmarkStart w:id="636" w:name="_Toc17788"/>
      <w:bookmarkStart w:id="637" w:name="_Toc12975"/>
      <w:bookmarkStart w:id="638" w:name="_Toc28149"/>
      <w:bookmarkStart w:id="639" w:name="_Toc2262"/>
      <w:bookmarkStart w:id="640" w:name="_Toc28730"/>
      <w:bookmarkStart w:id="641" w:name="_Toc24283"/>
      <w:bookmarkStart w:id="642" w:name="_Toc29571"/>
      <w:bookmarkStart w:id="643" w:name="_Toc1683"/>
      <w:bookmarkStart w:id="644" w:name="_Toc28001"/>
      <w:bookmarkStart w:id="645" w:name="_Toc401"/>
      <w:bookmarkStart w:id="646" w:name="_Toc10288"/>
      <w:bookmarkStart w:id="647" w:name="_Toc14735"/>
      <w:bookmarkStart w:id="648" w:name="_Toc9671"/>
      <w:bookmarkStart w:id="649" w:name="_Toc23666"/>
      <w:bookmarkStart w:id="650" w:name="_Toc11514"/>
      <w:bookmarkStart w:id="651" w:name="_Toc5648"/>
      <w:bookmarkStart w:id="652" w:name="_Toc24916"/>
      <w:bookmarkStart w:id="653" w:name="_Toc11040"/>
      <w:bookmarkStart w:id="654" w:name="_Toc23986"/>
      <w:bookmarkStart w:id="655" w:name="_Toc13391"/>
      <w:bookmarkStart w:id="656" w:name="_Toc6961"/>
      <w:bookmarkStart w:id="657" w:name="_Toc29026"/>
      <w:bookmarkStart w:id="658" w:name="_Toc1321"/>
      <w:bookmarkStart w:id="659" w:name="_Toc21719"/>
      <w:bookmarkStart w:id="660" w:name="_Toc25003"/>
      <w:bookmarkStart w:id="661" w:name="_Toc9261"/>
      <w:bookmarkStart w:id="662" w:name="_Toc520356156"/>
      <w:bookmarkStart w:id="663" w:name="_Toc13276"/>
      <w:bookmarkStart w:id="664" w:name="_Toc23156"/>
      <w:bookmarkStart w:id="665" w:name="_Toc12332"/>
      <w:bookmarkStart w:id="666" w:name="_Toc5510"/>
      <w:bookmarkStart w:id="667" w:name="_Toc30245"/>
      <w:bookmarkStart w:id="668" w:name="_Toc3232"/>
      <w:bookmarkStart w:id="669" w:name="_Toc515647771"/>
      <w:bookmarkStart w:id="670" w:name="_Toc19603"/>
      <w:bookmarkStart w:id="671" w:name="_Toc420"/>
      <w:bookmarkStart w:id="672" w:name="_Toc18556"/>
      <w:bookmarkStart w:id="673" w:name="_Toc23784"/>
      <w:bookmarkStart w:id="674" w:name="_Toc15177"/>
      <w:bookmarkStart w:id="675" w:name="_Toc2168"/>
      <w:bookmarkStart w:id="676" w:name="_Toc25100"/>
      <w:bookmarkStart w:id="677" w:name="_Toc10329"/>
      <w:bookmarkStart w:id="678" w:name="_Toc15349"/>
      <w:bookmarkStart w:id="679" w:name="_Toc13161"/>
      <w:bookmarkStart w:id="680" w:name="_Toc4368"/>
      <w:bookmarkStart w:id="681" w:name="_Toc26535"/>
      <w:bookmarkStart w:id="682" w:name="_Toc1569"/>
      <w:bookmarkStart w:id="683" w:name="_Toc22722"/>
      <w:bookmarkStart w:id="684" w:name="_Toc30697"/>
      <w:bookmarkStart w:id="685" w:name="_Toc3670"/>
      <w:bookmarkStart w:id="686" w:name="_Ref467306513"/>
      <w:bookmarkStart w:id="687" w:name="_Toc19759"/>
      <w:r>
        <w:rPr>
          <w:rFonts w:hint="eastAsia" w:ascii="微软雅黑" w:hAnsi="微软雅黑" w:eastAsia="微软雅黑" w:cs="微软雅黑"/>
          <w:b/>
          <w:bCs/>
          <w:color w:val="auto"/>
          <w:highlight w:val="none"/>
          <w:u w:val="none"/>
        </w:rPr>
        <w:t>12.投标保证金</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6F9B13A">
      <w:pPr>
        <w:spacing w:line="360" w:lineRule="exact"/>
        <w:ind w:left="900" w:hanging="900" w:hangingChars="375"/>
        <w:rPr>
          <w:rFonts w:hint="eastAsia" w:ascii="微软雅黑" w:hAnsi="微软雅黑" w:eastAsia="微软雅黑" w:cs="微软雅黑"/>
          <w:color w:val="auto"/>
          <w:sz w:val="24"/>
          <w:highlight w:val="none"/>
        </w:rPr>
      </w:pPr>
      <w:bookmarkStart w:id="688"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供应商应提交</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中规定的投标保证金</w:t>
      </w:r>
      <w:bookmarkEnd w:id="688"/>
      <w:r>
        <w:rPr>
          <w:rFonts w:hint="eastAsia" w:ascii="微软雅黑" w:hAnsi="微软雅黑" w:eastAsia="微软雅黑" w:cs="微软雅黑"/>
          <w:color w:val="auto"/>
          <w:sz w:val="24"/>
          <w:highlight w:val="none"/>
        </w:rPr>
        <w:t>，并作为其投标的一部分。</w:t>
      </w:r>
    </w:p>
    <w:p w14:paraId="26FF1C6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供应商存在下列情形的，投标保证金不予退还：</w:t>
      </w:r>
    </w:p>
    <w:p w14:paraId="20F9799E">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14:paraId="0CED8712">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14:paraId="2B5A1D2A">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14:paraId="196B00F1">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（4）中标后不按本须知第32条的规定缴纳中标服务费的；</w:t>
      </w:r>
    </w:p>
    <w:p w14:paraId="0950DACF">
      <w:pPr>
        <w:pStyle w:val="17"/>
        <w:tabs>
          <w:tab w:val="left" w:pos="2240"/>
        </w:tabs>
        <w:spacing w:line="360" w:lineRule="exact"/>
        <w:ind w:left="300" w:hanging="300" w:hangingChars="1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14:paraId="72686E01">
      <w:pPr>
        <w:spacing w:line="360" w:lineRule="exact"/>
        <w:ind w:left="900" w:hanging="900" w:hangingChars="375"/>
        <w:rPr>
          <w:rFonts w:hint="eastAsia" w:ascii="微软雅黑" w:hAnsi="微软雅黑" w:eastAsia="微软雅黑" w:cs="微软雅黑"/>
          <w:color w:val="auto"/>
          <w:sz w:val="24"/>
          <w:highlight w:val="none"/>
        </w:rPr>
      </w:pPr>
      <w:bookmarkStart w:id="689"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689"/>
      <w:r>
        <w:rPr>
          <w:rFonts w:hint="eastAsia" w:ascii="微软雅黑" w:hAnsi="微软雅黑" w:eastAsia="微软雅黑" w:cs="微软雅黑"/>
          <w:color w:val="auto"/>
          <w:sz w:val="24"/>
          <w:highlight w:val="none"/>
        </w:rPr>
        <w:t>政府采购信用担保试点范围内的项目，接受符合财政部门规定的政府采购投标担保函。</w:t>
      </w:r>
    </w:p>
    <w:p w14:paraId="35AA789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9A1352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12.4.1采用电汇形式的，一般可以实时入账。</w:t>
      </w:r>
    </w:p>
    <w:p w14:paraId="3D742151">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6954DBA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12.5联合体投标的，可以由联合体中的一方或者共同提交投标保证金。以一方名义提交投标保证金的，对联合体各方均具有约束力。</w:t>
      </w:r>
    </w:p>
    <w:p w14:paraId="0ACB812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14:paraId="0C076A8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12.6.1中标人应在与采购人签订合同之日起5个工作日内，及时联系保证金收受机构办理投标保证金无息退还手续。</w:t>
      </w:r>
    </w:p>
    <w:p w14:paraId="652DB1E6">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12.6.2未中标供应商的投标保证金将在中标通知书发出之日暨中标结果公告公布之日起5个工作日内无息退还。供应商应及时联系保证金收受机构办理退还投标保证金手续。</w:t>
      </w:r>
    </w:p>
    <w:p w14:paraId="77FC984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12.6.3政府采购投标担开户行银行保函不予退回。</w:t>
      </w:r>
    </w:p>
    <w:p w14:paraId="2B6D028C">
      <w:pPr>
        <w:spacing w:line="360" w:lineRule="exact"/>
        <w:ind w:left="960" w:hanging="960" w:hangingChars="4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12.7因供应商自身原因导致无法及时退还的，采购人或采购代理机构将不承担相应责任。</w:t>
      </w:r>
    </w:p>
    <w:p w14:paraId="315BCBBB">
      <w:pPr>
        <w:pStyle w:val="4"/>
        <w:spacing w:before="0" w:after="0" w:line="360" w:lineRule="exact"/>
        <w:rPr>
          <w:rFonts w:hint="eastAsia" w:ascii="微软雅黑" w:hAnsi="微软雅黑" w:eastAsia="微软雅黑" w:cs="微软雅黑"/>
          <w:color w:val="auto"/>
          <w:highlight w:val="none"/>
          <w:u w:val="none"/>
        </w:rPr>
      </w:pPr>
      <w:bookmarkStart w:id="690" w:name="_Toc19152"/>
      <w:bookmarkStart w:id="691" w:name="_Toc4484"/>
      <w:bookmarkStart w:id="692" w:name="_Toc8453"/>
      <w:bookmarkStart w:id="693" w:name="_Toc32569"/>
      <w:bookmarkStart w:id="694" w:name="_Toc21718"/>
      <w:bookmarkStart w:id="695" w:name="_Toc17206"/>
      <w:bookmarkStart w:id="696" w:name="_Toc14387"/>
      <w:bookmarkStart w:id="697" w:name="_Toc3015"/>
      <w:bookmarkStart w:id="698" w:name="_Toc13589"/>
      <w:bookmarkStart w:id="699" w:name="_Toc9955"/>
      <w:bookmarkStart w:id="700" w:name="_Toc14152"/>
      <w:bookmarkStart w:id="701" w:name="_Toc27441"/>
      <w:bookmarkStart w:id="702" w:name="_Toc2328"/>
      <w:bookmarkStart w:id="703" w:name="_Toc23657"/>
      <w:bookmarkStart w:id="704" w:name="_Toc30274"/>
      <w:bookmarkStart w:id="705" w:name="_Toc515647772"/>
      <w:bookmarkStart w:id="706" w:name="_Toc5250"/>
      <w:bookmarkStart w:id="707" w:name="_Toc30519"/>
      <w:bookmarkStart w:id="708" w:name="_Toc520356157"/>
      <w:bookmarkStart w:id="709" w:name="_Toc1977"/>
      <w:bookmarkStart w:id="710" w:name="_Toc1255"/>
      <w:bookmarkStart w:id="711" w:name="_Toc621"/>
      <w:bookmarkStart w:id="712" w:name="_Toc100"/>
      <w:bookmarkStart w:id="713" w:name="_Toc23590"/>
      <w:bookmarkStart w:id="714" w:name="_Toc7349"/>
      <w:bookmarkStart w:id="715" w:name="_Toc17965"/>
      <w:bookmarkStart w:id="716" w:name="_Toc1719"/>
      <w:bookmarkStart w:id="717" w:name="_Toc31306"/>
      <w:bookmarkStart w:id="718" w:name="_Toc24778"/>
      <w:bookmarkStart w:id="719" w:name="_Toc3714"/>
      <w:bookmarkStart w:id="720" w:name="_Toc28617"/>
      <w:bookmarkStart w:id="721" w:name="_Toc18286"/>
      <w:bookmarkStart w:id="722" w:name="_Toc27999"/>
      <w:bookmarkStart w:id="723" w:name="_Toc28650"/>
      <w:bookmarkStart w:id="724" w:name="_Toc11306"/>
      <w:bookmarkStart w:id="725" w:name="_Toc3538"/>
      <w:bookmarkStart w:id="726" w:name="_Toc25207"/>
      <w:bookmarkStart w:id="727" w:name="_Toc10056"/>
      <w:bookmarkStart w:id="728" w:name="_Toc23836"/>
      <w:bookmarkStart w:id="729" w:name="_Toc14758"/>
      <w:bookmarkStart w:id="730" w:name="_Toc10559"/>
      <w:bookmarkStart w:id="731" w:name="_Toc18437"/>
      <w:bookmarkStart w:id="732" w:name="_Toc11132"/>
      <w:bookmarkStart w:id="733" w:name="_Toc17927"/>
      <w:bookmarkStart w:id="734" w:name="_Toc3174"/>
      <w:bookmarkStart w:id="735" w:name="_Toc13507"/>
      <w:bookmarkStart w:id="736" w:name="_Toc14179"/>
      <w:bookmarkStart w:id="737" w:name="_Toc24073"/>
      <w:bookmarkStart w:id="738" w:name="_Toc12947"/>
      <w:bookmarkStart w:id="739" w:name="_Toc10221"/>
      <w:bookmarkStart w:id="740" w:name="_Toc13999"/>
      <w:r>
        <w:rPr>
          <w:rFonts w:hint="eastAsia" w:ascii="微软雅黑" w:hAnsi="微软雅黑" w:eastAsia="微软雅黑" w:cs="微软雅黑"/>
          <w:b/>
          <w:bCs/>
          <w:color w:val="auto"/>
          <w:highlight w:val="none"/>
          <w:u w:val="none"/>
        </w:rPr>
        <w:t>13.投标有效期</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4E26CA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533A657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6982BDD2">
      <w:pPr>
        <w:pStyle w:val="4"/>
        <w:spacing w:before="0" w:after="0" w:line="360" w:lineRule="exact"/>
        <w:rPr>
          <w:rFonts w:hint="eastAsia" w:ascii="微软雅黑" w:hAnsi="微软雅黑" w:eastAsia="微软雅黑" w:cs="微软雅黑"/>
          <w:b/>
          <w:bCs/>
          <w:color w:val="auto"/>
          <w:highlight w:val="none"/>
          <w:u w:val="none"/>
        </w:rPr>
      </w:pPr>
      <w:bookmarkStart w:id="741" w:name="_Toc520356158"/>
      <w:bookmarkStart w:id="742" w:name="_Toc27307"/>
      <w:bookmarkStart w:id="743" w:name="_Toc17074"/>
      <w:bookmarkStart w:id="744" w:name="_Toc28913"/>
      <w:bookmarkStart w:id="745" w:name="_Toc9672"/>
      <w:bookmarkStart w:id="746" w:name="_Toc5028"/>
      <w:bookmarkStart w:id="747" w:name="_Toc19386"/>
      <w:bookmarkStart w:id="748" w:name="_Toc25686"/>
      <w:bookmarkStart w:id="749" w:name="_Toc10341"/>
      <w:bookmarkStart w:id="750" w:name="_Toc4344"/>
      <w:bookmarkStart w:id="751" w:name="_Toc23406"/>
      <w:bookmarkStart w:id="752" w:name="_Toc6162"/>
      <w:bookmarkStart w:id="753" w:name="_Toc16503"/>
      <w:bookmarkStart w:id="754" w:name="_Toc25104"/>
      <w:bookmarkStart w:id="755" w:name="_Toc32511"/>
      <w:bookmarkStart w:id="756" w:name="_Toc493"/>
      <w:bookmarkStart w:id="757" w:name="_Toc698"/>
      <w:bookmarkStart w:id="758" w:name="_Toc11337"/>
      <w:bookmarkStart w:id="759" w:name="_Toc32693"/>
      <w:bookmarkStart w:id="760" w:name="_Toc24787"/>
      <w:bookmarkStart w:id="761" w:name="_Toc11669"/>
      <w:bookmarkStart w:id="762" w:name="_Toc11908"/>
      <w:bookmarkStart w:id="763" w:name="_Toc7893"/>
      <w:bookmarkStart w:id="764" w:name="_Toc10817"/>
      <w:bookmarkStart w:id="765" w:name="_Toc87"/>
      <w:bookmarkStart w:id="766" w:name="_Toc9394"/>
      <w:bookmarkStart w:id="767" w:name="_Toc24524"/>
      <w:bookmarkStart w:id="768" w:name="_Toc24159"/>
      <w:bookmarkStart w:id="769" w:name="_Toc3558"/>
      <w:bookmarkStart w:id="770" w:name="_Toc7259"/>
      <w:bookmarkStart w:id="771" w:name="_Toc515647773"/>
      <w:bookmarkStart w:id="772" w:name="_Toc30127"/>
      <w:bookmarkStart w:id="773" w:name="_Toc251"/>
      <w:bookmarkStart w:id="774" w:name="_Toc19311"/>
      <w:bookmarkStart w:id="775" w:name="_Toc10391"/>
      <w:bookmarkStart w:id="776" w:name="_Toc25890"/>
      <w:bookmarkStart w:id="777" w:name="_Toc22595"/>
      <w:bookmarkStart w:id="778" w:name="_Toc26337"/>
      <w:bookmarkStart w:id="779" w:name="_Toc6286"/>
      <w:bookmarkStart w:id="780" w:name="_Toc571"/>
      <w:bookmarkStart w:id="781" w:name="_Toc2590"/>
      <w:bookmarkStart w:id="782" w:name="_Toc8150"/>
      <w:bookmarkStart w:id="783" w:name="_Toc7038"/>
      <w:bookmarkStart w:id="784" w:name="_Toc4425"/>
      <w:bookmarkStart w:id="785" w:name="_Toc6302"/>
      <w:bookmarkStart w:id="786" w:name="_Toc15242"/>
      <w:bookmarkStart w:id="787" w:name="_Toc29619"/>
      <w:r>
        <w:rPr>
          <w:rFonts w:hint="eastAsia" w:ascii="微软雅黑" w:hAnsi="微软雅黑" w:eastAsia="微软雅黑" w:cs="微软雅黑"/>
          <w:b/>
          <w:bCs/>
          <w:color w:val="auto"/>
          <w:highlight w:val="none"/>
          <w:u w:val="none"/>
        </w:rPr>
        <w:t>14.投标文件的签署</w:t>
      </w:r>
      <w:bookmarkEnd w:id="741"/>
      <w:r>
        <w:rPr>
          <w:rFonts w:hint="eastAsia" w:ascii="微软雅黑" w:hAnsi="微软雅黑" w:eastAsia="微软雅黑" w:cs="微软雅黑"/>
          <w:b/>
          <w:bCs/>
          <w:color w:val="auto"/>
          <w:highlight w:val="none"/>
          <w:u w:val="none"/>
        </w:rPr>
        <w:t>及规定</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1B190E75">
      <w:pPr>
        <w:spacing w:line="360" w:lineRule="exact"/>
        <w:ind w:left="900" w:hanging="900" w:hangingChars="375"/>
        <w:rPr>
          <w:rFonts w:hint="eastAsia" w:ascii="微软雅黑" w:hAnsi="微软雅黑" w:eastAsia="微软雅黑" w:cs="微软雅黑"/>
          <w:color w:val="auto"/>
          <w:sz w:val="24"/>
          <w:highlight w:val="none"/>
        </w:rPr>
      </w:pPr>
      <w:bookmarkStart w:id="788" w:name="_Toc515647774"/>
      <w:bookmarkStart w:id="789" w:name="_Toc16865"/>
      <w:bookmarkStart w:id="790" w:name="_Toc11179"/>
      <w:bookmarkStart w:id="791" w:name="_Toc216582808"/>
      <w:bookmarkStart w:id="792" w:name="_Toc520356159"/>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供应商应按供应商须知资料表中的规定，准备和上传投标文件。</w:t>
      </w:r>
    </w:p>
    <w:p w14:paraId="17EA127E">
      <w:pPr>
        <w:spacing w:line="360" w:lineRule="exact"/>
        <w:ind w:left="900" w:hanging="900" w:hangingChars="375"/>
        <w:rPr>
          <w:rFonts w:hint="eastAsia" w:ascii="微软雅黑" w:hAnsi="微软雅黑" w:eastAsia="微软雅黑" w:cs="微软雅黑"/>
          <w:color w:val="auto"/>
          <w:sz w:val="24"/>
          <w:highlight w:val="none"/>
        </w:rPr>
      </w:pPr>
    </w:p>
    <w:p w14:paraId="1A0BCDCC">
      <w:pPr>
        <w:pStyle w:val="3"/>
        <w:spacing w:before="0" w:line="360" w:lineRule="exact"/>
        <w:ind w:hanging="540"/>
        <w:rPr>
          <w:rFonts w:hint="eastAsia" w:ascii="微软雅黑" w:hAnsi="微软雅黑" w:eastAsia="微软雅黑" w:cs="微软雅黑"/>
          <w:color w:val="auto"/>
          <w:highlight w:val="none"/>
        </w:rPr>
      </w:pPr>
      <w:bookmarkStart w:id="793" w:name="_Toc25125"/>
      <w:bookmarkStart w:id="794" w:name="_Toc28472"/>
      <w:bookmarkStart w:id="795" w:name="_Toc30935"/>
      <w:bookmarkStart w:id="796" w:name="_Toc26132"/>
      <w:r>
        <w:rPr>
          <w:rFonts w:hint="eastAsia" w:ascii="微软雅黑" w:hAnsi="微软雅黑" w:eastAsia="微软雅黑" w:cs="微软雅黑"/>
          <w:color w:val="auto"/>
          <w:sz w:val="24"/>
          <w:highlight w:val="none"/>
        </w:rPr>
        <w:t>四</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投标文件的递交</w:t>
      </w:r>
      <w:bookmarkEnd w:id="788"/>
      <w:bookmarkEnd w:id="789"/>
      <w:bookmarkEnd w:id="790"/>
      <w:bookmarkEnd w:id="791"/>
      <w:bookmarkEnd w:id="792"/>
      <w:bookmarkEnd w:id="793"/>
      <w:bookmarkEnd w:id="794"/>
      <w:bookmarkEnd w:id="795"/>
      <w:bookmarkEnd w:id="796"/>
    </w:p>
    <w:p w14:paraId="6A79CDF0">
      <w:pPr>
        <w:numPr>
          <w:ilvl w:val="0"/>
          <w:numId w:val="5"/>
        </w:numPr>
        <w:spacing w:line="360" w:lineRule="exact"/>
        <w:outlineLvl w:val="2"/>
        <w:rPr>
          <w:rFonts w:hint="eastAsia" w:ascii="微软雅黑" w:hAnsi="微软雅黑" w:eastAsia="微软雅黑" w:cs="微软雅黑"/>
          <w:color w:val="auto"/>
          <w:sz w:val="24"/>
          <w:highlight w:val="none"/>
        </w:rPr>
      </w:pPr>
      <w:bookmarkStart w:id="797" w:name="_Toc26050"/>
      <w:bookmarkStart w:id="798" w:name="_Toc28484"/>
      <w:bookmarkStart w:id="799" w:name="_Toc2209"/>
      <w:bookmarkStart w:id="800" w:name="_Toc22376"/>
      <w:bookmarkStart w:id="801" w:name="_Toc9195"/>
      <w:bookmarkStart w:id="802" w:name="_Toc572"/>
      <w:bookmarkStart w:id="803" w:name="_Toc25977"/>
      <w:bookmarkStart w:id="804" w:name="_Toc14040"/>
      <w:bookmarkStart w:id="805" w:name="_Toc14401"/>
      <w:bookmarkStart w:id="806" w:name="_Toc8129"/>
      <w:bookmarkStart w:id="807" w:name="_Toc10417"/>
      <w:bookmarkStart w:id="808" w:name="_Toc17076"/>
      <w:bookmarkStart w:id="809" w:name="_Toc12461"/>
      <w:bookmarkStart w:id="810" w:name="_Toc11159"/>
      <w:bookmarkStart w:id="811" w:name="_Toc21605"/>
      <w:bookmarkStart w:id="812" w:name="_Toc4494"/>
      <w:bookmarkStart w:id="813" w:name="_Toc30912"/>
      <w:bookmarkStart w:id="814" w:name="_Toc30375"/>
      <w:bookmarkStart w:id="815" w:name="_Toc14892"/>
      <w:bookmarkStart w:id="816" w:name="_Toc13776"/>
      <w:bookmarkStart w:id="817" w:name="_Toc1109"/>
      <w:bookmarkStart w:id="818" w:name="_Toc3789"/>
      <w:bookmarkStart w:id="819" w:name="_Toc14133"/>
      <w:bookmarkStart w:id="820" w:name="_Toc26743"/>
      <w:bookmarkStart w:id="821" w:name="_Toc6819"/>
      <w:bookmarkStart w:id="822" w:name="_Toc2920"/>
      <w:bookmarkStart w:id="823" w:name="_Toc11557"/>
      <w:bookmarkStart w:id="824" w:name="_Toc6127"/>
      <w:bookmarkStart w:id="825" w:name="_Toc6730"/>
      <w:bookmarkStart w:id="826" w:name="_Toc13724"/>
      <w:bookmarkStart w:id="827" w:name="_Toc7933"/>
      <w:bookmarkStart w:id="828" w:name="_Toc3258"/>
      <w:bookmarkStart w:id="829" w:name="_Toc22621"/>
      <w:r>
        <w:rPr>
          <w:rFonts w:hint="eastAsia" w:ascii="微软雅黑" w:hAnsi="微软雅黑" w:eastAsia="微软雅黑" w:cs="微软雅黑"/>
          <w:b/>
          <w:bCs/>
          <w:color w:val="auto"/>
          <w:sz w:val="24"/>
          <w:highlight w:val="none"/>
        </w:rPr>
        <w:t>投标文件的上传和标记</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4B81B318">
      <w:pPr>
        <w:spacing w:line="360" w:lineRule="exact"/>
        <w:ind w:left="900" w:hanging="900" w:hangingChars="375"/>
        <w:rPr>
          <w:rFonts w:hint="eastAsia" w:ascii="微软雅黑" w:hAnsi="微软雅黑" w:eastAsia="微软雅黑" w:cs="微软雅黑"/>
          <w:color w:val="auto"/>
          <w:sz w:val="24"/>
          <w:highlight w:val="none"/>
        </w:rPr>
      </w:pPr>
      <w:bookmarkStart w:id="830" w:name="_Toc9226"/>
      <w:bookmarkStart w:id="831" w:name="_Toc31100"/>
      <w:bookmarkStart w:id="832" w:name="_Toc2605"/>
      <w:bookmarkStart w:id="833" w:name="_Toc17338"/>
      <w:bookmarkStart w:id="834" w:name="_Toc8719"/>
      <w:bookmarkStart w:id="835" w:name="_Toc17998"/>
      <w:bookmarkStart w:id="836" w:name="_Toc28676"/>
      <w:bookmarkStart w:id="837" w:name="_Toc13798"/>
      <w:bookmarkStart w:id="838" w:name="_Toc31647"/>
      <w:bookmarkStart w:id="839" w:name="_Toc9893"/>
      <w:bookmarkStart w:id="840" w:name="_Toc28884"/>
      <w:bookmarkStart w:id="841" w:name="_Toc10161"/>
      <w:bookmarkStart w:id="842" w:name="_Toc8284"/>
      <w:bookmarkStart w:id="843" w:name="_Toc23034"/>
      <w:bookmarkStart w:id="844" w:name="_Toc5027"/>
      <w:bookmarkStart w:id="845" w:name="_Toc25272"/>
      <w:bookmarkStart w:id="846" w:name="_Toc3511"/>
      <w:bookmarkStart w:id="847" w:name="_Toc7925"/>
      <w:r>
        <w:rPr>
          <w:rFonts w:hint="eastAsia" w:ascii="微软雅黑" w:hAnsi="微软雅黑" w:eastAsia="微软雅黑" w:cs="微软雅黑"/>
          <w:color w:val="auto"/>
          <w:sz w:val="24"/>
          <w:highlight w:val="none"/>
        </w:rPr>
        <w:t>15.1为方便评审及进行资格审查，投标单位应完整地按招标文件提供的投标文件格式及要求编写投标文件，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0AAF9C9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15.2供应商因自身原因导致电子投标文件无法导入电子评标系统的，该投标文件视为无效文件。</w:t>
      </w:r>
    </w:p>
    <w:p w14:paraId="4A18830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15.3电子投标文件具有法律效力,与其他形式的投标文件在内容和格式上等同，若投标文件与招标文件要求不一致，其内容影响中标结果时，责任由供应商自行承担。</w:t>
      </w:r>
    </w:p>
    <w:p w14:paraId="44BF8720">
      <w:pPr>
        <w:spacing w:line="360" w:lineRule="exact"/>
        <w:outlineLvl w:val="2"/>
        <w:rPr>
          <w:rFonts w:hint="eastAsia" w:ascii="微软雅黑" w:hAnsi="微软雅黑" w:eastAsia="微软雅黑" w:cs="微软雅黑"/>
          <w:b/>
          <w:bCs/>
          <w:color w:val="auto"/>
          <w:sz w:val="24"/>
          <w:highlight w:val="none"/>
        </w:rPr>
      </w:pPr>
      <w:bookmarkStart w:id="848" w:name="_Toc27743"/>
      <w:bookmarkStart w:id="849" w:name="_Toc17395"/>
      <w:bookmarkStart w:id="850" w:name="_Toc30720"/>
      <w:bookmarkStart w:id="851" w:name="_Toc19940"/>
      <w:bookmarkStart w:id="852" w:name="_Toc6380"/>
      <w:bookmarkStart w:id="853" w:name="_Toc11971"/>
      <w:bookmarkStart w:id="854" w:name="_Toc16494"/>
      <w:bookmarkStart w:id="855" w:name="_Toc2478"/>
      <w:bookmarkStart w:id="856" w:name="_Toc27407"/>
      <w:bookmarkStart w:id="857" w:name="_Toc5644"/>
      <w:bookmarkStart w:id="858" w:name="_Toc1313"/>
      <w:bookmarkStart w:id="859" w:name="_Toc5157"/>
      <w:bookmarkStart w:id="860" w:name="_Toc11629"/>
      <w:bookmarkStart w:id="861" w:name="_Toc31092"/>
      <w:bookmarkStart w:id="862" w:name="_Toc22132"/>
      <w:r>
        <w:rPr>
          <w:rFonts w:hint="eastAsia" w:ascii="微软雅黑" w:hAnsi="微软雅黑" w:eastAsia="微软雅黑" w:cs="微软雅黑"/>
          <w:b/>
          <w:bCs/>
          <w:color w:val="auto"/>
          <w:sz w:val="24"/>
          <w:highlight w:val="none"/>
        </w:rPr>
        <w:t>16.投标截止</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2FD246D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供应商应在供应商须知资料表中规定的投标截止时间前，将投标文件上传到公开招标公告中规定的地点。</w:t>
      </w:r>
    </w:p>
    <w:p w14:paraId="17BA499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14:paraId="36E5A87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采购人和采购代理机构将拒绝接收在投标截止时间后上传的投标文件。</w:t>
      </w:r>
    </w:p>
    <w:p w14:paraId="0EF18397">
      <w:pPr>
        <w:spacing w:line="360" w:lineRule="exact"/>
        <w:outlineLvl w:val="2"/>
        <w:rPr>
          <w:rFonts w:hint="eastAsia" w:ascii="微软雅黑" w:hAnsi="微软雅黑" w:eastAsia="微软雅黑" w:cs="微软雅黑"/>
          <w:b/>
          <w:bCs/>
          <w:color w:val="auto"/>
          <w:sz w:val="24"/>
          <w:highlight w:val="none"/>
        </w:rPr>
      </w:pPr>
      <w:bookmarkStart w:id="863" w:name="_Toc29765"/>
      <w:bookmarkStart w:id="864" w:name="_Toc15055"/>
      <w:bookmarkStart w:id="865" w:name="_Toc13938"/>
      <w:bookmarkStart w:id="866" w:name="_Toc15251"/>
      <w:bookmarkStart w:id="867" w:name="_Toc32057"/>
      <w:bookmarkStart w:id="868" w:name="_Toc775"/>
      <w:bookmarkStart w:id="869" w:name="_Toc24482"/>
      <w:bookmarkStart w:id="870" w:name="_Toc22638"/>
      <w:bookmarkStart w:id="871" w:name="_Toc2609"/>
      <w:bookmarkStart w:id="872" w:name="_Toc10872"/>
      <w:bookmarkStart w:id="873" w:name="_Toc79"/>
      <w:bookmarkStart w:id="874" w:name="_Toc14231"/>
      <w:bookmarkStart w:id="875" w:name="_Toc2963"/>
      <w:bookmarkStart w:id="876" w:name="_Toc22740"/>
      <w:bookmarkStart w:id="877" w:name="_Toc3056"/>
      <w:bookmarkStart w:id="878" w:name="_Toc20455"/>
      <w:bookmarkStart w:id="879" w:name="_Toc6610"/>
      <w:bookmarkStart w:id="880" w:name="_Toc5639"/>
      <w:bookmarkStart w:id="881" w:name="_Toc25042"/>
      <w:bookmarkStart w:id="882" w:name="_Toc5048"/>
      <w:bookmarkStart w:id="883" w:name="_Toc26277"/>
      <w:bookmarkStart w:id="884" w:name="_Toc8974"/>
      <w:bookmarkStart w:id="885" w:name="_Toc23767"/>
      <w:bookmarkStart w:id="886" w:name="_Toc17196"/>
      <w:bookmarkStart w:id="887" w:name="_Toc14823"/>
      <w:bookmarkStart w:id="888" w:name="_Toc10921"/>
      <w:bookmarkStart w:id="889" w:name="_Toc30661"/>
      <w:bookmarkStart w:id="890" w:name="_Toc27778"/>
      <w:bookmarkStart w:id="891" w:name="_Toc15829"/>
      <w:bookmarkStart w:id="892" w:name="_Toc10066"/>
      <w:bookmarkStart w:id="893" w:name="_Toc32059"/>
      <w:bookmarkStart w:id="894" w:name="_Toc16375"/>
      <w:bookmarkStart w:id="895" w:name="_Toc28634"/>
      <w:r>
        <w:rPr>
          <w:rFonts w:hint="eastAsia" w:ascii="微软雅黑" w:hAnsi="微软雅黑" w:eastAsia="微软雅黑" w:cs="微软雅黑"/>
          <w:b/>
          <w:bCs/>
          <w:color w:val="auto"/>
          <w:sz w:val="24"/>
          <w:highlight w:val="none"/>
        </w:rPr>
        <w:t>17.投标文件的接收、修改与撤回</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100FD456">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在投标截止时间后上传的投标文件的，采购人和采购代理机构将拒绝接收。</w:t>
      </w:r>
    </w:p>
    <w:p w14:paraId="0CB01CCA">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上传投标文件以后，如果供应商要进行修改或撤回投标，供应商对投标文件的修改或撤回通知应按本须知规定编制、标记。采购人和采购代理机构将予以接收，并视为投标文件的组成部分。</w:t>
      </w:r>
    </w:p>
    <w:p w14:paraId="4CA6EF4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在投标截止期之后，采购人和采购代理机构不接受供应商主动对其投标文件做任何修改。</w:t>
      </w:r>
    </w:p>
    <w:p w14:paraId="55B567F2">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采购人和采购代理机构对所接收投标文件概不退回。</w:t>
      </w:r>
    </w:p>
    <w:p w14:paraId="4E0290DF">
      <w:pPr>
        <w:spacing w:line="360" w:lineRule="exact"/>
        <w:ind w:hanging="540"/>
        <w:rPr>
          <w:rFonts w:hint="eastAsia" w:ascii="微软雅黑" w:hAnsi="微软雅黑" w:eastAsia="微软雅黑" w:cs="微软雅黑"/>
          <w:color w:val="auto"/>
          <w:sz w:val="24"/>
          <w:highlight w:val="none"/>
        </w:rPr>
      </w:pPr>
      <w:bookmarkStart w:id="896" w:name="_Toc28398"/>
      <w:bookmarkStart w:id="897" w:name="_Toc515647778"/>
      <w:bookmarkStart w:id="898" w:name="_Toc12436"/>
      <w:bookmarkStart w:id="899" w:name="_Toc7470"/>
      <w:bookmarkStart w:id="900" w:name="_Toc216582809"/>
      <w:bookmarkStart w:id="901" w:name="_Toc15915"/>
      <w:bookmarkStart w:id="902" w:name="_Toc520356163"/>
    </w:p>
    <w:p w14:paraId="32876004">
      <w:pPr>
        <w:spacing w:line="360" w:lineRule="exact"/>
        <w:jc w:val="center"/>
        <w:outlineLvl w:val="1"/>
        <w:rPr>
          <w:rFonts w:hint="eastAsia" w:ascii="微软雅黑" w:hAnsi="微软雅黑" w:eastAsia="微软雅黑" w:cs="微软雅黑"/>
          <w:color w:val="auto"/>
          <w:highlight w:val="none"/>
        </w:rPr>
      </w:pPr>
      <w:bookmarkStart w:id="903" w:name="_Toc22998"/>
      <w:bookmarkStart w:id="904" w:name="_Toc4638"/>
      <w:r>
        <w:rPr>
          <w:rFonts w:hint="eastAsia" w:ascii="微软雅黑" w:hAnsi="微软雅黑" w:eastAsia="微软雅黑" w:cs="微软雅黑"/>
          <w:b/>
          <w:bCs/>
          <w:color w:val="auto"/>
          <w:sz w:val="28"/>
          <w:highlight w:val="none"/>
        </w:rPr>
        <w:t>五</w:t>
      </w:r>
      <w:r>
        <w:rPr>
          <w:rFonts w:hint="eastAsia" w:ascii="微软雅黑" w:hAnsi="微软雅黑" w:eastAsia="微软雅黑" w:cs="微软雅黑"/>
          <w:b/>
          <w:bCs/>
          <w:color w:val="auto"/>
          <w:sz w:val="28"/>
          <w:highlight w:val="none"/>
          <w:lang w:val="en-US" w:eastAsia="zh-CN"/>
        </w:rPr>
        <w:t xml:space="preserve">  </w:t>
      </w:r>
      <w:r>
        <w:rPr>
          <w:rFonts w:hint="eastAsia" w:ascii="微软雅黑" w:hAnsi="微软雅黑" w:eastAsia="微软雅黑" w:cs="微软雅黑"/>
          <w:b/>
          <w:bCs/>
          <w:color w:val="auto"/>
          <w:sz w:val="28"/>
          <w:highlight w:val="none"/>
        </w:rPr>
        <w:t>开标及评标</w:t>
      </w:r>
      <w:bookmarkEnd w:id="896"/>
      <w:bookmarkEnd w:id="897"/>
      <w:bookmarkEnd w:id="898"/>
      <w:bookmarkEnd w:id="899"/>
      <w:bookmarkEnd w:id="900"/>
      <w:bookmarkEnd w:id="901"/>
      <w:bookmarkEnd w:id="902"/>
      <w:bookmarkEnd w:id="903"/>
      <w:bookmarkEnd w:id="904"/>
    </w:p>
    <w:p w14:paraId="0296D9E3">
      <w:pPr>
        <w:pStyle w:val="4"/>
        <w:spacing w:before="0" w:line="360" w:lineRule="exact"/>
        <w:rPr>
          <w:rFonts w:hint="eastAsia" w:ascii="微软雅黑" w:hAnsi="微软雅黑" w:eastAsia="微软雅黑" w:cs="微软雅黑"/>
          <w:color w:val="auto"/>
          <w:highlight w:val="none"/>
        </w:rPr>
      </w:pPr>
      <w:bookmarkStart w:id="905" w:name="_Toc29791"/>
      <w:bookmarkStart w:id="906" w:name="_Toc6209"/>
      <w:bookmarkStart w:id="907" w:name="_Toc13295"/>
      <w:bookmarkStart w:id="908" w:name="_Toc32466"/>
      <w:bookmarkStart w:id="909" w:name="_Toc32061"/>
      <w:bookmarkStart w:id="910" w:name="_Toc1351"/>
      <w:bookmarkStart w:id="911" w:name="_Toc3147"/>
      <w:bookmarkStart w:id="912" w:name="_Toc23987"/>
      <w:bookmarkStart w:id="913" w:name="_Toc32409"/>
      <w:bookmarkStart w:id="914" w:name="_Toc515647779"/>
      <w:bookmarkStart w:id="915" w:name="_Toc17921"/>
      <w:bookmarkStart w:id="916" w:name="_Toc520356164"/>
      <w:bookmarkStart w:id="917" w:name="_Toc21418"/>
      <w:bookmarkStart w:id="918" w:name="_Toc10415"/>
      <w:bookmarkStart w:id="919" w:name="_Toc17233"/>
      <w:bookmarkStart w:id="920" w:name="_Toc11793"/>
      <w:bookmarkStart w:id="921" w:name="_Toc9432"/>
      <w:bookmarkStart w:id="922" w:name="_Toc8869"/>
      <w:bookmarkStart w:id="923" w:name="_Toc14650"/>
      <w:bookmarkStart w:id="924" w:name="_Toc27155"/>
      <w:bookmarkStart w:id="925" w:name="_Toc25345"/>
      <w:bookmarkStart w:id="926" w:name="_Toc7529"/>
      <w:bookmarkStart w:id="927" w:name="_Toc7222"/>
      <w:bookmarkStart w:id="928" w:name="_Toc14622"/>
      <w:bookmarkStart w:id="929" w:name="_Toc5825"/>
      <w:bookmarkStart w:id="930" w:name="_Toc11726"/>
      <w:bookmarkStart w:id="931" w:name="_Toc18940"/>
      <w:bookmarkStart w:id="932" w:name="_Toc27859"/>
      <w:bookmarkStart w:id="933" w:name="_Toc2886"/>
      <w:bookmarkStart w:id="934" w:name="_Toc6483"/>
      <w:bookmarkStart w:id="935" w:name="_Toc63"/>
      <w:bookmarkStart w:id="936" w:name="_Toc23772"/>
      <w:bookmarkStart w:id="937" w:name="_Toc30037"/>
      <w:bookmarkStart w:id="938" w:name="_Toc17314"/>
      <w:bookmarkStart w:id="939" w:name="_Toc4771"/>
      <w:bookmarkStart w:id="940" w:name="_Toc7741"/>
      <w:bookmarkStart w:id="941" w:name="_Toc7186"/>
      <w:bookmarkStart w:id="942" w:name="_Toc14082"/>
      <w:bookmarkStart w:id="943" w:name="_Toc2611"/>
      <w:bookmarkStart w:id="944" w:name="_Toc619"/>
      <w:bookmarkStart w:id="945" w:name="_Toc2737"/>
      <w:bookmarkStart w:id="946" w:name="_Toc13795"/>
      <w:bookmarkStart w:id="947" w:name="_Toc30509"/>
      <w:bookmarkStart w:id="948" w:name="_Toc25072"/>
      <w:bookmarkStart w:id="949" w:name="_Toc24922"/>
      <w:bookmarkStart w:id="950" w:name="_Toc30894"/>
      <w:bookmarkStart w:id="951" w:name="_Toc25799"/>
      <w:bookmarkStart w:id="952" w:name="_Toc1738"/>
      <w:bookmarkStart w:id="953" w:name="_Toc28057"/>
      <w:bookmarkStart w:id="954" w:name="_Toc10918"/>
      <w:bookmarkStart w:id="955" w:name="_Toc520356165"/>
      <w:bookmarkStart w:id="956" w:name="_Toc21372"/>
      <w:bookmarkStart w:id="957" w:name="_Toc19296"/>
      <w:bookmarkStart w:id="958" w:name="_Toc5052"/>
      <w:bookmarkStart w:id="959" w:name="_Toc18233"/>
      <w:bookmarkStart w:id="960" w:name="_Toc21667"/>
      <w:bookmarkStart w:id="961" w:name="_Toc10746"/>
      <w:bookmarkStart w:id="962" w:name="_Toc26266"/>
      <w:bookmarkStart w:id="963" w:name="_Toc2316"/>
      <w:bookmarkStart w:id="964" w:name="_Toc515647780"/>
      <w:bookmarkStart w:id="965" w:name="_Toc18228"/>
      <w:bookmarkStart w:id="966" w:name="_Toc22770"/>
      <w:bookmarkStart w:id="967" w:name="_Toc10550"/>
      <w:bookmarkStart w:id="968" w:name="_Toc16864"/>
      <w:bookmarkStart w:id="969" w:name="_Toc28586"/>
      <w:bookmarkStart w:id="970" w:name="_Toc4063"/>
      <w:bookmarkStart w:id="971" w:name="_Toc22792"/>
      <w:bookmarkStart w:id="972" w:name="_Toc3080"/>
      <w:r>
        <w:rPr>
          <w:rFonts w:hint="eastAsia" w:ascii="微软雅黑" w:hAnsi="微软雅黑" w:eastAsia="微软雅黑" w:cs="微软雅黑"/>
          <w:b/>
          <w:bCs/>
          <w:color w:val="auto"/>
          <w:highlight w:val="none"/>
          <w:u w:val="none"/>
        </w:rPr>
        <w:t>18.开标</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52C1AA0D">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bookmarkStart w:id="973" w:name="_Toc27046"/>
      <w:bookmarkStart w:id="974" w:name="_Toc11958"/>
      <w:bookmarkStart w:id="975" w:name="_Toc25"/>
      <w:bookmarkStart w:id="976" w:name="_Toc6774"/>
      <w:bookmarkStart w:id="977" w:name="_Toc28305"/>
      <w:bookmarkStart w:id="978" w:name="_Toc25205"/>
      <w:r>
        <w:rPr>
          <w:rFonts w:hint="eastAsia" w:ascii="微软雅黑" w:hAnsi="微软雅黑" w:eastAsia="微软雅黑" w:cs="微软雅黑"/>
          <w:color w:val="auto"/>
          <w:sz w:val="24"/>
          <w:highlight w:val="none"/>
        </w:rPr>
        <w:t>18.1供应商按照须知资料表中规定的开标时间和地点，在规定时间内上传投标文件。</w:t>
      </w:r>
    </w:p>
    <w:p w14:paraId="77F081A8">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0726CD4">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18.3在开标记录时，代理机构开启签字时段，须供应商使用CA锁在政采云平台进行签字确认报价。</w:t>
      </w:r>
    </w:p>
    <w:p w14:paraId="2CFC6E30">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18.4采购人登录政采云平台对供应商的资格证明材料进行审查。</w:t>
      </w:r>
    </w:p>
    <w:p w14:paraId="70DDA02D">
      <w:pPr>
        <w:snapToGrid w:val="0"/>
        <w:spacing w:line="380" w:lineRule="exact"/>
        <w:ind w:left="720" w:hanging="720" w:hangingChars="300"/>
        <w:textAlignment w:val="baseline"/>
        <w:outlineLvl w:val="2"/>
        <w:rPr>
          <w:rFonts w:hint="eastAsia" w:ascii="微软雅黑" w:hAnsi="微软雅黑" w:eastAsia="微软雅黑" w:cs="微软雅黑"/>
          <w:color w:val="auto"/>
          <w:sz w:val="24"/>
          <w:highlight w:val="none"/>
        </w:rPr>
      </w:pPr>
      <w:bookmarkStart w:id="979" w:name="_Toc29859"/>
      <w:bookmarkStart w:id="980" w:name="_Toc598"/>
      <w:bookmarkStart w:id="981" w:name="_Toc6155"/>
      <w:bookmarkStart w:id="982" w:name="_Toc21403"/>
      <w:bookmarkStart w:id="983" w:name="_Toc11436"/>
      <w:bookmarkStart w:id="984" w:name="_Toc1911"/>
      <w:bookmarkStart w:id="985" w:name="_Toc15669"/>
      <w:bookmarkStart w:id="986" w:name="_Toc2625"/>
      <w:bookmarkStart w:id="987" w:name="_Toc17118"/>
      <w:bookmarkStart w:id="988" w:name="_Toc25782"/>
      <w:bookmarkStart w:id="989" w:name="_Toc32193"/>
      <w:bookmarkStart w:id="990" w:name="_Toc25342"/>
      <w:bookmarkStart w:id="991" w:name="_Toc14666"/>
      <w:bookmarkStart w:id="992" w:name="_Toc23586"/>
      <w:bookmarkStart w:id="993" w:name="_Toc23369"/>
      <w:bookmarkStart w:id="994" w:name="_Toc1682"/>
      <w:bookmarkStart w:id="995" w:name="_Toc22824"/>
      <w:bookmarkStart w:id="996" w:name="_Toc21642"/>
      <w:bookmarkStart w:id="997" w:name="_Toc13606"/>
      <w:bookmarkStart w:id="998" w:name="_Toc22611"/>
      <w:bookmarkStart w:id="999" w:name="_Toc23839"/>
      <w:bookmarkStart w:id="1000" w:name="_Toc1669"/>
      <w:bookmarkStart w:id="1001" w:name="_Toc10153"/>
      <w:bookmarkStart w:id="1002" w:name="_Toc8966"/>
      <w:bookmarkStart w:id="1003" w:name="_Toc20833"/>
      <w:bookmarkStart w:id="1004" w:name="_Toc5549"/>
      <w:bookmarkStart w:id="1005" w:name="_Toc12378"/>
      <w:r>
        <w:rPr>
          <w:rFonts w:hint="eastAsia" w:ascii="微软雅黑" w:hAnsi="微软雅黑" w:eastAsia="微软雅黑" w:cs="微软雅黑"/>
          <w:b/>
          <w:bCs/>
          <w:color w:val="auto"/>
          <w:sz w:val="24"/>
          <w:highlight w:val="none"/>
        </w:rPr>
        <w:t>19.</w:t>
      </w:r>
      <w:bookmarkEnd w:id="955"/>
      <w:r>
        <w:rPr>
          <w:rFonts w:hint="eastAsia" w:ascii="微软雅黑" w:hAnsi="微软雅黑" w:eastAsia="微软雅黑" w:cs="微软雅黑"/>
          <w:b/>
          <w:bCs/>
          <w:color w:val="auto"/>
          <w:sz w:val="24"/>
          <w:highlight w:val="none"/>
        </w:rPr>
        <w:t>资格审查及组建评标委员会</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1F98A4AD">
      <w:pPr>
        <w:snapToGrid w:val="0"/>
        <w:spacing w:line="380" w:lineRule="exact"/>
        <w:ind w:left="720" w:hanging="720" w:hangingChars="3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19.1采购人或采购代理机构依据法律法规和招标文件中规定的内容，对供应商及其服务的资格进行审查，本项目审查内容如下：</w:t>
      </w:r>
    </w:p>
    <w:p w14:paraId="03FEC5A6">
      <w:pPr>
        <w:snapToGrid w:val="0"/>
        <w:spacing w:line="360" w:lineRule="exact"/>
        <w:ind w:left="718" w:leftChars="342"/>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本项目资格审查资料须附在投标文件中并上传至对应关联节点：</w:t>
      </w:r>
    </w:p>
    <w:p w14:paraId="40A32E1A">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2EAE597B">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2、法定代表人本人投标需提供法定代表人身份证及法定代表人资格证明书;授权委托人投标需提供法定代表人授权委托书、法定代表人身份证及被授权委托人身份证；</w:t>
      </w:r>
    </w:p>
    <w:p w14:paraId="2A07CD7E">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提供2024年或2025年任意一年完整的财务审计报告，成立时间未满十二个月的公司可提供近三个月内任意一个月的银行资信证明</w:t>
      </w:r>
    </w:p>
    <w:p w14:paraId="28E98DD8">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0D9D72A0">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453E166A">
      <w:pPr>
        <w:widowControl/>
        <w:wordWrap w:val="0"/>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567FCDE9">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3B0DF5C">
      <w:pPr>
        <w:widowControl/>
        <w:spacing w:line="340" w:lineRule="exact"/>
        <w:ind w:firstLine="720" w:firstLineChars="300"/>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74384787">
      <w:pPr>
        <w:pStyle w:val="29"/>
        <w:ind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59F761E1">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未通过资格审查的供应商不进入评标；通过资格审查的供应商不足三家的，不得评标。</w:t>
      </w:r>
    </w:p>
    <w:p w14:paraId="5A6CAFF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19.2供应商存在不良信用记录的，其投标将被认定为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CCDFE2E">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不良信用记录指：供应商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2393B9D0">
      <w:pPr>
        <w:pStyle w:val="7"/>
        <w:spacing w:line="360" w:lineRule="exact"/>
        <w:ind w:left="850" w:hanging="849" w:hangingChars="354"/>
        <w:jc w:val="both"/>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19.2.2</w:t>
      </w:r>
      <w:r>
        <w:rPr>
          <w:rFonts w:hint="eastAsia" w:ascii="微软雅黑" w:hAnsi="微软雅黑" w:eastAsia="微软雅黑" w:cs="微软雅黑"/>
          <w:b/>
          <w:bCs/>
          <w:color w:val="auto"/>
          <w:highlight w:val="none"/>
        </w:rPr>
        <w:t>在本招标文件规定的查询时间之后，网站信息发生的任何变更均不再作为评标依据。供应商自行提供的与网站信息不一致的其他证明材料亦不作为资格审查依据。</w:t>
      </w:r>
    </w:p>
    <w:p w14:paraId="182BE7C6">
      <w:pPr>
        <w:pStyle w:val="29"/>
        <w:spacing w:line="436" w:lineRule="exact"/>
        <w:rPr>
          <w:rFonts w:hint="eastAsia" w:ascii="微软雅黑" w:hAnsi="微软雅黑" w:eastAsia="微软雅黑" w:cs="微软雅黑"/>
          <w:b/>
          <w:bCs/>
          <w:color w:val="auto"/>
          <w:highlight w:val="none"/>
          <w:u w:val="single"/>
        </w:rPr>
      </w:pPr>
      <w:bookmarkStart w:id="1006" w:name="_Toc5798"/>
      <w:r>
        <w:rPr>
          <w:rFonts w:hint="eastAsia" w:ascii="微软雅黑" w:hAnsi="微软雅黑" w:eastAsia="微软雅黑" w:cs="微软雅黑"/>
          <w:color w:val="auto"/>
          <w:sz w:val="24"/>
          <w:highlight w:val="none"/>
        </w:rPr>
        <w:t>19.3</w:t>
      </w:r>
      <w:bookmarkStart w:id="1007" w:name="_Toc520356166"/>
      <w:r>
        <w:rPr>
          <w:rFonts w:hint="eastAsia" w:ascii="微软雅黑" w:hAnsi="微软雅黑" w:eastAsia="微软雅黑" w:cs="微软雅黑"/>
          <w:color w:val="auto"/>
          <w:sz w:val="24"/>
          <w:highlight w:val="none"/>
        </w:rPr>
        <w:t>按照《中华人民共和国政府采购法》、《中华人民共和国政府采购法实施条例》、《政府采购货物和服务招标投标管理办法》财政部令第87号及本项目本级和上级财政部门的有关规定，</w:t>
      </w:r>
      <w:bookmarkEnd w:id="1006"/>
      <w:bookmarkStart w:id="1008" w:name="_Toc18925"/>
      <w:bookmarkStart w:id="1009" w:name="_Toc22736"/>
      <w:bookmarkStart w:id="1010" w:name="_Toc19094"/>
      <w:bookmarkStart w:id="1011" w:name="_Toc28289"/>
      <w:bookmarkStart w:id="1012" w:name="_Toc24623"/>
      <w:bookmarkStart w:id="1013" w:name="_Toc16128"/>
      <w:bookmarkStart w:id="1014" w:name="_Toc10822"/>
      <w:bookmarkStart w:id="1015" w:name="_Toc18587"/>
      <w:bookmarkStart w:id="1016" w:name="_Toc15121"/>
      <w:bookmarkStart w:id="1017" w:name="_Toc7480"/>
      <w:bookmarkStart w:id="1018" w:name="_Toc13448"/>
      <w:bookmarkStart w:id="1019" w:name="_Toc19949"/>
      <w:bookmarkStart w:id="1020" w:name="_Toc21920"/>
      <w:bookmarkStart w:id="1021" w:name="_Toc32378"/>
      <w:bookmarkStart w:id="1022" w:name="_Toc6508"/>
      <w:bookmarkStart w:id="1023" w:name="_Toc22522"/>
      <w:bookmarkStart w:id="1024" w:name="_Toc28479"/>
      <w:bookmarkStart w:id="1025" w:name="_Toc25229"/>
      <w:bookmarkStart w:id="1026" w:name="_Toc515647781"/>
      <w:bookmarkStart w:id="1027" w:name="_Toc14028"/>
      <w:bookmarkStart w:id="1028" w:name="_Toc3936"/>
      <w:bookmarkStart w:id="1029" w:name="_Toc4062"/>
      <w:bookmarkStart w:id="1030" w:name="_Toc22070"/>
      <w:bookmarkStart w:id="1031" w:name="_Toc13415"/>
      <w:bookmarkStart w:id="1032" w:name="_Toc8432"/>
      <w:bookmarkStart w:id="1033" w:name="_Toc31534"/>
      <w:bookmarkStart w:id="1034" w:name="_Toc22672"/>
      <w:bookmarkStart w:id="1035" w:name="_Toc22021"/>
      <w:bookmarkStart w:id="1036" w:name="_Toc14294"/>
      <w:bookmarkStart w:id="1037" w:name="_Toc14377"/>
      <w:bookmarkStart w:id="1038" w:name="_Toc4413"/>
      <w:bookmarkStart w:id="1039" w:name="_Toc11478"/>
      <w:bookmarkStart w:id="1040" w:name="_Toc21876"/>
      <w:bookmarkStart w:id="1041" w:name="_Toc7309"/>
      <w:bookmarkStart w:id="1042" w:name="_Toc5870"/>
      <w:bookmarkStart w:id="1043" w:name="_Toc827"/>
      <w:bookmarkStart w:id="1044" w:name="_Toc13892"/>
      <w:bookmarkStart w:id="1045" w:name="_Toc30927"/>
      <w:bookmarkStart w:id="1046" w:name="_Toc28827"/>
      <w:bookmarkStart w:id="1047" w:name="_Toc2391"/>
      <w:bookmarkStart w:id="1048" w:name="_Toc2089"/>
      <w:bookmarkStart w:id="1049" w:name="_Toc6025"/>
      <w:r>
        <w:rPr>
          <w:rFonts w:hint="eastAsia" w:ascii="微软雅黑" w:hAnsi="微软雅黑" w:eastAsia="微软雅黑" w:cs="微软雅黑"/>
          <w:b/>
          <w:bCs/>
          <w:color w:val="auto"/>
          <w:sz w:val="24"/>
          <w:highlight w:val="none"/>
          <w:u w:val="single"/>
        </w:rPr>
        <w:t>在政采云平台上随机抽取4名相关专业专家、采购单位出1名业主专家，共计5名评标委员会成员，负责评标工作。</w:t>
      </w:r>
    </w:p>
    <w:p w14:paraId="79B8D0CB">
      <w:pPr>
        <w:pStyle w:val="4"/>
        <w:spacing w:before="0" w:after="0" w:line="360" w:lineRule="exact"/>
        <w:rPr>
          <w:rFonts w:hint="eastAsia" w:ascii="微软雅黑" w:hAnsi="微软雅黑" w:eastAsia="微软雅黑" w:cs="微软雅黑"/>
          <w:bCs/>
          <w:color w:val="auto"/>
          <w:highlight w:val="none"/>
          <w:bdr w:val="single" w:color="auto" w:sz="4" w:space="0"/>
        </w:rPr>
      </w:pPr>
      <w:bookmarkStart w:id="1050" w:name="_Toc7673"/>
      <w:bookmarkStart w:id="1051" w:name="_Toc25484"/>
      <w:bookmarkStart w:id="1052" w:name="_Toc23591"/>
      <w:bookmarkStart w:id="1053" w:name="_Toc8177"/>
      <w:bookmarkStart w:id="1054" w:name="_Toc15697"/>
      <w:bookmarkStart w:id="1055" w:name="_Toc32084"/>
      <w:bookmarkStart w:id="1056" w:name="_Toc25955"/>
      <w:bookmarkStart w:id="1057" w:name="_Toc15392"/>
      <w:bookmarkStart w:id="1058" w:name="_Toc21601"/>
      <w:r>
        <w:rPr>
          <w:rFonts w:hint="eastAsia" w:ascii="微软雅黑" w:hAnsi="微软雅黑" w:eastAsia="微软雅黑" w:cs="微软雅黑"/>
          <w:b/>
          <w:bCs/>
          <w:color w:val="auto"/>
          <w:highlight w:val="none"/>
          <w:u w:val="none"/>
        </w:rPr>
        <w:t>20.投标文件</w:t>
      </w:r>
      <w:bookmarkEnd w:id="1007"/>
      <w:r>
        <w:rPr>
          <w:rFonts w:hint="eastAsia" w:ascii="微软雅黑" w:hAnsi="微软雅黑" w:eastAsia="微软雅黑" w:cs="微软雅黑"/>
          <w:b/>
          <w:bCs/>
          <w:color w:val="auto"/>
          <w:highlight w:val="none"/>
          <w:u w:val="none"/>
        </w:rPr>
        <w:t>符合性审查与澄清</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D75422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20.1符合性审查是指依据招标文件的规定，从投标文件的有效性和完整性对招标文件的响应程度进行审查，以确定是否对招标文件的实质性要求做出响应。</w:t>
      </w:r>
      <w:bookmarkStart w:id="1059" w:name="_Hlt522424701"/>
      <w:bookmarkEnd w:id="1059"/>
      <w:bookmarkStart w:id="1060" w:name="_Toc520356167"/>
    </w:p>
    <w:p w14:paraId="50B677D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14:paraId="312FAFF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14:paraId="20DAB3F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20.2.2供应商的的澄清、说明或补正将作为投标文件的一部分。</w:t>
      </w:r>
    </w:p>
    <w:p w14:paraId="6CA0F6E5">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20.3投标文件报价出现前后不一致的，按照下列规定修正：</w:t>
      </w:r>
    </w:p>
    <w:p w14:paraId="39B35ABD">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14:paraId="614FDB3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w:t>
      </w:r>
      <w:r>
        <w:rPr>
          <w:rFonts w:hint="eastAsia" w:ascii="微软雅黑" w:hAnsi="微软雅黑" w:eastAsia="微软雅黑" w:cs="微软雅黑"/>
          <w:b/>
          <w:bCs/>
          <w:color w:val="auto"/>
          <w:sz w:val="24"/>
          <w:highlight w:val="none"/>
        </w:rPr>
        <w:t>以大写金额为准</w:t>
      </w:r>
      <w:r>
        <w:rPr>
          <w:rFonts w:hint="eastAsia" w:ascii="微软雅黑" w:hAnsi="微软雅黑" w:eastAsia="微软雅黑" w:cs="微软雅黑"/>
          <w:color w:val="auto"/>
          <w:sz w:val="24"/>
          <w:highlight w:val="none"/>
        </w:rPr>
        <w:t>；</w:t>
      </w:r>
    </w:p>
    <w:p w14:paraId="58597C36">
      <w:pPr>
        <w:spacing w:line="360" w:lineRule="exact"/>
        <w:ind w:left="1020" w:hanging="1020" w:hangingChars="4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14:paraId="5AFFA74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14:paraId="21F05D3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703D02D2">
      <w:pPr>
        <w:spacing w:line="360" w:lineRule="exact"/>
        <w:ind w:firstLine="120" w:firstLineChars="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14:paraId="5625E9A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20.4如一个</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内只有一种产品，不同供应商所投产品为同一品牌的，按如下方式处理：</w:t>
      </w:r>
    </w:p>
    <w:p w14:paraId="042BD84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4BA6186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3CBE0DD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20.5供应商所投产品如被列入财政部与国家主管部门颁发的节能产品目录或环境标志产品目录或无线局域网产品目录，应提供相关证明，在评标时予以优先采购，具体优先采购办法见第六章评标方法和标准。</w:t>
      </w:r>
    </w:p>
    <w:p w14:paraId="1F7E200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14:paraId="1053DB75">
      <w:pPr>
        <w:pStyle w:val="4"/>
        <w:spacing w:before="0" w:after="0" w:line="360" w:lineRule="exact"/>
        <w:rPr>
          <w:rFonts w:hint="eastAsia" w:ascii="微软雅黑" w:hAnsi="微软雅黑" w:eastAsia="微软雅黑" w:cs="微软雅黑"/>
          <w:color w:val="auto"/>
          <w:highlight w:val="none"/>
          <w:u w:val="none"/>
        </w:rPr>
      </w:pPr>
      <w:bookmarkStart w:id="1061" w:name="_Toc7973"/>
      <w:bookmarkStart w:id="1062" w:name="_Toc20614"/>
      <w:bookmarkStart w:id="1063" w:name="_Toc19042"/>
      <w:bookmarkStart w:id="1064" w:name="_Toc27379"/>
      <w:bookmarkStart w:id="1065" w:name="_Toc18062"/>
      <w:bookmarkStart w:id="1066" w:name="_Toc30534"/>
      <w:bookmarkStart w:id="1067" w:name="_Toc630"/>
      <w:bookmarkStart w:id="1068" w:name="_Toc1435"/>
      <w:bookmarkStart w:id="1069" w:name="_Toc18287"/>
      <w:bookmarkStart w:id="1070" w:name="_Toc11608"/>
      <w:bookmarkStart w:id="1071" w:name="_Toc16070"/>
      <w:bookmarkStart w:id="1072" w:name="_Toc1633"/>
      <w:bookmarkStart w:id="1073" w:name="_Toc6538"/>
      <w:bookmarkStart w:id="1074" w:name="_Toc9469"/>
      <w:bookmarkStart w:id="1075" w:name="_Toc21138"/>
      <w:bookmarkStart w:id="1076" w:name="_Toc22"/>
      <w:bookmarkStart w:id="1077" w:name="_Toc31544"/>
      <w:bookmarkStart w:id="1078" w:name="_Toc15723"/>
      <w:bookmarkStart w:id="1079" w:name="_Toc1129"/>
      <w:bookmarkStart w:id="1080" w:name="_Toc20126"/>
      <w:bookmarkStart w:id="1081" w:name="_Toc3632"/>
      <w:bookmarkStart w:id="1082" w:name="_Toc31408"/>
      <w:bookmarkStart w:id="1083" w:name="_Toc246"/>
      <w:bookmarkStart w:id="1084" w:name="_Toc26259"/>
      <w:bookmarkStart w:id="1085" w:name="_Toc4417"/>
      <w:bookmarkStart w:id="1086" w:name="_Toc17490"/>
      <w:bookmarkStart w:id="1087" w:name="_Toc21482"/>
      <w:bookmarkStart w:id="1088" w:name="_Toc9827"/>
      <w:bookmarkStart w:id="1089" w:name="_Toc6784"/>
      <w:bookmarkStart w:id="1090" w:name="_Toc18830"/>
      <w:bookmarkStart w:id="1091" w:name="_Toc20960"/>
      <w:bookmarkStart w:id="1092" w:name="_Toc14523"/>
      <w:bookmarkStart w:id="1093" w:name="_Toc5925"/>
      <w:bookmarkStart w:id="1094" w:name="_Toc515647782"/>
      <w:bookmarkStart w:id="1095" w:name="_Toc10750"/>
      <w:bookmarkStart w:id="1096" w:name="_Toc6364"/>
      <w:bookmarkStart w:id="1097" w:name="_Toc26295"/>
      <w:bookmarkStart w:id="1098" w:name="_Toc22051"/>
      <w:bookmarkStart w:id="1099" w:name="_Toc22089"/>
      <w:bookmarkStart w:id="1100" w:name="_Toc25730"/>
      <w:bookmarkStart w:id="1101" w:name="_Toc29292"/>
      <w:bookmarkStart w:id="1102" w:name="_Toc10143"/>
      <w:bookmarkStart w:id="1103" w:name="_Toc20071"/>
      <w:bookmarkStart w:id="1104" w:name="_Toc16890"/>
      <w:bookmarkStart w:id="1105" w:name="_Toc27551"/>
      <w:bookmarkStart w:id="1106" w:name="_Toc21467"/>
      <w:bookmarkStart w:id="1107" w:name="_Toc23287"/>
      <w:bookmarkStart w:id="1108" w:name="_Toc10306"/>
      <w:bookmarkStart w:id="1109" w:name="_Toc12161"/>
      <w:bookmarkStart w:id="1110" w:name="_Toc23908"/>
      <w:bookmarkStart w:id="1111" w:name="_Toc13143"/>
      <w:r>
        <w:rPr>
          <w:rFonts w:hint="eastAsia" w:ascii="微软雅黑" w:hAnsi="微软雅黑" w:eastAsia="微软雅黑" w:cs="微软雅黑"/>
          <w:b/>
          <w:bCs/>
          <w:color w:val="auto"/>
          <w:highlight w:val="none"/>
          <w:u w:val="none"/>
        </w:rPr>
        <w:t>21.投标偏离</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2670AA74">
      <w:pPr>
        <w:spacing w:line="360" w:lineRule="exact"/>
        <w:ind w:left="641" w:hanging="640" w:hangingChars="26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评标委员会可以接受投标文件中不构成实质性偏离的不正规或不一致。</w:t>
      </w:r>
      <w:bookmarkStart w:id="1112" w:name="_Toc515647783"/>
      <w:bookmarkStart w:id="1113" w:name="_Toc4950"/>
      <w:bookmarkStart w:id="1114" w:name="_Toc6092"/>
      <w:r>
        <w:rPr>
          <w:rFonts w:hint="eastAsia" w:ascii="微软雅黑" w:hAnsi="微软雅黑" w:eastAsia="微软雅黑" w:cs="微软雅黑"/>
          <w:color w:val="auto"/>
          <w:sz w:val="24"/>
          <w:highlight w:val="none"/>
        </w:rPr>
        <w:t>本项目技术参数接受偏离，投标供应商提供的技术参数中出现负偏离，负偏离扣分。</w:t>
      </w:r>
    </w:p>
    <w:p w14:paraId="5197A999">
      <w:pPr>
        <w:pStyle w:val="4"/>
        <w:spacing w:before="0" w:after="0" w:line="360" w:lineRule="exact"/>
        <w:rPr>
          <w:rFonts w:hint="eastAsia" w:ascii="微软雅黑" w:hAnsi="微软雅黑" w:eastAsia="微软雅黑" w:cs="微软雅黑"/>
          <w:b/>
          <w:bCs/>
          <w:color w:val="auto"/>
          <w:highlight w:val="none"/>
          <w:u w:val="none"/>
        </w:rPr>
      </w:pPr>
      <w:bookmarkStart w:id="1115" w:name="_Toc27324"/>
      <w:bookmarkStart w:id="1116" w:name="_Toc3435"/>
      <w:bookmarkStart w:id="1117" w:name="_Toc3157"/>
      <w:bookmarkStart w:id="1118" w:name="_Toc18644"/>
      <w:bookmarkStart w:id="1119" w:name="_Toc1222"/>
      <w:bookmarkStart w:id="1120" w:name="_Toc17009"/>
      <w:bookmarkStart w:id="1121" w:name="_Toc23335"/>
      <w:bookmarkStart w:id="1122" w:name="_Toc32484"/>
      <w:bookmarkStart w:id="1123" w:name="_Toc32540"/>
      <w:bookmarkStart w:id="1124" w:name="_Toc8274"/>
      <w:bookmarkStart w:id="1125" w:name="_Toc24193"/>
      <w:bookmarkStart w:id="1126" w:name="_Toc10553"/>
      <w:bookmarkStart w:id="1127" w:name="_Toc9757"/>
      <w:bookmarkStart w:id="1128" w:name="_Toc31416"/>
      <w:bookmarkStart w:id="1129" w:name="_Toc4727"/>
      <w:bookmarkStart w:id="1130" w:name="_Toc7510"/>
      <w:bookmarkStart w:id="1131" w:name="_Toc31280"/>
      <w:bookmarkStart w:id="1132" w:name="_Toc1257"/>
      <w:bookmarkStart w:id="1133" w:name="_Toc20572"/>
      <w:bookmarkStart w:id="1134" w:name="_Toc12294"/>
      <w:bookmarkStart w:id="1135" w:name="_Toc10411"/>
      <w:bookmarkStart w:id="1136" w:name="_Toc8973"/>
      <w:bookmarkStart w:id="1137" w:name="_Toc12995"/>
      <w:bookmarkStart w:id="1138" w:name="_Toc2314"/>
      <w:bookmarkStart w:id="1139" w:name="_Toc665"/>
      <w:bookmarkStart w:id="1140" w:name="_Toc3117"/>
      <w:bookmarkStart w:id="1141" w:name="_Toc26299"/>
      <w:bookmarkStart w:id="1142" w:name="_Toc3449"/>
      <w:bookmarkStart w:id="1143" w:name="_Toc11798"/>
      <w:bookmarkStart w:id="1144" w:name="_Toc8254"/>
      <w:bookmarkStart w:id="1145" w:name="_Toc4903"/>
      <w:bookmarkStart w:id="1146" w:name="_Toc2115"/>
      <w:bookmarkStart w:id="1147" w:name="_Toc31154"/>
      <w:bookmarkStart w:id="1148" w:name="_Toc31472"/>
      <w:bookmarkStart w:id="1149" w:name="_Toc18301"/>
      <w:bookmarkStart w:id="1150" w:name="_Toc8481"/>
      <w:bookmarkStart w:id="1151" w:name="_Toc3138"/>
      <w:bookmarkStart w:id="1152" w:name="_Toc6899"/>
      <w:bookmarkStart w:id="1153" w:name="_Toc20797"/>
      <w:bookmarkStart w:id="1154" w:name="_Toc3754"/>
      <w:bookmarkStart w:id="1155" w:name="_Toc6693"/>
      <w:bookmarkStart w:id="1156" w:name="_Toc28742"/>
      <w:bookmarkStart w:id="1157" w:name="_Toc6361"/>
      <w:bookmarkStart w:id="1158" w:name="_Toc31447"/>
      <w:bookmarkStart w:id="1159" w:name="_Toc21883"/>
      <w:bookmarkStart w:id="1160" w:name="_Toc18096"/>
      <w:bookmarkStart w:id="1161" w:name="_Toc1015"/>
      <w:bookmarkStart w:id="1162" w:name="_Toc550"/>
      <w:r>
        <w:rPr>
          <w:rFonts w:hint="eastAsia" w:ascii="微软雅黑" w:hAnsi="微软雅黑" w:eastAsia="微软雅黑" w:cs="微软雅黑"/>
          <w:b/>
          <w:bCs/>
          <w:color w:val="auto"/>
          <w:highlight w:val="none"/>
          <w:u w:val="none"/>
        </w:rPr>
        <w:t>22.投标</w:t>
      </w:r>
      <w:bookmarkEnd w:id="1112"/>
      <w:r>
        <w:rPr>
          <w:rFonts w:hint="eastAsia" w:ascii="微软雅黑" w:hAnsi="微软雅黑" w:eastAsia="微软雅黑" w:cs="微软雅黑"/>
          <w:b/>
          <w:bCs/>
          <w:color w:val="auto"/>
          <w:highlight w:val="none"/>
          <w:u w:val="none"/>
        </w:rPr>
        <w:t>无效</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49F27FD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22.1评标委员会决定投标的响应性只根据招标文件要求、投标文件内容及财政主管部门指定相关信息发布媒体。</w:t>
      </w:r>
    </w:p>
    <w:p w14:paraId="6DFAE44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14:paraId="19FC1558">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（1）未按招标文件规定的形式和金额提交投标保证金的；</w:t>
      </w:r>
    </w:p>
    <w:p w14:paraId="462BA007">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（2）未按照招标文件规定要求签署、盖章的；</w:t>
      </w:r>
    </w:p>
    <w:p w14:paraId="3C691910">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（3）与其他供应商串通投标，或者与采购人串通投标；</w:t>
      </w:r>
    </w:p>
    <w:p w14:paraId="5132B4DB">
      <w:pPr>
        <w:spacing w:line="360" w:lineRule="exact"/>
        <w:ind w:left="-181"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rPr>
        <w:t>）属于招标文件规定的其他投标无效情形；</w:t>
      </w:r>
    </w:p>
    <w:p w14:paraId="1331808C">
      <w:pPr>
        <w:spacing w:line="360" w:lineRule="exact"/>
        <w:ind w:left="538" w:leftChars="256"/>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）评标委员会认为供应商的报价明显低于其他通过符合性检查供应商的报价，有可能影响履约的，且供应商未按照规定证明其报价合理性的；</w:t>
      </w:r>
    </w:p>
    <w:p w14:paraId="074A5EA1">
      <w:pPr>
        <w:tabs>
          <w:tab w:val="left" w:pos="0"/>
        </w:tabs>
        <w:spacing w:line="360" w:lineRule="exact"/>
        <w:ind w:left="-180" w:firstLine="720" w:firstLineChars="30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rPr>
        <w:t>）投标文件含有采购人不能接受的附加条件的。</w:t>
      </w:r>
    </w:p>
    <w:p w14:paraId="5917BA4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22.3有下列情形之一的，属于恶意串通，对供应商依照政府采购法第七十七条第一款的规定追究法律责任，对采购人、采购代理机构及其工作人员依照政府采购法第七十二条的规定追究法律责任：</w:t>
      </w:r>
    </w:p>
    <w:p w14:paraId="36806D5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（1）供应商直接或者间接从采购人或者采购代理机构处获得其他供应商的相关情况并修改其投标文件或者响应文件；</w:t>
      </w:r>
    </w:p>
    <w:p w14:paraId="272A9A4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（2）供应商按照采购人或者采购代理机构的授意撤换、修改投标文件或者响应文件；</w:t>
      </w:r>
    </w:p>
    <w:p w14:paraId="770B57A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（3）供应商之间协商报价、技术方案等投标文件或者响应文件的实质性内容；</w:t>
      </w:r>
    </w:p>
    <w:p w14:paraId="03B557CA">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（4）属于同一集团、协会、商会等组织成员的供应商按照该组织要求协同参加政府采购活动；</w:t>
      </w:r>
    </w:p>
    <w:p w14:paraId="22A6856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（5）供应商之间事先约定由某一特定供应商中标、成交；</w:t>
      </w:r>
    </w:p>
    <w:p w14:paraId="3AC2406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（6）供应商之间商定部分供应商放弃参加政府采购活动或者放弃中标、成交；</w:t>
      </w:r>
    </w:p>
    <w:p w14:paraId="29E08B1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（7）供应商与采购人或者采购代理机构之间、供应商相互之间，为谋求特定供应商中标、成交或者排斥其他供应商的其他串通行为。</w:t>
      </w:r>
    </w:p>
    <w:p w14:paraId="1023346C">
      <w:pPr>
        <w:pStyle w:val="4"/>
        <w:spacing w:before="0" w:after="0" w:line="360" w:lineRule="exact"/>
        <w:rPr>
          <w:rFonts w:hint="eastAsia" w:ascii="微软雅黑" w:hAnsi="微软雅黑" w:eastAsia="微软雅黑" w:cs="微软雅黑"/>
          <w:color w:val="auto"/>
          <w:highlight w:val="none"/>
          <w:u w:val="none"/>
        </w:rPr>
      </w:pPr>
      <w:bookmarkStart w:id="1163" w:name="_Toc30088"/>
      <w:bookmarkStart w:id="1164" w:name="_Toc26479"/>
      <w:bookmarkStart w:id="1165" w:name="_Toc11595"/>
      <w:bookmarkStart w:id="1166" w:name="_Toc21752"/>
      <w:bookmarkStart w:id="1167" w:name="_Toc13922"/>
      <w:bookmarkStart w:id="1168" w:name="_Toc25837"/>
      <w:bookmarkStart w:id="1169" w:name="_Toc30275"/>
      <w:bookmarkStart w:id="1170" w:name="_Toc9523"/>
      <w:bookmarkStart w:id="1171" w:name="_Toc13566"/>
      <w:bookmarkStart w:id="1172" w:name="_Toc7422"/>
      <w:bookmarkStart w:id="1173" w:name="_Toc8538"/>
      <w:bookmarkStart w:id="1174" w:name="_Toc980"/>
      <w:bookmarkStart w:id="1175" w:name="_Toc19114"/>
      <w:bookmarkStart w:id="1176" w:name="_Toc1180"/>
      <w:bookmarkStart w:id="1177" w:name="_Toc3244"/>
      <w:bookmarkStart w:id="1178" w:name="_Toc18725"/>
      <w:bookmarkStart w:id="1179" w:name="_Toc19633"/>
      <w:bookmarkStart w:id="1180" w:name="_Toc21936"/>
      <w:bookmarkStart w:id="1181" w:name="_Toc14093"/>
      <w:bookmarkStart w:id="1182" w:name="_Toc21808"/>
      <w:bookmarkStart w:id="1183" w:name="_Toc2186"/>
      <w:bookmarkStart w:id="1184" w:name="_Toc14425"/>
      <w:bookmarkStart w:id="1185" w:name="_Toc32063"/>
      <w:bookmarkStart w:id="1186" w:name="_Toc6292"/>
      <w:bookmarkStart w:id="1187" w:name="_Toc22941"/>
      <w:bookmarkStart w:id="1188" w:name="_Toc4328"/>
      <w:bookmarkStart w:id="1189" w:name="_Toc3877"/>
      <w:bookmarkStart w:id="1190" w:name="_Toc20498"/>
      <w:bookmarkStart w:id="1191" w:name="_Toc24896"/>
      <w:bookmarkStart w:id="1192" w:name="_Toc13652"/>
      <w:bookmarkStart w:id="1193" w:name="_Toc19414"/>
      <w:bookmarkStart w:id="1194" w:name="_Toc515647784"/>
      <w:bookmarkStart w:id="1195" w:name="_Toc20639"/>
      <w:bookmarkStart w:id="1196" w:name="_Toc16915"/>
      <w:bookmarkStart w:id="1197" w:name="_Toc22981"/>
      <w:bookmarkStart w:id="1198" w:name="_Toc17418"/>
      <w:bookmarkStart w:id="1199" w:name="_Toc29692"/>
      <w:bookmarkStart w:id="1200" w:name="_Toc25261"/>
      <w:bookmarkStart w:id="1201" w:name="_Toc24694"/>
      <w:bookmarkStart w:id="1202" w:name="_Toc31210"/>
      <w:bookmarkStart w:id="1203" w:name="_Toc22656"/>
      <w:bookmarkStart w:id="1204" w:name="_Toc22160"/>
      <w:bookmarkStart w:id="1205" w:name="_Toc24527"/>
      <w:bookmarkStart w:id="1206" w:name="_Toc19388"/>
      <w:bookmarkStart w:id="1207" w:name="_Toc18681"/>
      <w:bookmarkStart w:id="1208" w:name="_Toc2833"/>
      <w:bookmarkStart w:id="1209" w:name="_Toc13747"/>
      <w:bookmarkStart w:id="1210" w:name="_Toc18115"/>
      <w:r>
        <w:rPr>
          <w:rFonts w:hint="eastAsia" w:ascii="微软雅黑" w:hAnsi="微软雅黑" w:eastAsia="微软雅黑" w:cs="微软雅黑"/>
          <w:b/>
          <w:bCs/>
          <w:color w:val="auto"/>
          <w:highlight w:val="none"/>
          <w:u w:val="none"/>
        </w:rPr>
        <w:t>23.</w:t>
      </w:r>
      <w:bookmarkEnd w:id="1060"/>
      <w:r>
        <w:rPr>
          <w:rFonts w:hint="eastAsia" w:ascii="微软雅黑" w:hAnsi="微软雅黑" w:eastAsia="微软雅黑" w:cs="微软雅黑"/>
          <w:b/>
          <w:bCs/>
          <w:color w:val="auto"/>
          <w:highlight w:val="none"/>
          <w:u w:val="none"/>
        </w:rPr>
        <w:t>比较与评价</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4E4186A4">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经符合性审查合格的投标文件，评标委员会将根据招标文件确定的评标方法和标准，对其技术部分和商务部分作进一步的比较和评价。</w:t>
      </w:r>
    </w:p>
    <w:p w14:paraId="1ACE9773">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中规定采用下列一种评标方法，详细评标标准见招标文件第六章：</w:t>
      </w:r>
    </w:p>
    <w:p w14:paraId="7405AA8A">
      <w:pPr>
        <w:pStyle w:val="17"/>
        <w:spacing w:line="360" w:lineRule="exact"/>
        <w:ind w:left="239" w:leftChars="114" w:firstLine="31" w:firstLineChars="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（1）最低评标价法，是指投标文件满足招标文件全部实质性要求，且投标报价最低的供应商为中标候选人的评标方法。</w:t>
      </w:r>
    </w:p>
    <w:p w14:paraId="48722C2A">
      <w:pPr>
        <w:pStyle w:val="17"/>
        <w:spacing w:line="360" w:lineRule="exact"/>
        <w:ind w:left="239" w:leftChars="114" w:firstLine="33" w:firstLineChars="14"/>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（2）综合评分法，是指投标文件满足招标文件全部实质性要求，且按照评审因素的量化指标评审得分最高的供应商为中标候选人的评标方法。</w:t>
      </w:r>
    </w:p>
    <w:p w14:paraId="5F177C80">
      <w:pPr>
        <w:pStyle w:val="17"/>
        <w:spacing w:line="360" w:lineRule="exact"/>
        <w:ind w:left="239" w:leftChars="114" w:firstLine="34" w:firstLineChars="14"/>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本项目采用综合评分法。</w:t>
      </w:r>
    </w:p>
    <w:p w14:paraId="1081154F">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zh-CN"/>
        </w:rPr>
      </w:pPr>
      <w:bookmarkStart w:id="1211" w:name="_Toc520356168"/>
      <w:bookmarkStart w:id="1212" w:name="_Toc26907"/>
      <w:bookmarkStart w:id="1213" w:name="_Toc14346"/>
      <w:bookmarkStart w:id="1214" w:name="_Toc14038"/>
      <w:bookmarkStart w:id="1215" w:name="_Toc30004"/>
      <w:bookmarkStart w:id="1216" w:name="_Toc8976"/>
      <w:bookmarkStart w:id="1217" w:name="_Toc883"/>
      <w:bookmarkStart w:id="1218" w:name="_Toc515647785"/>
      <w:bookmarkStart w:id="1219" w:name="_Toc3866"/>
      <w:bookmarkStart w:id="1220" w:name="_Toc27623"/>
      <w:bookmarkStart w:id="1221" w:name="_Toc31084"/>
      <w:bookmarkStart w:id="1222" w:name="_Toc7858"/>
      <w:bookmarkStart w:id="1223" w:name="_Toc23302"/>
      <w:bookmarkStart w:id="1224" w:name="_Toc20564"/>
      <w:bookmarkStart w:id="1225" w:name="_Toc29850"/>
      <w:bookmarkStart w:id="1226" w:name="_Toc17001"/>
      <w:bookmarkStart w:id="1227" w:name="_Toc25314"/>
      <w:bookmarkStart w:id="1228" w:name="_Toc6751"/>
      <w:bookmarkStart w:id="1229" w:name="_Toc9378"/>
      <w:bookmarkStart w:id="1230" w:name="_Toc30611"/>
      <w:bookmarkStart w:id="1231" w:name="_Toc27891"/>
      <w:bookmarkStart w:id="1232" w:name="_Toc26540"/>
      <w:bookmarkStart w:id="1233" w:name="_Toc15572"/>
      <w:bookmarkStart w:id="1234" w:name="_Toc20064"/>
      <w:bookmarkStart w:id="1235" w:name="_Toc29970"/>
      <w:bookmarkStart w:id="1236" w:name="_Toc8081"/>
      <w:bookmarkStart w:id="1237" w:name="_Toc29328"/>
      <w:bookmarkStart w:id="1238" w:name="_Toc26778"/>
      <w:bookmarkStart w:id="1239" w:name="_Toc21333"/>
      <w:bookmarkStart w:id="1240" w:name="_Toc6521"/>
      <w:bookmarkStart w:id="1241" w:name="_Toc19148"/>
      <w:bookmarkStart w:id="1242" w:name="_Toc20227"/>
      <w:bookmarkStart w:id="1243" w:name="_Toc6053"/>
      <w:bookmarkStart w:id="1244" w:name="_Toc13678"/>
      <w:bookmarkStart w:id="1245" w:name="_Toc28953"/>
      <w:bookmarkStart w:id="1246" w:name="_Toc30532"/>
      <w:bookmarkStart w:id="1247" w:name="_Toc27067"/>
      <w:bookmarkStart w:id="1248" w:name="_Toc26636"/>
      <w:bookmarkStart w:id="1249" w:name="_Toc5540"/>
      <w:bookmarkStart w:id="1250" w:name="_Toc1524"/>
      <w:bookmarkStart w:id="1251" w:name="_Toc31917"/>
      <w:bookmarkStart w:id="1252" w:name="_Toc20724"/>
      <w:bookmarkStart w:id="1253" w:name="_Toc12917"/>
      <w:bookmarkStart w:id="1254" w:name="_Toc9820"/>
      <w:bookmarkStart w:id="1255" w:name="_Toc15354"/>
      <w:bookmarkStart w:id="1256" w:name="_Toc22530"/>
      <w:bookmarkStart w:id="1257" w:name="_Toc19218"/>
      <w:bookmarkStart w:id="1258" w:name="_Toc24372"/>
      <w:bookmarkStart w:id="1259" w:name="_Toc7770"/>
      <w:r>
        <w:rPr>
          <w:rFonts w:hint="eastAsia" w:ascii="微软雅黑" w:hAnsi="微软雅黑" w:eastAsia="微软雅黑" w:cs="微软雅黑"/>
          <w:b/>
          <w:bCs/>
          <w:color w:val="auto"/>
          <w:sz w:val="24"/>
          <w:highlight w:val="none"/>
        </w:rPr>
        <w:t>23.3</w:t>
      </w:r>
      <w:r>
        <w:rPr>
          <w:rFonts w:hint="eastAsia" w:ascii="微软雅黑" w:hAnsi="微软雅黑" w:eastAsia="微软雅黑" w:cs="微软雅黑"/>
          <w:b/>
          <w:bCs/>
          <w:color w:val="auto"/>
          <w:sz w:val="24"/>
          <w:highlight w:val="none"/>
          <w:lang w:val="en-US" w:eastAsia="en-US"/>
        </w:rPr>
        <w:t>关于中小企业、残疾人福利性单位、JY企业扶持政策落实的规定：根据《政府采购促进中小企业发展管理办法》（财库[2020]46号）、《财政部司法部关于政府采购支持监狱企业发展有关问题的通知》（财库〔2014〕68号）、《三部门联合发布关于促进残疾人就业政府采购政策的通知》（财库〔2017〕141号）和《财政部关于进一步加大政府采购支持中小企业力度的通知》财库〔2022〕19号的规定</w:t>
      </w:r>
      <w:r>
        <w:rPr>
          <w:rFonts w:hint="eastAsia" w:ascii="微软雅黑" w:hAnsi="微软雅黑" w:eastAsia="微软雅黑" w:cs="微软雅黑"/>
          <w:b/>
          <w:bCs/>
          <w:color w:val="auto"/>
          <w:sz w:val="24"/>
          <w:highlight w:val="none"/>
          <w:lang w:val="en-US" w:eastAsia="zh-CN"/>
        </w:rPr>
        <w:t>：</w:t>
      </w:r>
    </w:p>
    <w:p w14:paraId="5233A016">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bCs/>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23.3.1</w:t>
      </w:r>
      <w:r>
        <w:rPr>
          <w:rFonts w:hint="eastAsia" w:ascii="微软雅黑" w:hAnsi="微软雅黑" w:eastAsia="微软雅黑" w:cs="微软雅黑"/>
          <w:b/>
          <w:bCs/>
          <w:color w:val="auto"/>
          <w:sz w:val="24"/>
          <w:highlight w:val="none"/>
          <w:lang w:val="en-US" w:eastAsia="en-US"/>
        </w:rPr>
        <w:t>小微企业报价的价格扣除</w:t>
      </w:r>
    </w:p>
    <w:p w14:paraId="6FFA6F70">
      <w:pPr>
        <w:keepNext w:val="0"/>
        <w:keepLines w:val="0"/>
        <w:pageBreakBefore w:val="0"/>
        <w:kinsoku/>
        <w:wordWrap w:val="0"/>
        <w:overflowPunct/>
        <w:topLinePunct w:val="0"/>
        <w:bidi w:val="0"/>
        <w:spacing w:line="360" w:lineRule="exact"/>
        <w:ind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val="en-US" w:eastAsia="en-US"/>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lang w:val="en-US" w:eastAsia="en-US"/>
        </w:rPr>
        <w:t>专门面向中小企业</w:t>
      </w:r>
      <w:r>
        <w:rPr>
          <w:rFonts w:hint="eastAsia" w:ascii="微软雅黑" w:hAnsi="微软雅黑" w:eastAsia="微软雅黑" w:cs="微软雅黑"/>
          <w:b w:val="0"/>
          <w:bCs w:val="0"/>
          <w:color w:val="auto"/>
          <w:sz w:val="24"/>
          <w:highlight w:val="none"/>
          <w:lang w:val="en-US" w:eastAsia="en-US"/>
        </w:rPr>
        <w:t>，面对小型、微型企业进行10%价格扣除。</w:t>
      </w:r>
      <w:r>
        <w:rPr>
          <w:rFonts w:hint="eastAsia" w:ascii="微软雅黑" w:hAnsi="微软雅黑" w:eastAsia="微软雅黑" w:cs="微软雅黑"/>
          <w:b w:val="0"/>
          <w:bCs w:val="0"/>
          <w:color w:val="auto"/>
          <w:sz w:val="24"/>
          <w:highlight w:val="none"/>
          <w:lang w:val="en-US" w:eastAsia="zh-CN"/>
        </w:rPr>
        <w:t>（2）供应商</w:t>
      </w:r>
      <w:r>
        <w:rPr>
          <w:rFonts w:hint="eastAsia" w:ascii="微软雅黑" w:hAnsi="微软雅黑" w:eastAsia="微软雅黑" w:cs="微软雅黑"/>
          <w:b w:val="0"/>
          <w:bCs w:val="0"/>
          <w:color w:val="auto"/>
          <w:sz w:val="24"/>
          <w:highlight w:val="none"/>
          <w:lang w:val="en-US" w:eastAsia="en-US"/>
        </w:rPr>
        <w:t>需按照采购文件的要求提供《中小企业声明函》，详见第二部分“</w:t>
      </w:r>
      <w:r>
        <w:rPr>
          <w:rFonts w:hint="eastAsia" w:ascii="微软雅黑" w:hAnsi="微软雅黑" w:eastAsia="微软雅黑" w:cs="微软雅黑"/>
          <w:b w:val="0"/>
          <w:bCs w:val="0"/>
          <w:color w:val="auto"/>
          <w:sz w:val="24"/>
          <w:szCs w:val="24"/>
          <w:highlight w:val="none"/>
        </w:rPr>
        <w:t>商务及技术文件</w:t>
      </w:r>
      <w:r>
        <w:rPr>
          <w:rFonts w:hint="eastAsia" w:ascii="微软雅黑" w:hAnsi="微软雅黑" w:eastAsia="微软雅黑" w:cs="微软雅黑"/>
          <w:b w:val="0"/>
          <w:bCs w:val="0"/>
          <w:color w:val="auto"/>
          <w:sz w:val="24"/>
          <w:highlight w:val="none"/>
          <w:lang w:val="en-US" w:eastAsia="en-US"/>
        </w:rPr>
        <w:t>”。</w:t>
      </w:r>
    </w:p>
    <w:p w14:paraId="253E146C">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val="en-US" w:eastAsia="zh-CN"/>
        </w:rPr>
        <w:t>23.3.2</w:t>
      </w:r>
      <w:r>
        <w:rPr>
          <w:rFonts w:hint="eastAsia" w:ascii="微软雅黑" w:hAnsi="微软雅黑" w:eastAsia="微软雅黑" w:cs="微软雅黑"/>
          <w:b w:val="0"/>
          <w:bCs w:val="0"/>
          <w:color w:val="auto"/>
          <w:sz w:val="24"/>
          <w:highlight w:val="none"/>
          <w:lang w:val="en-US" w:eastAsia="en-US"/>
        </w:rPr>
        <w:t>残疾人福利性单位报价的价格扣除</w:t>
      </w:r>
    </w:p>
    <w:p w14:paraId="11333312">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残疾人福利性单位视同小型、微型企业。（2）残疾人福利性单位需按照采购文件的要求提供《残疾人福利性单位声明函》。（3）残疾人福利性单位标准请参照《关于促进残疾人就业政府采购政策的通知》（财库〔2017〕141号）。</w:t>
      </w:r>
    </w:p>
    <w:p w14:paraId="685A84AA">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lang w:val="en-US" w:eastAsia="zh-CN"/>
        </w:rPr>
        <w:t>23.3.3</w:t>
      </w:r>
      <w:r>
        <w:rPr>
          <w:rFonts w:hint="eastAsia" w:ascii="微软雅黑" w:hAnsi="微软雅黑" w:eastAsia="微软雅黑" w:cs="微软雅黑"/>
          <w:b w:val="0"/>
          <w:bCs w:val="0"/>
          <w:color w:val="auto"/>
          <w:sz w:val="24"/>
          <w:highlight w:val="none"/>
          <w:lang w:val="en-US" w:eastAsia="en-US"/>
        </w:rPr>
        <w:t>JY和戒毒企业报价的价格扣除</w:t>
      </w:r>
    </w:p>
    <w:p w14:paraId="7486A521">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b w:val="0"/>
          <w:bCs w:val="0"/>
          <w:color w:val="auto"/>
          <w:sz w:val="24"/>
          <w:highlight w:val="none"/>
          <w:lang w:val="en-US" w:eastAsia="en-US"/>
        </w:rPr>
      </w:pP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val="en-US" w:eastAsia="en-US"/>
        </w:rPr>
        <w:t>本项目对JY和戒毒企业（简称JY企业）视同小型、微型企业。（2）JY企业参加政府采购活动时，需提供由省级以上JY管理局、戒毒管理局(含新疆生产建设兵团)出具的属于JY企业的证明文件。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val="en-US" w:eastAsia="zh-CN"/>
        </w:rPr>
        <w:t>供应商</w:t>
      </w:r>
      <w:r>
        <w:rPr>
          <w:rFonts w:hint="eastAsia" w:ascii="微软雅黑" w:hAnsi="微软雅黑" w:eastAsia="微软雅黑" w:cs="微软雅黑"/>
          <w:b w:val="0"/>
          <w:bCs w:val="0"/>
          <w:color w:val="auto"/>
          <w:sz w:val="24"/>
          <w:highlight w:val="none"/>
          <w:lang w:val="en-US" w:eastAsia="en-US"/>
        </w:rPr>
        <w:t>如不提供上述证明文件，价格将不做相应扣除。（3）JY企业标准请参照《关于政府采购支持JY企业发展有关问题的通知》（财库[2014]68号）。</w:t>
      </w:r>
    </w:p>
    <w:p w14:paraId="46BC6448">
      <w:pPr>
        <w:keepNext w:val="0"/>
        <w:keepLines w:val="0"/>
        <w:pageBreakBefore w:val="0"/>
        <w:kinsoku/>
        <w:wordWrap w:val="0"/>
        <w:overflowPunct/>
        <w:topLinePunct w:val="0"/>
        <w:bidi w:val="0"/>
        <w:spacing w:line="360" w:lineRule="exact"/>
        <w:ind w:left="0" w:leftChars="0" w:firstLine="480" w:firstLineChars="200"/>
        <w:rPr>
          <w:rFonts w:hint="eastAsia" w:ascii="微软雅黑" w:hAnsi="微软雅黑" w:eastAsia="微软雅黑" w:cs="微软雅黑"/>
          <w:color w:val="auto"/>
          <w:sz w:val="24"/>
          <w:highlight w:val="none"/>
          <w:lang w:val="en-US" w:eastAsia="en-US"/>
        </w:rPr>
      </w:pPr>
      <w:r>
        <w:rPr>
          <w:rFonts w:hint="eastAsia" w:ascii="微软雅黑" w:hAnsi="微软雅黑" w:eastAsia="微软雅黑" w:cs="微软雅黑"/>
          <w:b/>
          <w:bCs/>
          <w:color w:val="auto"/>
          <w:sz w:val="24"/>
          <w:highlight w:val="none"/>
          <w:lang w:val="en-US" w:eastAsia="zh-CN"/>
        </w:rPr>
        <w:t>23.3.4</w:t>
      </w:r>
      <w:r>
        <w:rPr>
          <w:rFonts w:hint="eastAsia" w:ascii="微软雅黑" w:hAnsi="微软雅黑" w:eastAsia="微软雅黑" w:cs="微软雅黑"/>
          <w:b/>
          <w:bCs/>
          <w:color w:val="auto"/>
          <w:sz w:val="24"/>
          <w:highlight w:val="none"/>
          <w:lang w:val="en-US" w:eastAsia="en-US"/>
        </w:rPr>
        <w:t>残疾人福利单位、JY企业属于小型、微型企业的，不重复享受政策</w:t>
      </w:r>
      <w:r>
        <w:rPr>
          <w:rFonts w:hint="eastAsia" w:ascii="微软雅黑" w:hAnsi="微软雅黑" w:eastAsia="微软雅黑" w:cs="微软雅黑"/>
          <w:color w:val="auto"/>
          <w:sz w:val="24"/>
          <w:highlight w:val="none"/>
          <w:lang w:val="en-US" w:eastAsia="en-US"/>
        </w:rPr>
        <w:t>。</w:t>
      </w:r>
    </w:p>
    <w:p w14:paraId="6665A192">
      <w:pPr>
        <w:pStyle w:val="4"/>
        <w:spacing w:before="0" w:after="0" w:line="340" w:lineRule="exact"/>
        <w:rPr>
          <w:rFonts w:hint="eastAsia" w:ascii="微软雅黑" w:hAnsi="微软雅黑" w:eastAsia="微软雅黑" w:cs="微软雅黑"/>
          <w:b/>
          <w:bCs/>
          <w:color w:val="auto"/>
          <w:highlight w:val="none"/>
          <w:u w:val="none"/>
        </w:rPr>
      </w:pPr>
      <w:bookmarkStart w:id="1260" w:name="_Toc18033"/>
      <w:bookmarkStart w:id="1261" w:name="_Toc9040"/>
      <w:bookmarkStart w:id="1262" w:name="_Toc17839"/>
      <w:r>
        <w:rPr>
          <w:rFonts w:hint="eastAsia" w:ascii="微软雅黑" w:hAnsi="微软雅黑" w:eastAsia="微软雅黑" w:cs="微软雅黑"/>
          <w:b/>
          <w:bCs/>
          <w:color w:val="auto"/>
          <w:highlight w:val="none"/>
          <w:u w:val="none"/>
        </w:rPr>
        <w:t>24</w:t>
      </w:r>
      <w:bookmarkEnd w:id="1211"/>
      <w:r>
        <w:rPr>
          <w:rFonts w:hint="eastAsia" w:ascii="微软雅黑" w:hAnsi="微软雅黑" w:eastAsia="微软雅黑" w:cs="微软雅黑"/>
          <w:b/>
          <w:bCs/>
          <w:color w:val="auto"/>
          <w:highlight w:val="none"/>
          <w:u w:val="none"/>
        </w:rPr>
        <w:t>.废标</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50DB7E9C">
      <w:pPr>
        <w:spacing w:line="340" w:lineRule="exact"/>
        <w:ind w:left="60" w:hanging="60" w:hangingChars="25"/>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24.1出现下列情形之一，将导致项目废标：</w:t>
      </w:r>
    </w:p>
    <w:p w14:paraId="48EC8641">
      <w:pPr>
        <w:spacing w:line="34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（1）符合专业条件的供应商或者对招标文件做实质性响应的供应商不足三家；</w:t>
      </w:r>
    </w:p>
    <w:p w14:paraId="0A7A7AD9">
      <w:pPr>
        <w:spacing w:line="340" w:lineRule="exact"/>
        <w:ind w:left="900" w:hanging="900" w:hangingChars="375"/>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14:paraId="36C1F235">
      <w:pPr>
        <w:spacing w:line="340" w:lineRule="exact"/>
        <w:ind w:firstLine="840" w:firstLineChars="35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（3）供应商的报价均超过了采购预算，采购人不能支付的；</w:t>
      </w:r>
    </w:p>
    <w:p w14:paraId="39A84673">
      <w:pPr>
        <w:spacing w:line="340" w:lineRule="exact"/>
        <w:ind w:firstLine="840" w:firstLineChars="35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（4）因重大变故，采购任务取消的。</w:t>
      </w:r>
    </w:p>
    <w:p w14:paraId="2CC20499">
      <w:pPr>
        <w:pStyle w:val="4"/>
        <w:spacing w:before="0" w:after="0" w:line="340" w:lineRule="exact"/>
        <w:rPr>
          <w:rFonts w:hint="eastAsia" w:ascii="微软雅黑" w:hAnsi="微软雅黑" w:eastAsia="微软雅黑" w:cs="微软雅黑"/>
          <w:color w:val="auto"/>
          <w:highlight w:val="none"/>
          <w:u w:val="none"/>
        </w:rPr>
      </w:pPr>
      <w:bookmarkStart w:id="1263" w:name="_Toc11987"/>
      <w:bookmarkStart w:id="1264" w:name="_Toc4770"/>
      <w:bookmarkStart w:id="1265" w:name="_Toc25009"/>
      <w:bookmarkStart w:id="1266" w:name="_Toc1717"/>
      <w:bookmarkStart w:id="1267" w:name="_Toc29790"/>
      <w:bookmarkStart w:id="1268" w:name="_Toc8355"/>
      <w:bookmarkStart w:id="1269" w:name="_Toc27055"/>
      <w:bookmarkStart w:id="1270" w:name="_Toc9864"/>
      <w:bookmarkStart w:id="1271" w:name="_Toc9649"/>
      <w:bookmarkStart w:id="1272" w:name="_Toc5343"/>
      <w:bookmarkStart w:id="1273" w:name="_Toc25702"/>
      <w:bookmarkStart w:id="1274" w:name="_Toc17173"/>
      <w:bookmarkStart w:id="1275" w:name="_Toc23725"/>
      <w:bookmarkStart w:id="1276" w:name="_Toc24099"/>
      <w:bookmarkStart w:id="1277" w:name="_Toc21697"/>
      <w:bookmarkStart w:id="1278" w:name="_Toc5328"/>
      <w:bookmarkStart w:id="1279" w:name="_Toc12532"/>
      <w:bookmarkStart w:id="1280" w:name="_Toc9791"/>
      <w:bookmarkStart w:id="1281" w:name="_Toc31289"/>
      <w:bookmarkStart w:id="1282" w:name="_Toc26896"/>
      <w:bookmarkStart w:id="1283" w:name="_Toc30848"/>
      <w:bookmarkStart w:id="1284" w:name="_Toc24516"/>
      <w:bookmarkStart w:id="1285" w:name="_Toc3916"/>
      <w:bookmarkStart w:id="1286" w:name="_Toc5674"/>
      <w:bookmarkStart w:id="1287" w:name="_Toc29646"/>
      <w:bookmarkStart w:id="1288" w:name="_Toc21754"/>
      <w:bookmarkStart w:id="1289" w:name="_Toc19139"/>
      <w:bookmarkStart w:id="1290" w:name="_Toc8212"/>
      <w:bookmarkStart w:id="1291" w:name="_Toc29604"/>
      <w:bookmarkStart w:id="1292" w:name="_Toc5599"/>
      <w:bookmarkStart w:id="1293" w:name="_Toc27604"/>
      <w:bookmarkStart w:id="1294" w:name="_Toc24296"/>
      <w:bookmarkStart w:id="1295" w:name="_Toc29743"/>
      <w:bookmarkStart w:id="1296" w:name="_Toc29424"/>
      <w:bookmarkStart w:id="1297" w:name="_Toc7307"/>
      <w:bookmarkStart w:id="1298" w:name="_Toc3793"/>
      <w:bookmarkStart w:id="1299" w:name="_Toc11422"/>
      <w:bookmarkStart w:id="1300" w:name="_Toc13480"/>
      <w:bookmarkStart w:id="1301" w:name="_Toc515647786"/>
      <w:bookmarkStart w:id="1302" w:name="_Toc29137"/>
      <w:bookmarkStart w:id="1303" w:name="_Toc8125"/>
      <w:bookmarkStart w:id="1304" w:name="_Toc12490"/>
      <w:bookmarkStart w:id="1305" w:name="_Toc7957"/>
      <w:bookmarkStart w:id="1306" w:name="_Toc25775"/>
      <w:bookmarkStart w:id="1307" w:name="_Toc21380"/>
      <w:bookmarkStart w:id="1308" w:name="_Toc31733"/>
      <w:bookmarkStart w:id="1309" w:name="_Toc15259"/>
      <w:bookmarkStart w:id="1310" w:name="_Toc7287"/>
      <w:bookmarkStart w:id="1311" w:name="_Toc24972"/>
      <w:bookmarkStart w:id="1312" w:name="_Toc10657"/>
      <w:bookmarkStart w:id="1313" w:name="_Toc18823"/>
      <w:bookmarkStart w:id="1314" w:name="_Toc520356169"/>
      <w:r>
        <w:rPr>
          <w:rFonts w:hint="eastAsia" w:ascii="微软雅黑" w:hAnsi="微软雅黑" w:eastAsia="微软雅黑" w:cs="微软雅黑"/>
          <w:b/>
          <w:bCs/>
          <w:color w:val="auto"/>
          <w:highlight w:val="none"/>
          <w:u w:val="none"/>
        </w:rPr>
        <w:t>25.保密原则</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0A47A1FA">
      <w:pPr>
        <w:spacing w:line="34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14:paraId="583E63F5">
      <w:pPr>
        <w:spacing w:line="34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p>
    <w:p w14:paraId="3B6D1277">
      <w:pPr>
        <w:spacing w:line="340" w:lineRule="exact"/>
        <w:ind w:hanging="540"/>
        <w:rPr>
          <w:rFonts w:hint="eastAsia" w:ascii="微软雅黑" w:hAnsi="微软雅黑" w:eastAsia="微软雅黑" w:cs="微软雅黑"/>
          <w:color w:val="auto"/>
          <w:sz w:val="24"/>
          <w:highlight w:val="none"/>
        </w:rPr>
      </w:pPr>
    </w:p>
    <w:p w14:paraId="54D43FC3">
      <w:pPr>
        <w:pStyle w:val="3"/>
        <w:spacing w:before="0" w:line="340" w:lineRule="exact"/>
        <w:ind w:hanging="540"/>
        <w:rPr>
          <w:rFonts w:hint="eastAsia" w:ascii="微软雅黑" w:hAnsi="微软雅黑" w:eastAsia="微软雅黑" w:cs="微软雅黑"/>
          <w:color w:val="auto"/>
          <w:highlight w:val="none"/>
        </w:rPr>
      </w:pPr>
      <w:bookmarkStart w:id="1315" w:name="_Toc20525"/>
      <w:bookmarkStart w:id="1316" w:name="_Toc31410"/>
      <w:bookmarkStart w:id="1317" w:name="_Toc23904"/>
      <w:bookmarkStart w:id="1318" w:name="_Toc12143"/>
      <w:bookmarkStart w:id="1319" w:name="_Toc20366"/>
      <w:bookmarkStart w:id="1320" w:name="_Toc515647787"/>
      <w:bookmarkStart w:id="1321" w:name="_Toc216582810"/>
      <w:r>
        <w:rPr>
          <w:rFonts w:hint="eastAsia" w:ascii="微软雅黑" w:hAnsi="微软雅黑" w:eastAsia="微软雅黑" w:cs="微软雅黑"/>
          <w:color w:val="auto"/>
          <w:sz w:val="24"/>
          <w:highlight w:val="none"/>
        </w:rPr>
        <w:t>六</w:t>
      </w:r>
      <w:bookmarkEnd w:id="1314"/>
      <w:r>
        <w:rPr>
          <w:rFonts w:hint="eastAsia" w:ascii="微软雅黑" w:hAnsi="微软雅黑" w:eastAsia="微软雅黑" w:cs="微软雅黑"/>
          <w:color w:val="auto"/>
          <w:sz w:val="24"/>
          <w:highlight w:val="none"/>
        </w:rPr>
        <w:t>确定中标</w:t>
      </w:r>
      <w:bookmarkEnd w:id="1315"/>
      <w:bookmarkEnd w:id="1316"/>
      <w:bookmarkEnd w:id="1317"/>
      <w:bookmarkEnd w:id="1318"/>
      <w:bookmarkEnd w:id="1319"/>
      <w:bookmarkEnd w:id="1320"/>
      <w:bookmarkEnd w:id="1321"/>
    </w:p>
    <w:p w14:paraId="2373D56A">
      <w:pPr>
        <w:pStyle w:val="4"/>
        <w:spacing w:before="0" w:after="0" w:line="340" w:lineRule="exact"/>
        <w:rPr>
          <w:rFonts w:hint="eastAsia" w:ascii="微软雅黑" w:hAnsi="微软雅黑" w:eastAsia="微软雅黑" w:cs="微软雅黑"/>
          <w:color w:val="auto"/>
          <w:highlight w:val="none"/>
          <w:u w:val="none"/>
        </w:rPr>
      </w:pPr>
      <w:bookmarkStart w:id="1322" w:name="_Toc26599"/>
      <w:bookmarkStart w:id="1323" w:name="_Toc27868"/>
      <w:bookmarkStart w:id="1324" w:name="_Toc26705"/>
      <w:bookmarkStart w:id="1325" w:name="_Toc10909"/>
      <w:bookmarkStart w:id="1326" w:name="_Toc24563"/>
      <w:bookmarkStart w:id="1327" w:name="_Toc520356170"/>
      <w:bookmarkStart w:id="1328" w:name="_Toc29156"/>
      <w:bookmarkStart w:id="1329" w:name="_Toc23645"/>
      <w:bookmarkStart w:id="1330" w:name="_Toc154"/>
      <w:bookmarkStart w:id="1331" w:name="_Toc27315"/>
      <w:bookmarkStart w:id="1332" w:name="_Toc23762"/>
      <w:bookmarkStart w:id="1333" w:name="_Toc21192"/>
      <w:bookmarkStart w:id="1334" w:name="_Toc20607"/>
      <w:bookmarkStart w:id="1335" w:name="_Toc24914"/>
      <w:bookmarkStart w:id="1336" w:name="_Toc28216"/>
      <w:bookmarkStart w:id="1337" w:name="_Toc27501"/>
      <w:bookmarkStart w:id="1338" w:name="_Toc29369"/>
      <w:bookmarkStart w:id="1339" w:name="_Toc4997"/>
      <w:bookmarkStart w:id="1340" w:name="_Toc23540"/>
      <w:bookmarkStart w:id="1341" w:name="_Toc13936"/>
      <w:bookmarkStart w:id="1342" w:name="_Toc32133"/>
      <w:bookmarkStart w:id="1343" w:name="_Toc20061"/>
      <w:bookmarkStart w:id="1344" w:name="_Toc14800"/>
      <w:bookmarkStart w:id="1345" w:name="_Toc15249"/>
      <w:bookmarkStart w:id="1346" w:name="_Toc5464"/>
      <w:bookmarkStart w:id="1347" w:name="_Toc515647788"/>
      <w:bookmarkStart w:id="1348" w:name="_Toc6267"/>
      <w:bookmarkStart w:id="1349" w:name="_Toc23080"/>
      <w:bookmarkStart w:id="1350" w:name="_Toc16694"/>
      <w:bookmarkStart w:id="1351" w:name="_Toc10621"/>
      <w:bookmarkStart w:id="1352" w:name="_Toc30186"/>
      <w:bookmarkStart w:id="1353" w:name="_Toc31468"/>
      <w:bookmarkStart w:id="1354" w:name="_Toc23617"/>
      <w:bookmarkStart w:id="1355" w:name="_Toc19960"/>
      <w:bookmarkStart w:id="1356" w:name="_Toc12168"/>
      <w:bookmarkStart w:id="1357" w:name="_Toc11638"/>
      <w:bookmarkStart w:id="1358" w:name="_Toc30698"/>
      <w:bookmarkStart w:id="1359" w:name="_Toc1953"/>
      <w:bookmarkStart w:id="1360" w:name="_Toc1928"/>
      <w:bookmarkStart w:id="1361" w:name="_Toc24380"/>
      <w:bookmarkStart w:id="1362" w:name="_Toc4037"/>
      <w:bookmarkStart w:id="1363" w:name="_Toc24714"/>
      <w:bookmarkStart w:id="1364" w:name="_Toc28179"/>
      <w:bookmarkStart w:id="1365" w:name="_Toc8748"/>
      <w:bookmarkStart w:id="1366" w:name="_Ref467307010"/>
      <w:bookmarkStart w:id="1367" w:name="_Toc24864"/>
      <w:bookmarkStart w:id="1368" w:name="_Toc1658"/>
      <w:bookmarkStart w:id="1369" w:name="_Toc31262"/>
      <w:bookmarkStart w:id="1370" w:name="_Toc30510"/>
      <w:bookmarkStart w:id="1371" w:name="_Toc6381"/>
      <w:bookmarkStart w:id="1372" w:name="_Toc31710"/>
      <w:bookmarkStart w:id="1373" w:name="_Toc10303"/>
      <w:r>
        <w:rPr>
          <w:rFonts w:hint="eastAsia" w:ascii="微软雅黑" w:hAnsi="微软雅黑" w:eastAsia="微软雅黑" w:cs="微软雅黑"/>
          <w:b/>
          <w:bCs/>
          <w:color w:val="auto"/>
          <w:highlight w:val="none"/>
          <w:u w:val="none"/>
        </w:rPr>
        <w:t>26.中标候选人的确定原则及标准</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10B1B774">
      <w:pPr>
        <w:spacing w:line="3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对实质上响应招标文件的供应商按下列方法进行排序，确定投标候选人：</w:t>
      </w:r>
    </w:p>
    <w:p w14:paraId="5426300D">
      <w:pPr>
        <w:spacing w:line="340" w:lineRule="exact"/>
        <w:ind w:firstLine="480" w:firstLineChars="200"/>
        <w:rPr>
          <w:rFonts w:hint="eastAsia" w:ascii="微软雅黑" w:hAnsi="微软雅黑" w:eastAsia="微软雅黑" w:cs="微软雅黑"/>
          <w:color w:val="auto"/>
          <w:sz w:val="24"/>
          <w:highlight w:val="none"/>
        </w:rPr>
      </w:pPr>
      <w:bookmarkStart w:id="1374" w:name="_Toc520356171"/>
      <w:bookmarkStart w:id="1375" w:name="_Toc515647789"/>
      <w:r>
        <w:rPr>
          <w:rFonts w:hint="eastAsia" w:ascii="微软雅黑" w:hAnsi="微软雅黑" w:eastAsia="微软雅黑" w:cs="微软雅黑"/>
          <w:color w:val="auto"/>
          <w:sz w:val="24"/>
          <w:highlight w:val="none"/>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14:paraId="4211D8B2">
      <w:pPr>
        <w:spacing w:line="3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14:paraId="069153FD">
      <w:pPr>
        <w:pStyle w:val="17"/>
        <w:spacing w:line="360" w:lineRule="exact"/>
        <w:ind w:left="239" w:leftChars="114" w:firstLine="34" w:firstLineChars="14"/>
        <w:rPr>
          <w:rFonts w:hint="eastAsia" w:ascii="微软雅黑" w:hAnsi="微软雅黑" w:eastAsia="微软雅黑" w:cs="微软雅黑"/>
          <w:b/>
          <w:bCs/>
          <w:color w:val="auto"/>
          <w:sz w:val="24"/>
          <w:szCs w:val="24"/>
          <w:highlight w:val="none"/>
        </w:rPr>
      </w:pPr>
      <w:bookmarkStart w:id="1376" w:name="_Toc17933"/>
      <w:bookmarkStart w:id="1377" w:name="_Toc21913"/>
      <w:bookmarkStart w:id="1378" w:name="_Toc721"/>
      <w:bookmarkStart w:id="1379" w:name="_Toc976"/>
      <w:bookmarkStart w:id="1380" w:name="_Toc18364"/>
      <w:bookmarkStart w:id="1381" w:name="_Toc30756"/>
      <w:bookmarkStart w:id="1382" w:name="_Toc27172"/>
      <w:bookmarkStart w:id="1383" w:name="_Toc17164"/>
      <w:bookmarkStart w:id="1384" w:name="_Toc14558"/>
      <w:bookmarkStart w:id="1385" w:name="_Toc29803"/>
      <w:bookmarkStart w:id="1386" w:name="_Toc25274"/>
      <w:bookmarkStart w:id="1387" w:name="_Toc15060"/>
      <w:bookmarkStart w:id="1388" w:name="_Toc26752"/>
      <w:bookmarkStart w:id="1389" w:name="_Toc24948"/>
      <w:bookmarkStart w:id="1390" w:name="_Toc11247"/>
      <w:bookmarkStart w:id="1391" w:name="_Toc16846"/>
      <w:bookmarkStart w:id="1392" w:name="_Toc1644"/>
      <w:bookmarkStart w:id="1393" w:name="_Toc3720"/>
      <w:bookmarkStart w:id="1394" w:name="_Toc28294"/>
      <w:bookmarkStart w:id="1395" w:name="_Toc15609"/>
      <w:bookmarkStart w:id="1396" w:name="_Toc7999"/>
      <w:bookmarkStart w:id="1397" w:name="_Toc21306"/>
      <w:bookmarkStart w:id="1398" w:name="_Toc25109"/>
      <w:r>
        <w:rPr>
          <w:rFonts w:hint="eastAsia" w:ascii="微软雅黑" w:hAnsi="微软雅黑" w:eastAsia="微软雅黑" w:cs="微软雅黑"/>
          <w:b/>
          <w:bCs/>
          <w:color w:val="auto"/>
          <w:sz w:val="24"/>
          <w:szCs w:val="24"/>
          <w:highlight w:val="none"/>
        </w:rPr>
        <w:t>本项目采用综合评分法。</w:t>
      </w:r>
    </w:p>
    <w:p w14:paraId="70A53CF1">
      <w:pPr>
        <w:pStyle w:val="4"/>
        <w:tabs>
          <w:tab w:val="left" w:pos="900"/>
        </w:tabs>
        <w:snapToGrid w:val="0"/>
        <w:spacing w:before="0" w:after="0" w:line="340" w:lineRule="exact"/>
        <w:textAlignment w:val="baseline"/>
        <w:rPr>
          <w:rFonts w:hint="eastAsia" w:ascii="微软雅黑" w:hAnsi="微软雅黑" w:eastAsia="微软雅黑" w:cs="微软雅黑"/>
          <w:color w:val="auto"/>
          <w:highlight w:val="none"/>
          <w:u w:val="none"/>
        </w:rPr>
      </w:pPr>
      <w:bookmarkStart w:id="1399" w:name="_Toc26239"/>
      <w:bookmarkStart w:id="1400" w:name="_Toc1943"/>
      <w:bookmarkStart w:id="1401" w:name="_Toc20428"/>
      <w:bookmarkStart w:id="1402" w:name="_Toc12993"/>
      <w:bookmarkStart w:id="1403" w:name="_Toc28553"/>
      <w:bookmarkStart w:id="1404" w:name="_Toc27474"/>
      <w:bookmarkStart w:id="1405" w:name="_Toc16332"/>
      <w:bookmarkStart w:id="1406" w:name="_Toc3074"/>
      <w:bookmarkStart w:id="1407" w:name="_Toc24049"/>
      <w:bookmarkStart w:id="1408" w:name="_Toc26550"/>
      <w:bookmarkStart w:id="1409" w:name="_Toc16642"/>
      <w:bookmarkStart w:id="1410" w:name="_Toc20836"/>
      <w:bookmarkStart w:id="1411" w:name="_Toc10784"/>
      <w:bookmarkStart w:id="1412" w:name="_Toc17340"/>
      <w:bookmarkStart w:id="1413" w:name="_Toc5458"/>
      <w:bookmarkStart w:id="1414" w:name="_Toc32194"/>
      <w:bookmarkStart w:id="1415" w:name="_Toc21204"/>
      <w:bookmarkStart w:id="1416" w:name="_Toc24139"/>
      <w:bookmarkStart w:id="1417" w:name="_Toc20104"/>
      <w:bookmarkStart w:id="1418" w:name="_Toc4442"/>
      <w:bookmarkStart w:id="1419" w:name="_Toc30424"/>
      <w:bookmarkStart w:id="1420" w:name="_Toc2650"/>
      <w:bookmarkStart w:id="1421" w:name="_Toc4666"/>
      <w:bookmarkStart w:id="1422" w:name="_Toc18499"/>
      <w:bookmarkStart w:id="1423" w:name="_Toc4503"/>
      <w:bookmarkStart w:id="1424" w:name="_Toc30883"/>
      <w:bookmarkStart w:id="1425" w:name="_Toc28627"/>
      <w:bookmarkStart w:id="1426" w:name="_Toc15360"/>
      <w:r>
        <w:rPr>
          <w:rFonts w:hint="eastAsia" w:ascii="微软雅黑" w:hAnsi="微软雅黑" w:eastAsia="微软雅黑" w:cs="微软雅黑"/>
          <w:b/>
          <w:color w:val="auto"/>
          <w:highlight w:val="none"/>
          <w:u w:val="none"/>
        </w:rPr>
        <w:t>27.确定成交候选人和</w:t>
      </w:r>
      <w:bookmarkEnd w:id="1376"/>
      <w:r>
        <w:rPr>
          <w:rFonts w:hint="eastAsia" w:ascii="微软雅黑" w:hAnsi="微软雅黑" w:eastAsia="微软雅黑" w:cs="微软雅黑"/>
          <w:b/>
          <w:color w:val="auto"/>
          <w:highlight w:val="none"/>
          <w:u w:val="none"/>
        </w:rPr>
        <w:t>成交人</w:t>
      </w:r>
      <w:bookmarkEnd w:id="1374"/>
      <w:bookmarkEnd w:id="1375"/>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2EFBC5C5">
      <w:pPr>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rPr>
        <w:t>供应商须知资料表中</w:t>
      </w:r>
      <w:r>
        <w:rPr>
          <w:rFonts w:hint="eastAsia" w:ascii="微软雅黑" w:hAnsi="微软雅黑" w:eastAsia="微软雅黑" w:cs="微软雅黑"/>
          <w:color w:val="auto"/>
          <w:sz w:val="24"/>
          <w:highlight w:val="none"/>
        </w:rPr>
        <w:t>规定数量推荐中标候</w:t>
      </w:r>
    </w:p>
    <w:p w14:paraId="3F750D36">
      <w:pPr>
        <w:spacing w:line="360" w:lineRule="exact"/>
        <w:ind w:left="479" w:leftChars="228" w:firstLine="60" w:firstLineChars="2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选人；或根据采购人的委托，直接确定中标人。</w:t>
      </w:r>
    </w:p>
    <w:p w14:paraId="6E39F220">
      <w:pPr>
        <w:pStyle w:val="4"/>
        <w:tabs>
          <w:tab w:val="left" w:pos="900"/>
        </w:tabs>
        <w:spacing w:before="0" w:after="0" w:line="360" w:lineRule="exact"/>
        <w:rPr>
          <w:rFonts w:hint="eastAsia" w:ascii="微软雅黑" w:hAnsi="微软雅黑" w:eastAsia="微软雅黑" w:cs="微软雅黑"/>
          <w:b/>
          <w:bCs/>
          <w:color w:val="auto"/>
          <w:highlight w:val="none"/>
          <w:u w:val="none"/>
        </w:rPr>
      </w:pPr>
      <w:bookmarkStart w:id="1427" w:name="_Ref467306874"/>
      <w:bookmarkStart w:id="1428" w:name="_Toc520356173"/>
      <w:bookmarkStart w:id="1429" w:name="_Toc8032"/>
      <w:bookmarkStart w:id="1430" w:name="_Toc3267"/>
      <w:bookmarkStart w:id="1431" w:name="_Toc8858"/>
      <w:bookmarkStart w:id="1432" w:name="_Toc28987"/>
      <w:bookmarkStart w:id="1433" w:name="_Toc6340"/>
      <w:bookmarkStart w:id="1434" w:name="_Toc21618"/>
      <w:bookmarkStart w:id="1435" w:name="_Toc29644"/>
      <w:bookmarkStart w:id="1436" w:name="_Toc6728"/>
      <w:bookmarkStart w:id="1437" w:name="_Toc7578"/>
      <w:bookmarkStart w:id="1438" w:name="_Toc9882"/>
      <w:bookmarkStart w:id="1439" w:name="_Toc5507"/>
      <w:bookmarkStart w:id="1440" w:name="_Toc7095"/>
      <w:bookmarkStart w:id="1441" w:name="_Toc30784"/>
      <w:bookmarkStart w:id="1442" w:name="_Toc17322"/>
      <w:bookmarkStart w:id="1443" w:name="_Toc21745"/>
      <w:bookmarkStart w:id="1444" w:name="_Toc5779"/>
      <w:bookmarkStart w:id="1445" w:name="_Toc18157"/>
      <w:bookmarkStart w:id="1446" w:name="_Toc32455"/>
      <w:bookmarkStart w:id="1447" w:name="_Toc27140"/>
      <w:bookmarkStart w:id="1448" w:name="_Toc3753"/>
      <w:bookmarkStart w:id="1449" w:name="_Toc4619"/>
      <w:bookmarkStart w:id="1450" w:name="_Toc30389"/>
      <w:bookmarkStart w:id="1451" w:name="_Toc3328"/>
      <w:bookmarkStart w:id="1452" w:name="_Toc14227"/>
      <w:bookmarkStart w:id="1453" w:name="_Toc9640"/>
      <w:bookmarkStart w:id="1454" w:name="_Toc31006"/>
      <w:bookmarkStart w:id="1455" w:name="_Toc515647790"/>
      <w:bookmarkStart w:id="1456" w:name="_Toc9701"/>
      <w:bookmarkStart w:id="1457" w:name="_Toc29477"/>
      <w:bookmarkStart w:id="1458" w:name="_Toc14517"/>
      <w:bookmarkStart w:id="1459" w:name="_Toc13238"/>
      <w:bookmarkStart w:id="1460" w:name="_Toc20705"/>
      <w:bookmarkStart w:id="1461" w:name="_Toc19007"/>
      <w:bookmarkStart w:id="1462" w:name="_Toc8389"/>
      <w:bookmarkStart w:id="1463" w:name="_Toc7156"/>
      <w:bookmarkStart w:id="1464" w:name="_Toc17591"/>
      <w:bookmarkStart w:id="1465" w:name="_Toc29374"/>
      <w:bookmarkStart w:id="1466" w:name="_Toc6056"/>
      <w:bookmarkStart w:id="1467" w:name="_Toc32205"/>
      <w:bookmarkStart w:id="1468" w:name="_Toc6416"/>
      <w:bookmarkStart w:id="1469" w:name="_Toc20559"/>
      <w:bookmarkStart w:id="1470" w:name="_Toc27248"/>
      <w:bookmarkStart w:id="1471" w:name="_Toc28894"/>
      <w:bookmarkStart w:id="1472" w:name="_Toc19022"/>
      <w:bookmarkStart w:id="1473" w:name="_Toc20001"/>
      <w:bookmarkStart w:id="1474" w:name="_Toc28562"/>
      <w:bookmarkStart w:id="1475" w:name="_Toc23933"/>
      <w:bookmarkStart w:id="1476" w:name="_Toc21208"/>
      <w:bookmarkStart w:id="1477" w:name="_Toc891"/>
      <w:bookmarkStart w:id="1478" w:name="_Toc31043"/>
      <w:bookmarkStart w:id="1479" w:name="_Toc17478"/>
      <w:r>
        <w:rPr>
          <w:rFonts w:hint="eastAsia" w:ascii="微软雅黑" w:hAnsi="微软雅黑" w:eastAsia="微软雅黑" w:cs="微软雅黑"/>
          <w:b/>
          <w:bCs/>
          <w:color w:val="auto"/>
          <w:highlight w:val="none"/>
          <w:u w:val="none"/>
        </w:rPr>
        <w:t>28.</w:t>
      </w:r>
      <w:bookmarkEnd w:id="1427"/>
      <w:bookmarkEnd w:id="1428"/>
      <w:r>
        <w:rPr>
          <w:rFonts w:hint="eastAsia" w:ascii="微软雅黑" w:hAnsi="微软雅黑" w:eastAsia="微软雅黑" w:cs="微软雅黑"/>
          <w:b/>
          <w:bCs/>
          <w:color w:val="auto"/>
          <w:highlight w:val="none"/>
          <w:u w:val="none"/>
        </w:rPr>
        <w:t>采购任务取消</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p>
    <w:p w14:paraId="67A92F9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因重大变故采购任务取消时，采购人有权拒绝任何供应商中标，且对受影响的供应商不承担任何责任。</w:t>
      </w:r>
      <w:bookmarkStart w:id="1480" w:name="_Toc520356174"/>
    </w:p>
    <w:p w14:paraId="3C8851CE">
      <w:pPr>
        <w:pStyle w:val="4"/>
        <w:spacing w:before="0" w:after="0" w:line="360" w:lineRule="exact"/>
        <w:rPr>
          <w:rFonts w:hint="eastAsia" w:ascii="微软雅黑" w:hAnsi="微软雅黑" w:eastAsia="微软雅黑" w:cs="微软雅黑"/>
          <w:b/>
          <w:bCs/>
          <w:color w:val="auto"/>
          <w:highlight w:val="none"/>
          <w:u w:val="none"/>
        </w:rPr>
      </w:pPr>
      <w:bookmarkStart w:id="1481" w:name="_Toc30276"/>
      <w:bookmarkStart w:id="1482" w:name="_Toc8834"/>
      <w:bookmarkStart w:id="1483" w:name="_Toc2877"/>
      <w:bookmarkStart w:id="1484" w:name="_Toc30149"/>
      <w:bookmarkStart w:id="1485" w:name="_Toc14706"/>
      <w:bookmarkStart w:id="1486" w:name="_Toc19969"/>
      <w:bookmarkStart w:id="1487" w:name="_Toc4099"/>
      <w:bookmarkStart w:id="1488" w:name="_Toc1818"/>
      <w:bookmarkStart w:id="1489" w:name="_Toc5820"/>
      <w:bookmarkStart w:id="1490" w:name="_Toc14805"/>
      <w:bookmarkStart w:id="1491" w:name="_Toc14561"/>
      <w:bookmarkStart w:id="1492" w:name="_Toc10219"/>
      <w:bookmarkStart w:id="1493" w:name="_Toc965"/>
      <w:bookmarkStart w:id="1494" w:name="_Toc137"/>
      <w:bookmarkStart w:id="1495" w:name="_Toc12692"/>
      <w:bookmarkStart w:id="1496" w:name="_Toc14076"/>
      <w:bookmarkStart w:id="1497" w:name="_Toc20963"/>
      <w:bookmarkStart w:id="1498" w:name="_Toc31927"/>
      <w:bookmarkStart w:id="1499" w:name="_Toc21210"/>
      <w:bookmarkStart w:id="1500" w:name="_Toc1342"/>
      <w:bookmarkStart w:id="1501" w:name="_Toc3065"/>
      <w:bookmarkStart w:id="1502" w:name="_Toc30931"/>
      <w:bookmarkStart w:id="1503" w:name="_Toc17202"/>
      <w:bookmarkStart w:id="1504" w:name="_Toc1732"/>
      <w:bookmarkStart w:id="1505" w:name="_Toc8140"/>
      <w:bookmarkStart w:id="1506" w:name="_Toc1178"/>
      <w:bookmarkStart w:id="1507" w:name="_Toc9449"/>
      <w:bookmarkStart w:id="1508" w:name="_Toc16962"/>
      <w:bookmarkStart w:id="1509" w:name="_Toc30170"/>
      <w:bookmarkStart w:id="1510" w:name="_Toc29483"/>
      <w:bookmarkStart w:id="1511" w:name="_Toc515647791"/>
      <w:bookmarkStart w:id="1512" w:name="_Toc1676"/>
      <w:bookmarkStart w:id="1513" w:name="_Toc31099"/>
      <w:bookmarkStart w:id="1514" w:name="_Toc25553"/>
      <w:bookmarkStart w:id="1515" w:name="_Toc27684"/>
      <w:bookmarkStart w:id="1516" w:name="_Toc28733"/>
      <w:bookmarkStart w:id="1517" w:name="_Toc21583"/>
      <w:bookmarkStart w:id="1518" w:name="_Toc2205"/>
      <w:bookmarkStart w:id="1519" w:name="_Toc11356"/>
      <w:bookmarkStart w:id="1520" w:name="_Toc3980"/>
      <w:bookmarkStart w:id="1521" w:name="_Toc22964"/>
      <w:bookmarkStart w:id="1522" w:name="_Toc30383"/>
      <w:bookmarkStart w:id="1523" w:name="_Toc23951"/>
      <w:bookmarkStart w:id="1524" w:name="_Toc7324"/>
      <w:bookmarkStart w:id="1525" w:name="_Toc12348"/>
      <w:bookmarkStart w:id="1526" w:name="_Toc26809"/>
      <w:bookmarkStart w:id="1527" w:name="_Toc24503"/>
      <w:bookmarkStart w:id="1528" w:name="_Toc27996"/>
      <w:bookmarkStart w:id="1529" w:name="_Toc23096"/>
      <w:bookmarkStart w:id="1530" w:name="_Toc19134"/>
      <w:bookmarkStart w:id="1531" w:name="_Toc23776"/>
      <w:r>
        <w:rPr>
          <w:rFonts w:hint="eastAsia" w:ascii="微软雅黑" w:hAnsi="微软雅黑" w:eastAsia="微软雅黑" w:cs="微软雅黑"/>
          <w:b/>
          <w:bCs/>
          <w:color w:val="auto"/>
          <w:highlight w:val="none"/>
          <w:u w:val="none"/>
        </w:rPr>
        <w:t>29.中标通知书</w:t>
      </w:r>
      <w:bookmarkEnd w:id="1480"/>
      <w:r>
        <w:rPr>
          <w:rFonts w:hint="eastAsia" w:ascii="微软雅黑" w:hAnsi="微软雅黑" w:eastAsia="微软雅黑" w:cs="微软雅黑"/>
          <w:b/>
          <w:bCs/>
          <w:color w:val="auto"/>
          <w:highlight w:val="none"/>
          <w:u w:val="none"/>
        </w:rPr>
        <w:t>和招标结果通知书</w:t>
      </w:r>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50AEAD8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14:paraId="6DAC1C0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14:paraId="0807B19B">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29.3招标结果通知书和中标通知书同时发出。招标结果通知书中将告知未通过资格审查的供应商未通过的原因；采用综合评分法评审的，还将告知未中标人本人的评审得分和排序。</w:t>
      </w:r>
    </w:p>
    <w:p w14:paraId="717614E0">
      <w:pPr>
        <w:pStyle w:val="4"/>
        <w:spacing w:before="0" w:after="0" w:line="360" w:lineRule="exact"/>
        <w:rPr>
          <w:rFonts w:hint="eastAsia" w:ascii="微软雅黑" w:hAnsi="微软雅黑" w:eastAsia="微软雅黑" w:cs="微软雅黑"/>
          <w:b/>
          <w:bCs/>
          <w:color w:val="auto"/>
          <w:highlight w:val="none"/>
          <w:u w:val="none"/>
        </w:rPr>
      </w:pPr>
      <w:bookmarkStart w:id="1532" w:name="_Toc21882"/>
      <w:bookmarkStart w:id="1533" w:name="_Toc29255"/>
      <w:bookmarkStart w:id="1534" w:name="_Toc6110"/>
      <w:bookmarkStart w:id="1535" w:name="_Toc15018"/>
      <w:bookmarkStart w:id="1536" w:name="_Toc29299"/>
      <w:bookmarkStart w:id="1537" w:name="_Toc20236"/>
      <w:bookmarkStart w:id="1538" w:name="_Toc5006"/>
      <w:bookmarkStart w:id="1539" w:name="_Toc15277"/>
      <w:bookmarkStart w:id="1540" w:name="_Ref467307062"/>
      <w:bookmarkStart w:id="1541" w:name="_Ref467307204"/>
      <w:bookmarkStart w:id="1542" w:name="_Toc19895"/>
      <w:bookmarkStart w:id="1543" w:name="_Toc25853"/>
      <w:bookmarkStart w:id="1544" w:name="_Toc13873"/>
      <w:bookmarkStart w:id="1545" w:name="_Toc24298"/>
      <w:bookmarkStart w:id="1546" w:name="_Toc18305"/>
      <w:bookmarkStart w:id="1547" w:name="_Toc9691"/>
      <w:bookmarkStart w:id="1548" w:name="_Toc14896"/>
      <w:bookmarkStart w:id="1549" w:name="_Toc3671"/>
      <w:bookmarkStart w:id="1550" w:name="_Toc28592"/>
      <w:bookmarkStart w:id="1551" w:name="_Toc14551"/>
      <w:bookmarkStart w:id="1552" w:name="_Toc4779"/>
      <w:bookmarkStart w:id="1553" w:name="_Toc23518"/>
      <w:bookmarkStart w:id="1554" w:name="_Toc16586"/>
      <w:bookmarkStart w:id="1555" w:name="_Toc10408"/>
      <w:bookmarkStart w:id="1556" w:name="_Toc29469"/>
      <w:bookmarkStart w:id="1557" w:name="_Toc25673"/>
      <w:bookmarkStart w:id="1558" w:name="_Toc14106"/>
      <w:bookmarkStart w:id="1559" w:name="_Toc10461"/>
      <w:bookmarkStart w:id="1560" w:name="_Toc15752"/>
      <w:bookmarkStart w:id="1561" w:name="_Toc25748"/>
      <w:bookmarkStart w:id="1562" w:name="_Toc30068"/>
      <w:bookmarkStart w:id="1563" w:name="_Toc30320"/>
      <w:bookmarkStart w:id="1564" w:name="_Toc4705"/>
      <w:bookmarkStart w:id="1565" w:name="_Toc11269"/>
      <w:bookmarkStart w:id="1566" w:name="_Toc12782"/>
      <w:bookmarkStart w:id="1567" w:name="_Toc24666"/>
      <w:bookmarkStart w:id="1568" w:name="_Toc3377"/>
      <w:bookmarkStart w:id="1569" w:name="_Ref467306978"/>
      <w:bookmarkStart w:id="1570" w:name="_Toc1386"/>
      <w:bookmarkStart w:id="1571" w:name="_Toc4138"/>
      <w:bookmarkStart w:id="1572" w:name="_Toc13210"/>
      <w:bookmarkStart w:id="1573" w:name="_Toc830"/>
      <w:bookmarkStart w:id="1574" w:name="_Toc7779"/>
      <w:bookmarkStart w:id="1575" w:name="_Toc13203"/>
      <w:bookmarkStart w:id="1576" w:name="_Toc790"/>
      <w:bookmarkStart w:id="1577" w:name="_Ref467306377"/>
      <w:bookmarkStart w:id="1578" w:name="_Toc180"/>
      <w:bookmarkStart w:id="1579" w:name="_Toc26465"/>
      <w:bookmarkStart w:id="1580" w:name="_Toc12028"/>
      <w:bookmarkStart w:id="1581" w:name="_Toc7584"/>
      <w:bookmarkStart w:id="1582" w:name="_Toc23547"/>
      <w:bookmarkStart w:id="1583" w:name="_Toc520356175"/>
      <w:bookmarkStart w:id="1584" w:name="_Toc24913"/>
      <w:bookmarkStart w:id="1585" w:name="_Toc515647792"/>
      <w:bookmarkStart w:id="1586" w:name="_Toc19792"/>
      <w:bookmarkStart w:id="1587" w:name="_Toc8909"/>
      <w:r>
        <w:rPr>
          <w:rFonts w:hint="eastAsia" w:ascii="微软雅黑" w:hAnsi="微软雅黑" w:eastAsia="微软雅黑" w:cs="微软雅黑"/>
          <w:b/>
          <w:bCs/>
          <w:color w:val="auto"/>
          <w:highlight w:val="none"/>
          <w:u w:val="none"/>
        </w:rPr>
        <w:t>30.签订合同</w:t>
      </w:r>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261DD717">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中标人应当自发出中标通知书之日起30日内，与采购人签订合同。</w:t>
      </w:r>
    </w:p>
    <w:p w14:paraId="50E61A6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1588" w:name="_Ref467306425"/>
      <w:bookmarkStart w:id="1589" w:name="_Toc520356176"/>
      <w:bookmarkStart w:id="1590" w:name="_Ref467307090"/>
      <w:r>
        <w:rPr>
          <w:rFonts w:hint="eastAsia" w:ascii="微软雅黑" w:hAnsi="微软雅黑" w:eastAsia="微软雅黑" w:cs="微软雅黑"/>
          <w:color w:val="auto"/>
          <w:sz w:val="24"/>
          <w:highlight w:val="none"/>
        </w:rPr>
        <w:t>招标文件、中标人的投标文件及其澄清文件等，均为签订合同的依据。</w:t>
      </w:r>
    </w:p>
    <w:p w14:paraId="572A42D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30.3中标人拒绝与采购人签订合同的，采购人可以按照评审报告推荐的中标候选人名单排序，确定下一中标候选人为中标人，也可以重新开展政府采购活动。</w:t>
      </w:r>
    </w:p>
    <w:p w14:paraId="4644DBF0">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p w14:paraId="3E45B350">
      <w:pPr>
        <w:pStyle w:val="4"/>
        <w:spacing w:before="0" w:after="0" w:line="360" w:lineRule="exact"/>
        <w:rPr>
          <w:rFonts w:hint="eastAsia" w:ascii="微软雅黑" w:hAnsi="微软雅黑" w:eastAsia="微软雅黑" w:cs="微软雅黑"/>
          <w:color w:val="auto"/>
          <w:highlight w:val="none"/>
          <w:u w:val="none"/>
        </w:rPr>
      </w:pPr>
      <w:bookmarkStart w:id="1591" w:name="_Toc14080"/>
      <w:bookmarkStart w:id="1592" w:name="_Toc403"/>
      <w:bookmarkStart w:id="1593" w:name="_Toc4460"/>
      <w:bookmarkStart w:id="1594" w:name="_Toc5847"/>
      <w:bookmarkStart w:id="1595" w:name="_Toc31147"/>
      <w:bookmarkStart w:id="1596" w:name="_Toc11471"/>
      <w:bookmarkStart w:id="1597" w:name="_Toc6554"/>
      <w:bookmarkStart w:id="1598" w:name="_Toc4849"/>
      <w:bookmarkStart w:id="1599" w:name="_Toc2897"/>
      <w:bookmarkStart w:id="1600" w:name="_Toc14195"/>
      <w:bookmarkStart w:id="1601" w:name="_Toc22260"/>
      <w:bookmarkStart w:id="1602" w:name="_Toc28746"/>
      <w:bookmarkStart w:id="1603" w:name="_Toc20174"/>
      <w:bookmarkStart w:id="1604" w:name="_Toc32530"/>
      <w:bookmarkStart w:id="1605" w:name="_Toc10991"/>
      <w:bookmarkStart w:id="1606" w:name="_Toc28719"/>
      <w:bookmarkStart w:id="1607" w:name="_Toc29601"/>
      <w:bookmarkStart w:id="1608" w:name="_Toc28050"/>
      <w:bookmarkStart w:id="1609" w:name="_Toc18440"/>
      <w:bookmarkStart w:id="1610" w:name="_Toc25335"/>
      <w:bookmarkStart w:id="1611" w:name="_Toc24696"/>
      <w:bookmarkStart w:id="1612" w:name="_Toc4016"/>
      <w:bookmarkStart w:id="1613" w:name="_Toc14119"/>
      <w:bookmarkStart w:id="1614" w:name="_Toc11467"/>
      <w:bookmarkStart w:id="1615" w:name="_Toc515647793"/>
      <w:bookmarkStart w:id="1616" w:name="_Toc3929"/>
      <w:bookmarkStart w:id="1617" w:name="_Toc32131"/>
      <w:bookmarkStart w:id="1618" w:name="_Toc23750"/>
      <w:bookmarkStart w:id="1619" w:name="_Toc13715"/>
      <w:bookmarkStart w:id="1620" w:name="_Toc15450"/>
      <w:bookmarkStart w:id="1621" w:name="_Toc22555"/>
      <w:bookmarkStart w:id="1622" w:name="_Toc17414"/>
      <w:bookmarkStart w:id="1623" w:name="_Toc9468"/>
      <w:bookmarkStart w:id="1624" w:name="_Toc8801"/>
      <w:bookmarkStart w:id="1625" w:name="_Toc23943"/>
      <w:bookmarkStart w:id="1626" w:name="_Toc31469"/>
      <w:bookmarkStart w:id="1627" w:name="_Toc12117"/>
      <w:bookmarkStart w:id="1628" w:name="_Toc3818"/>
      <w:bookmarkStart w:id="1629" w:name="_Toc17569"/>
      <w:bookmarkStart w:id="1630" w:name="_Toc7815"/>
      <w:bookmarkStart w:id="1631" w:name="_Toc1797"/>
      <w:bookmarkStart w:id="1632" w:name="_Toc28788"/>
      <w:bookmarkStart w:id="1633" w:name="_Toc14226"/>
      <w:bookmarkStart w:id="1634" w:name="_Toc1208"/>
      <w:bookmarkStart w:id="1635" w:name="_Toc10831"/>
      <w:bookmarkStart w:id="1636" w:name="_Toc25145"/>
      <w:bookmarkStart w:id="1637" w:name="_Toc17960"/>
      <w:bookmarkStart w:id="1638" w:name="_Toc8189"/>
      <w:bookmarkStart w:id="1639" w:name="_Toc26902"/>
      <w:bookmarkStart w:id="1640" w:name="_Toc14501"/>
      <w:bookmarkStart w:id="1641" w:name="_Toc3834"/>
      <w:r>
        <w:rPr>
          <w:rFonts w:hint="eastAsia" w:ascii="微软雅黑" w:hAnsi="微软雅黑" w:eastAsia="微软雅黑" w:cs="微软雅黑"/>
          <w:b/>
          <w:bCs/>
          <w:color w:val="auto"/>
          <w:highlight w:val="none"/>
          <w:u w:val="none"/>
        </w:rPr>
        <w:t>31.履约保证金</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6F87736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规定向采购人缴纳履约保证金。</w:t>
      </w:r>
    </w:p>
    <w:p w14:paraId="16EA1F22">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政府采购利用担保试点范围内的项目，除31.1规定的情形外，中标人也可以按照财政部门的规定，向采购人提供合格的履约担保函。</w:t>
      </w:r>
    </w:p>
    <w:p w14:paraId="2A426B68">
      <w:pPr>
        <w:pStyle w:val="4"/>
        <w:spacing w:before="0" w:after="0" w:line="360" w:lineRule="exact"/>
        <w:rPr>
          <w:rFonts w:hint="eastAsia" w:ascii="微软雅黑" w:hAnsi="微软雅黑" w:eastAsia="微软雅黑" w:cs="微软雅黑"/>
          <w:color w:val="auto"/>
          <w:highlight w:val="none"/>
          <w:u w:val="none"/>
        </w:rPr>
      </w:pPr>
      <w:bookmarkStart w:id="1642" w:name="_Toc28359"/>
      <w:bookmarkStart w:id="1643" w:name="_Toc5056"/>
      <w:bookmarkStart w:id="1644" w:name="_Toc23212"/>
      <w:bookmarkStart w:id="1645" w:name="_Toc14539"/>
      <w:bookmarkStart w:id="1646" w:name="_Toc2375"/>
      <w:bookmarkStart w:id="1647" w:name="_Toc17827"/>
      <w:bookmarkStart w:id="1648" w:name="_Toc6814"/>
      <w:bookmarkStart w:id="1649" w:name="_Toc29408"/>
      <w:bookmarkStart w:id="1650" w:name="_Toc22663"/>
      <w:bookmarkStart w:id="1651" w:name="_Toc21835"/>
      <w:bookmarkStart w:id="1652" w:name="_Toc21246"/>
      <w:bookmarkStart w:id="1653" w:name="_Toc23760"/>
      <w:bookmarkStart w:id="1654" w:name="_Toc13043"/>
      <w:bookmarkStart w:id="1655" w:name="_Toc9967"/>
      <w:bookmarkStart w:id="1656" w:name="_Toc17462"/>
      <w:bookmarkStart w:id="1657" w:name="_Toc32142"/>
      <w:bookmarkStart w:id="1658" w:name="_Toc4359"/>
      <w:bookmarkStart w:id="1659" w:name="_Toc15314"/>
      <w:bookmarkStart w:id="1660" w:name="_Toc31606"/>
      <w:bookmarkStart w:id="1661" w:name="_Toc8906"/>
      <w:bookmarkStart w:id="1662" w:name="_Toc32171"/>
      <w:bookmarkStart w:id="1663" w:name="_Toc3090"/>
      <w:bookmarkStart w:id="1664" w:name="_Toc7757"/>
      <w:bookmarkStart w:id="1665" w:name="_Toc30419"/>
      <w:bookmarkStart w:id="1666" w:name="_Toc13273"/>
      <w:bookmarkStart w:id="1667" w:name="_Toc26960"/>
      <w:bookmarkStart w:id="1668" w:name="_Toc11823"/>
      <w:bookmarkStart w:id="1669" w:name="_Toc836"/>
      <w:bookmarkStart w:id="1670" w:name="_Toc22441"/>
      <w:bookmarkStart w:id="1671" w:name="_Toc14699"/>
      <w:bookmarkStart w:id="1672" w:name="_Toc12103"/>
      <w:bookmarkStart w:id="1673" w:name="_Toc9993"/>
      <w:bookmarkStart w:id="1674" w:name="_Toc17657"/>
      <w:bookmarkStart w:id="1675" w:name="_Toc18317"/>
      <w:bookmarkStart w:id="1676" w:name="_Toc3509"/>
      <w:bookmarkStart w:id="1677" w:name="_Toc25146"/>
      <w:bookmarkStart w:id="1678" w:name="_Toc31754"/>
      <w:bookmarkStart w:id="1679" w:name="_Toc20540"/>
      <w:bookmarkStart w:id="1680" w:name="_Toc9013"/>
      <w:bookmarkStart w:id="1681" w:name="_Toc20995"/>
      <w:bookmarkStart w:id="1682" w:name="_Toc13757"/>
      <w:bookmarkStart w:id="1683" w:name="_Toc9831"/>
      <w:bookmarkStart w:id="1684" w:name="_Toc16406"/>
      <w:bookmarkStart w:id="1685" w:name="_Toc515647794"/>
      <w:bookmarkStart w:id="1686" w:name="_Toc9569"/>
      <w:bookmarkStart w:id="1687" w:name="_Toc12070"/>
      <w:bookmarkStart w:id="1688" w:name="_Toc20499"/>
      <w:bookmarkStart w:id="1689" w:name="_Toc26497"/>
      <w:bookmarkStart w:id="1690" w:name="_Toc24979"/>
      <w:bookmarkStart w:id="1691" w:name="_Toc737"/>
      <w:bookmarkStart w:id="1692" w:name="_Toc29289"/>
      <w:r>
        <w:rPr>
          <w:rFonts w:hint="eastAsia" w:ascii="微软雅黑" w:hAnsi="微软雅黑" w:eastAsia="微软雅黑" w:cs="微软雅黑"/>
          <w:b/>
          <w:bCs/>
          <w:color w:val="auto"/>
          <w:highlight w:val="none"/>
          <w:u w:val="none"/>
        </w:rPr>
        <w:t>32.中标服务费</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09F60B11">
      <w:pPr>
        <w:spacing w:line="360" w:lineRule="exact"/>
        <w:ind w:left="420" w:hanging="420" w:hangingChars="1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14:paraId="33B1FA1A">
      <w:pPr>
        <w:pStyle w:val="4"/>
        <w:spacing w:before="0" w:after="0" w:line="360" w:lineRule="exact"/>
        <w:rPr>
          <w:rFonts w:hint="eastAsia" w:ascii="微软雅黑" w:hAnsi="微软雅黑" w:eastAsia="微软雅黑" w:cs="微软雅黑"/>
          <w:color w:val="auto"/>
          <w:highlight w:val="none"/>
          <w:u w:val="none"/>
        </w:rPr>
      </w:pPr>
      <w:bookmarkStart w:id="1693" w:name="_Toc11878"/>
      <w:bookmarkStart w:id="1694" w:name="_Toc24525"/>
      <w:bookmarkStart w:id="1695" w:name="_Toc19241"/>
      <w:bookmarkStart w:id="1696" w:name="_Toc23058"/>
      <w:bookmarkStart w:id="1697" w:name="_Toc17458"/>
      <w:bookmarkStart w:id="1698" w:name="_Toc10808"/>
      <w:bookmarkStart w:id="1699" w:name="_Toc19727"/>
      <w:bookmarkStart w:id="1700" w:name="_Toc16886"/>
      <w:bookmarkStart w:id="1701" w:name="_Toc3053"/>
      <w:bookmarkStart w:id="1702" w:name="_Toc8477"/>
      <w:bookmarkStart w:id="1703" w:name="_Toc19928"/>
      <w:bookmarkStart w:id="1704" w:name="_Toc6923"/>
      <w:bookmarkStart w:id="1705" w:name="_Toc14969"/>
      <w:bookmarkStart w:id="1706" w:name="_Toc27977"/>
      <w:bookmarkStart w:id="1707" w:name="_Toc9428"/>
      <w:bookmarkStart w:id="1708" w:name="_Toc16300"/>
      <w:bookmarkStart w:id="1709" w:name="_Toc7049"/>
      <w:bookmarkStart w:id="1710" w:name="_Toc20497"/>
      <w:bookmarkStart w:id="1711" w:name="_Toc20843"/>
      <w:bookmarkStart w:id="1712" w:name="_Toc10747"/>
      <w:bookmarkStart w:id="1713" w:name="_Toc4304"/>
      <w:bookmarkStart w:id="1714" w:name="_Toc2090"/>
      <w:bookmarkStart w:id="1715" w:name="_Toc8467"/>
      <w:bookmarkStart w:id="1716" w:name="_Toc3234"/>
      <w:bookmarkStart w:id="1717" w:name="_Toc30319"/>
      <w:bookmarkStart w:id="1718" w:name="_Toc14236"/>
      <w:bookmarkStart w:id="1719" w:name="_Toc26848"/>
      <w:bookmarkStart w:id="1720" w:name="_Toc31379"/>
      <w:bookmarkStart w:id="1721" w:name="_Toc1375"/>
      <w:bookmarkStart w:id="1722" w:name="_Toc29584"/>
      <w:bookmarkStart w:id="1723" w:name="_Toc11758"/>
      <w:bookmarkStart w:id="1724" w:name="_Toc28875"/>
      <w:bookmarkStart w:id="1725" w:name="_Toc18763"/>
      <w:bookmarkStart w:id="1726" w:name="_Toc24968"/>
      <w:bookmarkStart w:id="1727" w:name="_Toc4947"/>
      <w:bookmarkStart w:id="1728" w:name="_Toc17380"/>
      <w:bookmarkStart w:id="1729" w:name="_Toc3409"/>
      <w:bookmarkStart w:id="1730" w:name="_Toc10756"/>
      <w:bookmarkStart w:id="1731" w:name="_Toc7158"/>
      <w:bookmarkStart w:id="1732" w:name="_Toc515647795"/>
      <w:bookmarkStart w:id="1733" w:name="_Toc29061"/>
      <w:bookmarkStart w:id="1734" w:name="_Toc16900"/>
      <w:bookmarkStart w:id="1735" w:name="_Toc3584"/>
      <w:bookmarkStart w:id="1736" w:name="_Toc4272"/>
      <w:bookmarkStart w:id="1737" w:name="_Toc21385"/>
      <w:bookmarkStart w:id="1738" w:name="_Toc12571"/>
      <w:bookmarkStart w:id="1739" w:name="_Toc25819"/>
      <w:bookmarkStart w:id="1740" w:name="_Toc347"/>
      <w:bookmarkStart w:id="1741" w:name="_Toc4743"/>
      <w:bookmarkStart w:id="1742" w:name="_Toc23330"/>
      <w:bookmarkStart w:id="1743" w:name="_Toc31464"/>
      <w:r>
        <w:rPr>
          <w:rFonts w:hint="eastAsia" w:ascii="微软雅黑" w:hAnsi="微软雅黑" w:eastAsia="微软雅黑" w:cs="微软雅黑"/>
          <w:b/>
          <w:bCs/>
          <w:color w:val="auto"/>
          <w:highlight w:val="none"/>
          <w:u w:val="none"/>
        </w:rPr>
        <w:t>33.政府采购信用担保</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397F7986">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33.1本项目是否属于信用担保试点范围见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69475909">
      <w:pPr>
        <w:spacing w:line="360" w:lineRule="exact"/>
        <w:ind w:left="850" w:hanging="849" w:hangingChars="354"/>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33.2如属于政府采购信用担保试点范围内，中小型企业供应商可以自由按照财政部门的规定，采用投履约标担保、担保和融资担保。</w:t>
      </w:r>
    </w:p>
    <w:p w14:paraId="2E3B5868">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33.2.1供应商递交的投标担保函和履约担保函应符合本招标文件的规定。</w:t>
      </w:r>
    </w:p>
    <w:p w14:paraId="76B83B1D">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33.2.2中标人可以采取融资担保的形式为政府采购项目履约进行融资。</w:t>
      </w:r>
    </w:p>
    <w:p w14:paraId="45B61E2F">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33.2.3合格的政府采购专业信用担保机构名单见</w:t>
      </w:r>
      <w:r>
        <w:rPr>
          <w:rFonts w:hint="eastAsia" w:ascii="微软雅黑" w:hAnsi="微软雅黑" w:eastAsia="微软雅黑" w:cs="微软雅黑"/>
          <w:color w:val="auto"/>
          <w:sz w:val="24"/>
          <w:highlight w:val="none"/>
          <w:u w:val="single"/>
        </w:rPr>
        <w:t>供应商须知资料表</w:t>
      </w:r>
      <w:r>
        <w:rPr>
          <w:rFonts w:hint="eastAsia" w:ascii="微软雅黑" w:hAnsi="微软雅黑" w:eastAsia="微软雅黑" w:cs="微软雅黑"/>
          <w:color w:val="auto"/>
          <w:sz w:val="24"/>
          <w:highlight w:val="none"/>
        </w:rPr>
        <w:t>。</w:t>
      </w:r>
    </w:p>
    <w:p w14:paraId="3D5B0386">
      <w:pPr>
        <w:pStyle w:val="4"/>
        <w:spacing w:before="0" w:after="0" w:line="360" w:lineRule="exact"/>
        <w:rPr>
          <w:rFonts w:hint="eastAsia" w:ascii="微软雅黑" w:hAnsi="微软雅黑" w:eastAsia="微软雅黑" w:cs="微软雅黑"/>
          <w:color w:val="auto"/>
          <w:highlight w:val="none"/>
          <w:u w:val="none"/>
        </w:rPr>
      </w:pPr>
      <w:bookmarkStart w:id="1744" w:name="_Toc14723"/>
      <w:bookmarkStart w:id="1745" w:name="_Toc3864"/>
      <w:bookmarkStart w:id="1746" w:name="_Toc14483"/>
      <w:bookmarkStart w:id="1747" w:name="_Toc31346"/>
      <w:bookmarkStart w:id="1748" w:name="_Toc2133"/>
      <w:bookmarkStart w:id="1749" w:name="_Toc19548"/>
      <w:bookmarkStart w:id="1750" w:name="_Toc515647796"/>
      <w:bookmarkStart w:id="1751" w:name="_Toc27951"/>
      <w:bookmarkStart w:id="1752" w:name="_Toc14635"/>
      <w:bookmarkStart w:id="1753" w:name="_Toc5750"/>
      <w:bookmarkStart w:id="1754" w:name="_Toc31425"/>
      <w:bookmarkStart w:id="1755" w:name="_Toc22315"/>
      <w:bookmarkStart w:id="1756" w:name="_Toc3656"/>
      <w:bookmarkStart w:id="1757" w:name="_Toc9656"/>
      <w:bookmarkStart w:id="1758" w:name="_Toc11251"/>
      <w:bookmarkStart w:id="1759" w:name="_Toc27009"/>
      <w:bookmarkStart w:id="1760" w:name="_Toc373"/>
      <w:bookmarkStart w:id="1761" w:name="_Toc17836"/>
      <w:bookmarkStart w:id="1762" w:name="_Toc11552"/>
      <w:bookmarkStart w:id="1763" w:name="_Toc3890"/>
      <w:bookmarkStart w:id="1764" w:name="_Toc7386"/>
      <w:bookmarkStart w:id="1765" w:name="_Toc23999"/>
      <w:bookmarkStart w:id="1766" w:name="_Toc25142"/>
      <w:bookmarkStart w:id="1767" w:name="_Toc4520"/>
      <w:bookmarkStart w:id="1768" w:name="_Toc15111"/>
      <w:bookmarkStart w:id="1769" w:name="_Toc31178"/>
      <w:bookmarkStart w:id="1770" w:name="_Toc5262"/>
      <w:bookmarkStart w:id="1771" w:name="_Toc32224"/>
      <w:bookmarkStart w:id="1772" w:name="_Toc32494"/>
      <w:bookmarkStart w:id="1773" w:name="_Toc22695"/>
      <w:bookmarkStart w:id="1774" w:name="_Toc14026"/>
      <w:bookmarkStart w:id="1775" w:name="_Toc3616"/>
      <w:bookmarkStart w:id="1776" w:name="_Toc20454"/>
      <w:bookmarkStart w:id="1777" w:name="_Toc20629"/>
      <w:bookmarkStart w:id="1778" w:name="_Toc23161"/>
      <w:bookmarkStart w:id="1779" w:name="_Toc30439"/>
      <w:bookmarkStart w:id="1780" w:name="_Toc2096"/>
      <w:bookmarkStart w:id="1781" w:name="_Toc19640"/>
      <w:bookmarkStart w:id="1782" w:name="_Toc28863"/>
      <w:bookmarkStart w:id="1783" w:name="_Toc29108"/>
      <w:bookmarkStart w:id="1784" w:name="_Toc11707"/>
      <w:bookmarkStart w:id="1785" w:name="_Toc17185"/>
      <w:bookmarkStart w:id="1786" w:name="_Toc17608"/>
      <w:bookmarkStart w:id="1787" w:name="_Toc25791"/>
      <w:bookmarkStart w:id="1788" w:name="_Toc1382"/>
      <w:bookmarkStart w:id="1789" w:name="_Toc16769"/>
      <w:bookmarkStart w:id="1790" w:name="_Toc20411"/>
      <w:bookmarkStart w:id="1791" w:name="_Toc24970"/>
      <w:bookmarkStart w:id="1792" w:name="_Toc3588"/>
      <w:bookmarkStart w:id="1793" w:name="_Toc24369"/>
      <w:bookmarkStart w:id="1794" w:name="_Toc3655"/>
      <w:r>
        <w:rPr>
          <w:rFonts w:hint="eastAsia" w:ascii="微软雅黑" w:hAnsi="微软雅黑" w:eastAsia="微软雅黑" w:cs="微软雅黑"/>
          <w:b/>
          <w:bCs/>
          <w:color w:val="auto"/>
          <w:highlight w:val="none"/>
          <w:u w:val="none"/>
        </w:rPr>
        <w:t>34.廉洁自律规定</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26857A9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34.1采购代理机构工作人员不得以不正当手段获取政府采购代理业务，不得与采购人、供应商恶意串通操纵政府采购活动。</w:t>
      </w:r>
    </w:p>
    <w:p w14:paraId="1F4D035E">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34.2采购代理机构工作人员不得接受采购人或者供应商组织的宴请、旅游、娱乐，不得收受礼品、现金、有价证券等，不得向采购人或者供应商报销应当由个人承担的费用。</w:t>
      </w:r>
    </w:p>
    <w:p w14:paraId="1BF0247D">
      <w:pPr>
        <w:pStyle w:val="4"/>
        <w:spacing w:before="0" w:after="0" w:line="360" w:lineRule="exact"/>
        <w:rPr>
          <w:rFonts w:hint="eastAsia" w:ascii="微软雅黑" w:hAnsi="微软雅黑" w:eastAsia="微软雅黑" w:cs="微软雅黑"/>
          <w:color w:val="auto"/>
          <w:highlight w:val="none"/>
          <w:u w:val="none"/>
        </w:rPr>
      </w:pPr>
      <w:bookmarkStart w:id="1795" w:name="_Toc12862"/>
      <w:bookmarkStart w:id="1796" w:name="_Toc13673"/>
      <w:bookmarkStart w:id="1797" w:name="_Toc12148"/>
      <w:bookmarkStart w:id="1798" w:name="_Toc5069"/>
      <w:bookmarkStart w:id="1799" w:name="_Toc21508"/>
      <w:bookmarkStart w:id="1800" w:name="_Toc4826"/>
      <w:bookmarkStart w:id="1801" w:name="_Toc18671"/>
      <w:bookmarkStart w:id="1802" w:name="_Toc11586"/>
      <w:bookmarkStart w:id="1803" w:name="_Toc27281"/>
      <w:bookmarkStart w:id="1804" w:name="_Toc10476"/>
      <w:bookmarkStart w:id="1805" w:name="_Toc19971"/>
      <w:bookmarkStart w:id="1806" w:name="_Toc30009"/>
      <w:bookmarkStart w:id="1807" w:name="_Toc13739"/>
      <w:bookmarkStart w:id="1808" w:name="_Toc25480"/>
      <w:bookmarkStart w:id="1809" w:name="_Toc20360"/>
      <w:bookmarkStart w:id="1810" w:name="_Toc29018"/>
      <w:bookmarkStart w:id="1811" w:name="_Toc16681"/>
      <w:bookmarkStart w:id="1812" w:name="_Toc23126"/>
      <w:bookmarkStart w:id="1813" w:name="_Toc20945"/>
      <w:bookmarkStart w:id="1814" w:name="_Toc3126"/>
      <w:bookmarkStart w:id="1815" w:name="_Toc17225"/>
      <w:bookmarkStart w:id="1816" w:name="_Toc8153"/>
      <w:bookmarkStart w:id="1817" w:name="_Toc22848"/>
      <w:bookmarkStart w:id="1818" w:name="_Toc5448"/>
      <w:bookmarkStart w:id="1819" w:name="_Toc12422"/>
      <w:bookmarkStart w:id="1820" w:name="_Toc32157"/>
      <w:bookmarkStart w:id="1821" w:name="_Toc22500"/>
      <w:bookmarkStart w:id="1822" w:name="_Toc515647797"/>
      <w:bookmarkStart w:id="1823" w:name="_Toc17331"/>
      <w:bookmarkStart w:id="1824" w:name="_Toc12322"/>
      <w:bookmarkStart w:id="1825" w:name="_Toc22350"/>
      <w:bookmarkStart w:id="1826" w:name="_Toc3319"/>
      <w:bookmarkStart w:id="1827" w:name="_Toc6322"/>
      <w:bookmarkStart w:id="1828" w:name="_Toc10502"/>
      <w:bookmarkStart w:id="1829" w:name="_Toc1987"/>
      <w:bookmarkStart w:id="1830" w:name="_Toc11373"/>
      <w:bookmarkStart w:id="1831" w:name="_Toc14265"/>
      <w:bookmarkStart w:id="1832" w:name="_Toc17079"/>
      <w:bookmarkStart w:id="1833" w:name="_Toc13411"/>
      <w:bookmarkStart w:id="1834" w:name="_Toc17682"/>
      <w:bookmarkStart w:id="1835" w:name="_Toc27260"/>
      <w:bookmarkStart w:id="1836" w:name="_Toc13237"/>
      <w:bookmarkStart w:id="1837" w:name="_Toc18549"/>
      <w:bookmarkStart w:id="1838" w:name="_Toc22587"/>
      <w:bookmarkStart w:id="1839" w:name="_Toc19341"/>
      <w:bookmarkStart w:id="1840" w:name="_Toc10858"/>
      <w:bookmarkStart w:id="1841" w:name="_Toc15069"/>
      <w:bookmarkStart w:id="1842" w:name="_Toc18926"/>
      <w:bookmarkStart w:id="1843" w:name="_Toc23695"/>
      <w:bookmarkStart w:id="1844" w:name="_Toc19382"/>
      <w:bookmarkStart w:id="1845" w:name="_Toc27794"/>
      <w:r>
        <w:rPr>
          <w:rFonts w:hint="eastAsia" w:ascii="微软雅黑" w:hAnsi="微软雅黑" w:eastAsia="微软雅黑" w:cs="微软雅黑"/>
          <w:b/>
          <w:bCs/>
          <w:color w:val="auto"/>
          <w:highlight w:val="none"/>
          <w:u w:val="none"/>
        </w:rPr>
        <w:t>35.人员回避</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p>
    <w:p w14:paraId="3538D171">
      <w:pP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供应商认为采购人员及其相关人员有法律法规所列与其他供应商有利害关系的，可以向采购人或采购代理机构书面提出回避申请，并说明理由。</w:t>
      </w:r>
    </w:p>
    <w:p w14:paraId="4215E2DB">
      <w:pPr>
        <w:pStyle w:val="4"/>
        <w:spacing w:before="0" w:after="0" w:line="360" w:lineRule="exact"/>
        <w:rPr>
          <w:rFonts w:hint="eastAsia" w:ascii="微软雅黑" w:hAnsi="微软雅黑" w:eastAsia="微软雅黑" w:cs="微软雅黑"/>
          <w:b/>
          <w:bCs/>
          <w:color w:val="auto"/>
          <w:highlight w:val="none"/>
          <w:u w:val="none"/>
        </w:rPr>
      </w:pPr>
      <w:bookmarkStart w:id="1846" w:name="_Toc31362"/>
      <w:bookmarkStart w:id="1847" w:name="_Toc6387"/>
      <w:bookmarkStart w:id="1848" w:name="_Toc21344"/>
      <w:bookmarkStart w:id="1849" w:name="_Toc9865"/>
      <w:bookmarkStart w:id="1850" w:name="_Toc16276"/>
      <w:bookmarkStart w:id="1851" w:name="_Toc7870"/>
      <w:bookmarkStart w:id="1852" w:name="_Toc16397"/>
      <w:bookmarkStart w:id="1853" w:name="_Toc12880"/>
      <w:bookmarkStart w:id="1854" w:name="_Toc26437"/>
      <w:bookmarkStart w:id="1855" w:name="_Toc24245"/>
      <w:bookmarkStart w:id="1856" w:name="_Toc14293"/>
      <w:bookmarkStart w:id="1857" w:name="_Toc22831"/>
      <w:bookmarkStart w:id="1858" w:name="_Toc5964"/>
      <w:bookmarkStart w:id="1859" w:name="_Toc21609"/>
      <w:bookmarkStart w:id="1860" w:name="_Toc30943"/>
      <w:bookmarkStart w:id="1861" w:name="_Toc20821"/>
      <w:bookmarkStart w:id="1862" w:name="_Toc30649"/>
      <w:bookmarkStart w:id="1863" w:name="_Toc12727"/>
      <w:bookmarkStart w:id="1864" w:name="_Toc1551"/>
      <w:bookmarkStart w:id="1865" w:name="_Toc15630"/>
      <w:bookmarkStart w:id="1866" w:name="_Toc14457"/>
      <w:bookmarkStart w:id="1867" w:name="_Toc22465"/>
      <w:bookmarkStart w:id="1868" w:name="_Toc10001"/>
      <w:bookmarkStart w:id="1869" w:name="_Toc27328"/>
      <w:bookmarkStart w:id="1870" w:name="_Toc23703"/>
      <w:bookmarkStart w:id="1871" w:name="_Toc15187"/>
      <w:bookmarkStart w:id="1872" w:name="_Toc22579"/>
      <w:bookmarkStart w:id="1873" w:name="_Toc22349"/>
      <w:bookmarkStart w:id="1874" w:name="_Toc1871"/>
      <w:bookmarkStart w:id="1875" w:name="_Toc8991"/>
      <w:bookmarkStart w:id="1876" w:name="_Toc8352"/>
      <w:bookmarkStart w:id="1877" w:name="_Toc3474"/>
      <w:bookmarkStart w:id="1878" w:name="_Toc6462"/>
      <w:bookmarkStart w:id="1879" w:name="_Toc16585"/>
      <w:bookmarkStart w:id="1880" w:name="_Toc23326"/>
      <w:bookmarkStart w:id="1881" w:name="_Toc32705"/>
      <w:bookmarkStart w:id="1882" w:name="_Toc22884"/>
      <w:bookmarkStart w:id="1883" w:name="_Toc18015"/>
      <w:bookmarkStart w:id="1884" w:name="_Toc6634"/>
      <w:bookmarkStart w:id="1885" w:name="_Toc20150"/>
      <w:bookmarkStart w:id="1886" w:name="_Toc19564"/>
      <w:bookmarkStart w:id="1887" w:name="_Toc10715"/>
      <w:bookmarkStart w:id="1888" w:name="_Toc5814"/>
      <w:bookmarkStart w:id="1889" w:name="_Toc12470"/>
      <w:bookmarkStart w:id="1890" w:name="_Toc8612"/>
      <w:bookmarkStart w:id="1891" w:name="_Toc1162"/>
      <w:bookmarkStart w:id="1892" w:name="_Toc26250"/>
      <w:bookmarkStart w:id="1893" w:name="_Toc28986"/>
      <w:r>
        <w:rPr>
          <w:rFonts w:hint="eastAsia" w:ascii="微软雅黑" w:hAnsi="微软雅黑" w:eastAsia="微软雅黑" w:cs="微软雅黑"/>
          <w:b/>
          <w:bCs/>
          <w:color w:val="auto"/>
          <w:highlight w:val="none"/>
          <w:u w:val="none"/>
        </w:rPr>
        <w:t>36.</w:t>
      </w:r>
      <w:bookmarkEnd w:id="1846"/>
      <w:r>
        <w:rPr>
          <w:rFonts w:hint="eastAsia" w:ascii="微软雅黑" w:hAnsi="微软雅黑" w:eastAsia="微软雅黑" w:cs="微软雅黑"/>
          <w:b/>
          <w:bCs/>
          <w:color w:val="auto"/>
          <w:highlight w:val="none"/>
          <w:u w:val="none"/>
        </w:rPr>
        <w:t>质疑与接收</w:t>
      </w:r>
      <w:bookmarkEnd w:id="25"/>
      <w:bookmarkEnd w:id="26"/>
      <w:bookmarkEnd w:id="27"/>
      <w:bookmarkEnd w:id="28"/>
      <w:bookmarkEnd w:id="29"/>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p w14:paraId="0800D58B">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DBE5ECE">
      <w:pPr>
        <w:pStyle w:val="52"/>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FBAE2A3">
      <w:pPr>
        <w:pStyle w:val="52"/>
        <w:spacing w:line="360" w:lineRule="exact"/>
        <w:ind w:left="720" w:hanging="72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674210BD">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1E441401">
      <w:pPr>
        <w:spacing w:line="360" w:lineRule="exact"/>
        <w:ind w:left="720" w:hanging="720" w:hangingChars="3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36.5采购代理机构质疑函接收部门、联系电话和通讯地址,见</w:t>
      </w:r>
      <w:r>
        <w:rPr>
          <w:rFonts w:hint="eastAsia" w:ascii="微软雅黑" w:hAnsi="微软雅黑" w:eastAsia="微软雅黑" w:cs="微软雅黑"/>
          <w:color w:val="auto"/>
          <w:sz w:val="24"/>
          <w:highlight w:val="none"/>
          <w:u w:val="single"/>
        </w:rPr>
        <w:t>供应商须知资料表。</w:t>
      </w:r>
    </w:p>
    <w:p w14:paraId="7876C0D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36.6供应商认为采购文件、采购过程和中标结果使自己的权益受到损害的，可以在知道或者应知其权益受到损害之日起7个工作日内，以书面形式向采购方提出质疑。供应商应知其权益受到损害之日，是指：</w:t>
      </w:r>
    </w:p>
    <w:p w14:paraId="2A01E629">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14:paraId="61C0989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14:paraId="4AB60E66">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14:paraId="32220DA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36.7供应商在法定质疑期内只能一次性提出针对同一采购程序环节的质疑，否则不予受理。</w:t>
      </w:r>
    </w:p>
    <w:p w14:paraId="0230CC33">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36.8对可以质疑的采购文件提出质疑的，质疑人为参与本项目的报价方或潜在报价方。可质疑的文件为采购公告以及采购文件（包括属于其组成部分的澄清、修改、补充文件和评审标准、合同文本等）。</w:t>
      </w:r>
    </w:p>
    <w:p w14:paraId="7549017C">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36.9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1547567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36.10提出质疑应当符合下列条件：</w:t>
      </w:r>
    </w:p>
    <w:p w14:paraId="60D21A92">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14:paraId="0428B40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14:paraId="60DC1DF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14:paraId="7AB2F6D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14:paraId="0A02CECB">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36.11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5CF9E9E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36.12质疑人所提供的证明材料应当具有真实性、合法性以及与质疑事项的关联性和证明力，否则不能作为认定该质疑事项成立的依据。</w:t>
      </w:r>
    </w:p>
    <w:p w14:paraId="487EA388">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36.13质疑人提出质疑时应当提交质疑函。质疑函包括下列内容：</w:t>
      </w:r>
    </w:p>
    <w:p w14:paraId="7EEE655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14:paraId="1260E54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14:paraId="0309DD7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14:paraId="77BBCF4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14:paraId="1359BDB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14:paraId="7CDB9384">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14:paraId="1D9A1637">
      <w:pPr>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质疑函采用实名制。质疑人为自然人的应当由本人签字，并附有效身份证明文件；质疑人为法定代表人或者非法定代表人组织的应当由法定代表人或者负责人签字并加盖公章，并附有效身份证明文件。</w:t>
      </w:r>
    </w:p>
    <w:p w14:paraId="4DAEFCD2">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36.14质疑人可以委托代理人进行质疑。代理人应当提交授权委托书。授权委托书应当载明委托代理的具体权限、期限和相关事项。</w:t>
      </w:r>
    </w:p>
    <w:p w14:paraId="41C02E5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36.15质疑的审查和受理</w:t>
      </w:r>
    </w:p>
    <w:p w14:paraId="10FD6A00">
      <w:pPr>
        <w:spacing w:line="360" w:lineRule="exact"/>
        <w:ind w:left="718" w:leftChars="342"/>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14:paraId="7514542B">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36.16对不符合质疑受理条件的，分别按照下列不同情形予以处理：</w:t>
      </w:r>
    </w:p>
    <w:p w14:paraId="60743C4C">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14:paraId="6FA82781">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14:paraId="4638E68E">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14:paraId="3700195A">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14:paraId="5A852B1B">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14:paraId="648E9243">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14:paraId="6C87AB02">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36.17质疑的处理和答复</w:t>
      </w:r>
    </w:p>
    <w:p w14:paraId="763E9928">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36.18采购方受理质疑后，将及时把质疑函发送给被质疑人，并要求其在一定限期内提交书面答复，同时提供有关证据、依据和相关材料。</w:t>
      </w:r>
    </w:p>
    <w:p w14:paraId="0E8566AE">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36.19对于质疑事项中涉及的问题较多、情况比较复杂的，为了全面查清事实、取得充分的证据，采购方认为有必要时，可以进行调查取证或者组织质证。</w:t>
      </w:r>
    </w:p>
    <w:p w14:paraId="154770B1">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36.20对评审过程、中标结果提出质疑的，采购方可以组织原评审委员会协助答复质疑。</w:t>
      </w:r>
    </w:p>
    <w:p w14:paraId="3B428075">
      <w:pPr>
        <w:spacing w:line="36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36.21质疑处理过程中，质疑人书面申请撤回质疑的，将终止质疑处理程序。</w:t>
      </w:r>
    </w:p>
    <w:p w14:paraId="0765059C">
      <w:pPr>
        <w:spacing w:line="360" w:lineRule="exact"/>
        <w:ind w:left="960" w:hanging="960" w:hangingChars="4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36.22质疑人拒绝配合采购方依法对质疑进行调查处理的，采购方将按质疑人自动撤回质疑处理；被质疑人拒绝配合采购方依法对质疑进行调查处理的，采购方将视同其认可质疑事项。</w:t>
      </w:r>
    </w:p>
    <w:p w14:paraId="745BDBCA">
      <w:pPr>
        <w:spacing w:line="360" w:lineRule="exact"/>
        <w:ind w:left="720" w:hanging="720" w:hangingChars="3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36.23质疑人拒绝配合采购方依法对质疑进行调查处理的，采购方将按质疑人自动撤回质疑处理；被质疑人拒绝配合采购方依法对质疑进行调查处理的，采购方将视同其认可质疑事项。</w:t>
      </w:r>
    </w:p>
    <w:p w14:paraId="5A5BF8AB">
      <w:pPr>
        <w:spacing w:line="360" w:lineRule="exact"/>
        <w:jc w:val="lef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highlight w:val="none"/>
        </w:rPr>
        <w:t>36.24采购方将在正式受理质疑后7个工作日内作出答复。</w:t>
      </w:r>
    </w:p>
    <w:p w14:paraId="7E397792">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36.25质疑答复应当包括下列内容：</w:t>
      </w:r>
    </w:p>
    <w:p w14:paraId="3A4C1325">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14:paraId="652774CF">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14:paraId="67EA4127">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14:paraId="1BBE6075">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14:paraId="2FEFDA93">
      <w:pPr>
        <w:pStyle w:val="52"/>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14:paraId="20A8291C">
      <w:pPr>
        <w:pStyle w:val="52"/>
        <w:spacing w:line="360" w:lineRule="exact"/>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14:paraId="5216A065">
      <w:pPr>
        <w:rPr>
          <w:rFonts w:hint="eastAsia" w:ascii="微软雅黑" w:hAnsi="微软雅黑" w:eastAsia="微软雅黑" w:cs="微软雅黑"/>
          <w:b/>
          <w:bCs/>
          <w:color w:val="auto"/>
          <w:sz w:val="24"/>
          <w:highlight w:val="none"/>
        </w:rPr>
      </w:pPr>
      <w:bookmarkStart w:id="1894" w:name="_Toc18518"/>
      <w:bookmarkStart w:id="1895" w:name="_Toc17121"/>
      <w:bookmarkStart w:id="1896" w:name="_Toc8353"/>
      <w:bookmarkStart w:id="1897" w:name="_Toc32358"/>
      <w:bookmarkStart w:id="1898" w:name="_Toc27601"/>
      <w:bookmarkStart w:id="1899" w:name="_Toc15112"/>
      <w:bookmarkStart w:id="1900" w:name="_Toc30512"/>
      <w:bookmarkStart w:id="1901" w:name="_Toc2500"/>
      <w:bookmarkStart w:id="1902" w:name="_Toc12088"/>
      <w:bookmarkStart w:id="1903" w:name="_Toc23411"/>
      <w:bookmarkStart w:id="1904" w:name="_Toc1369"/>
      <w:bookmarkStart w:id="1905" w:name="_Toc24854"/>
      <w:bookmarkStart w:id="1906" w:name="_Toc9437"/>
      <w:bookmarkStart w:id="1907" w:name="_Toc16553"/>
      <w:bookmarkStart w:id="1908" w:name="_Toc14357"/>
      <w:bookmarkStart w:id="1909" w:name="_Toc1819"/>
      <w:bookmarkStart w:id="1910" w:name="_Toc22908"/>
      <w:bookmarkStart w:id="1911" w:name="_Toc6170"/>
      <w:bookmarkStart w:id="1912" w:name="_Toc6589"/>
      <w:bookmarkStart w:id="1913" w:name="_Toc11468"/>
      <w:bookmarkStart w:id="1914" w:name="_Toc30093"/>
      <w:bookmarkStart w:id="1915" w:name="_Toc3696"/>
      <w:bookmarkStart w:id="1916" w:name="_Toc2799"/>
      <w:bookmarkStart w:id="1917" w:name="_Toc11297"/>
      <w:bookmarkStart w:id="1918" w:name="_Toc25636"/>
      <w:bookmarkStart w:id="1919" w:name="_Toc21687"/>
      <w:bookmarkStart w:id="1920" w:name="_Toc2072"/>
      <w:bookmarkStart w:id="1921" w:name="_Toc17298"/>
      <w:bookmarkStart w:id="1922" w:name="_Toc9246"/>
      <w:r>
        <w:rPr>
          <w:rFonts w:hint="eastAsia" w:ascii="微软雅黑" w:hAnsi="微软雅黑" w:eastAsia="微软雅黑" w:cs="微软雅黑"/>
          <w:b/>
          <w:bCs/>
          <w:color w:val="auto"/>
          <w:sz w:val="24"/>
          <w:highlight w:val="none"/>
        </w:rPr>
        <w:br w:type="page"/>
      </w:r>
    </w:p>
    <w:p w14:paraId="148CFE57">
      <w:pPr>
        <w:spacing w:line="360" w:lineRule="exact"/>
        <w:jc w:val="center"/>
        <w:outlineLvl w:val="2"/>
        <w:rPr>
          <w:rFonts w:hint="eastAsia" w:ascii="微软雅黑" w:hAnsi="微软雅黑" w:eastAsia="微软雅黑" w:cs="微软雅黑"/>
          <w:b/>
          <w:bCs/>
          <w:color w:val="auto"/>
          <w:sz w:val="24"/>
          <w:highlight w:val="none"/>
        </w:rPr>
      </w:pPr>
      <w:bookmarkStart w:id="1923" w:name="_Toc20792"/>
      <w:bookmarkStart w:id="1924" w:name="_Toc562"/>
      <w:bookmarkStart w:id="1925" w:name="_Toc9903"/>
      <w:bookmarkStart w:id="1926" w:name="_Toc24249"/>
      <w:bookmarkStart w:id="1927" w:name="_Toc16650"/>
      <w:bookmarkStart w:id="1928" w:name="_Toc7063"/>
      <w:bookmarkStart w:id="1929" w:name="_Toc17807"/>
      <w:bookmarkStart w:id="1930" w:name="_Toc22406"/>
      <w:bookmarkStart w:id="1931" w:name="_Toc17851"/>
      <w:bookmarkStart w:id="1932" w:name="_Toc32687"/>
      <w:bookmarkStart w:id="1933" w:name="_Toc772"/>
      <w:bookmarkStart w:id="1934" w:name="_Toc24027"/>
      <w:bookmarkStart w:id="1935" w:name="_Toc26833"/>
      <w:bookmarkStart w:id="1936" w:name="_Toc29825"/>
      <w:bookmarkStart w:id="1937" w:name="_Toc25582"/>
      <w:bookmarkStart w:id="1938" w:name="_Toc5968"/>
      <w:bookmarkStart w:id="1939" w:name="_Toc26009"/>
      <w:bookmarkStart w:id="1940" w:name="_Toc17935"/>
      <w:bookmarkStart w:id="1941" w:name="_Toc2670"/>
      <w:bookmarkStart w:id="1942" w:name="_Toc5070"/>
      <w:bookmarkStart w:id="1943" w:name="_Toc2809"/>
      <w:bookmarkStart w:id="1944" w:name="_Toc32664"/>
      <w:bookmarkStart w:id="1945" w:name="_Toc11474"/>
      <w:r>
        <w:rPr>
          <w:rFonts w:hint="eastAsia" w:ascii="微软雅黑" w:hAnsi="微软雅黑" w:eastAsia="微软雅黑" w:cs="微软雅黑"/>
          <w:b/>
          <w:bCs/>
          <w:color w:val="auto"/>
          <w:sz w:val="24"/>
          <w:highlight w:val="none"/>
        </w:rPr>
        <w:t>质疑函范本</w:t>
      </w:r>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6426D065">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14:paraId="3ADD4E24">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p>
    <w:p w14:paraId="5A043555">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23E41BD0">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联系人：联系电话：</w:t>
      </w:r>
    </w:p>
    <w:p w14:paraId="065EC034">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p>
    <w:p w14:paraId="5EE3F314">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p>
    <w:p w14:paraId="12DDC14E">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地址：邮编：</w:t>
      </w:r>
    </w:p>
    <w:p w14:paraId="73436362">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14:paraId="3D1A6214">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p>
    <w:p w14:paraId="2BFCDE2C">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质疑项目的编号：包号：</w:t>
      </w:r>
    </w:p>
    <w:p w14:paraId="79629CBA">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采购人名称：</w:t>
      </w:r>
    </w:p>
    <w:p w14:paraId="3B3FA905">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采购文件获取日期：</w:t>
      </w:r>
    </w:p>
    <w:p w14:paraId="1F9A9033">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14:paraId="3C85DD9A">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p>
    <w:p w14:paraId="4B47AC0B">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p>
    <w:p w14:paraId="7E0D7127">
      <w:pPr>
        <w:adjustRightInd w:val="0"/>
        <w:snapToGrid w:val="0"/>
        <w:spacing w:line="360" w:lineRule="exact"/>
        <w:rPr>
          <w:rFonts w:hint="eastAsia" w:ascii="微软雅黑" w:hAnsi="微软雅黑" w:eastAsia="微软雅黑" w:cs="微软雅黑"/>
          <w:color w:val="auto"/>
          <w:sz w:val="24"/>
          <w:highlight w:val="none"/>
        </w:rPr>
      </w:pPr>
    </w:p>
    <w:p w14:paraId="42354E79">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法律依据：</w:t>
      </w:r>
    </w:p>
    <w:p w14:paraId="196D2F29">
      <w:pPr>
        <w:adjustRightInd w:val="0"/>
        <w:snapToGrid w:val="0"/>
        <w:spacing w:line="360" w:lineRule="exact"/>
        <w:rPr>
          <w:rFonts w:hint="eastAsia" w:ascii="微软雅黑" w:hAnsi="微软雅黑" w:eastAsia="微软雅黑" w:cs="微软雅黑"/>
          <w:color w:val="auto"/>
          <w:sz w:val="24"/>
          <w:highlight w:val="none"/>
          <w:u w:val="dotted"/>
        </w:rPr>
      </w:pPr>
    </w:p>
    <w:p w14:paraId="13867977">
      <w:pPr>
        <w:adjustRightInd w:val="0"/>
        <w:snapToGrid w:val="0"/>
        <w:spacing w:line="360" w:lineRule="exact"/>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14:paraId="1D578B1B">
      <w:pPr>
        <w:adjustRightInd w:val="0"/>
        <w:snapToGrid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4A4BD7A4">
      <w:pPr>
        <w:adjustRightInd w:val="0"/>
        <w:snapToGrid w:val="0"/>
        <w:spacing w:line="360" w:lineRule="exact"/>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14:paraId="7C04CE62">
      <w:pPr>
        <w:adjustRightInd w:val="0"/>
        <w:snapToGrid w:val="0"/>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请求：</w:t>
      </w:r>
    </w:p>
    <w:p w14:paraId="0748E596">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签字(签章)：公章：</w:t>
      </w:r>
    </w:p>
    <w:p w14:paraId="59C178D8">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p>
    <w:p w14:paraId="665A33B2">
      <w:pPr>
        <w:spacing w:line="360" w:lineRule="exact"/>
        <w:rPr>
          <w:rFonts w:hint="eastAsia" w:ascii="微软雅黑" w:hAnsi="微软雅黑" w:eastAsia="微软雅黑" w:cs="微软雅黑"/>
          <w:b/>
          <w:color w:val="auto"/>
          <w:sz w:val="24"/>
          <w:highlight w:val="none"/>
        </w:rPr>
      </w:pPr>
    </w:p>
    <w:p w14:paraId="74AAEBCB">
      <w:pPr>
        <w:spacing w:line="36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14:paraId="225C51DB">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14:paraId="1E43C0CA">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14:paraId="088111EF">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14:paraId="44C11ED1">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14:paraId="000C39B5">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14:paraId="5A1AE948">
      <w:pPr>
        <w:widowControl/>
        <w:spacing w:line="36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6.质疑供应商为自然人的，质疑函应由本人签字；质疑供应商为法定代表人或者其他组织的，质疑函应由法定代表人、主要负责人，或者其授权代表签字或者盖章，并加盖公章。</w:t>
      </w:r>
    </w:p>
    <w:p w14:paraId="453A74D8">
      <w:pPr>
        <w:pStyle w:val="2"/>
        <w:spacing w:before="0" w:after="0" w:line="240" w:lineRule="atLeast"/>
        <w:rPr>
          <w:rFonts w:hint="eastAsia" w:ascii="微软雅黑" w:hAnsi="微软雅黑" w:eastAsia="微软雅黑" w:cs="微软雅黑"/>
          <w:b/>
          <w:bCs/>
          <w:color w:val="auto"/>
          <w:szCs w:val="32"/>
          <w:highlight w:val="none"/>
        </w:rPr>
      </w:pPr>
      <w:bookmarkStart w:id="1946" w:name="_Toc17259"/>
      <w:bookmarkStart w:id="1947" w:name="_Toc702"/>
      <w:bookmarkStart w:id="1948" w:name="_Toc216582812"/>
      <w:bookmarkStart w:id="1949" w:name="_Toc728"/>
      <w:bookmarkStart w:id="1950" w:name="_Toc515647802"/>
      <w:bookmarkStart w:id="1951" w:name="_Toc10160"/>
      <w:bookmarkStart w:id="1952" w:name="_Toc3574"/>
      <w:bookmarkStart w:id="1953" w:name="_Toc29770"/>
      <w:r>
        <w:rPr>
          <w:rFonts w:hint="eastAsia" w:ascii="微软雅黑" w:hAnsi="微软雅黑" w:eastAsia="微软雅黑" w:cs="微软雅黑"/>
          <w:b/>
          <w:bCs/>
          <w:color w:val="auto"/>
          <w:szCs w:val="32"/>
          <w:highlight w:val="none"/>
        </w:rPr>
        <w:t>第2章投标文件格式</w:t>
      </w:r>
      <w:bookmarkEnd w:id="1946"/>
      <w:bookmarkEnd w:id="1947"/>
      <w:bookmarkEnd w:id="1948"/>
      <w:bookmarkEnd w:id="1949"/>
      <w:bookmarkEnd w:id="1950"/>
      <w:bookmarkEnd w:id="1951"/>
      <w:bookmarkEnd w:id="1952"/>
      <w:bookmarkEnd w:id="1953"/>
    </w:p>
    <w:p w14:paraId="162B8060">
      <w:pPr>
        <w:pStyle w:val="3"/>
        <w:spacing w:before="0" w:line="240" w:lineRule="atLeast"/>
        <w:ind w:left="1080" w:leftChars="257" w:hanging="540"/>
        <w:rPr>
          <w:rFonts w:hint="eastAsia" w:ascii="微软雅黑" w:hAnsi="微软雅黑" w:eastAsia="微软雅黑" w:cs="微软雅黑"/>
          <w:color w:val="auto"/>
          <w:szCs w:val="21"/>
          <w:highlight w:val="none"/>
        </w:rPr>
      </w:pPr>
      <w:bookmarkStart w:id="1954" w:name="_Toc515647803"/>
      <w:bookmarkStart w:id="1955" w:name="_Toc18974"/>
      <w:bookmarkStart w:id="1956" w:name="_Toc16217"/>
      <w:bookmarkStart w:id="1957" w:name="_Toc9854"/>
      <w:bookmarkStart w:id="1958" w:name="_Toc22572"/>
      <w:bookmarkStart w:id="1959" w:name="_Toc32079"/>
      <w:bookmarkStart w:id="1960" w:name="_Toc32123"/>
      <w:bookmarkStart w:id="1961" w:name="_Toc18694"/>
      <w:bookmarkStart w:id="1962" w:name="_Toc21614"/>
      <w:bookmarkStart w:id="1963" w:name="_Toc515647804"/>
      <w:bookmarkStart w:id="1964" w:name="_Toc30630"/>
      <w:bookmarkStart w:id="1965" w:name="_Toc11138"/>
      <w:bookmarkStart w:id="1966" w:name="_Toc29091"/>
      <w:bookmarkStart w:id="1967" w:name="_Toc14118"/>
      <w:bookmarkStart w:id="1968" w:name="_Toc16568"/>
      <w:bookmarkStart w:id="1969" w:name="_Toc30524"/>
      <w:bookmarkStart w:id="1970" w:name="_Toc16750"/>
      <w:bookmarkStart w:id="1971" w:name="_Toc3620"/>
      <w:bookmarkStart w:id="1972" w:name="_Toc522"/>
      <w:bookmarkStart w:id="1973" w:name="_Toc13595"/>
      <w:bookmarkStart w:id="1974" w:name="_Toc520356217"/>
      <w:bookmarkStart w:id="1975" w:name="_Ref467988698"/>
      <w:bookmarkStart w:id="1976" w:name="_Toc216582813"/>
      <w:bookmarkStart w:id="1977" w:name="_Toc480942349"/>
      <w:r>
        <w:rPr>
          <w:rFonts w:hint="eastAsia" w:ascii="微软雅黑" w:hAnsi="微软雅黑" w:eastAsia="微软雅黑" w:cs="微软雅黑"/>
          <w:color w:val="auto"/>
          <w:sz w:val="28"/>
          <w:szCs w:val="28"/>
          <w:highlight w:val="none"/>
        </w:rPr>
        <w:t>第一部分开标一览表及资格证明文件</w:t>
      </w:r>
      <w:bookmarkEnd w:id="1954"/>
      <w:bookmarkEnd w:id="1955"/>
      <w:bookmarkEnd w:id="1956"/>
      <w:bookmarkEnd w:id="1957"/>
      <w:bookmarkEnd w:id="1958"/>
      <w:bookmarkEnd w:id="1959"/>
      <w:bookmarkEnd w:id="1960"/>
      <w:bookmarkEnd w:id="1961"/>
    </w:p>
    <w:bookmarkEnd w:id="1962"/>
    <w:bookmarkEnd w:id="1963"/>
    <w:bookmarkEnd w:id="1964"/>
    <w:bookmarkEnd w:id="1965"/>
    <w:bookmarkEnd w:id="1966"/>
    <w:bookmarkEnd w:id="1967"/>
    <w:bookmarkEnd w:id="1968"/>
    <w:bookmarkEnd w:id="1969"/>
    <w:bookmarkEnd w:id="1970"/>
    <w:bookmarkEnd w:id="1971"/>
    <w:bookmarkEnd w:id="1972"/>
    <w:bookmarkEnd w:id="1973"/>
    <w:p w14:paraId="4E67322B">
      <w:pPr>
        <w:tabs>
          <w:tab w:val="left" w:pos="5580"/>
        </w:tabs>
        <w:spacing w:line="300" w:lineRule="exact"/>
        <w:ind w:firstLine="480" w:firstLineChars="200"/>
        <w:rPr>
          <w:rFonts w:hint="eastAsia" w:ascii="微软雅黑" w:hAnsi="微软雅黑" w:eastAsia="微软雅黑" w:cs="微软雅黑"/>
          <w:color w:val="auto"/>
          <w:sz w:val="24"/>
          <w:highlight w:val="none"/>
        </w:rPr>
      </w:pPr>
      <w:bookmarkStart w:id="1978" w:name="_Toc18263"/>
      <w:bookmarkStart w:id="1979" w:name="_Toc515647816"/>
      <w:bookmarkStart w:id="1980" w:name="_Toc11180"/>
      <w:bookmarkStart w:id="1981" w:name="_Toc30653"/>
      <w:bookmarkStart w:id="1982" w:name="_Toc15346"/>
      <w:bookmarkStart w:id="1983" w:name="_Toc22967"/>
      <w:r>
        <w:rPr>
          <w:rFonts w:hint="eastAsia" w:ascii="微软雅黑" w:hAnsi="微软雅黑" w:eastAsia="微软雅黑" w:cs="微软雅黑"/>
          <w:color w:val="auto"/>
          <w:kern w:val="0"/>
          <w:sz w:val="24"/>
          <w:highlight w:val="none"/>
        </w:rPr>
        <w:t>1、开标一览表</w:t>
      </w:r>
      <w:r>
        <w:rPr>
          <w:rFonts w:hint="eastAsia" w:ascii="微软雅黑" w:hAnsi="微软雅黑" w:eastAsia="微软雅黑" w:cs="微软雅黑"/>
          <w:color w:val="auto"/>
          <w:sz w:val="24"/>
          <w:highlight w:val="none"/>
        </w:rPr>
        <w:t>;</w:t>
      </w:r>
    </w:p>
    <w:p w14:paraId="3996B343">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2、具有有效的营业执照；</w:t>
      </w:r>
    </w:p>
    <w:p w14:paraId="7CE3A353">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r>
        <w:rPr>
          <w:rFonts w:hint="eastAsia" w:ascii="微软雅黑" w:hAnsi="微软雅黑" w:eastAsia="微软雅黑" w:cs="微软雅黑"/>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z w:val="24"/>
          <w:highlight w:val="none"/>
        </w:rPr>
        <w:t>；</w:t>
      </w:r>
    </w:p>
    <w:p w14:paraId="10D2B81E">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r>
        <w:rPr>
          <w:rFonts w:hint="eastAsia" w:ascii="微软雅黑" w:hAnsi="微软雅黑" w:eastAsia="微软雅黑" w:cs="微软雅黑"/>
          <w:color w:val="auto"/>
          <w:sz w:val="24"/>
          <w:highlight w:val="none"/>
          <w:lang w:eastAsia="zh-CN"/>
        </w:rPr>
        <w:t>提供2024年或2025年任意一年完整的财务审计报告，成立时间未满十二个月的公司可提供近三个月内任意一个月的银行资信证明；</w:t>
      </w:r>
    </w:p>
    <w:p w14:paraId="5C9D2E61">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5、提供依法缴纳近6个月任意1个月社会保险的证明；</w:t>
      </w:r>
    </w:p>
    <w:p w14:paraId="559D6AEB">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6、提供依法缴纳近6个月任意1个月的税收证明；</w:t>
      </w:r>
    </w:p>
    <w:p w14:paraId="6DCBD471">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3D26D71A">
      <w:pPr>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8、提供参加政府采购活动前3年内在经营活动中没有重大违法记录的书面声明函；</w:t>
      </w:r>
    </w:p>
    <w:p w14:paraId="7001D191">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9、提供缴纳投标保证金有效凭证；</w:t>
      </w:r>
    </w:p>
    <w:p w14:paraId="40FFA0F9">
      <w:pPr>
        <w:spacing w:line="3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10、</w:t>
      </w:r>
      <w:r>
        <w:rPr>
          <w:rFonts w:hint="eastAsia" w:ascii="微软雅黑" w:hAnsi="微软雅黑" w:eastAsia="微软雅黑" w:cs="微软雅黑"/>
          <w:color w:val="auto"/>
          <w:kern w:val="0"/>
          <w:sz w:val="24"/>
          <w:highlight w:val="none"/>
        </w:rPr>
        <w:t>银行开户许可证复印件或银行基本账户信息(包含：银行账号及开户行名称）；</w:t>
      </w:r>
    </w:p>
    <w:p w14:paraId="2C9724A0">
      <w:pPr>
        <w:tabs>
          <w:tab w:val="left" w:pos="5580"/>
        </w:tabs>
        <w:spacing w:line="3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11、供应商可提供有利于投标的其他资格证明材料。</w:t>
      </w:r>
    </w:p>
    <w:p w14:paraId="3A2419A7">
      <w:pPr>
        <w:pStyle w:val="14"/>
        <w:ind w:firstLine="480"/>
        <w:rPr>
          <w:rFonts w:hint="eastAsia" w:ascii="微软雅黑" w:hAnsi="微软雅黑" w:eastAsia="微软雅黑" w:cs="微软雅黑"/>
          <w:color w:val="auto"/>
          <w:highlight w:val="none"/>
        </w:rPr>
      </w:pPr>
    </w:p>
    <w:p w14:paraId="7952015D">
      <w:pPr>
        <w:widowControl/>
        <w:snapToGrid w:val="0"/>
        <w:spacing w:line="300" w:lineRule="exact"/>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p w14:paraId="46322A0E">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1F41FE2A">
      <w:pPr>
        <w:pStyle w:val="3"/>
        <w:spacing w:before="0" w:line="400" w:lineRule="exact"/>
        <w:ind w:left="1080" w:leftChars="257" w:hanging="540"/>
        <w:rPr>
          <w:rFonts w:hint="eastAsia" w:ascii="微软雅黑" w:hAnsi="微软雅黑" w:eastAsia="微软雅黑" w:cs="微软雅黑"/>
          <w:color w:val="auto"/>
          <w:sz w:val="24"/>
          <w:szCs w:val="24"/>
          <w:highlight w:val="none"/>
        </w:rPr>
      </w:pPr>
      <w:bookmarkStart w:id="1984" w:name="_Toc11597"/>
      <w:bookmarkStart w:id="1985" w:name="_Toc1843"/>
      <w:bookmarkStart w:id="1986" w:name="_Toc5970"/>
      <w:bookmarkStart w:id="1987" w:name="_Toc1244"/>
      <w:bookmarkStart w:id="1988" w:name="_Toc16772"/>
      <w:r>
        <w:rPr>
          <w:rFonts w:hint="eastAsia" w:ascii="微软雅黑" w:hAnsi="微软雅黑" w:eastAsia="微软雅黑" w:cs="微软雅黑"/>
          <w:color w:val="auto"/>
          <w:sz w:val="24"/>
          <w:szCs w:val="24"/>
          <w:highlight w:val="none"/>
        </w:rPr>
        <w:t>1、开标一览表</w:t>
      </w:r>
      <w:bookmarkEnd w:id="1984"/>
      <w:bookmarkEnd w:id="1985"/>
      <w:bookmarkEnd w:id="1986"/>
      <w:bookmarkEnd w:id="1987"/>
      <w:bookmarkEnd w:id="1988"/>
    </w:p>
    <w:p w14:paraId="73460FA6">
      <w:pPr>
        <w:pStyle w:val="7"/>
        <w:tabs>
          <w:tab w:val="left" w:pos="5580"/>
        </w:tabs>
        <w:spacing w:line="400" w:lineRule="exact"/>
        <w:ind w:left="1080" w:leftChars="257" w:hanging="540"/>
        <w:jc w:val="center"/>
        <w:rPr>
          <w:rFonts w:hint="eastAsia" w:ascii="微软雅黑" w:hAnsi="微软雅黑" w:eastAsia="微软雅黑" w:cs="微软雅黑"/>
          <w:color w:val="auto"/>
          <w:szCs w:val="24"/>
          <w:highlight w:val="none"/>
        </w:rPr>
      </w:pPr>
      <w:bookmarkStart w:id="1989" w:name="_Hlt520356241"/>
      <w:bookmarkEnd w:id="1989"/>
      <w:bookmarkStart w:id="1990" w:name="_Toc494296984"/>
      <w:r>
        <w:rPr>
          <w:rFonts w:hint="eastAsia" w:ascii="微软雅黑" w:hAnsi="微软雅黑" w:eastAsia="微软雅黑" w:cs="微软雅黑"/>
          <w:b/>
          <w:color w:val="auto"/>
          <w:szCs w:val="24"/>
          <w:highlight w:val="none"/>
        </w:rPr>
        <w:t>开标一览表</w:t>
      </w:r>
      <w:bookmarkEnd w:id="1990"/>
    </w:p>
    <w:p w14:paraId="6EAD2A30">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　项目编号：</w:t>
      </w:r>
    </w:p>
    <w:p w14:paraId="125DD5D1">
      <w:pPr>
        <w:tabs>
          <w:tab w:val="left" w:pos="1800"/>
          <w:tab w:val="left" w:pos="5580"/>
        </w:tabs>
        <w:spacing w:line="400" w:lineRule="exact"/>
        <w:ind w:left="1080" w:leftChars="257" w:right="-867" w:rightChars="-413" w:hanging="54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报价单位：人民币</w:t>
      </w:r>
      <w:r>
        <w:rPr>
          <w:rFonts w:hint="eastAsia" w:ascii="微软雅黑" w:hAnsi="微软雅黑" w:eastAsia="微软雅黑" w:cs="微软雅黑"/>
          <w:b/>
          <w:color w:val="auto"/>
          <w:sz w:val="24"/>
          <w:highlight w:val="none"/>
        </w:rPr>
        <w:t>元</w:t>
      </w:r>
      <w:r>
        <w:rPr>
          <w:rFonts w:hint="eastAsia" w:ascii="微软雅黑" w:hAnsi="微软雅黑" w:eastAsia="微软雅黑" w:cs="微软雅黑"/>
          <w:b/>
          <w:color w:val="auto"/>
          <w:sz w:val="24"/>
          <w:highlight w:val="none"/>
          <w:lang w:val="en-US" w:eastAsia="zh-CN"/>
        </w:rPr>
        <w:t xml:space="preserve">      </w:t>
      </w:r>
      <w:r>
        <w:rPr>
          <w:rFonts w:hint="eastAsia" w:ascii="微软雅黑" w:hAnsi="微软雅黑" w:eastAsia="微软雅黑" w:cs="微软雅黑"/>
          <w:bCs/>
          <w:color w:val="auto"/>
          <w:sz w:val="24"/>
          <w:highlight w:val="none"/>
        </w:rPr>
        <w:t>标</w:t>
      </w:r>
      <w:r>
        <w:rPr>
          <w:rFonts w:hint="eastAsia" w:ascii="微软雅黑" w:hAnsi="微软雅黑" w:eastAsia="微软雅黑" w:cs="微软雅黑"/>
          <w:bCs/>
          <w:color w:val="auto"/>
          <w:sz w:val="24"/>
          <w:highlight w:val="none"/>
          <w:lang w:val="en-US" w:eastAsia="zh-CN"/>
        </w:rPr>
        <w:t>段</w:t>
      </w:r>
      <w:r>
        <w:rPr>
          <w:rFonts w:hint="eastAsia" w:ascii="微软雅黑" w:hAnsi="微软雅黑" w:eastAsia="微软雅黑" w:cs="微软雅黑"/>
          <w:bCs/>
          <w:color w:val="auto"/>
          <w:sz w:val="24"/>
          <w:highlight w:val="none"/>
        </w:rPr>
        <w:t>号：</w:t>
      </w:r>
    </w:p>
    <w:tbl>
      <w:tblPr>
        <w:tblStyle w:val="36"/>
        <w:tblW w:w="5529" w:type="pct"/>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65"/>
        <w:gridCol w:w="2263"/>
        <w:gridCol w:w="1650"/>
        <w:gridCol w:w="1125"/>
        <w:gridCol w:w="1298"/>
        <w:gridCol w:w="1301"/>
      </w:tblGrid>
      <w:tr w14:paraId="49DE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atLeast"/>
        </w:trPr>
        <w:tc>
          <w:tcPr>
            <w:tcW w:w="850" w:type="pct"/>
            <w:vAlign w:val="center"/>
          </w:tcPr>
          <w:p w14:paraId="6979B06D">
            <w:pPr>
              <w:tabs>
                <w:tab w:val="left" w:pos="5580"/>
              </w:tabs>
              <w:spacing w:line="400" w:lineRule="exact"/>
              <w:ind w:right="-199"/>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名称</w:t>
            </w:r>
          </w:p>
        </w:tc>
        <w:tc>
          <w:tcPr>
            <w:tcW w:w="1229" w:type="pct"/>
            <w:vAlign w:val="center"/>
          </w:tcPr>
          <w:p w14:paraId="4FADDEEB">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投标总价</w:t>
            </w:r>
          </w:p>
        </w:tc>
        <w:tc>
          <w:tcPr>
            <w:tcW w:w="896" w:type="pct"/>
            <w:vAlign w:val="center"/>
          </w:tcPr>
          <w:p w14:paraId="7D5021B7">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w:t>
            </w:r>
          </w:p>
        </w:tc>
        <w:tc>
          <w:tcPr>
            <w:tcW w:w="611" w:type="pct"/>
            <w:vAlign w:val="center"/>
          </w:tcPr>
          <w:p w14:paraId="3D2D442A">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交货期</w:t>
            </w:r>
          </w:p>
        </w:tc>
        <w:tc>
          <w:tcPr>
            <w:tcW w:w="705" w:type="pct"/>
            <w:vAlign w:val="center"/>
          </w:tcPr>
          <w:p w14:paraId="2C876355">
            <w:pPr>
              <w:tabs>
                <w:tab w:val="left" w:pos="5580"/>
              </w:tabs>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交货地点</w:t>
            </w:r>
          </w:p>
        </w:tc>
        <w:tc>
          <w:tcPr>
            <w:tcW w:w="706" w:type="pct"/>
            <w:vAlign w:val="center"/>
          </w:tcPr>
          <w:p w14:paraId="16BB2BC4">
            <w:pPr>
              <w:tabs>
                <w:tab w:val="left" w:pos="5580"/>
              </w:tabs>
              <w:spacing w:line="400" w:lineRule="exact"/>
              <w:jc w:val="center"/>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质保期</w:t>
            </w:r>
          </w:p>
        </w:tc>
      </w:tr>
      <w:tr w14:paraId="34E1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4" w:hRule="atLeast"/>
        </w:trPr>
        <w:tc>
          <w:tcPr>
            <w:tcW w:w="850" w:type="pct"/>
            <w:vAlign w:val="center"/>
          </w:tcPr>
          <w:p w14:paraId="043E44C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1229" w:type="pct"/>
            <w:vAlign w:val="center"/>
          </w:tcPr>
          <w:p w14:paraId="15142E78">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大写：</w:t>
            </w:r>
          </w:p>
          <w:p w14:paraId="72C342BA">
            <w:pPr>
              <w:tabs>
                <w:tab w:val="left" w:pos="5580"/>
              </w:tabs>
              <w:spacing w:line="40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小写：</w:t>
            </w:r>
          </w:p>
        </w:tc>
        <w:tc>
          <w:tcPr>
            <w:tcW w:w="896" w:type="pct"/>
            <w:vAlign w:val="center"/>
          </w:tcPr>
          <w:p w14:paraId="4A4FD721">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611" w:type="pct"/>
            <w:vAlign w:val="center"/>
          </w:tcPr>
          <w:p w14:paraId="32EFD65D">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5" w:type="pct"/>
            <w:vAlign w:val="center"/>
          </w:tcPr>
          <w:p w14:paraId="07DF98E2">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c>
          <w:tcPr>
            <w:tcW w:w="706" w:type="pct"/>
            <w:vAlign w:val="center"/>
          </w:tcPr>
          <w:p w14:paraId="66F9D4FC">
            <w:pPr>
              <w:tabs>
                <w:tab w:val="left" w:pos="5580"/>
              </w:tabs>
              <w:spacing w:line="400" w:lineRule="exact"/>
              <w:ind w:left="1080" w:leftChars="257" w:hanging="540"/>
              <w:jc w:val="center"/>
              <w:rPr>
                <w:rFonts w:hint="eastAsia" w:ascii="微软雅黑" w:hAnsi="微软雅黑" w:eastAsia="微软雅黑" w:cs="微软雅黑"/>
                <w:color w:val="auto"/>
                <w:sz w:val="24"/>
                <w:highlight w:val="none"/>
              </w:rPr>
            </w:pPr>
          </w:p>
        </w:tc>
      </w:tr>
    </w:tbl>
    <w:p w14:paraId="232728A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14:paraId="2BB63113">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692FF1A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6EE12DF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094F815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7D731F4C">
      <w:pPr>
        <w:pStyle w:val="17"/>
        <w:tabs>
          <w:tab w:val="left" w:pos="5580"/>
        </w:tabs>
        <w:spacing w:line="400" w:lineRule="exact"/>
        <w:ind w:left="741" w:leftChars="353"/>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注:1、此表中，投标总价应和投标分项报价表的总价相一致。</w:t>
      </w:r>
    </w:p>
    <w:p w14:paraId="3239861A">
      <w:pPr>
        <w:pStyle w:val="17"/>
        <w:tabs>
          <w:tab w:val="left" w:pos="5580"/>
        </w:tabs>
        <w:spacing w:line="400" w:lineRule="exact"/>
        <w:ind w:left="741" w:leftChars="353"/>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2、投标商报价时包含税费等一切与本次项目相关的费用。</w:t>
      </w:r>
    </w:p>
    <w:p w14:paraId="0DC6058B">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52F93597">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01F3878F">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7F7DB26D">
      <w:pPr>
        <w:pStyle w:val="17"/>
        <w:tabs>
          <w:tab w:val="left" w:pos="5580"/>
        </w:tabs>
        <w:spacing w:line="240" w:lineRule="atLeast"/>
        <w:rPr>
          <w:rFonts w:hint="eastAsia" w:ascii="微软雅黑" w:hAnsi="微软雅黑" w:eastAsia="微软雅黑" w:cs="微软雅黑"/>
          <w:b/>
          <w:color w:val="auto"/>
          <w:sz w:val="24"/>
          <w:szCs w:val="24"/>
          <w:highlight w:val="none"/>
        </w:rPr>
      </w:pPr>
    </w:p>
    <w:p w14:paraId="52E96321">
      <w:pPr>
        <w:pStyle w:val="17"/>
        <w:tabs>
          <w:tab w:val="left" w:pos="5580"/>
        </w:tabs>
        <w:spacing w:line="400" w:lineRule="exact"/>
        <w:jc w:val="left"/>
        <w:outlineLvl w:val="1"/>
        <w:rPr>
          <w:rFonts w:hint="eastAsia" w:ascii="微软雅黑" w:hAnsi="微软雅黑" w:eastAsia="微软雅黑" w:cs="微软雅黑"/>
          <w:b/>
          <w:color w:val="auto"/>
          <w:sz w:val="24"/>
          <w:szCs w:val="24"/>
          <w:highlight w:val="none"/>
        </w:rPr>
      </w:pPr>
      <w:bookmarkStart w:id="1991" w:name="_Toc1939"/>
      <w:bookmarkStart w:id="1992" w:name="_Toc18070"/>
      <w:bookmarkStart w:id="1993" w:name="_Toc23964"/>
      <w:bookmarkStart w:id="1994" w:name="_Toc26385"/>
      <w:bookmarkStart w:id="1995" w:name="_Toc11830"/>
      <w:r>
        <w:rPr>
          <w:rFonts w:hint="eastAsia" w:ascii="微软雅黑" w:hAnsi="微软雅黑" w:eastAsia="微软雅黑" w:cs="微软雅黑"/>
          <w:b/>
          <w:color w:val="auto"/>
          <w:sz w:val="24"/>
          <w:szCs w:val="24"/>
          <w:highlight w:val="none"/>
        </w:rPr>
        <w:t>2、具有有效的营业执照；</w:t>
      </w:r>
      <w:bookmarkEnd w:id="1991"/>
      <w:bookmarkEnd w:id="1992"/>
      <w:bookmarkEnd w:id="1993"/>
      <w:bookmarkEnd w:id="1994"/>
      <w:bookmarkEnd w:id="1995"/>
    </w:p>
    <w:p w14:paraId="01380305">
      <w:pPr>
        <w:pStyle w:val="17"/>
        <w:tabs>
          <w:tab w:val="left" w:pos="5580"/>
        </w:tabs>
        <w:spacing w:line="400" w:lineRule="exact"/>
        <w:jc w:val="left"/>
        <w:rPr>
          <w:rFonts w:hint="eastAsia" w:ascii="微软雅黑" w:hAnsi="微软雅黑" w:eastAsia="微软雅黑" w:cs="微软雅黑"/>
          <w:b/>
          <w:color w:val="auto"/>
          <w:sz w:val="24"/>
          <w:szCs w:val="24"/>
          <w:highlight w:val="none"/>
        </w:rPr>
      </w:pPr>
    </w:p>
    <w:p w14:paraId="5D1D444A">
      <w:pPr>
        <w:pStyle w:val="17"/>
        <w:tabs>
          <w:tab w:val="left" w:pos="5580"/>
        </w:tabs>
        <w:spacing w:line="240" w:lineRule="atLeast"/>
        <w:jc w:val="center"/>
        <w:rPr>
          <w:rFonts w:hint="eastAsia" w:ascii="微软雅黑" w:hAnsi="微软雅黑" w:eastAsia="微软雅黑" w:cs="微软雅黑"/>
          <w:b/>
          <w:color w:val="auto"/>
          <w:sz w:val="24"/>
          <w:szCs w:val="24"/>
          <w:highlight w:val="none"/>
        </w:rPr>
      </w:pPr>
    </w:p>
    <w:p w14:paraId="2580A3D4">
      <w:pPr>
        <w:rPr>
          <w:rFonts w:hint="eastAsia" w:ascii="微软雅黑" w:hAnsi="微软雅黑" w:eastAsia="微软雅黑" w:cs="微软雅黑"/>
          <w:b/>
          <w:bCs/>
          <w:color w:val="auto"/>
          <w:sz w:val="24"/>
          <w:highlight w:val="none"/>
        </w:rPr>
      </w:pPr>
      <w:bookmarkStart w:id="1996" w:name="_Toc6321"/>
      <w:r>
        <w:rPr>
          <w:rFonts w:hint="eastAsia" w:ascii="微软雅黑" w:hAnsi="微软雅黑" w:eastAsia="微软雅黑" w:cs="微软雅黑"/>
          <w:b/>
          <w:bCs/>
          <w:color w:val="auto"/>
          <w:sz w:val="24"/>
          <w:highlight w:val="none"/>
        </w:rPr>
        <w:br w:type="page"/>
      </w:r>
    </w:p>
    <w:bookmarkEnd w:id="1996"/>
    <w:p w14:paraId="61DEE6F9">
      <w:pPr>
        <w:adjustRightInd w:val="0"/>
        <w:snapToGrid w:val="0"/>
        <w:spacing w:before="240" w:beforeLines="100" w:after="240" w:afterLines="100" w:line="400" w:lineRule="exact"/>
        <w:jc w:val="left"/>
        <w:outlineLvl w:val="1"/>
        <w:rPr>
          <w:rFonts w:hint="eastAsia" w:ascii="微软雅黑" w:hAnsi="微软雅黑" w:eastAsia="微软雅黑" w:cs="微软雅黑"/>
          <w:b/>
          <w:bCs/>
          <w:color w:val="auto"/>
          <w:sz w:val="24"/>
          <w:highlight w:val="none"/>
        </w:rPr>
      </w:pPr>
      <w:bookmarkStart w:id="1997" w:name="_Toc11003"/>
      <w:bookmarkStart w:id="1998" w:name="_Toc10436"/>
      <w:bookmarkStart w:id="1999" w:name="_Toc12634"/>
      <w:bookmarkStart w:id="2000" w:name="_Toc15796"/>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bookmarkEnd w:id="1997"/>
      <w:bookmarkEnd w:id="1998"/>
      <w:bookmarkEnd w:id="1999"/>
    </w:p>
    <w:p w14:paraId="4AB5B98D">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（一）法定代表人身份证明</w:t>
      </w:r>
    </w:p>
    <w:p w14:paraId="7E3FBCED">
      <w:pPr>
        <w:adjustRightInd w:val="0"/>
        <w:snapToGrid w:val="0"/>
        <w:spacing w:before="240" w:beforeLines="100" w:after="240" w:afterLines="100"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同志，现任我单位职务，为法定代表人，特此证明。</w:t>
      </w:r>
    </w:p>
    <w:p w14:paraId="79AF5A1B">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p w14:paraId="62D02B0F">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附：性别：年龄：</w:t>
      </w:r>
    </w:p>
    <w:p w14:paraId="54C535FF">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身份证号码：联系电话：</w:t>
      </w:r>
    </w:p>
    <w:p w14:paraId="429A39D4">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统一社会信用代码：经济性质：</w:t>
      </w:r>
    </w:p>
    <w:p w14:paraId="2BD46691">
      <w:pPr>
        <w:pStyle w:val="29"/>
        <w:rPr>
          <w:rFonts w:hint="eastAsia" w:ascii="微软雅黑" w:hAnsi="微软雅黑" w:eastAsia="微软雅黑" w:cs="微软雅黑"/>
          <w:color w:val="auto"/>
          <w:highlight w:val="none"/>
        </w:rPr>
      </w:pPr>
    </w:p>
    <w:p w14:paraId="1B72E04F">
      <w:pPr>
        <w:spacing w:line="50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w:t>
      </w:r>
    </w:p>
    <w:p w14:paraId="6D93DC92">
      <w:pPr>
        <w:spacing w:line="500" w:lineRule="atLeast"/>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1、法定代表人为企业或事业单位、或国家机关、或社会团体的主要行政负责人。</w:t>
      </w:r>
    </w:p>
    <w:p w14:paraId="5E79998F">
      <w:pPr>
        <w:spacing w:line="50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2、内容必须填写真实、清楚、涂改无效，不得转让。</w:t>
      </w:r>
    </w:p>
    <w:p w14:paraId="61FE5213">
      <w:pPr>
        <w:rPr>
          <w:rFonts w:hint="eastAsia" w:ascii="微软雅黑" w:hAnsi="微软雅黑" w:eastAsia="微软雅黑" w:cs="微软雅黑"/>
          <w:color w:val="auto"/>
          <w:highlight w:val="none"/>
        </w:rPr>
      </w:pPr>
    </w:p>
    <w:p w14:paraId="130AA36F">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wps:txbx>
                      <wps:bodyPr vert="horz" wrap="square" lIns="91440" tIns="45720" rIns="91440" bIns="45720" anchor="t"/>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mfpC9oA&#10;AAAJAQAADwAAAAAAAAABACAAAAAiAAAAZHJzL2Rvd25yZXYueG1sUEsBAhQAFAAAAAgAh07iQE+f&#10;UGFWAgAAswQAAA4AAAAAAAAAAQAgAAAAKQEAAGRycy9lMm9Eb2MueG1sUEsFBgAAAAAGAAYAWQEA&#10;APEFAAAAAA==&#10;">
                <v:fill on="t" focussize="0,0"/>
                <v:stroke weight="1.25pt" color="#808080" joinstyle="round"/>
                <v:imagedata o:title=""/>
                <o:lock v:ext="edit" aspectratio="f"/>
                <v:textbox>
                  <w:txbxContent>
                    <w:p w14:paraId="135BA145">
                      <w:pPr>
                        <w:jc w:val="center"/>
                        <w:rPr>
                          <w:rFonts w:hAnsi="宋体"/>
                          <w:szCs w:val="21"/>
                        </w:rPr>
                      </w:pPr>
                    </w:p>
                    <w:p w14:paraId="61AC09B5">
                      <w:pPr>
                        <w:jc w:val="center"/>
                        <w:rPr>
                          <w:rFonts w:hAnsi="宋体"/>
                          <w:szCs w:val="21"/>
                        </w:rPr>
                      </w:pPr>
                    </w:p>
                    <w:p w14:paraId="48B4E8DD">
                      <w:pPr>
                        <w:rPr>
                          <w:rFonts w:hAnsi="宋体"/>
                          <w:szCs w:val="21"/>
                        </w:rPr>
                      </w:pPr>
                    </w:p>
                    <w:p w14:paraId="0197D5FC">
                      <w:pPr>
                        <w:jc w:val="center"/>
                        <w:rPr>
                          <w:szCs w:val="21"/>
                        </w:rPr>
                      </w:pPr>
                      <w:r>
                        <w:rPr>
                          <w:rFonts w:hint="eastAsia" w:hAnsi="宋体"/>
                          <w:szCs w:val="21"/>
                        </w:rPr>
                        <w:t>法定代表人身份证扫描件</w:t>
                      </w:r>
                    </w:p>
                    <w:p w14:paraId="0E6797EE"/>
                    <w:p w14:paraId="282103CE">
                      <w:pPr>
                        <w:pStyle w:val="7"/>
                      </w:pPr>
                    </w:p>
                    <w:p w14:paraId="0CB96CAF">
                      <w:pPr>
                        <w:pStyle w:val="7"/>
                      </w:pPr>
                    </w:p>
                    <w:p w14:paraId="0D260811">
                      <w:pPr>
                        <w:pStyle w:val="7"/>
                      </w:pPr>
                    </w:p>
                    <w:p w14:paraId="59AB4FA3">
                      <w:pPr>
                        <w:pStyle w:val="7"/>
                      </w:pPr>
                    </w:p>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wps:txbx>
                      <wps:bodyPr vert="horz" wrap="square" lIns="91440" tIns="45720" rIns="91440" bIns="45720" anchor="t"/>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BlLnNMAAAAHAQAA&#10;DwAAAAAAAAABACAAAAAiAAAAZHJzL2Rvd25yZXYueG1sUEsBAhQAFAAAAAgAh07iQN4wMFJXAgAA&#10;oQQAAA4AAAAAAAAAAQAgAAAAIgEAAGRycy9lMm9Eb2MueG1sUEsFBgAAAAAGAAYAWQEAAOsFAAAA&#10;AA==&#10;">
                <v:fill on="t" focussize="0,0"/>
                <v:stroke color="#000000" joinstyle="miter"/>
                <v:imagedata o:title=""/>
                <o:lock v:ext="edit" aspectratio="f"/>
                <v:textbox>
                  <w:txbxContent>
                    <w:p w14:paraId="0C8948F9">
                      <w:pPr>
                        <w:jc w:val="center"/>
                        <w:rPr>
                          <w:rFonts w:hAnsi="宋体"/>
                          <w:szCs w:val="21"/>
                        </w:rPr>
                      </w:pPr>
                    </w:p>
                    <w:p w14:paraId="0D1EDD39">
                      <w:pPr>
                        <w:jc w:val="center"/>
                        <w:rPr>
                          <w:rFonts w:hAnsi="宋体"/>
                          <w:szCs w:val="21"/>
                        </w:rPr>
                      </w:pPr>
                    </w:p>
                    <w:p w14:paraId="40352B2B">
                      <w:pPr>
                        <w:rPr>
                          <w:rFonts w:hAnsi="宋体"/>
                          <w:szCs w:val="21"/>
                        </w:rPr>
                      </w:pPr>
                    </w:p>
                    <w:p w14:paraId="7EE7EB74">
                      <w:pPr>
                        <w:jc w:val="center"/>
                        <w:rPr>
                          <w:szCs w:val="21"/>
                        </w:rPr>
                      </w:pPr>
                      <w:r>
                        <w:rPr>
                          <w:rFonts w:hint="eastAsia" w:hAnsi="宋体"/>
                          <w:szCs w:val="21"/>
                        </w:rPr>
                        <w:t>法定代表人身份证扫描件</w:t>
                      </w:r>
                    </w:p>
                  </w:txbxContent>
                </v:textbox>
              </v:shape>
            </w:pict>
          </mc:Fallback>
        </mc:AlternateContent>
      </w:r>
    </w:p>
    <w:p w14:paraId="5B75F3F7">
      <w:pPr>
        <w:rPr>
          <w:rFonts w:hint="eastAsia" w:ascii="微软雅黑" w:hAnsi="微软雅黑" w:eastAsia="微软雅黑" w:cs="微软雅黑"/>
          <w:color w:val="auto"/>
          <w:sz w:val="24"/>
          <w:highlight w:val="none"/>
        </w:rPr>
      </w:pPr>
    </w:p>
    <w:p w14:paraId="30860173">
      <w:pPr>
        <w:pStyle w:val="14"/>
        <w:ind w:firstLine="480"/>
        <w:rPr>
          <w:rFonts w:hint="eastAsia" w:ascii="微软雅黑" w:hAnsi="微软雅黑" w:eastAsia="微软雅黑" w:cs="微软雅黑"/>
          <w:color w:val="auto"/>
          <w:highlight w:val="none"/>
        </w:rPr>
      </w:pPr>
    </w:p>
    <w:p w14:paraId="7F7FBFD4">
      <w:pPr>
        <w:rPr>
          <w:rFonts w:hint="eastAsia" w:ascii="微软雅黑" w:hAnsi="微软雅黑" w:eastAsia="微软雅黑" w:cs="微软雅黑"/>
          <w:color w:val="auto"/>
          <w:highlight w:val="none"/>
        </w:rPr>
      </w:pPr>
    </w:p>
    <w:p w14:paraId="7F4DD605">
      <w:pPr>
        <w:pStyle w:val="14"/>
        <w:ind w:firstLine="480"/>
        <w:rPr>
          <w:rFonts w:hint="eastAsia" w:ascii="微软雅黑" w:hAnsi="微软雅黑" w:eastAsia="微软雅黑" w:cs="微软雅黑"/>
          <w:color w:val="auto"/>
          <w:highlight w:val="none"/>
        </w:rPr>
      </w:pPr>
    </w:p>
    <w:p w14:paraId="1D1B5B5F">
      <w:pPr>
        <w:rPr>
          <w:rFonts w:hint="eastAsia" w:ascii="微软雅黑" w:hAnsi="微软雅黑" w:eastAsia="微软雅黑" w:cs="微软雅黑"/>
          <w:b/>
          <w:bCs/>
          <w:color w:val="auto"/>
          <w:sz w:val="24"/>
          <w:highlight w:val="none"/>
        </w:rPr>
      </w:pPr>
    </w:p>
    <w:p w14:paraId="2F3E9788">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注：须提供身份证正反面。</w:t>
      </w:r>
    </w:p>
    <w:p w14:paraId="2B24FE1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0B5C7702">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法定代表人（签/章）：</w:t>
      </w:r>
    </w:p>
    <w:p w14:paraId="093944EB">
      <w:pPr>
        <w:widowControl w:val="0"/>
        <w:tabs>
          <w:tab w:val="left" w:pos="5580"/>
        </w:tabs>
        <w:snapToGrid w:val="0"/>
        <w:spacing w:line="400" w:lineRule="atLeast"/>
        <w:ind w:left="1080" w:leftChars="257" w:hanging="54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日期：</w:t>
      </w:r>
    </w:p>
    <w:p w14:paraId="39BF8923">
      <w:pPr>
        <w:pStyle w:val="30"/>
        <w:rPr>
          <w:rFonts w:hint="eastAsia" w:ascii="微软雅黑" w:hAnsi="微软雅黑" w:eastAsia="微软雅黑" w:cs="微软雅黑"/>
          <w:color w:val="auto"/>
          <w:sz w:val="24"/>
          <w:highlight w:val="none"/>
        </w:rPr>
      </w:pPr>
    </w:p>
    <w:p w14:paraId="080E419B">
      <w:pPr>
        <w:pStyle w:val="30"/>
        <w:ind w:left="0"/>
        <w:jc w:val="center"/>
        <w:rPr>
          <w:rFonts w:hint="eastAsia" w:ascii="微软雅黑" w:hAnsi="微软雅黑" w:eastAsia="微软雅黑" w:cs="微软雅黑"/>
          <w:b/>
          <w:bCs/>
          <w:color w:val="auto"/>
          <w:sz w:val="24"/>
          <w:highlight w:val="none"/>
        </w:rPr>
      </w:pPr>
    </w:p>
    <w:p w14:paraId="75BF8B7A">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br w:type="page"/>
      </w:r>
    </w:p>
    <w:p w14:paraId="56BD7F4E">
      <w:pPr>
        <w:adjustRightInd w:val="0"/>
        <w:snapToGrid w:val="0"/>
        <w:spacing w:before="240" w:beforeLines="100" w:after="240" w:afterLines="100" w:line="400" w:lineRule="exact"/>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（二）法定代表人授权委托书</w:t>
      </w:r>
    </w:p>
    <w:p w14:paraId="021DDB04">
      <w:pPr>
        <w:spacing w:line="360" w:lineRule="auto"/>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13523F26">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本授权书于年月日签字生效,特此声明。</w:t>
      </w:r>
    </w:p>
    <w:p w14:paraId="403E622D">
      <w:pPr>
        <w:pStyle w:val="17"/>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wps:txbx>
                      <wps:bodyPr upright="1"/>
                    </wps:wsp>
                  </a:graphicData>
                </a:graphic>
              </wp:anchor>
            </w:drawing>
          </mc:Choice>
          <mc:Fallback>
            <w:pict>
              <v:roundrect id="1028"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14:paraId="3366093C">
                      <w:pPr>
                        <w:rPr>
                          <w:rFonts w:hAnsi="宋体"/>
                        </w:rPr>
                      </w:pPr>
                    </w:p>
                    <w:p w14:paraId="48873DED">
                      <w:pPr>
                        <w:rPr>
                          <w:rFonts w:hAnsi="宋体"/>
                        </w:rPr>
                      </w:pPr>
                    </w:p>
                    <w:p w14:paraId="531F418B">
                      <w:pPr>
                        <w:jc w:val="center"/>
                      </w:pPr>
                      <w:r>
                        <w:rPr>
                          <w:rFonts w:hint="eastAsia" w:hAnsi="宋体" w:cs="宋体"/>
                        </w:rPr>
                        <w:t>授权委托人身份证复印件</w:t>
                      </w:r>
                    </w:p>
                    <w:p w14:paraId="32B6FA52"/>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14:paraId="033209BC">
                      <w:pPr>
                        <w:jc w:val="center"/>
                        <w:rPr>
                          <w:rFonts w:hAnsi="宋体"/>
                        </w:rPr>
                      </w:pPr>
                    </w:p>
                    <w:p w14:paraId="3F7A373C">
                      <w:pPr>
                        <w:jc w:val="center"/>
                        <w:rPr>
                          <w:rFonts w:hAnsi="宋体"/>
                        </w:rPr>
                      </w:pPr>
                    </w:p>
                    <w:p w14:paraId="21AD9CAB">
                      <w:pPr>
                        <w:jc w:val="center"/>
                      </w:pPr>
                      <w:r>
                        <w:rPr>
                          <w:rFonts w:hint="eastAsia" w:hAnsi="宋体" w:cs="宋体"/>
                        </w:rPr>
                        <w:t>授权委托人身份证复印件</w:t>
                      </w:r>
                    </w:p>
                  </w:txbxContent>
                </v:textbox>
              </v:shape>
            </w:pict>
          </mc:Fallback>
        </mc:AlternateContent>
      </w:r>
    </w:p>
    <w:p w14:paraId="5153E27F">
      <w:pPr>
        <w:spacing w:line="360" w:lineRule="auto"/>
        <w:ind w:firstLine="240" w:firstLineChars="100"/>
        <w:rPr>
          <w:rFonts w:hint="eastAsia" w:ascii="微软雅黑" w:hAnsi="微软雅黑" w:eastAsia="微软雅黑" w:cs="微软雅黑"/>
          <w:color w:val="auto"/>
          <w:sz w:val="24"/>
          <w:highlight w:val="none"/>
        </w:rPr>
      </w:pPr>
    </w:p>
    <w:p w14:paraId="2E71AB34">
      <w:pPr>
        <w:spacing w:line="360" w:lineRule="auto"/>
        <w:ind w:firstLine="240" w:firstLineChars="100"/>
        <w:rPr>
          <w:rFonts w:hint="eastAsia" w:ascii="微软雅黑" w:hAnsi="微软雅黑" w:eastAsia="微软雅黑" w:cs="微软雅黑"/>
          <w:color w:val="auto"/>
          <w:sz w:val="24"/>
          <w:highlight w:val="none"/>
        </w:rPr>
      </w:pPr>
    </w:p>
    <w:p w14:paraId="5C75752F">
      <w:pPr>
        <w:spacing w:line="360" w:lineRule="auto"/>
        <w:ind w:firstLine="240" w:firstLineChars="100"/>
        <w:rPr>
          <w:rFonts w:hint="eastAsia" w:ascii="微软雅黑" w:hAnsi="微软雅黑" w:eastAsia="微软雅黑" w:cs="微软雅黑"/>
          <w:color w:val="auto"/>
          <w:sz w:val="24"/>
          <w:highlight w:val="none"/>
        </w:rPr>
      </w:pPr>
    </w:p>
    <w:p w14:paraId="31015536">
      <w:pPr>
        <w:spacing w:line="360" w:lineRule="auto"/>
        <w:ind w:firstLine="240" w:firstLineChars="100"/>
        <w:rPr>
          <w:rFonts w:hint="eastAsia" w:ascii="微软雅黑" w:hAnsi="微软雅黑" w:eastAsia="微软雅黑" w:cs="微软雅黑"/>
          <w:color w:val="auto"/>
          <w:sz w:val="24"/>
          <w:highlight w:val="none"/>
        </w:rPr>
      </w:pPr>
    </w:p>
    <w:p w14:paraId="5BB6F720">
      <w:pPr>
        <w:spacing w:line="360" w:lineRule="auto"/>
        <w:ind w:firstLine="240" w:firstLineChars="1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wps:txbx>
                      <wps:bodyPr upright="1"/>
                    </wps:wsp>
                  </a:graphicData>
                </a:graphic>
              </wp:anchor>
            </w:drawing>
          </mc:Choice>
          <mc:Fallback>
            <w:pict>
              <v:roundrect id="1030"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14:paraId="6BEDBD20">
                      <w:pPr>
                        <w:jc w:val="center"/>
                        <w:rPr>
                          <w:rFonts w:hAnsi="宋体"/>
                        </w:rPr>
                      </w:pPr>
                    </w:p>
                    <w:p w14:paraId="37815FB9">
                      <w:pPr>
                        <w:rPr>
                          <w:rFonts w:hAnsi="宋体"/>
                        </w:rPr>
                      </w:pPr>
                    </w:p>
                    <w:p w14:paraId="54128345">
                      <w:pPr>
                        <w:jc w:val="center"/>
                      </w:pPr>
                      <w:r>
                        <w:rPr>
                          <w:rFonts w:hint="eastAsia" w:hAnsi="宋体" w:cs="宋体"/>
                        </w:rPr>
                        <w:t>法定代表人身份证复印件</w:t>
                      </w:r>
                    </w:p>
                    <w:p w14:paraId="78808E77"/>
                  </w:txbxContent>
                </v:textbox>
              </v:roundrect>
            </w:pict>
          </mc:Fallback>
        </mc:AlternateContent>
      </w:r>
      <w:r>
        <w:rPr>
          <w:rFonts w:hint="eastAsia" w:ascii="微软雅黑" w:hAnsi="微软雅黑" w:eastAsia="微软雅黑" w:cs="微软雅黑"/>
          <w:color w:val="auto"/>
          <w:sz w:val="24"/>
          <w:highlight w:val="none"/>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wps:txbx>
                      <wps:bodyPr upright="1"/>
                    </wps:wsp>
                  </a:graphicData>
                </a:graphic>
              </wp:anchor>
            </w:drawing>
          </mc:Choice>
          <mc:Fallback>
            <w:pict>
              <v:roundrect id="1031"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14:paraId="30664614">
                      <w:pPr>
                        <w:jc w:val="center"/>
                        <w:rPr>
                          <w:rFonts w:hAnsi="宋体"/>
                        </w:rPr>
                      </w:pPr>
                    </w:p>
                    <w:p w14:paraId="518AF7A2">
                      <w:pPr>
                        <w:rPr>
                          <w:rFonts w:hAnsi="宋体"/>
                        </w:rPr>
                      </w:pPr>
                    </w:p>
                    <w:p w14:paraId="0E9D1E36">
                      <w:pPr>
                        <w:jc w:val="center"/>
                      </w:pPr>
                      <w:r>
                        <w:rPr>
                          <w:rFonts w:hint="eastAsia" w:hAnsi="宋体" w:cs="宋体"/>
                        </w:rPr>
                        <w:t>法定代表人身份证复印件</w:t>
                      </w:r>
                    </w:p>
                    <w:p w14:paraId="41BB0471"/>
                  </w:txbxContent>
                </v:textbox>
              </v:roundrect>
            </w:pict>
          </mc:Fallback>
        </mc:AlternateContent>
      </w:r>
    </w:p>
    <w:p w14:paraId="040C7320">
      <w:pPr>
        <w:spacing w:line="360" w:lineRule="auto"/>
        <w:ind w:firstLine="240" w:firstLineChars="100"/>
        <w:rPr>
          <w:rFonts w:hint="eastAsia" w:ascii="微软雅黑" w:hAnsi="微软雅黑" w:eastAsia="微软雅黑" w:cs="微软雅黑"/>
          <w:color w:val="auto"/>
          <w:sz w:val="24"/>
          <w:highlight w:val="none"/>
        </w:rPr>
      </w:pPr>
    </w:p>
    <w:p w14:paraId="3ECA9DE6">
      <w:pPr>
        <w:spacing w:line="360" w:lineRule="auto"/>
        <w:ind w:firstLine="240" w:firstLineChars="100"/>
        <w:rPr>
          <w:rFonts w:hint="eastAsia" w:ascii="微软雅黑" w:hAnsi="微软雅黑" w:eastAsia="微软雅黑" w:cs="微软雅黑"/>
          <w:color w:val="auto"/>
          <w:sz w:val="24"/>
          <w:highlight w:val="none"/>
        </w:rPr>
      </w:pPr>
    </w:p>
    <w:p w14:paraId="7D712D30">
      <w:pPr>
        <w:spacing w:line="360" w:lineRule="auto"/>
        <w:ind w:firstLine="240" w:firstLineChars="100"/>
        <w:rPr>
          <w:rFonts w:hint="eastAsia" w:ascii="微软雅黑" w:hAnsi="微软雅黑" w:eastAsia="微软雅黑" w:cs="微软雅黑"/>
          <w:color w:val="auto"/>
          <w:sz w:val="24"/>
          <w:highlight w:val="none"/>
        </w:rPr>
      </w:pPr>
    </w:p>
    <w:p w14:paraId="753A4663">
      <w:pPr>
        <w:spacing w:line="360" w:lineRule="exact"/>
        <w:ind w:firstLine="220" w:firstLineChars="100"/>
        <w:rPr>
          <w:rFonts w:hint="eastAsia" w:ascii="微软雅黑" w:hAnsi="微软雅黑" w:eastAsia="微软雅黑" w:cs="微软雅黑"/>
          <w:color w:val="auto"/>
          <w:sz w:val="22"/>
          <w:szCs w:val="22"/>
          <w:highlight w:val="none"/>
        </w:rPr>
      </w:pPr>
    </w:p>
    <w:p w14:paraId="1EAFB73C">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p>
    <w:p w14:paraId="3DC426D2">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法定代表人（签字或盖章）：</w:t>
      </w:r>
    </w:p>
    <w:p w14:paraId="45DDBD7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C05133E">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委托代理人（签字或盖章）：</w:t>
      </w:r>
    </w:p>
    <w:p w14:paraId="21803753">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31E973C8">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详细通讯地址：</w:t>
      </w:r>
    </w:p>
    <w:p w14:paraId="60DC9BB9">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邮政编码：</w:t>
      </w:r>
    </w:p>
    <w:p w14:paraId="4AC0F6B7">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传　　　　真：</w:t>
      </w:r>
    </w:p>
    <w:p w14:paraId="2CBEF12D">
      <w:pPr>
        <w:spacing w:line="360" w:lineRule="exact"/>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电　　　　话：</w:t>
      </w:r>
    </w:p>
    <w:p w14:paraId="68F00980">
      <w:pPr>
        <w:rPr>
          <w:rFonts w:hint="eastAsia" w:ascii="微软雅黑" w:hAnsi="微软雅黑" w:eastAsia="微软雅黑" w:cs="微软雅黑"/>
          <w:color w:val="auto"/>
          <w:highlight w:val="none"/>
        </w:rPr>
      </w:pPr>
    </w:p>
    <w:p w14:paraId="3A4D27B1">
      <w:pPr>
        <w:rPr>
          <w:rFonts w:hint="eastAsia" w:ascii="微软雅黑" w:hAnsi="微软雅黑" w:eastAsia="微软雅黑" w:cs="微软雅黑"/>
          <w:color w:val="auto"/>
          <w:highlight w:val="none"/>
        </w:rPr>
      </w:pPr>
    </w:p>
    <w:p w14:paraId="162586C1">
      <w:pPr>
        <w:rPr>
          <w:rFonts w:hint="eastAsia" w:ascii="微软雅黑" w:hAnsi="微软雅黑" w:eastAsia="微软雅黑" w:cs="微软雅黑"/>
          <w:color w:val="auto"/>
          <w:highlight w:val="none"/>
        </w:rPr>
      </w:pPr>
    </w:p>
    <w:p w14:paraId="23E6CD9E">
      <w:pPr>
        <w:pStyle w:val="14"/>
        <w:spacing w:line="400" w:lineRule="exact"/>
        <w:ind w:firstLine="0" w:firstLineChars="0"/>
        <w:outlineLvl w:val="1"/>
        <w:rPr>
          <w:rFonts w:hint="eastAsia" w:ascii="微软雅黑" w:hAnsi="微软雅黑" w:eastAsia="微软雅黑" w:cs="微软雅黑"/>
          <w:b/>
          <w:color w:val="auto"/>
          <w:kern w:val="0"/>
          <w:highlight w:val="none"/>
        </w:rPr>
      </w:pPr>
      <w:bookmarkStart w:id="2001" w:name="_Toc18207"/>
      <w:bookmarkStart w:id="2002" w:name="_Toc4087"/>
      <w:bookmarkStart w:id="2003" w:name="_Toc31904"/>
      <w:bookmarkStart w:id="2004" w:name="_Toc23354"/>
      <w:r>
        <w:rPr>
          <w:rFonts w:hint="eastAsia" w:ascii="微软雅黑" w:hAnsi="微软雅黑" w:eastAsia="微软雅黑" w:cs="微软雅黑"/>
          <w:b/>
          <w:color w:val="auto"/>
          <w:kern w:val="0"/>
          <w:highlight w:val="none"/>
        </w:rPr>
        <w:t>4、</w:t>
      </w:r>
      <w:bookmarkEnd w:id="2000"/>
      <w:bookmarkEnd w:id="2001"/>
      <w:bookmarkEnd w:id="2002"/>
      <w:bookmarkEnd w:id="2003"/>
      <w:r>
        <w:rPr>
          <w:rFonts w:hint="eastAsia" w:ascii="微软雅黑" w:hAnsi="微软雅黑" w:eastAsia="微软雅黑" w:cs="微软雅黑"/>
          <w:b/>
          <w:color w:val="auto"/>
          <w:kern w:val="0"/>
          <w:highlight w:val="none"/>
          <w:lang w:eastAsia="zh-CN"/>
        </w:rPr>
        <w:t>提供2024年或2025年任意一年完整的财务审计报告，成立时间未满十二个月的公司可提供近三个月内任意一个月的银行资信证明</w:t>
      </w:r>
      <w:bookmarkEnd w:id="2004"/>
    </w:p>
    <w:p w14:paraId="1D633836">
      <w:pPr>
        <w:pStyle w:val="7"/>
        <w:rPr>
          <w:rFonts w:hint="eastAsia" w:ascii="微软雅黑" w:hAnsi="微软雅黑" w:eastAsia="微软雅黑" w:cs="微软雅黑"/>
          <w:color w:val="auto"/>
          <w:highlight w:val="none"/>
        </w:rPr>
      </w:pPr>
    </w:p>
    <w:p w14:paraId="5C9BBEFB">
      <w:pPr>
        <w:pStyle w:val="14"/>
        <w:spacing w:line="400" w:lineRule="exact"/>
        <w:ind w:firstLine="0" w:firstLineChars="0"/>
        <w:rPr>
          <w:rFonts w:hint="eastAsia" w:ascii="微软雅黑" w:hAnsi="微软雅黑" w:eastAsia="微软雅黑" w:cs="微软雅黑"/>
          <w:b/>
          <w:color w:val="auto"/>
          <w:kern w:val="0"/>
          <w:highlight w:val="none"/>
        </w:rPr>
      </w:pPr>
    </w:p>
    <w:p w14:paraId="1DECAE7A">
      <w:pPr>
        <w:pStyle w:val="7"/>
        <w:rPr>
          <w:rFonts w:hint="eastAsia" w:ascii="微软雅黑" w:hAnsi="微软雅黑" w:eastAsia="微软雅黑" w:cs="微软雅黑"/>
          <w:color w:val="auto"/>
          <w:highlight w:val="none"/>
        </w:rPr>
      </w:pPr>
    </w:p>
    <w:p w14:paraId="31AA2F20">
      <w:pPr>
        <w:pStyle w:val="14"/>
        <w:spacing w:line="400" w:lineRule="exact"/>
        <w:ind w:firstLine="0" w:firstLineChars="0"/>
        <w:outlineLvl w:val="1"/>
        <w:rPr>
          <w:rFonts w:hint="eastAsia" w:ascii="微软雅黑" w:hAnsi="微软雅黑" w:eastAsia="微软雅黑" w:cs="微软雅黑"/>
          <w:b/>
          <w:color w:val="auto"/>
          <w:kern w:val="0"/>
          <w:highlight w:val="none"/>
        </w:rPr>
      </w:pPr>
      <w:bookmarkStart w:id="2005" w:name="_Toc7652"/>
      <w:bookmarkStart w:id="2006" w:name="_Toc22551"/>
      <w:bookmarkStart w:id="2007" w:name="_Toc22192"/>
      <w:bookmarkStart w:id="2008" w:name="_Toc7302"/>
      <w:bookmarkStart w:id="2009" w:name="_Toc12333"/>
      <w:r>
        <w:rPr>
          <w:rFonts w:hint="eastAsia" w:ascii="微软雅黑" w:hAnsi="微软雅黑" w:eastAsia="微软雅黑" w:cs="微软雅黑"/>
          <w:b/>
          <w:color w:val="auto"/>
          <w:kern w:val="0"/>
          <w:highlight w:val="none"/>
        </w:rPr>
        <w:t>5、提供依法缴纳近6个月任意1个月社会保险的证明；</w:t>
      </w:r>
      <w:bookmarkEnd w:id="2005"/>
      <w:bookmarkEnd w:id="2006"/>
      <w:bookmarkEnd w:id="2007"/>
      <w:bookmarkEnd w:id="2008"/>
      <w:bookmarkEnd w:id="2009"/>
    </w:p>
    <w:p w14:paraId="3317518C">
      <w:pPr>
        <w:pStyle w:val="14"/>
        <w:spacing w:line="400" w:lineRule="exact"/>
        <w:ind w:firstLine="0" w:firstLineChars="0"/>
        <w:rPr>
          <w:rFonts w:hint="eastAsia" w:ascii="微软雅黑" w:hAnsi="微软雅黑" w:eastAsia="微软雅黑" w:cs="微软雅黑"/>
          <w:b/>
          <w:color w:val="auto"/>
          <w:kern w:val="0"/>
          <w:highlight w:val="none"/>
        </w:rPr>
      </w:pPr>
    </w:p>
    <w:p w14:paraId="57A3983F">
      <w:pPr>
        <w:pStyle w:val="7"/>
        <w:rPr>
          <w:rFonts w:hint="eastAsia" w:ascii="微软雅黑" w:hAnsi="微软雅黑" w:eastAsia="微软雅黑" w:cs="微软雅黑"/>
          <w:color w:val="auto"/>
          <w:highlight w:val="none"/>
        </w:rPr>
      </w:pPr>
    </w:p>
    <w:p w14:paraId="400027A0">
      <w:pPr>
        <w:pStyle w:val="12"/>
        <w:rPr>
          <w:rFonts w:hint="eastAsia" w:ascii="微软雅黑" w:hAnsi="微软雅黑" w:eastAsia="微软雅黑" w:cs="微软雅黑"/>
          <w:color w:val="auto"/>
          <w:highlight w:val="none"/>
        </w:rPr>
      </w:pPr>
    </w:p>
    <w:p w14:paraId="72D3D666">
      <w:pPr>
        <w:pStyle w:val="14"/>
        <w:spacing w:line="400" w:lineRule="exact"/>
        <w:ind w:firstLine="0" w:firstLineChars="0"/>
        <w:rPr>
          <w:rFonts w:hint="eastAsia" w:ascii="微软雅黑" w:hAnsi="微软雅黑" w:eastAsia="微软雅黑" w:cs="微软雅黑"/>
          <w:b/>
          <w:color w:val="auto"/>
          <w:kern w:val="0"/>
          <w:highlight w:val="none"/>
        </w:rPr>
      </w:pPr>
    </w:p>
    <w:p w14:paraId="5F3FAB34">
      <w:pPr>
        <w:pStyle w:val="14"/>
        <w:spacing w:line="400" w:lineRule="exact"/>
        <w:ind w:firstLine="0" w:firstLineChars="0"/>
        <w:outlineLvl w:val="1"/>
        <w:rPr>
          <w:rFonts w:hint="eastAsia" w:ascii="微软雅黑" w:hAnsi="微软雅黑" w:eastAsia="微软雅黑" w:cs="微软雅黑"/>
          <w:color w:val="auto"/>
          <w:highlight w:val="none"/>
        </w:rPr>
      </w:pPr>
      <w:bookmarkStart w:id="2010" w:name="_Toc8458"/>
      <w:bookmarkStart w:id="2011" w:name="_Toc30788"/>
      <w:bookmarkStart w:id="2012" w:name="_Toc30357"/>
      <w:bookmarkStart w:id="2013" w:name="_Toc14746"/>
      <w:bookmarkStart w:id="2014" w:name="_Toc20925"/>
      <w:r>
        <w:rPr>
          <w:rFonts w:hint="eastAsia" w:ascii="微软雅黑" w:hAnsi="微软雅黑" w:eastAsia="微软雅黑" w:cs="微软雅黑"/>
          <w:b/>
          <w:color w:val="auto"/>
          <w:kern w:val="0"/>
          <w:highlight w:val="none"/>
        </w:rPr>
        <w:t>6、提供依法缴纳近6个月任意1个月的税收证明</w:t>
      </w:r>
      <w:r>
        <w:rPr>
          <w:rFonts w:hint="eastAsia" w:ascii="微软雅黑" w:hAnsi="微软雅黑" w:eastAsia="微软雅黑" w:cs="微软雅黑"/>
          <w:b/>
          <w:bCs/>
          <w:color w:val="auto"/>
          <w:highlight w:val="none"/>
        </w:rPr>
        <w:t>；</w:t>
      </w:r>
      <w:bookmarkEnd w:id="2010"/>
      <w:bookmarkEnd w:id="2011"/>
      <w:bookmarkEnd w:id="2012"/>
      <w:bookmarkEnd w:id="2013"/>
      <w:bookmarkEnd w:id="2014"/>
    </w:p>
    <w:p w14:paraId="02715140">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20A53B3A">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D38ECB2">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452CEC6D">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2F60FE4A">
      <w:pPr>
        <w:pStyle w:val="17"/>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bookmarkStart w:id="2015" w:name="_Toc5258"/>
      <w:bookmarkStart w:id="2016" w:name="_Toc19756"/>
      <w:bookmarkStart w:id="2017" w:name="_Toc14486"/>
      <w:bookmarkStart w:id="2018" w:name="_Toc1261"/>
      <w:bookmarkStart w:id="2019" w:name="_Toc2304"/>
      <w:r>
        <w:rPr>
          <w:rFonts w:hint="eastAsia" w:ascii="微软雅黑" w:hAnsi="微软雅黑" w:eastAsia="微软雅黑" w:cs="微软雅黑"/>
          <w:b/>
          <w:color w:val="auto"/>
          <w:kern w:val="0"/>
          <w:sz w:val="24"/>
          <w:highlight w:val="none"/>
        </w:rPr>
        <w:t>7、</w:t>
      </w:r>
      <w:bookmarkEnd w:id="2015"/>
      <w:bookmarkEnd w:id="2016"/>
      <w:bookmarkEnd w:id="2017"/>
      <w:bookmarkEnd w:id="2018"/>
      <w:r>
        <w:rPr>
          <w:rFonts w:hint="eastAsia" w:ascii="微软雅黑" w:hAnsi="微软雅黑" w:eastAsia="微软雅黑" w:cs="微软雅黑"/>
          <w:b/>
          <w:color w:val="auto"/>
          <w:kern w:val="0"/>
          <w:sz w:val="24"/>
          <w:highlight w:val="none"/>
        </w:rPr>
        <w:t>根据《财政部关于在政府采购活动中查询及使用信用记录有关问题的通知》（财库﹝2016﹞125号）的要求，凡拟参加本次招标项目的供应商，如在“信用中国”网站（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ascii="微软雅黑" w:hAnsi="微软雅黑" w:eastAsia="微软雅黑" w:cs="微软雅黑"/>
          <w:b/>
          <w:color w:val="auto"/>
          <w:kern w:val="0"/>
          <w:sz w:val="24"/>
          <w:highlight w:val="none"/>
          <w:lang w:eastAsia="zh-CN"/>
        </w:rPr>
        <w:t>；</w:t>
      </w:r>
      <w:bookmarkEnd w:id="2019"/>
    </w:p>
    <w:p w14:paraId="7A4FED05">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0E774DA9">
      <w:pPr>
        <w:pStyle w:val="17"/>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14:paraId="41508A19">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21676AB9">
      <w:pPr>
        <w:spacing w:line="360" w:lineRule="exact"/>
        <w:outlineLvl w:val="1"/>
        <w:rPr>
          <w:rFonts w:hint="eastAsia" w:ascii="微软雅黑" w:hAnsi="微软雅黑" w:eastAsia="微软雅黑" w:cs="微软雅黑"/>
          <w:b/>
          <w:bCs/>
          <w:color w:val="auto"/>
          <w:sz w:val="24"/>
          <w:highlight w:val="none"/>
        </w:rPr>
      </w:pPr>
      <w:bookmarkStart w:id="2020" w:name="_Toc18226"/>
      <w:bookmarkStart w:id="2021" w:name="_Toc18614"/>
      <w:bookmarkStart w:id="2022" w:name="_Toc18025"/>
      <w:bookmarkStart w:id="2023" w:name="_Toc28351"/>
      <w:bookmarkStart w:id="2024" w:name="_Toc17516"/>
      <w:r>
        <w:rPr>
          <w:rFonts w:hint="eastAsia" w:ascii="微软雅黑" w:hAnsi="微软雅黑" w:eastAsia="微软雅黑" w:cs="微软雅黑"/>
          <w:b/>
          <w:color w:val="auto"/>
          <w:kern w:val="0"/>
          <w:sz w:val="24"/>
          <w:highlight w:val="none"/>
        </w:rPr>
        <w:t>8、提供参加政府采购活动前3年内在经营活动中没有重大违法记录的书面声明函</w:t>
      </w:r>
      <w:r>
        <w:rPr>
          <w:rFonts w:hint="eastAsia" w:ascii="微软雅黑" w:hAnsi="微软雅黑" w:eastAsia="微软雅黑" w:cs="微软雅黑"/>
          <w:b/>
          <w:bCs/>
          <w:color w:val="auto"/>
          <w:sz w:val="24"/>
          <w:highlight w:val="none"/>
        </w:rPr>
        <w:t>；</w:t>
      </w:r>
      <w:bookmarkEnd w:id="2020"/>
      <w:bookmarkEnd w:id="2021"/>
      <w:bookmarkEnd w:id="2022"/>
      <w:bookmarkEnd w:id="2023"/>
      <w:bookmarkEnd w:id="2024"/>
    </w:p>
    <w:p w14:paraId="003E2E13">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3EAD47E4">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73D39B57">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75BA2FA9">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782B333F">
      <w:pPr>
        <w:rPr>
          <w:rFonts w:hint="eastAsia" w:ascii="微软雅黑" w:hAnsi="微软雅黑" w:eastAsia="微软雅黑" w:cs="微软雅黑"/>
          <w:b/>
          <w:color w:val="auto"/>
          <w:kern w:val="0"/>
          <w:sz w:val="24"/>
          <w:highlight w:val="none"/>
        </w:rPr>
      </w:pPr>
      <w:bookmarkStart w:id="2025" w:name="_Toc14673"/>
      <w:bookmarkStart w:id="2026" w:name="_Toc30363"/>
      <w:bookmarkStart w:id="2027" w:name="_Toc27135"/>
      <w:r>
        <w:rPr>
          <w:rFonts w:hint="eastAsia" w:ascii="微软雅黑" w:hAnsi="微软雅黑" w:eastAsia="微软雅黑" w:cs="微软雅黑"/>
          <w:b/>
          <w:color w:val="auto"/>
          <w:kern w:val="0"/>
          <w:sz w:val="24"/>
          <w:highlight w:val="none"/>
        </w:rPr>
        <w:br w:type="page"/>
      </w:r>
    </w:p>
    <w:p w14:paraId="29B9EBBA">
      <w:pPr>
        <w:outlineLvl w:val="1"/>
        <w:rPr>
          <w:rFonts w:hint="eastAsia" w:ascii="微软雅黑" w:hAnsi="微软雅黑" w:eastAsia="微软雅黑" w:cs="微软雅黑"/>
          <w:color w:val="auto"/>
          <w:sz w:val="24"/>
          <w:highlight w:val="none"/>
        </w:rPr>
      </w:pPr>
      <w:bookmarkStart w:id="2028" w:name="_Toc9148"/>
      <w:bookmarkStart w:id="2029" w:name="_Toc3956"/>
      <w:r>
        <w:rPr>
          <w:rFonts w:hint="eastAsia" w:ascii="微软雅黑" w:hAnsi="微软雅黑" w:eastAsia="微软雅黑" w:cs="微软雅黑"/>
          <w:b/>
          <w:color w:val="auto"/>
          <w:kern w:val="0"/>
          <w:sz w:val="24"/>
          <w:highlight w:val="none"/>
        </w:rPr>
        <w:t>9、</w:t>
      </w:r>
      <w:bookmarkEnd w:id="2025"/>
      <w:r>
        <w:rPr>
          <w:rFonts w:hint="eastAsia" w:ascii="微软雅黑" w:hAnsi="微软雅黑" w:eastAsia="微软雅黑" w:cs="微软雅黑"/>
          <w:b/>
          <w:bCs/>
          <w:color w:val="auto"/>
          <w:sz w:val="24"/>
          <w:highlight w:val="none"/>
        </w:rPr>
        <w:t>缴纳投标保证金有效凭证；</w:t>
      </w:r>
      <w:bookmarkEnd w:id="2026"/>
      <w:bookmarkEnd w:id="2027"/>
      <w:bookmarkEnd w:id="2028"/>
      <w:bookmarkEnd w:id="2029"/>
    </w:p>
    <w:tbl>
      <w:tblPr>
        <w:tblStyle w:val="3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2CEA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1099A82F">
            <w:pPr>
              <w:snapToGrid w:val="0"/>
              <w:spacing w:line="360" w:lineRule="exact"/>
              <w:textAlignment w:val="baseline"/>
              <w:rPr>
                <w:rFonts w:hint="eastAsia" w:ascii="微软雅黑" w:hAnsi="微软雅黑" w:eastAsia="微软雅黑" w:cs="微软雅黑"/>
                <w:color w:val="auto"/>
                <w:sz w:val="24"/>
                <w:highlight w:val="none"/>
              </w:rPr>
            </w:pPr>
          </w:p>
          <w:p w14:paraId="54B4CA1A">
            <w:pPr>
              <w:snapToGrid w:val="0"/>
              <w:spacing w:line="360" w:lineRule="exact"/>
              <w:textAlignment w:val="baseline"/>
              <w:rPr>
                <w:rFonts w:hint="eastAsia" w:ascii="微软雅黑" w:hAnsi="微软雅黑" w:eastAsia="微软雅黑" w:cs="微软雅黑"/>
                <w:color w:val="auto"/>
                <w:sz w:val="24"/>
                <w:highlight w:val="none"/>
              </w:rPr>
            </w:pPr>
          </w:p>
          <w:p w14:paraId="0F0A6542">
            <w:pPr>
              <w:snapToGrid w:val="0"/>
              <w:spacing w:line="360" w:lineRule="exact"/>
              <w:jc w:val="center"/>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缴纳投标保证金的有效凭证复印件（</w:t>
            </w:r>
            <w:r>
              <w:rPr>
                <w:rFonts w:hint="eastAsia" w:ascii="微软雅黑" w:hAnsi="微软雅黑" w:eastAsia="微软雅黑" w:cs="微软雅黑"/>
                <w:b/>
                <w:bCs/>
                <w:color w:val="auto"/>
                <w:sz w:val="24"/>
                <w:highlight w:val="none"/>
              </w:rPr>
              <w:t>银行转账回执单</w:t>
            </w:r>
            <w:r>
              <w:rPr>
                <w:rFonts w:hint="eastAsia" w:ascii="微软雅黑" w:hAnsi="微软雅黑" w:eastAsia="微软雅黑" w:cs="微软雅黑"/>
                <w:color w:val="auto"/>
                <w:sz w:val="24"/>
                <w:highlight w:val="none"/>
              </w:rPr>
              <w:t>或</w:t>
            </w:r>
            <w:r>
              <w:rPr>
                <w:rFonts w:hint="eastAsia" w:ascii="微软雅黑" w:hAnsi="微软雅黑" w:eastAsia="微软雅黑" w:cs="微软雅黑"/>
                <w:b/>
                <w:bCs/>
                <w:color w:val="auto"/>
                <w:sz w:val="24"/>
                <w:highlight w:val="none"/>
              </w:rPr>
              <w:t>保函</w:t>
            </w:r>
            <w:r>
              <w:rPr>
                <w:rFonts w:hint="eastAsia" w:ascii="微软雅黑" w:hAnsi="微软雅黑" w:eastAsia="微软雅黑" w:cs="微软雅黑"/>
                <w:color w:val="auto"/>
                <w:sz w:val="24"/>
                <w:highlight w:val="none"/>
              </w:rPr>
              <w:t>等）</w:t>
            </w:r>
          </w:p>
        </w:tc>
      </w:tr>
    </w:tbl>
    <w:p w14:paraId="72A57D5F">
      <w:pPr>
        <w:pStyle w:val="29"/>
        <w:rPr>
          <w:rFonts w:hint="eastAsia" w:ascii="微软雅黑" w:hAnsi="微软雅黑" w:eastAsia="微软雅黑" w:cs="微软雅黑"/>
          <w:color w:val="auto"/>
          <w:sz w:val="24"/>
          <w:highlight w:val="none"/>
        </w:rPr>
      </w:pPr>
    </w:p>
    <w:p w14:paraId="25974C68">
      <w:pPr>
        <w:snapToGrid w:val="0"/>
        <w:spacing w:line="36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注：本项目以缴纳投标保证金的有效凭证复印件盖公章为准；</w:t>
      </w:r>
    </w:p>
    <w:p w14:paraId="13FB8A0D">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62FD5609">
      <w:pPr>
        <w:pStyle w:val="17"/>
        <w:tabs>
          <w:tab w:val="left" w:pos="5580"/>
        </w:tabs>
        <w:spacing w:line="400" w:lineRule="exact"/>
        <w:ind w:left="540" w:leftChars="257"/>
        <w:rPr>
          <w:rFonts w:hint="eastAsia" w:ascii="微软雅黑" w:hAnsi="微软雅黑" w:eastAsia="微软雅黑" w:cs="微软雅黑"/>
          <w:b/>
          <w:color w:val="auto"/>
          <w:kern w:val="0"/>
          <w:sz w:val="24"/>
          <w:szCs w:val="24"/>
          <w:highlight w:val="none"/>
        </w:rPr>
      </w:pPr>
    </w:p>
    <w:p w14:paraId="01A1A9AE">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9CB9441">
      <w:pPr>
        <w:pStyle w:val="17"/>
        <w:tabs>
          <w:tab w:val="left" w:pos="5580"/>
        </w:tabs>
        <w:spacing w:line="400" w:lineRule="exact"/>
        <w:rPr>
          <w:rFonts w:hint="eastAsia" w:ascii="微软雅黑" w:hAnsi="微软雅黑" w:eastAsia="微软雅黑" w:cs="微软雅黑"/>
          <w:b/>
          <w:color w:val="auto"/>
          <w:kern w:val="0"/>
          <w:sz w:val="24"/>
          <w:szCs w:val="24"/>
          <w:highlight w:val="none"/>
        </w:rPr>
      </w:pPr>
    </w:p>
    <w:p w14:paraId="09DA8435">
      <w:pPr>
        <w:pStyle w:val="17"/>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2030" w:name="_Toc28903"/>
      <w:bookmarkStart w:id="2031" w:name="_Toc21741"/>
      <w:bookmarkStart w:id="2032" w:name="_Toc13432"/>
      <w:bookmarkStart w:id="2033" w:name="_Toc7047"/>
      <w:bookmarkStart w:id="2034" w:name="_Toc13801"/>
      <w:r>
        <w:rPr>
          <w:rFonts w:hint="eastAsia" w:ascii="微软雅黑" w:hAnsi="微软雅黑" w:eastAsia="微软雅黑" w:cs="微软雅黑"/>
          <w:b/>
          <w:bCs/>
          <w:color w:val="auto"/>
          <w:sz w:val="24"/>
          <w:szCs w:val="24"/>
          <w:highlight w:val="none"/>
        </w:rPr>
        <w:t>10、</w:t>
      </w:r>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bookmarkEnd w:id="2030"/>
      <w:bookmarkEnd w:id="2031"/>
      <w:bookmarkEnd w:id="2032"/>
      <w:bookmarkEnd w:id="2033"/>
    </w:p>
    <w:bookmarkEnd w:id="2034"/>
    <w:p w14:paraId="3ED68418">
      <w:pPr>
        <w:pStyle w:val="29"/>
        <w:rPr>
          <w:rFonts w:hint="eastAsia" w:ascii="微软雅黑" w:hAnsi="微软雅黑" w:eastAsia="微软雅黑" w:cs="微软雅黑"/>
          <w:color w:val="auto"/>
          <w:sz w:val="24"/>
          <w:highlight w:val="none"/>
        </w:rPr>
      </w:pPr>
    </w:p>
    <w:p w14:paraId="1804FDD4">
      <w:pPr>
        <w:pStyle w:val="29"/>
        <w:rPr>
          <w:rFonts w:hint="eastAsia" w:ascii="微软雅黑" w:hAnsi="微软雅黑" w:eastAsia="微软雅黑" w:cs="微软雅黑"/>
          <w:color w:val="auto"/>
          <w:sz w:val="24"/>
          <w:highlight w:val="none"/>
        </w:rPr>
      </w:pPr>
    </w:p>
    <w:p w14:paraId="1E26ED11">
      <w:pPr>
        <w:pStyle w:val="29"/>
        <w:rPr>
          <w:rFonts w:hint="eastAsia" w:ascii="微软雅黑" w:hAnsi="微软雅黑" w:eastAsia="微软雅黑" w:cs="微软雅黑"/>
          <w:color w:val="auto"/>
          <w:sz w:val="24"/>
          <w:highlight w:val="none"/>
        </w:rPr>
      </w:pPr>
    </w:p>
    <w:p w14:paraId="5E3315B0">
      <w:pPr>
        <w:pStyle w:val="29"/>
        <w:rPr>
          <w:rFonts w:hint="eastAsia" w:ascii="微软雅黑" w:hAnsi="微软雅黑" w:eastAsia="微软雅黑" w:cs="微软雅黑"/>
          <w:color w:val="auto"/>
          <w:sz w:val="24"/>
          <w:highlight w:val="none"/>
        </w:rPr>
      </w:pPr>
    </w:p>
    <w:p w14:paraId="7E590F0D">
      <w:pPr>
        <w:outlineLvl w:val="1"/>
        <w:rPr>
          <w:rFonts w:hint="eastAsia" w:ascii="微软雅黑" w:hAnsi="微软雅黑" w:eastAsia="微软雅黑" w:cs="微软雅黑"/>
          <w:b/>
          <w:color w:val="auto"/>
          <w:kern w:val="0"/>
          <w:sz w:val="24"/>
          <w:highlight w:val="none"/>
        </w:rPr>
      </w:pPr>
      <w:bookmarkStart w:id="2035" w:name="_Toc7688"/>
      <w:bookmarkStart w:id="2036" w:name="_Toc19935"/>
      <w:bookmarkStart w:id="2037" w:name="_Toc14708"/>
      <w:bookmarkStart w:id="2038" w:name="_Toc4995"/>
      <w:bookmarkStart w:id="2039" w:name="_Toc5529"/>
      <w:r>
        <w:rPr>
          <w:rFonts w:hint="eastAsia" w:ascii="微软雅黑" w:hAnsi="微软雅黑" w:eastAsia="微软雅黑" w:cs="微软雅黑"/>
          <w:b/>
          <w:bCs/>
          <w:color w:val="auto"/>
          <w:sz w:val="24"/>
          <w:highlight w:val="none"/>
        </w:rPr>
        <w:t>11、</w:t>
      </w:r>
      <w:r>
        <w:rPr>
          <w:rFonts w:hint="eastAsia" w:ascii="微软雅黑" w:hAnsi="微软雅黑" w:eastAsia="微软雅黑" w:cs="微软雅黑"/>
          <w:b/>
          <w:color w:val="auto"/>
          <w:kern w:val="0"/>
          <w:sz w:val="24"/>
          <w:highlight w:val="none"/>
        </w:rPr>
        <w:t>供应商可提供有利于投标的其他资格证明材料。</w:t>
      </w:r>
      <w:bookmarkEnd w:id="2035"/>
      <w:bookmarkEnd w:id="2036"/>
      <w:bookmarkEnd w:id="2037"/>
      <w:bookmarkEnd w:id="2038"/>
      <w:bookmarkEnd w:id="2039"/>
    </w:p>
    <w:p w14:paraId="50563438">
      <w:pPr>
        <w:rPr>
          <w:rFonts w:hint="eastAsia" w:ascii="微软雅黑" w:hAnsi="微软雅黑" w:eastAsia="微软雅黑" w:cs="微软雅黑"/>
          <w:b/>
          <w:color w:val="auto"/>
          <w:kern w:val="0"/>
          <w:sz w:val="24"/>
          <w:highlight w:val="none"/>
        </w:rPr>
      </w:pPr>
    </w:p>
    <w:p w14:paraId="29980D9F">
      <w:pPr>
        <w:rPr>
          <w:rFonts w:hint="eastAsia" w:ascii="微软雅黑" w:hAnsi="微软雅黑" w:eastAsia="微软雅黑" w:cs="微软雅黑"/>
          <w:color w:val="auto"/>
          <w:sz w:val="24"/>
          <w:highlight w:val="none"/>
        </w:rPr>
      </w:pPr>
    </w:p>
    <w:p w14:paraId="090B8F66">
      <w:pPr>
        <w:pStyle w:val="29"/>
        <w:rPr>
          <w:rFonts w:hint="eastAsia" w:ascii="微软雅黑" w:hAnsi="微软雅黑" w:eastAsia="微软雅黑" w:cs="微软雅黑"/>
          <w:color w:val="auto"/>
          <w:sz w:val="24"/>
          <w:highlight w:val="none"/>
        </w:rPr>
      </w:pPr>
    </w:p>
    <w:p w14:paraId="7269FCC1">
      <w:pPr>
        <w:rPr>
          <w:rFonts w:hint="eastAsia" w:ascii="微软雅黑" w:hAnsi="微软雅黑" w:eastAsia="微软雅黑" w:cs="微软雅黑"/>
          <w:color w:val="auto"/>
          <w:sz w:val="24"/>
          <w:highlight w:val="none"/>
        </w:rPr>
      </w:pPr>
    </w:p>
    <w:p w14:paraId="188D7890">
      <w:pP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br w:type="page"/>
      </w:r>
    </w:p>
    <w:p w14:paraId="5CB5E8D5">
      <w:pPr>
        <w:pStyle w:val="3"/>
        <w:spacing w:before="0" w:line="400" w:lineRule="exact"/>
        <w:ind w:left="540" w:leftChars="257"/>
        <w:rPr>
          <w:rFonts w:hint="eastAsia" w:ascii="微软雅黑" w:hAnsi="微软雅黑" w:eastAsia="微软雅黑" w:cs="微软雅黑"/>
          <w:color w:val="auto"/>
          <w:sz w:val="24"/>
          <w:szCs w:val="24"/>
          <w:highlight w:val="none"/>
        </w:rPr>
      </w:pPr>
      <w:bookmarkStart w:id="2040" w:name="_Toc10713"/>
      <w:bookmarkStart w:id="2041" w:name="_Toc23123"/>
      <w:bookmarkStart w:id="2042" w:name="_Toc4650"/>
      <w:r>
        <w:rPr>
          <w:rFonts w:hint="eastAsia" w:ascii="微软雅黑" w:hAnsi="微软雅黑" w:eastAsia="微软雅黑" w:cs="微软雅黑"/>
          <w:color w:val="auto"/>
          <w:sz w:val="24"/>
          <w:szCs w:val="24"/>
          <w:highlight w:val="none"/>
        </w:rPr>
        <w:t>第二部分商务及技术文件</w:t>
      </w:r>
      <w:bookmarkEnd w:id="2040"/>
      <w:bookmarkEnd w:id="2041"/>
      <w:bookmarkEnd w:id="2042"/>
    </w:p>
    <w:p w14:paraId="21B75821">
      <w:pPr>
        <w:pStyle w:val="17"/>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14:paraId="1FA71121">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14:paraId="180CE48C">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3、货物说明一览表</w:t>
      </w:r>
    </w:p>
    <w:p w14:paraId="038C5310">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4、技术规格偏离表</w:t>
      </w:r>
    </w:p>
    <w:p w14:paraId="1233ABF0">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5、商务条款偏离表</w:t>
      </w:r>
    </w:p>
    <w:p w14:paraId="09565D11">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6-1中小企业声明函（货物）</w:t>
      </w:r>
    </w:p>
    <w:p w14:paraId="1B4AC71D">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6-2《残疾人福利性单位声明函》</w:t>
      </w:r>
    </w:p>
    <w:p w14:paraId="531F7678">
      <w:pPr>
        <w:pStyle w:val="17"/>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7、供应商关联单位的说明</w:t>
      </w:r>
    </w:p>
    <w:p w14:paraId="23951F25">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2043" w:name="_Toc14915"/>
      <w:bookmarkStart w:id="2044" w:name="_Toc515647817"/>
      <w:bookmarkStart w:id="2045" w:name="_Toc2041"/>
      <w:r>
        <w:rPr>
          <w:rFonts w:hint="eastAsia" w:ascii="微软雅黑" w:hAnsi="微软雅黑" w:eastAsia="微软雅黑" w:cs="微软雅黑"/>
          <w:color w:val="auto"/>
          <w:sz w:val="24"/>
          <w:szCs w:val="24"/>
          <w:highlight w:val="none"/>
        </w:rPr>
        <w:t>供应商可提供有利于投标的其他资格证明材料</w:t>
      </w:r>
    </w:p>
    <w:p w14:paraId="53171543">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9、投标文件格式范本</w:t>
      </w:r>
    </w:p>
    <w:p w14:paraId="2F64F594">
      <w:pPr>
        <w:spacing w:line="360" w:lineRule="auto"/>
        <w:rPr>
          <w:rFonts w:hint="eastAsia" w:ascii="微软雅黑" w:hAnsi="微软雅黑" w:eastAsia="微软雅黑" w:cs="微软雅黑"/>
          <w:b/>
          <w:bCs/>
          <w:color w:val="auto"/>
          <w:sz w:val="24"/>
          <w:highlight w:val="none"/>
        </w:rPr>
      </w:pPr>
    </w:p>
    <w:p w14:paraId="7D24AFC6">
      <w:pPr>
        <w:pStyle w:val="7"/>
        <w:rPr>
          <w:rFonts w:hint="eastAsia" w:ascii="微软雅黑" w:hAnsi="微软雅黑" w:eastAsia="微软雅黑" w:cs="微软雅黑"/>
          <w:b/>
          <w:bCs/>
          <w:color w:val="auto"/>
          <w:szCs w:val="24"/>
          <w:highlight w:val="none"/>
        </w:rPr>
      </w:pPr>
    </w:p>
    <w:p w14:paraId="41DD9D95">
      <w:pPr>
        <w:pStyle w:val="7"/>
        <w:rPr>
          <w:rFonts w:hint="eastAsia" w:ascii="微软雅黑" w:hAnsi="微软雅黑" w:eastAsia="微软雅黑" w:cs="微软雅黑"/>
          <w:b/>
          <w:bCs/>
          <w:color w:val="auto"/>
          <w:szCs w:val="24"/>
          <w:highlight w:val="none"/>
        </w:rPr>
      </w:pPr>
    </w:p>
    <w:p w14:paraId="39DA59B4">
      <w:pPr>
        <w:pStyle w:val="7"/>
        <w:rPr>
          <w:rFonts w:hint="eastAsia" w:ascii="微软雅黑" w:hAnsi="微软雅黑" w:eastAsia="微软雅黑" w:cs="微软雅黑"/>
          <w:b/>
          <w:bCs/>
          <w:color w:val="auto"/>
          <w:szCs w:val="24"/>
          <w:highlight w:val="none"/>
        </w:rPr>
      </w:pPr>
    </w:p>
    <w:p w14:paraId="427C945E">
      <w:pPr>
        <w:pStyle w:val="7"/>
        <w:rPr>
          <w:rFonts w:hint="eastAsia" w:ascii="微软雅黑" w:hAnsi="微软雅黑" w:eastAsia="微软雅黑" w:cs="微软雅黑"/>
          <w:b/>
          <w:bCs/>
          <w:color w:val="auto"/>
          <w:szCs w:val="24"/>
          <w:highlight w:val="none"/>
        </w:rPr>
      </w:pPr>
    </w:p>
    <w:p w14:paraId="61262663">
      <w:pPr>
        <w:pStyle w:val="7"/>
        <w:rPr>
          <w:rFonts w:hint="eastAsia" w:ascii="微软雅黑" w:hAnsi="微软雅黑" w:eastAsia="微软雅黑" w:cs="微软雅黑"/>
          <w:b/>
          <w:bCs/>
          <w:color w:val="auto"/>
          <w:szCs w:val="24"/>
          <w:highlight w:val="none"/>
        </w:rPr>
      </w:pPr>
    </w:p>
    <w:p w14:paraId="02C20510">
      <w:pPr>
        <w:pStyle w:val="7"/>
        <w:rPr>
          <w:rFonts w:hint="eastAsia" w:ascii="微软雅黑" w:hAnsi="微软雅黑" w:eastAsia="微软雅黑" w:cs="微软雅黑"/>
          <w:b/>
          <w:bCs/>
          <w:color w:val="auto"/>
          <w:szCs w:val="24"/>
          <w:highlight w:val="none"/>
        </w:rPr>
      </w:pPr>
    </w:p>
    <w:p w14:paraId="091CCF58">
      <w:pPr>
        <w:spacing w:line="360" w:lineRule="auto"/>
        <w:rPr>
          <w:rFonts w:hint="eastAsia" w:ascii="微软雅黑" w:hAnsi="微软雅黑" w:eastAsia="微软雅黑" w:cs="微软雅黑"/>
          <w:color w:val="auto"/>
          <w:sz w:val="24"/>
          <w:highlight w:val="none"/>
        </w:rPr>
      </w:pPr>
    </w:p>
    <w:p w14:paraId="78A816A9">
      <w:pPr>
        <w:pStyle w:val="17"/>
        <w:tabs>
          <w:tab w:val="left" w:pos="5580"/>
        </w:tabs>
        <w:spacing w:line="240" w:lineRule="atLeast"/>
        <w:rPr>
          <w:rFonts w:hint="eastAsia" w:ascii="微软雅黑" w:hAnsi="微软雅黑" w:eastAsia="微软雅黑" w:cs="微软雅黑"/>
          <w:color w:val="auto"/>
          <w:sz w:val="24"/>
          <w:szCs w:val="24"/>
          <w:highlight w:val="none"/>
        </w:rPr>
      </w:pPr>
    </w:p>
    <w:p w14:paraId="0B6707F1">
      <w:pPr>
        <w:pStyle w:val="17"/>
        <w:tabs>
          <w:tab w:val="left" w:pos="5580"/>
        </w:tabs>
        <w:spacing w:line="240" w:lineRule="atLeast"/>
        <w:rPr>
          <w:rFonts w:hint="eastAsia" w:ascii="微软雅黑" w:hAnsi="微软雅黑" w:eastAsia="微软雅黑" w:cs="微软雅黑"/>
          <w:color w:val="auto"/>
          <w:sz w:val="24"/>
          <w:szCs w:val="24"/>
          <w:highlight w:val="none"/>
        </w:rPr>
      </w:pPr>
    </w:p>
    <w:p w14:paraId="4A137CCC">
      <w:pPr>
        <w:pStyle w:val="17"/>
        <w:tabs>
          <w:tab w:val="left" w:pos="5580"/>
        </w:tabs>
        <w:spacing w:line="240" w:lineRule="atLeast"/>
        <w:rPr>
          <w:rFonts w:hint="eastAsia" w:ascii="微软雅黑" w:hAnsi="微软雅黑" w:eastAsia="微软雅黑" w:cs="微软雅黑"/>
          <w:color w:val="auto"/>
          <w:sz w:val="24"/>
          <w:szCs w:val="24"/>
          <w:highlight w:val="none"/>
        </w:rPr>
      </w:pPr>
    </w:p>
    <w:p w14:paraId="77F5682B">
      <w:pPr>
        <w:pStyle w:val="17"/>
        <w:tabs>
          <w:tab w:val="left" w:pos="5580"/>
        </w:tabs>
        <w:spacing w:line="240" w:lineRule="atLeast"/>
        <w:rPr>
          <w:rFonts w:hint="eastAsia" w:ascii="微软雅黑" w:hAnsi="微软雅黑" w:eastAsia="微软雅黑" w:cs="微软雅黑"/>
          <w:color w:val="auto"/>
          <w:sz w:val="24"/>
          <w:szCs w:val="24"/>
          <w:highlight w:val="none"/>
        </w:rPr>
      </w:pPr>
    </w:p>
    <w:p w14:paraId="2763E887">
      <w:pPr>
        <w:pStyle w:val="17"/>
        <w:tabs>
          <w:tab w:val="left" w:pos="5580"/>
        </w:tabs>
        <w:spacing w:line="240" w:lineRule="atLeast"/>
        <w:rPr>
          <w:rFonts w:hint="eastAsia" w:ascii="微软雅黑" w:hAnsi="微软雅黑" w:eastAsia="微软雅黑" w:cs="微软雅黑"/>
          <w:color w:val="auto"/>
          <w:sz w:val="24"/>
          <w:szCs w:val="24"/>
          <w:highlight w:val="none"/>
        </w:rPr>
      </w:pPr>
    </w:p>
    <w:p w14:paraId="6DCEC3E3">
      <w:pPr>
        <w:pStyle w:val="17"/>
        <w:tabs>
          <w:tab w:val="left" w:pos="5580"/>
        </w:tabs>
        <w:spacing w:line="240" w:lineRule="atLeast"/>
        <w:rPr>
          <w:rFonts w:hint="eastAsia" w:ascii="微软雅黑" w:hAnsi="微软雅黑" w:eastAsia="微软雅黑" w:cs="微软雅黑"/>
          <w:color w:val="auto"/>
          <w:sz w:val="24"/>
          <w:szCs w:val="24"/>
          <w:highlight w:val="none"/>
        </w:rPr>
      </w:pPr>
    </w:p>
    <w:p w14:paraId="40D3E8F9">
      <w:pPr>
        <w:pStyle w:val="17"/>
        <w:tabs>
          <w:tab w:val="left" w:pos="5580"/>
        </w:tabs>
        <w:spacing w:line="240" w:lineRule="atLeast"/>
        <w:rPr>
          <w:rFonts w:hint="eastAsia" w:ascii="微软雅黑" w:hAnsi="微软雅黑" w:eastAsia="微软雅黑" w:cs="微软雅黑"/>
          <w:color w:val="auto"/>
          <w:sz w:val="24"/>
          <w:szCs w:val="24"/>
          <w:highlight w:val="none"/>
        </w:rPr>
      </w:pPr>
    </w:p>
    <w:p w14:paraId="43EC2A16">
      <w:pPr>
        <w:pStyle w:val="17"/>
        <w:tabs>
          <w:tab w:val="left" w:pos="5580"/>
        </w:tabs>
        <w:spacing w:line="240" w:lineRule="atLeast"/>
        <w:rPr>
          <w:rFonts w:hint="eastAsia" w:ascii="微软雅黑" w:hAnsi="微软雅黑" w:eastAsia="微软雅黑" w:cs="微软雅黑"/>
          <w:color w:val="auto"/>
          <w:sz w:val="24"/>
          <w:szCs w:val="24"/>
          <w:highlight w:val="none"/>
        </w:rPr>
      </w:pPr>
    </w:p>
    <w:p w14:paraId="75E0D5C4">
      <w:pPr>
        <w:pStyle w:val="17"/>
        <w:tabs>
          <w:tab w:val="left" w:pos="5580"/>
        </w:tabs>
        <w:spacing w:line="240" w:lineRule="atLeast"/>
        <w:rPr>
          <w:rFonts w:hint="eastAsia" w:ascii="微软雅黑" w:hAnsi="微软雅黑" w:eastAsia="微软雅黑" w:cs="微软雅黑"/>
          <w:color w:val="auto"/>
          <w:sz w:val="24"/>
          <w:szCs w:val="24"/>
          <w:highlight w:val="none"/>
        </w:rPr>
      </w:pPr>
    </w:p>
    <w:p w14:paraId="5997C435">
      <w:pPr>
        <w:pStyle w:val="17"/>
        <w:tabs>
          <w:tab w:val="left" w:pos="5580"/>
        </w:tabs>
        <w:spacing w:line="240" w:lineRule="atLeast"/>
        <w:rPr>
          <w:rFonts w:hint="eastAsia" w:ascii="微软雅黑" w:hAnsi="微软雅黑" w:eastAsia="微软雅黑" w:cs="微软雅黑"/>
          <w:color w:val="auto"/>
          <w:sz w:val="24"/>
          <w:szCs w:val="24"/>
          <w:highlight w:val="none"/>
        </w:rPr>
      </w:pPr>
    </w:p>
    <w:p w14:paraId="39F1D4B2">
      <w:pPr>
        <w:rPr>
          <w:rFonts w:hint="eastAsia" w:ascii="微软雅黑" w:hAnsi="微软雅黑" w:eastAsia="微软雅黑" w:cs="微软雅黑"/>
          <w:b/>
          <w:bCs/>
          <w:color w:val="auto"/>
          <w:sz w:val="24"/>
          <w:highlight w:val="none"/>
        </w:rPr>
      </w:pPr>
      <w:bookmarkStart w:id="2046" w:name="_Toc29625"/>
      <w:bookmarkStart w:id="2047" w:name="_Toc30408"/>
      <w:bookmarkStart w:id="2048" w:name="_Toc21772"/>
      <w:bookmarkStart w:id="2049" w:name="_Toc25918"/>
      <w:r>
        <w:rPr>
          <w:rFonts w:hint="eastAsia" w:ascii="微软雅黑" w:hAnsi="微软雅黑" w:eastAsia="微软雅黑" w:cs="微软雅黑"/>
          <w:b/>
          <w:bCs/>
          <w:color w:val="auto"/>
          <w:sz w:val="24"/>
          <w:highlight w:val="none"/>
        </w:rPr>
        <w:br w:type="page"/>
      </w:r>
    </w:p>
    <w:bookmarkEnd w:id="2043"/>
    <w:bookmarkEnd w:id="2044"/>
    <w:bookmarkEnd w:id="2045"/>
    <w:bookmarkEnd w:id="2046"/>
    <w:bookmarkEnd w:id="2047"/>
    <w:bookmarkEnd w:id="2048"/>
    <w:bookmarkEnd w:id="2049"/>
    <w:p w14:paraId="49CAC548">
      <w:pPr>
        <w:pStyle w:val="17"/>
        <w:tabs>
          <w:tab w:val="left" w:pos="5580"/>
        </w:tabs>
        <w:spacing w:line="400" w:lineRule="exact"/>
        <w:jc w:val="center"/>
        <w:outlineLvl w:val="1"/>
        <w:rPr>
          <w:rFonts w:hint="eastAsia" w:ascii="微软雅黑" w:hAnsi="微软雅黑" w:eastAsia="微软雅黑" w:cs="微软雅黑"/>
          <w:color w:val="auto"/>
          <w:sz w:val="24"/>
          <w:szCs w:val="24"/>
          <w:highlight w:val="none"/>
        </w:rPr>
      </w:pPr>
      <w:bookmarkStart w:id="2050" w:name="_Toc7342"/>
      <w:bookmarkStart w:id="2051" w:name="_Toc2534"/>
      <w:bookmarkStart w:id="2052" w:name="_Toc5227"/>
      <w:bookmarkStart w:id="2053" w:name="_Toc30822"/>
      <w:bookmarkStart w:id="2054" w:name="_Toc649"/>
      <w:bookmarkStart w:id="2055" w:name="_Toc23473"/>
      <w:bookmarkStart w:id="2056" w:name="_Toc1266"/>
      <w:bookmarkStart w:id="2057" w:name="_Toc19819"/>
      <w:bookmarkStart w:id="2058" w:name="_Toc14219"/>
      <w:bookmarkStart w:id="2059" w:name="_Toc30947"/>
      <w:bookmarkStart w:id="2060" w:name="_Toc6738"/>
      <w:bookmarkStart w:id="2061" w:name="_Toc14220"/>
      <w:bookmarkStart w:id="2062" w:name="_Toc17187"/>
      <w:bookmarkStart w:id="2063" w:name="_Toc8845"/>
      <w:r>
        <w:rPr>
          <w:rFonts w:hint="eastAsia" w:ascii="微软雅黑" w:hAnsi="微软雅黑" w:eastAsia="微软雅黑" w:cs="微软雅黑"/>
          <w:b/>
          <w:bCs/>
          <w:color w:val="auto"/>
          <w:sz w:val="24"/>
          <w:szCs w:val="24"/>
          <w:highlight w:val="none"/>
        </w:rPr>
        <w:t>1、投标书</w:t>
      </w:r>
      <w:bookmarkEnd w:id="2050"/>
      <w:bookmarkEnd w:id="2051"/>
      <w:bookmarkEnd w:id="2052"/>
      <w:bookmarkEnd w:id="2053"/>
      <w:bookmarkEnd w:id="2054"/>
    </w:p>
    <w:p w14:paraId="3BF2CA98">
      <w:pPr>
        <w:tabs>
          <w:tab w:val="left" w:pos="5580"/>
        </w:tabs>
        <w:spacing w:line="400" w:lineRule="exact"/>
        <w:ind w:left="1080" w:hanging="108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致：（采购人或采购代理机构）</w:t>
      </w:r>
    </w:p>
    <w:p w14:paraId="78756BE6">
      <w:pPr>
        <w:pStyle w:val="17"/>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color w:val="auto"/>
          <w:sz w:val="24"/>
          <w:szCs w:val="24"/>
          <w:highlight w:val="none"/>
          <w:u w:val="single"/>
        </w:rPr>
        <w:t>项目编号</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标段号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color w:val="auto"/>
          <w:sz w:val="24"/>
          <w:szCs w:val="24"/>
          <w:highlight w:val="none"/>
          <w:u w:val="single"/>
        </w:rPr>
        <w:t>名称、地址</w:t>
      </w:r>
      <w:r>
        <w:rPr>
          <w:rFonts w:hint="eastAsia" w:ascii="微软雅黑" w:hAnsi="微软雅黑" w:eastAsia="微软雅黑" w:cs="微软雅黑"/>
          <w:color w:val="auto"/>
          <w:sz w:val="24"/>
          <w:szCs w:val="24"/>
          <w:highlight w:val="none"/>
        </w:rPr>
        <w:t>）上传投标文件，并以形式出具的金额为人民币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14:paraId="4EF0AF1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0315BAF0">
      <w:pPr>
        <w:pStyle w:val="17"/>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（1）附投标价格表中规定的应提供货物的投标总价详见开标一览表，</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（用文字和数字表示），占投标总价%</w:t>
      </w:r>
      <w:r>
        <w:rPr>
          <w:rFonts w:hint="eastAsia" w:ascii="微软雅黑" w:hAnsi="微软雅黑" w:eastAsia="微软雅黑" w:cs="微软雅黑"/>
          <w:color w:val="auto"/>
          <w:sz w:val="24"/>
          <w:szCs w:val="24"/>
          <w:highlight w:val="none"/>
        </w:rPr>
        <w:t>。</w:t>
      </w:r>
    </w:p>
    <w:p w14:paraId="22825913">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（2）本投标有效期为自投标截止之日起个日历日。</w:t>
      </w:r>
    </w:p>
    <w:p w14:paraId="336684CC">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（3）联合体中的大中型企业和其他自然人、法定代表人或者非法定代表人组织，与联合体中的小型、微型企业之间</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存在、不存在）投资关系（如果是联合体的话）。</w:t>
      </w:r>
    </w:p>
    <w:p w14:paraId="453B7C0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7040D8EE">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3F6D0054">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（6）我方不是为本项目提供整体设计、规范编制或者项目管理、监理、检测等货物的供应商，我方不是采购代理机构的附属机构。</w:t>
      </w:r>
    </w:p>
    <w:p w14:paraId="452BCC56">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7D664C3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要求，提供与其投标有关的一切数据或资料，完全理解贵方不一定接受最低价的投标或收到的任何投标。</w:t>
      </w:r>
    </w:p>
    <w:p w14:paraId="492D0325">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2DA75479">
      <w:pPr>
        <w:pStyle w:val="17"/>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与本投标有关的一切正式往来信函请寄：</w:t>
      </w:r>
    </w:p>
    <w:p w14:paraId="57CB5954">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地址</w:t>
      </w:r>
    </w:p>
    <w:p w14:paraId="2DAF376F">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传真</w:t>
      </w:r>
    </w:p>
    <w:p w14:paraId="782C06A0">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电话</w:t>
      </w:r>
    </w:p>
    <w:p w14:paraId="2832B9B2">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电子函件</w:t>
      </w:r>
    </w:p>
    <w:p w14:paraId="48F21DC6">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p>
    <w:p w14:paraId="7CA96615">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供应商名称（公章）</w:t>
      </w:r>
    </w:p>
    <w:p w14:paraId="32820208">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w:t>
      </w:r>
    </w:p>
    <w:p w14:paraId="2C045E6F">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4C10CC5B">
      <w:pPr>
        <w:pStyle w:val="17"/>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lang w:eastAsia="zh-CN"/>
        </w:rPr>
      </w:pPr>
      <w:r>
        <w:rPr>
          <w:rFonts w:hint="eastAsia" w:ascii="微软雅黑" w:hAnsi="微软雅黑" w:eastAsia="微软雅黑" w:cs="微软雅黑"/>
          <w:color w:val="auto"/>
          <w:sz w:val="24"/>
          <w:szCs w:val="24"/>
          <w:highlight w:val="none"/>
        </w:rPr>
        <w:t>日期</w:t>
      </w:r>
    </w:p>
    <w:p w14:paraId="07E37549">
      <w:pPr>
        <w:pStyle w:val="17"/>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14:paraId="381E8077">
      <w:pPr>
        <w:pStyle w:val="17"/>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2064" w:name="_Toc32603"/>
      <w:bookmarkStart w:id="2065" w:name="_Toc26804"/>
      <w:r>
        <w:rPr>
          <w:rFonts w:hint="eastAsia" w:ascii="微软雅黑" w:hAnsi="微软雅黑" w:eastAsia="微软雅黑" w:cs="微软雅黑"/>
          <w:b/>
          <w:bCs/>
          <w:color w:val="auto"/>
          <w:sz w:val="24"/>
          <w:szCs w:val="24"/>
          <w:highlight w:val="none"/>
        </w:rPr>
        <w:t>2</w:t>
      </w:r>
      <w:bookmarkEnd w:id="2055"/>
      <w:bookmarkEnd w:id="2056"/>
      <w:bookmarkEnd w:id="2057"/>
      <w:bookmarkEnd w:id="2058"/>
      <w:bookmarkEnd w:id="2059"/>
      <w:bookmarkEnd w:id="2060"/>
      <w:bookmarkStart w:id="2066" w:name="_Toc515647820"/>
      <w:bookmarkStart w:id="2067" w:name="_Toc22563"/>
      <w:bookmarkStart w:id="2068" w:name="_Toc28959"/>
      <w:bookmarkStart w:id="2069" w:name="_Toc216582817"/>
      <w:r>
        <w:rPr>
          <w:rFonts w:hint="eastAsia" w:ascii="微软雅黑" w:hAnsi="微软雅黑" w:eastAsia="微软雅黑" w:cs="微软雅黑"/>
          <w:b/>
          <w:bCs/>
          <w:color w:val="auto"/>
          <w:sz w:val="24"/>
          <w:szCs w:val="24"/>
          <w:highlight w:val="none"/>
        </w:rPr>
        <w:t>、投标分项报价表</w:t>
      </w:r>
      <w:bookmarkEnd w:id="2061"/>
      <w:bookmarkEnd w:id="2062"/>
      <w:bookmarkEnd w:id="2063"/>
      <w:bookmarkEnd w:id="2064"/>
      <w:bookmarkEnd w:id="2065"/>
    </w:p>
    <w:p w14:paraId="594720A6">
      <w:pPr>
        <w:pStyle w:val="17"/>
        <w:spacing w:line="400" w:lineRule="exact"/>
        <w:ind w:left="540" w:leftChars="257"/>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项目名称:项目编号:　　</w:t>
      </w:r>
    </w:p>
    <w:p w14:paraId="6C754602">
      <w:pPr>
        <w:pStyle w:val="17"/>
        <w:spacing w:line="400" w:lineRule="exact"/>
        <w:ind w:left="540" w:leftChars="257"/>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报价单位：人民币</w:t>
      </w:r>
      <w:r>
        <w:rPr>
          <w:rFonts w:hint="eastAsia" w:ascii="微软雅黑" w:hAnsi="微软雅黑" w:eastAsia="微软雅黑" w:cs="微软雅黑"/>
          <w:b/>
          <w:bCs/>
          <w:color w:val="auto"/>
          <w:sz w:val="24"/>
          <w:szCs w:val="24"/>
          <w:highlight w:val="none"/>
        </w:rPr>
        <w:t>元</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10431" w:type="dxa"/>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48"/>
        <w:gridCol w:w="764"/>
        <w:gridCol w:w="1208"/>
        <w:gridCol w:w="1208"/>
        <w:gridCol w:w="1056"/>
        <w:gridCol w:w="753"/>
        <w:gridCol w:w="671"/>
        <w:gridCol w:w="836"/>
        <w:gridCol w:w="741"/>
        <w:gridCol w:w="781"/>
        <w:gridCol w:w="798"/>
      </w:tblGrid>
      <w:tr w14:paraId="1CCC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7" w:type="dxa"/>
            <w:vAlign w:val="center"/>
          </w:tcPr>
          <w:p w14:paraId="60CCFD8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848" w:type="dxa"/>
            <w:vAlign w:val="center"/>
          </w:tcPr>
          <w:p w14:paraId="6845474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764" w:type="dxa"/>
            <w:vAlign w:val="center"/>
          </w:tcPr>
          <w:p w14:paraId="5BB0310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208" w:type="dxa"/>
            <w:vAlign w:val="center"/>
          </w:tcPr>
          <w:p w14:paraId="227134E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208" w:type="dxa"/>
            <w:vAlign w:val="center"/>
          </w:tcPr>
          <w:p w14:paraId="5A4748D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规格参数</w:t>
            </w:r>
          </w:p>
        </w:tc>
        <w:tc>
          <w:tcPr>
            <w:tcW w:w="1056" w:type="dxa"/>
            <w:vAlign w:val="center"/>
          </w:tcPr>
          <w:p w14:paraId="1E3D9BD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753" w:type="dxa"/>
            <w:vAlign w:val="center"/>
          </w:tcPr>
          <w:p w14:paraId="31F9FD7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671" w:type="dxa"/>
            <w:vAlign w:val="center"/>
          </w:tcPr>
          <w:p w14:paraId="6DBA1A2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836" w:type="dxa"/>
            <w:vAlign w:val="center"/>
          </w:tcPr>
          <w:p w14:paraId="58EA6D0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741" w:type="dxa"/>
            <w:vAlign w:val="center"/>
          </w:tcPr>
          <w:p w14:paraId="7E799D4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781" w:type="dxa"/>
            <w:vAlign w:val="center"/>
          </w:tcPr>
          <w:p w14:paraId="5E6C61B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798" w:type="dxa"/>
            <w:vAlign w:val="center"/>
          </w:tcPr>
          <w:p w14:paraId="47FB3EC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4BA5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4164582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848" w:type="dxa"/>
            <w:vAlign w:val="center"/>
          </w:tcPr>
          <w:p w14:paraId="0E698D9E">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2AF0D50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33973D7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D853AB9">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257315A6">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0A03E66B">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33A730D5">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63ACD507">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16F887F2">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10DEB2F5">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64C8335">
            <w:pPr>
              <w:spacing w:line="360" w:lineRule="auto"/>
              <w:jc w:val="center"/>
              <w:rPr>
                <w:rFonts w:hint="eastAsia" w:ascii="微软雅黑" w:hAnsi="微软雅黑" w:eastAsia="微软雅黑" w:cs="微软雅黑"/>
                <w:color w:val="auto"/>
                <w:sz w:val="24"/>
                <w:highlight w:val="none"/>
              </w:rPr>
            </w:pPr>
          </w:p>
        </w:tc>
      </w:tr>
      <w:tr w14:paraId="6583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2C63949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848" w:type="dxa"/>
            <w:vAlign w:val="center"/>
          </w:tcPr>
          <w:p w14:paraId="692F2687">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ACEEB3E">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4A3F9A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15F6D4F">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09ACA98C">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41ADFCCF">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56CED265">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2A0CA8B1">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3AF811DF">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966A34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6443B3EE">
            <w:pPr>
              <w:spacing w:line="360" w:lineRule="auto"/>
              <w:jc w:val="center"/>
              <w:rPr>
                <w:rFonts w:hint="eastAsia" w:ascii="微软雅黑" w:hAnsi="微软雅黑" w:eastAsia="微软雅黑" w:cs="微软雅黑"/>
                <w:color w:val="auto"/>
                <w:sz w:val="24"/>
                <w:highlight w:val="none"/>
              </w:rPr>
            </w:pPr>
          </w:p>
        </w:tc>
      </w:tr>
      <w:tr w14:paraId="577F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6F35202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848" w:type="dxa"/>
            <w:vAlign w:val="center"/>
          </w:tcPr>
          <w:p w14:paraId="35B6B219">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58FAF90E">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2ADEC405">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3799D8E">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A38C5F9">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23E3685D">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0FAEFB10">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1F8A33EE">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1854A4EC">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28F08643">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11E9E320">
            <w:pPr>
              <w:spacing w:line="360" w:lineRule="auto"/>
              <w:jc w:val="center"/>
              <w:rPr>
                <w:rFonts w:hint="eastAsia" w:ascii="微软雅黑" w:hAnsi="微软雅黑" w:eastAsia="微软雅黑" w:cs="微软雅黑"/>
                <w:color w:val="auto"/>
                <w:sz w:val="24"/>
                <w:highlight w:val="none"/>
              </w:rPr>
            </w:pPr>
          </w:p>
        </w:tc>
      </w:tr>
      <w:tr w14:paraId="72E5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56A502CC">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848" w:type="dxa"/>
            <w:vAlign w:val="center"/>
          </w:tcPr>
          <w:p w14:paraId="150C7B38">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E809CBF">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4E36C2A">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02C59C08">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6D9D2CFF">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8FFF945">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65A4A6E8">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77946B1A">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5C887E06">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3E779614">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05D73E63">
            <w:pPr>
              <w:spacing w:line="360" w:lineRule="auto"/>
              <w:jc w:val="center"/>
              <w:rPr>
                <w:rFonts w:hint="eastAsia" w:ascii="微软雅黑" w:hAnsi="微软雅黑" w:eastAsia="微软雅黑" w:cs="微软雅黑"/>
                <w:color w:val="auto"/>
                <w:sz w:val="24"/>
                <w:highlight w:val="none"/>
              </w:rPr>
            </w:pPr>
          </w:p>
        </w:tc>
      </w:tr>
      <w:tr w14:paraId="7590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767" w:type="dxa"/>
            <w:vAlign w:val="center"/>
          </w:tcPr>
          <w:p w14:paraId="44AA3EB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848" w:type="dxa"/>
            <w:vAlign w:val="center"/>
          </w:tcPr>
          <w:p w14:paraId="5CF66A43">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41E07A79">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1BA95F45">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1B6ED50">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7F779E9D">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091CD89E">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4279ECF8">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3B929DB4">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388FCA29">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602F322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445E3772">
            <w:pPr>
              <w:spacing w:line="360" w:lineRule="auto"/>
              <w:jc w:val="center"/>
              <w:rPr>
                <w:rFonts w:hint="eastAsia" w:ascii="微软雅黑" w:hAnsi="微软雅黑" w:eastAsia="微软雅黑" w:cs="微软雅黑"/>
                <w:color w:val="auto"/>
                <w:sz w:val="24"/>
                <w:highlight w:val="none"/>
              </w:rPr>
            </w:pPr>
          </w:p>
        </w:tc>
      </w:tr>
      <w:tr w14:paraId="76E3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7" w:type="dxa"/>
            <w:vAlign w:val="center"/>
          </w:tcPr>
          <w:p w14:paraId="3B6E9F7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848" w:type="dxa"/>
            <w:vAlign w:val="center"/>
          </w:tcPr>
          <w:p w14:paraId="35DD9C4F">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F1C2EC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6531D70">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06A2B623">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0CA25F1">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35BE79E7">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00D394B3">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57CDB83C">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2353EA07">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70397A2F">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28E031D8">
            <w:pPr>
              <w:spacing w:line="360" w:lineRule="auto"/>
              <w:jc w:val="center"/>
              <w:rPr>
                <w:rFonts w:hint="eastAsia" w:ascii="微软雅黑" w:hAnsi="微软雅黑" w:eastAsia="微软雅黑" w:cs="微软雅黑"/>
                <w:color w:val="auto"/>
                <w:sz w:val="24"/>
                <w:highlight w:val="none"/>
              </w:rPr>
            </w:pPr>
          </w:p>
        </w:tc>
      </w:tr>
      <w:tr w14:paraId="63E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767" w:type="dxa"/>
            <w:vAlign w:val="center"/>
          </w:tcPr>
          <w:p w14:paraId="0589DBE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848" w:type="dxa"/>
            <w:vAlign w:val="center"/>
          </w:tcPr>
          <w:p w14:paraId="2295E239">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1E95CE40">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78AD19DD">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5608EC46">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5E867D62">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588B166B">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41D1B2AC">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456B7014">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73C29586">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9EB1A19">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36E53A0D">
            <w:pPr>
              <w:spacing w:line="360" w:lineRule="auto"/>
              <w:jc w:val="center"/>
              <w:rPr>
                <w:rFonts w:hint="eastAsia" w:ascii="微软雅黑" w:hAnsi="微软雅黑" w:eastAsia="微软雅黑" w:cs="微软雅黑"/>
                <w:color w:val="auto"/>
                <w:sz w:val="24"/>
                <w:highlight w:val="none"/>
              </w:rPr>
            </w:pPr>
          </w:p>
        </w:tc>
      </w:tr>
      <w:tr w14:paraId="335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7" w:type="dxa"/>
            <w:vAlign w:val="center"/>
          </w:tcPr>
          <w:p w14:paraId="429583B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848" w:type="dxa"/>
            <w:vAlign w:val="center"/>
          </w:tcPr>
          <w:p w14:paraId="488D985E">
            <w:pPr>
              <w:spacing w:line="360" w:lineRule="auto"/>
              <w:jc w:val="center"/>
              <w:rPr>
                <w:rFonts w:hint="eastAsia" w:ascii="微软雅黑" w:hAnsi="微软雅黑" w:eastAsia="微软雅黑" w:cs="微软雅黑"/>
                <w:color w:val="auto"/>
                <w:sz w:val="24"/>
                <w:highlight w:val="none"/>
              </w:rPr>
            </w:pPr>
          </w:p>
        </w:tc>
        <w:tc>
          <w:tcPr>
            <w:tcW w:w="764" w:type="dxa"/>
            <w:vAlign w:val="center"/>
          </w:tcPr>
          <w:p w14:paraId="2A6C1F0A">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670AA57C">
            <w:pPr>
              <w:spacing w:line="360" w:lineRule="auto"/>
              <w:jc w:val="center"/>
              <w:rPr>
                <w:rFonts w:hint="eastAsia" w:ascii="微软雅黑" w:hAnsi="微软雅黑" w:eastAsia="微软雅黑" w:cs="微软雅黑"/>
                <w:color w:val="auto"/>
                <w:sz w:val="24"/>
                <w:highlight w:val="none"/>
              </w:rPr>
            </w:pPr>
          </w:p>
        </w:tc>
        <w:tc>
          <w:tcPr>
            <w:tcW w:w="1208" w:type="dxa"/>
            <w:vAlign w:val="center"/>
          </w:tcPr>
          <w:p w14:paraId="2822BA3E">
            <w:pPr>
              <w:spacing w:line="360" w:lineRule="auto"/>
              <w:jc w:val="center"/>
              <w:rPr>
                <w:rFonts w:hint="eastAsia" w:ascii="微软雅黑" w:hAnsi="微软雅黑" w:eastAsia="微软雅黑" w:cs="微软雅黑"/>
                <w:color w:val="auto"/>
                <w:sz w:val="24"/>
                <w:highlight w:val="none"/>
              </w:rPr>
            </w:pPr>
          </w:p>
        </w:tc>
        <w:tc>
          <w:tcPr>
            <w:tcW w:w="1056" w:type="dxa"/>
            <w:vAlign w:val="center"/>
          </w:tcPr>
          <w:p w14:paraId="43044D0F">
            <w:pPr>
              <w:spacing w:line="360" w:lineRule="auto"/>
              <w:jc w:val="center"/>
              <w:rPr>
                <w:rFonts w:hint="eastAsia" w:ascii="微软雅黑" w:hAnsi="微软雅黑" w:eastAsia="微软雅黑" w:cs="微软雅黑"/>
                <w:color w:val="auto"/>
                <w:sz w:val="24"/>
                <w:highlight w:val="none"/>
              </w:rPr>
            </w:pPr>
          </w:p>
        </w:tc>
        <w:tc>
          <w:tcPr>
            <w:tcW w:w="753" w:type="dxa"/>
            <w:vAlign w:val="center"/>
          </w:tcPr>
          <w:p w14:paraId="12B244D0">
            <w:pPr>
              <w:spacing w:line="360" w:lineRule="auto"/>
              <w:jc w:val="center"/>
              <w:rPr>
                <w:rFonts w:hint="eastAsia" w:ascii="微软雅黑" w:hAnsi="微软雅黑" w:eastAsia="微软雅黑" w:cs="微软雅黑"/>
                <w:color w:val="auto"/>
                <w:sz w:val="24"/>
                <w:highlight w:val="none"/>
              </w:rPr>
            </w:pPr>
          </w:p>
        </w:tc>
        <w:tc>
          <w:tcPr>
            <w:tcW w:w="671" w:type="dxa"/>
            <w:vAlign w:val="center"/>
          </w:tcPr>
          <w:p w14:paraId="7FF1415E">
            <w:pPr>
              <w:spacing w:line="360" w:lineRule="auto"/>
              <w:jc w:val="center"/>
              <w:rPr>
                <w:rFonts w:hint="eastAsia" w:ascii="微软雅黑" w:hAnsi="微软雅黑" w:eastAsia="微软雅黑" w:cs="微软雅黑"/>
                <w:color w:val="auto"/>
                <w:sz w:val="24"/>
                <w:highlight w:val="none"/>
              </w:rPr>
            </w:pPr>
          </w:p>
        </w:tc>
        <w:tc>
          <w:tcPr>
            <w:tcW w:w="836" w:type="dxa"/>
            <w:vAlign w:val="center"/>
          </w:tcPr>
          <w:p w14:paraId="6B63FC2B">
            <w:pPr>
              <w:spacing w:line="360" w:lineRule="auto"/>
              <w:jc w:val="center"/>
              <w:rPr>
                <w:rFonts w:hint="eastAsia" w:ascii="微软雅黑" w:hAnsi="微软雅黑" w:eastAsia="微软雅黑" w:cs="微软雅黑"/>
                <w:color w:val="auto"/>
                <w:sz w:val="24"/>
                <w:highlight w:val="none"/>
              </w:rPr>
            </w:pPr>
          </w:p>
        </w:tc>
        <w:tc>
          <w:tcPr>
            <w:tcW w:w="741" w:type="dxa"/>
            <w:vAlign w:val="center"/>
          </w:tcPr>
          <w:p w14:paraId="5EFB1D1F">
            <w:pPr>
              <w:spacing w:line="360" w:lineRule="auto"/>
              <w:jc w:val="center"/>
              <w:rPr>
                <w:rFonts w:hint="eastAsia" w:ascii="微软雅黑" w:hAnsi="微软雅黑" w:eastAsia="微软雅黑" w:cs="微软雅黑"/>
                <w:color w:val="auto"/>
                <w:sz w:val="24"/>
                <w:highlight w:val="none"/>
              </w:rPr>
            </w:pPr>
          </w:p>
        </w:tc>
        <w:tc>
          <w:tcPr>
            <w:tcW w:w="781" w:type="dxa"/>
            <w:vAlign w:val="center"/>
          </w:tcPr>
          <w:p w14:paraId="0EC2CDBD">
            <w:pPr>
              <w:spacing w:line="360" w:lineRule="auto"/>
              <w:jc w:val="center"/>
              <w:rPr>
                <w:rFonts w:hint="eastAsia" w:ascii="微软雅黑" w:hAnsi="微软雅黑" w:eastAsia="微软雅黑" w:cs="微软雅黑"/>
                <w:color w:val="auto"/>
                <w:sz w:val="24"/>
                <w:highlight w:val="none"/>
              </w:rPr>
            </w:pPr>
          </w:p>
        </w:tc>
        <w:tc>
          <w:tcPr>
            <w:tcW w:w="798" w:type="dxa"/>
            <w:vAlign w:val="center"/>
          </w:tcPr>
          <w:p w14:paraId="53ADA99C">
            <w:pPr>
              <w:spacing w:line="360" w:lineRule="auto"/>
              <w:jc w:val="center"/>
              <w:rPr>
                <w:rFonts w:hint="eastAsia" w:ascii="微软雅黑" w:hAnsi="微软雅黑" w:eastAsia="微软雅黑" w:cs="微软雅黑"/>
                <w:color w:val="auto"/>
                <w:sz w:val="24"/>
                <w:highlight w:val="none"/>
              </w:rPr>
            </w:pPr>
          </w:p>
        </w:tc>
      </w:tr>
      <w:tr w14:paraId="22DC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431" w:type="dxa"/>
            <w:gridSpan w:val="12"/>
            <w:vAlign w:val="center"/>
          </w:tcPr>
          <w:p w14:paraId="6727569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总价（元）：</w:t>
            </w:r>
          </w:p>
        </w:tc>
      </w:tr>
    </w:tbl>
    <w:p w14:paraId="7AD14D7B">
      <w:pPr>
        <w:pStyle w:val="17"/>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p>
    <w:p w14:paraId="63DE251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F2D103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08C056CB">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注:1.如果供应商认为需要，每种货物填写一份该表。</w:t>
      </w:r>
    </w:p>
    <w:p w14:paraId="77691FC9">
      <w:pPr>
        <w:pStyle w:val="17"/>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14:paraId="3C4B3DA9">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3.如果不提供详细分项报价将视为没有实质性响应招标文件。</w:t>
      </w:r>
    </w:p>
    <w:p w14:paraId="5421741B">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4.上述各项的详细分项报价，应另页描述。</w:t>
      </w:r>
    </w:p>
    <w:p w14:paraId="20220842">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5.如果开标一览表（报价表）内容与投标文件中明细表内容不一致的，以开标一览表（报价表）内容为准。</w:t>
      </w:r>
    </w:p>
    <w:p w14:paraId="54FFDE36">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2997741E">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6F4F450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4E24D389">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FE94906">
      <w:pPr>
        <w:snapToGrid w:val="0"/>
        <w:spacing w:line="240" w:lineRule="atLeast"/>
        <w:ind w:left="1080" w:leftChars="257" w:hanging="540"/>
        <w:jc w:val="center"/>
        <w:textAlignment w:val="baseline"/>
        <w:rPr>
          <w:rFonts w:hint="eastAsia" w:ascii="微软雅黑" w:hAnsi="微软雅黑" w:eastAsia="微软雅黑" w:cs="微软雅黑"/>
          <w:b/>
          <w:color w:val="auto"/>
          <w:sz w:val="24"/>
          <w:highlight w:val="none"/>
        </w:rPr>
      </w:pPr>
      <w:bookmarkStart w:id="2070" w:name="_Toc27721"/>
      <w:bookmarkStart w:id="2071" w:name="_Toc28199"/>
      <w:bookmarkStart w:id="2072" w:name="_Toc27975"/>
      <w:bookmarkStart w:id="2073" w:name="_Toc10486"/>
      <w:bookmarkStart w:id="2074" w:name="_Toc16798"/>
      <w:bookmarkStart w:id="2075" w:name="_Toc6480"/>
      <w:bookmarkStart w:id="2076" w:name="_Toc13950"/>
      <w:bookmarkStart w:id="2077" w:name="_Toc29174"/>
      <w:bookmarkStart w:id="2078" w:name="_Toc30209"/>
      <w:bookmarkStart w:id="2079" w:name="_Toc32439"/>
      <w:bookmarkStart w:id="2080" w:name="_Toc3096"/>
      <w:bookmarkStart w:id="2081" w:name="_Toc26185"/>
      <w:r>
        <w:rPr>
          <w:rFonts w:hint="eastAsia" w:ascii="微软雅黑" w:hAnsi="微软雅黑" w:eastAsia="微软雅黑" w:cs="微软雅黑"/>
          <w:b/>
          <w:color w:val="auto"/>
          <w:sz w:val="24"/>
          <w:highlight w:val="none"/>
        </w:rPr>
        <w:t>备品备件设备分项报价表</w:t>
      </w:r>
      <w:bookmarkEnd w:id="2070"/>
      <w:bookmarkEnd w:id="2071"/>
      <w:bookmarkEnd w:id="2072"/>
      <w:bookmarkEnd w:id="2073"/>
      <w:bookmarkEnd w:id="2074"/>
      <w:bookmarkEnd w:id="2075"/>
      <w:bookmarkEnd w:id="2076"/>
      <w:bookmarkEnd w:id="2077"/>
      <w:bookmarkEnd w:id="2078"/>
      <w:r>
        <w:rPr>
          <w:rFonts w:hint="eastAsia" w:ascii="微软雅黑" w:hAnsi="微软雅黑" w:eastAsia="微软雅黑" w:cs="微软雅黑"/>
          <w:b/>
          <w:color w:val="auto"/>
          <w:sz w:val="24"/>
          <w:highlight w:val="none"/>
        </w:rPr>
        <w:t>（如有）</w:t>
      </w:r>
    </w:p>
    <w:tbl>
      <w:tblPr>
        <w:tblStyle w:val="36"/>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14:paraId="7BBF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62" w:type="dxa"/>
            <w:vAlign w:val="center"/>
          </w:tcPr>
          <w:p w14:paraId="42B3AD19">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77F166E5">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编号</w:t>
            </w:r>
          </w:p>
        </w:tc>
        <w:tc>
          <w:tcPr>
            <w:tcW w:w="703" w:type="dxa"/>
            <w:vAlign w:val="center"/>
          </w:tcPr>
          <w:p w14:paraId="3AEED26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805" w:type="dxa"/>
            <w:vAlign w:val="center"/>
          </w:tcPr>
          <w:p w14:paraId="0B84656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1249" w:type="dxa"/>
            <w:vAlign w:val="center"/>
          </w:tcPr>
          <w:p w14:paraId="31B389E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975" w:type="dxa"/>
            <w:vAlign w:val="center"/>
          </w:tcPr>
          <w:p w14:paraId="340D57A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543" w:type="dxa"/>
            <w:vAlign w:val="center"/>
          </w:tcPr>
          <w:p w14:paraId="646E6B1D">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675" w:type="dxa"/>
            <w:vAlign w:val="center"/>
          </w:tcPr>
          <w:p w14:paraId="0AA97AE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732" w:type="dxa"/>
            <w:vAlign w:val="center"/>
          </w:tcPr>
          <w:p w14:paraId="7EA0C37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675" w:type="dxa"/>
            <w:vAlign w:val="center"/>
          </w:tcPr>
          <w:p w14:paraId="3CFB91B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656" w:type="dxa"/>
            <w:vAlign w:val="center"/>
          </w:tcPr>
          <w:p w14:paraId="69B9E10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637" w:type="dxa"/>
            <w:vAlign w:val="center"/>
          </w:tcPr>
          <w:p w14:paraId="0C0E93E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66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30770C0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w:t>
            </w:r>
            <w:r>
              <w:rPr>
                <w:rFonts w:hint="eastAsia" w:ascii="微软雅黑" w:hAnsi="微软雅黑" w:eastAsia="微软雅黑" w:cs="微软雅黑"/>
                <w:b/>
                <w:bCs/>
                <w:color w:val="auto"/>
                <w:sz w:val="24"/>
                <w:highlight w:val="none"/>
              </w:rPr>
              <w:t>外</w:t>
            </w:r>
            <w:r>
              <w:rPr>
                <w:rFonts w:hint="eastAsia" w:ascii="微软雅黑" w:hAnsi="微软雅黑" w:eastAsia="微软雅黑" w:cs="微软雅黑"/>
                <w:color w:val="auto"/>
                <w:sz w:val="24"/>
                <w:highlight w:val="none"/>
              </w:rPr>
              <w:t>设备报价</w:t>
            </w:r>
          </w:p>
        </w:tc>
        <w:tc>
          <w:tcPr>
            <w:tcW w:w="794" w:type="dxa"/>
            <w:vAlign w:val="center"/>
          </w:tcPr>
          <w:p w14:paraId="5FB5093B">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703" w:type="dxa"/>
            <w:vAlign w:val="center"/>
          </w:tcPr>
          <w:p w14:paraId="01C12B84">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78E0E9DE">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2809C29">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576D4DDB">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05896AFD">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3529BA8">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3FC09A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482D933">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48E28C70">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53651D08">
            <w:pPr>
              <w:spacing w:line="360" w:lineRule="auto"/>
              <w:jc w:val="center"/>
              <w:rPr>
                <w:rFonts w:hint="eastAsia" w:ascii="微软雅黑" w:hAnsi="微软雅黑" w:eastAsia="微软雅黑" w:cs="微软雅黑"/>
                <w:color w:val="auto"/>
                <w:sz w:val="24"/>
                <w:highlight w:val="none"/>
              </w:rPr>
            </w:pPr>
          </w:p>
        </w:tc>
      </w:tr>
      <w:tr w14:paraId="286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05DD7728">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5D1D9E1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703" w:type="dxa"/>
            <w:vAlign w:val="center"/>
          </w:tcPr>
          <w:p w14:paraId="52EA578A">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38A3EA3B">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3D4700E8">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58F1570C">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4C666D55">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542950E3">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2F1E350B">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8454603">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20E3E800">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4DD2D97E">
            <w:pPr>
              <w:spacing w:line="360" w:lineRule="auto"/>
              <w:jc w:val="center"/>
              <w:rPr>
                <w:rFonts w:hint="eastAsia" w:ascii="微软雅黑" w:hAnsi="微软雅黑" w:eastAsia="微软雅黑" w:cs="微软雅黑"/>
                <w:color w:val="auto"/>
                <w:sz w:val="24"/>
                <w:highlight w:val="none"/>
              </w:rPr>
            </w:pPr>
          </w:p>
        </w:tc>
      </w:tr>
      <w:tr w14:paraId="2BF7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65614FAD">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02D54C47">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703" w:type="dxa"/>
            <w:vAlign w:val="center"/>
          </w:tcPr>
          <w:p w14:paraId="27F2A541">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53622185">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33D24481">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3571E676">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21F2C61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FBE8F32">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33A46E9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77D4DAAB">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7947E78B">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699E1513">
            <w:pPr>
              <w:spacing w:line="360" w:lineRule="auto"/>
              <w:jc w:val="center"/>
              <w:rPr>
                <w:rFonts w:hint="eastAsia" w:ascii="微软雅黑" w:hAnsi="微软雅黑" w:eastAsia="微软雅黑" w:cs="微软雅黑"/>
                <w:color w:val="auto"/>
                <w:sz w:val="24"/>
                <w:highlight w:val="none"/>
              </w:rPr>
            </w:pPr>
          </w:p>
        </w:tc>
      </w:tr>
      <w:tr w14:paraId="72F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134CF5AC">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0FBB438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703" w:type="dxa"/>
            <w:vAlign w:val="center"/>
          </w:tcPr>
          <w:p w14:paraId="04F99B21">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1D69EFC6">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4FB33598">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3EC997F7">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343F6ED5">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1FD09035">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F426D2E">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D00775E">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0C664A87">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4DAF57BF">
            <w:pPr>
              <w:spacing w:line="360" w:lineRule="auto"/>
              <w:jc w:val="center"/>
              <w:rPr>
                <w:rFonts w:hint="eastAsia" w:ascii="微软雅黑" w:hAnsi="微软雅黑" w:eastAsia="微软雅黑" w:cs="微软雅黑"/>
                <w:color w:val="auto"/>
                <w:sz w:val="24"/>
                <w:highlight w:val="none"/>
              </w:rPr>
            </w:pPr>
          </w:p>
        </w:tc>
      </w:tr>
      <w:tr w14:paraId="0CB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806" w:type="dxa"/>
            <w:gridSpan w:val="12"/>
            <w:vAlign w:val="center"/>
          </w:tcPr>
          <w:p w14:paraId="716A5BF6">
            <w:pPr>
              <w:spacing w:line="360" w:lineRule="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总价：（质保期外设备报价）</w:t>
            </w:r>
          </w:p>
        </w:tc>
      </w:tr>
      <w:tr w14:paraId="233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14:paraId="6FFC4CC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w:t>
            </w:r>
            <w:r>
              <w:rPr>
                <w:rFonts w:hint="eastAsia" w:ascii="微软雅黑" w:hAnsi="微软雅黑" w:eastAsia="微软雅黑" w:cs="微软雅黑"/>
                <w:b/>
                <w:bCs/>
                <w:color w:val="auto"/>
                <w:sz w:val="24"/>
                <w:highlight w:val="none"/>
              </w:rPr>
              <w:t>内</w:t>
            </w:r>
            <w:r>
              <w:rPr>
                <w:rFonts w:hint="eastAsia" w:ascii="微软雅黑" w:hAnsi="微软雅黑" w:eastAsia="微软雅黑" w:cs="微软雅黑"/>
                <w:color w:val="auto"/>
                <w:sz w:val="24"/>
                <w:highlight w:val="none"/>
              </w:rPr>
              <w:t>免费设备</w:t>
            </w:r>
          </w:p>
        </w:tc>
        <w:tc>
          <w:tcPr>
            <w:tcW w:w="794" w:type="dxa"/>
            <w:vAlign w:val="center"/>
          </w:tcPr>
          <w:p w14:paraId="4826A9B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703" w:type="dxa"/>
            <w:vAlign w:val="center"/>
          </w:tcPr>
          <w:p w14:paraId="6621BE5E">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6F2E35F5">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99D714D">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30FCC42">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37BA38E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E071240">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35669F08">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6C0A1032">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2D3CD20B">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1EA03D6C">
            <w:pPr>
              <w:spacing w:line="360" w:lineRule="auto"/>
              <w:jc w:val="center"/>
              <w:rPr>
                <w:rFonts w:hint="eastAsia" w:ascii="微软雅黑" w:hAnsi="微软雅黑" w:eastAsia="微软雅黑" w:cs="微软雅黑"/>
                <w:color w:val="auto"/>
                <w:sz w:val="24"/>
                <w:highlight w:val="none"/>
              </w:rPr>
            </w:pPr>
          </w:p>
        </w:tc>
      </w:tr>
      <w:tr w14:paraId="23D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79955885">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6DB5A3C4">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703" w:type="dxa"/>
            <w:vAlign w:val="center"/>
          </w:tcPr>
          <w:p w14:paraId="74AEE685">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6825CA2B">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03D7E531">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AEBE09B">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2B46000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32AEFC57">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14B6426E">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18AB5019">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08FC8197">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5A862F6D">
            <w:pPr>
              <w:spacing w:line="360" w:lineRule="auto"/>
              <w:jc w:val="center"/>
              <w:rPr>
                <w:rFonts w:hint="eastAsia" w:ascii="微软雅黑" w:hAnsi="微软雅黑" w:eastAsia="微软雅黑" w:cs="微软雅黑"/>
                <w:color w:val="auto"/>
                <w:sz w:val="24"/>
                <w:highlight w:val="none"/>
              </w:rPr>
            </w:pPr>
          </w:p>
        </w:tc>
      </w:tr>
      <w:tr w14:paraId="536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33D7A05E">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6EFBDCF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703" w:type="dxa"/>
            <w:vAlign w:val="center"/>
          </w:tcPr>
          <w:p w14:paraId="1FE18B74">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450A9853">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5C7D2053">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2E722826">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0CF1D2FD">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24F0E20D">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7A243E43">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3B7C3DC0">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3C62D8F1">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0EA85B8E">
            <w:pPr>
              <w:spacing w:line="360" w:lineRule="auto"/>
              <w:jc w:val="center"/>
              <w:rPr>
                <w:rFonts w:hint="eastAsia" w:ascii="微软雅黑" w:hAnsi="微软雅黑" w:eastAsia="微软雅黑" w:cs="微软雅黑"/>
                <w:color w:val="auto"/>
                <w:sz w:val="24"/>
                <w:highlight w:val="none"/>
              </w:rPr>
            </w:pPr>
          </w:p>
        </w:tc>
      </w:tr>
      <w:tr w14:paraId="20AB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14:paraId="57D26C08">
            <w:pPr>
              <w:spacing w:line="360" w:lineRule="auto"/>
              <w:jc w:val="center"/>
              <w:rPr>
                <w:rFonts w:hint="eastAsia" w:ascii="微软雅黑" w:hAnsi="微软雅黑" w:eastAsia="微软雅黑" w:cs="微软雅黑"/>
                <w:color w:val="auto"/>
                <w:sz w:val="24"/>
                <w:highlight w:val="none"/>
              </w:rPr>
            </w:pPr>
          </w:p>
        </w:tc>
        <w:tc>
          <w:tcPr>
            <w:tcW w:w="794" w:type="dxa"/>
            <w:vAlign w:val="center"/>
          </w:tcPr>
          <w:p w14:paraId="3FA688B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703" w:type="dxa"/>
            <w:vAlign w:val="center"/>
          </w:tcPr>
          <w:p w14:paraId="49A0D809">
            <w:pPr>
              <w:spacing w:line="360" w:lineRule="auto"/>
              <w:jc w:val="center"/>
              <w:rPr>
                <w:rFonts w:hint="eastAsia" w:ascii="微软雅黑" w:hAnsi="微软雅黑" w:eastAsia="微软雅黑" w:cs="微软雅黑"/>
                <w:color w:val="auto"/>
                <w:sz w:val="24"/>
                <w:highlight w:val="none"/>
              </w:rPr>
            </w:pPr>
          </w:p>
        </w:tc>
        <w:tc>
          <w:tcPr>
            <w:tcW w:w="805" w:type="dxa"/>
            <w:vAlign w:val="center"/>
          </w:tcPr>
          <w:p w14:paraId="422CFB9C">
            <w:pPr>
              <w:spacing w:line="360" w:lineRule="auto"/>
              <w:jc w:val="center"/>
              <w:rPr>
                <w:rFonts w:hint="eastAsia" w:ascii="微软雅黑" w:hAnsi="微软雅黑" w:eastAsia="微软雅黑" w:cs="微软雅黑"/>
                <w:color w:val="auto"/>
                <w:sz w:val="24"/>
                <w:highlight w:val="none"/>
              </w:rPr>
            </w:pPr>
          </w:p>
        </w:tc>
        <w:tc>
          <w:tcPr>
            <w:tcW w:w="1249" w:type="dxa"/>
            <w:vAlign w:val="center"/>
          </w:tcPr>
          <w:p w14:paraId="68BF205A">
            <w:pPr>
              <w:spacing w:line="360" w:lineRule="auto"/>
              <w:jc w:val="center"/>
              <w:rPr>
                <w:rFonts w:hint="eastAsia" w:ascii="微软雅黑" w:hAnsi="微软雅黑" w:eastAsia="微软雅黑" w:cs="微软雅黑"/>
                <w:color w:val="auto"/>
                <w:sz w:val="24"/>
                <w:highlight w:val="none"/>
              </w:rPr>
            </w:pPr>
          </w:p>
        </w:tc>
        <w:tc>
          <w:tcPr>
            <w:tcW w:w="975" w:type="dxa"/>
            <w:vAlign w:val="center"/>
          </w:tcPr>
          <w:p w14:paraId="014FAD4E">
            <w:pPr>
              <w:spacing w:line="360" w:lineRule="auto"/>
              <w:jc w:val="center"/>
              <w:rPr>
                <w:rFonts w:hint="eastAsia" w:ascii="微软雅黑" w:hAnsi="微软雅黑" w:eastAsia="微软雅黑" w:cs="微软雅黑"/>
                <w:color w:val="auto"/>
                <w:sz w:val="24"/>
                <w:highlight w:val="none"/>
              </w:rPr>
            </w:pPr>
          </w:p>
        </w:tc>
        <w:tc>
          <w:tcPr>
            <w:tcW w:w="543" w:type="dxa"/>
            <w:vAlign w:val="center"/>
          </w:tcPr>
          <w:p w14:paraId="42050A0C">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08E7290D">
            <w:pPr>
              <w:spacing w:line="360" w:lineRule="auto"/>
              <w:jc w:val="center"/>
              <w:rPr>
                <w:rFonts w:hint="eastAsia" w:ascii="微软雅黑" w:hAnsi="微软雅黑" w:eastAsia="微软雅黑" w:cs="微软雅黑"/>
                <w:color w:val="auto"/>
                <w:sz w:val="24"/>
                <w:highlight w:val="none"/>
              </w:rPr>
            </w:pPr>
          </w:p>
        </w:tc>
        <w:tc>
          <w:tcPr>
            <w:tcW w:w="732" w:type="dxa"/>
            <w:vAlign w:val="center"/>
          </w:tcPr>
          <w:p w14:paraId="59D8BF22">
            <w:pPr>
              <w:spacing w:line="360" w:lineRule="auto"/>
              <w:jc w:val="center"/>
              <w:rPr>
                <w:rFonts w:hint="eastAsia" w:ascii="微软雅黑" w:hAnsi="微软雅黑" w:eastAsia="微软雅黑" w:cs="微软雅黑"/>
                <w:color w:val="auto"/>
                <w:sz w:val="24"/>
                <w:highlight w:val="none"/>
              </w:rPr>
            </w:pPr>
          </w:p>
        </w:tc>
        <w:tc>
          <w:tcPr>
            <w:tcW w:w="675" w:type="dxa"/>
            <w:vAlign w:val="center"/>
          </w:tcPr>
          <w:p w14:paraId="7ABD9DC5">
            <w:pPr>
              <w:spacing w:line="360" w:lineRule="auto"/>
              <w:jc w:val="center"/>
              <w:rPr>
                <w:rFonts w:hint="eastAsia" w:ascii="微软雅黑" w:hAnsi="微软雅黑" w:eastAsia="微软雅黑" w:cs="微软雅黑"/>
                <w:color w:val="auto"/>
                <w:sz w:val="24"/>
                <w:highlight w:val="none"/>
              </w:rPr>
            </w:pPr>
          </w:p>
        </w:tc>
        <w:tc>
          <w:tcPr>
            <w:tcW w:w="656" w:type="dxa"/>
            <w:vAlign w:val="center"/>
          </w:tcPr>
          <w:p w14:paraId="533BDD2C">
            <w:pPr>
              <w:spacing w:line="360" w:lineRule="auto"/>
              <w:jc w:val="center"/>
              <w:rPr>
                <w:rFonts w:hint="eastAsia" w:ascii="微软雅黑" w:hAnsi="微软雅黑" w:eastAsia="微软雅黑" w:cs="微软雅黑"/>
                <w:color w:val="auto"/>
                <w:sz w:val="24"/>
                <w:highlight w:val="none"/>
              </w:rPr>
            </w:pPr>
          </w:p>
        </w:tc>
        <w:tc>
          <w:tcPr>
            <w:tcW w:w="637" w:type="dxa"/>
            <w:vAlign w:val="center"/>
          </w:tcPr>
          <w:p w14:paraId="657FA994">
            <w:pPr>
              <w:spacing w:line="360" w:lineRule="auto"/>
              <w:jc w:val="center"/>
              <w:rPr>
                <w:rFonts w:hint="eastAsia" w:ascii="微软雅黑" w:hAnsi="微软雅黑" w:eastAsia="微软雅黑" w:cs="微软雅黑"/>
                <w:color w:val="auto"/>
                <w:sz w:val="24"/>
                <w:highlight w:val="none"/>
              </w:rPr>
            </w:pPr>
          </w:p>
        </w:tc>
      </w:tr>
    </w:tbl>
    <w:p w14:paraId="073CD598">
      <w:pPr>
        <w:spacing w:line="360" w:lineRule="exact"/>
        <w:rPr>
          <w:rFonts w:hint="eastAsia" w:ascii="微软雅黑" w:hAnsi="微软雅黑" w:eastAsia="微软雅黑" w:cs="微软雅黑"/>
          <w:color w:val="auto"/>
          <w:sz w:val="24"/>
          <w:highlight w:val="none"/>
        </w:rPr>
      </w:pPr>
    </w:p>
    <w:p w14:paraId="71BD6544">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供应商名称（公章）：</w:t>
      </w:r>
      <w:r>
        <w:rPr>
          <w:rFonts w:hint="eastAsia" w:ascii="微软雅黑" w:hAnsi="微软雅黑" w:eastAsia="微软雅黑" w:cs="微软雅黑"/>
          <w:color w:val="auto"/>
          <w:sz w:val="24"/>
          <w:szCs w:val="24"/>
          <w:highlight w:val="none"/>
          <w:u w:val="single"/>
        </w:rPr>
        <w:tab/>
      </w:r>
    </w:p>
    <w:p w14:paraId="023572FA">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5E528CAA">
      <w:pPr>
        <w:pStyle w:val="7"/>
        <w:spacing w:line="360" w:lineRule="exact"/>
        <w:ind w:firstLine="0"/>
        <w:rPr>
          <w:rFonts w:hint="eastAsia" w:ascii="微软雅黑" w:hAnsi="微软雅黑" w:eastAsia="微软雅黑" w:cs="微软雅黑"/>
          <w:color w:val="auto"/>
          <w:szCs w:val="24"/>
          <w:highlight w:val="none"/>
          <w:lang w:eastAsia="zh-CN"/>
        </w:rPr>
      </w:pPr>
      <w:r>
        <w:rPr>
          <w:rFonts w:hint="eastAsia" w:ascii="微软雅黑" w:hAnsi="微软雅黑" w:eastAsia="微软雅黑" w:cs="微软雅黑"/>
          <w:color w:val="auto"/>
          <w:szCs w:val="24"/>
          <w:highlight w:val="none"/>
        </w:rPr>
        <w:t>日期：</w:t>
      </w:r>
      <w:r>
        <w:rPr>
          <w:rFonts w:hint="eastAsia" w:ascii="微软雅黑" w:hAnsi="微软雅黑" w:eastAsia="微软雅黑" w:cs="微软雅黑"/>
          <w:color w:val="auto"/>
          <w:sz w:val="24"/>
          <w:szCs w:val="24"/>
          <w:highlight w:val="none"/>
          <w:u w:val="single"/>
        </w:rPr>
        <w:tab/>
      </w:r>
    </w:p>
    <w:p w14:paraId="2366E9DF">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注：1、表格长度方向可做扩展根据需求可补充相关资料，但不可减少。</w:t>
      </w:r>
    </w:p>
    <w:p w14:paraId="60AB7BB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2、备品备件设备分项报价仅供采购人在设备发生故障情况下采用此报价，填写此表时请谨慎。备品备件分为两部分（1、质保期内免费的备品备件、2、质保期外备品备件报价）。</w:t>
      </w:r>
    </w:p>
    <w:p w14:paraId="7E0929CE">
      <w:pPr>
        <w:pStyle w:val="7"/>
        <w:spacing w:line="360" w:lineRule="exact"/>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3、备品备件设备分项报价不合计于投标报价表总价，单独名列即可。</w:t>
      </w:r>
    </w:p>
    <w:p w14:paraId="650D8E57">
      <w:pPr>
        <w:pStyle w:val="7"/>
        <w:spacing w:line="360" w:lineRule="exact"/>
        <w:ind w:firstLine="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14:paraId="02E3E576">
      <w:pPr>
        <w:pStyle w:val="8"/>
        <w:rPr>
          <w:rFonts w:hint="eastAsia" w:ascii="微软雅黑" w:hAnsi="微软雅黑" w:eastAsia="微软雅黑" w:cs="微软雅黑"/>
          <w:color w:val="auto"/>
          <w:sz w:val="24"/>
          <w:highlight w:val="none"/>
        </w:rPr>
      </w:pPr>
    </w:p>
    <w:p w14:paraId="7995E22C">
      <w:pPr>
        <w:rPr>
          <w:rFonts w:hint="eastAsia" w:ascii="微软雅黑" w:hAnsi="微软雅黑" w:eastAsia="微软雅黑" w:cs="微软雅黑"/>
          <w:color w:val="auto"/>
          <w:sz w:val="24"/>
          <w:highlight w:val="none"/>
        </w:rPr>
      </w:pPr>
    </w:p>
    <w:p w14:paraId="1A680FF7">
      <w:pPr>
        <w:pStyle w:val="16"/>
        <w:rPr>
          <w:rFonts w:hint="eastAsia" w:ascii="微软雅黑" w:hAnsi="微软雅黑" w:eastAsia="微软雅黑" w:cs="微软雅黑"/>
          <w:color w:val="auto"/>
          <w:highlight w:val="none"/>
        </w:rPr>
      </w:pPr>
    </w:p>
    <w:p w14:paraId="10FB0D9E">
      <w:pPr>
        <w:pStyle w:val="17"/>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2082" w:name="_Toc335"/>
      <w:bookmarkStart w:id="2083" w:name="_Toc22837"/>
      <w:bookmarkStart w:id="2084" w:name="_Toc13753"/>
      <w:bookmarkStart w:id="2085" w:name="_Toc25811"/>
      <w:bookmarkStart w:id="2086" w:name="_Toc32368"/>
      <w:r>
        <w:rPr>
          <w:rFonts w:hint="eastAsia" w:ascii="微软雅黑" w:hAnsi="微软雅黑" w:eastAsia="微软雅黑" w:cs="微软雅黑"/>
          <w:b/>
          <w:bCs/>
          <w:color w:val="auto"/>
          <w:sz w:val="24"/>
          <w:szCs w:val="24"/>
          <w:highlight w:val="none"/>
        </w:rPr>
        <w:t>3</w:t>
      </w:r>
      <w:bookmarkEnd w:id="2079"/>
      <w:bookmarkEnd w:id="2080"/>
      <w:bookmarkEnd w:id="2081"/>
      <w:r>
        <w:rPr>
          <w:rFonts w:hint="eastAsia" w:ascii="微软雅黑" w:hAnsi="微软雅黑" w:eastAsia="微软雅黑" w:cs="微软雅黑"/>
          <w:b/>
          <w:bCs/>
          <w:color w:val="auto"/>
          <w:sz w:val="24"/>
          <w:szCs w:val="24"/>
          <w:highlight w:val="none"/>
        </w:rPr>
        <w:t>、货物说明一览表</w:t>
      </w:r>
      <w:bookmarkEnd w:id="2082"/>
      <w:bookmarkEnd w:id="2083"/>
      <w:bookmarkEnd w:id="2084"/>
      <w:bookmarkEnd w:id="2085"/>
      <w:bookmarkEnd w:id="2086"/>
    </w:p>
    <w:p w14:paraId="6A7D6D54">
      <w:pPr>
        <w:pStyle w:val="17"/>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55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03"/>
        <w:gridCol w:w="1423"/>
        <w:gridCol w:w="1131"/>
        <w:gridCol w:w="1263"/>
        <w:gridCol w:w="1391"/>
        <w:gridCol w:w="941"/>
        <w:gridCol w:w="945"/>
      </w:tblGrid>
      <w:tr w14:paraId="6C60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78" w:type="pct"/>
            <w:vAlign w:val="center"/>
          </w:tcPr>
          <w:p w14:paraId="4E25208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894" w:type="pct"/>
            <w:vAlign w:val="center"/>
          </w:tcPr>
          <w:p w14:paraId="0273C5C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747" w:type="pct"/>
            <w:vAlign w:val="center"/>
          </w:tcPr>
          <w:p w14:paraId="5DAED1AC">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594" w:type="pct"/>
            <w:vAlign w:val="center"/>
          </w:tcPr>
          <w:p w14:paraId="093DCA61">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63" w:type="pct"/>
            <w:vAlign w:val="center"/>
          </w:tcPr>
          <w:p w14:paraId="72191B8E">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730" w:type="pct"/>
            <w:vAlign w:val="center"/>
          </w:tcPr>
          <w:p w14:paraId="235879EE">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交货地点</w:t>
            </w:r>
          </w:p>
        </w:tc>
        <w:tc>
          <w:tcPr>
            <w:tcW w:w="494" w:type="pct"/>
            <w:vAlign w:val="center"/>
          </w:tcPr>
          <w:p w14:paraId="1A0B906D">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w:t>
            </w:r>
          </w:p>
        </w:tc>
        <w:tc>
          <w:tcPr>
            <w:tcW w:w="496" w:type="pct"/>
            <w:vAlign w:val="center"/>
          </w:tcPr>
          <w:p w14:paraId="12A2B0B3">
            <w:pPr>
              <w:pStyle w:val="17"/>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AF7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41551DF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6BDBF5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8E71FC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534D06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3E21817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1F64AB2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5505C15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4BA08E3C">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52E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11191871">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60EF50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7308CA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6744AD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068D07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532C536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3DDBEF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29698D84">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4D16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B634670">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00E1291F">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52FDC24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57CF2FA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203AE18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72E494F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503B0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1E5667D4">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7E8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ADA19B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1A24C82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74B78531">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108C604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EE30A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38D15CF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6B9291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7A45A6F">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0B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59F8E3BF">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27EE437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1AE4FAC8">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0F113F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18B0275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4A120E18">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B28CE1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112DBA2">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C85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6F0BEC5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FA4C8E5">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632A93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76B75F0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04E36D63">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1F6485B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7861B5C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3728B26">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3ECD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78" w:type="pct"/>
          </w:tcPr>
          <w:p w14:paraId="0600AF3E">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38C7270C">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62416F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2C325180">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620B96B7">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3D93692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14D52ABC">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3B57E76E">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r w14:paraId="2764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78" w:type="pct"/>
          </w:tcPr>
          <w:p w14:paraId="52F533DB">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894" w:type="pct"/>
          </w:tcPr>
          <w:p w14:paraId="1692F4A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47" w:type="pct"/>
          </w:tcPr>
          <w:p w14:paraId="415C393A">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594" w:type="pct"/>
          </w:tcPr>
          <w:p w14:paraId="7313B402">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663" w:type="pct"/>
          </w:tcPr>
          <w:p w14:paraId="20271469">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730" w:type="pct"/>
          </w:tcPr>
          <w:p w14:paraId="75CDB464">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4" w:type="pct"/>
          </w:tcPr>
          <w:p w14:paraId="0AF00826">
            <w:pPr>
              <w:pStyle w:val="17"/>
              <w:spacing w:line="360" w:lineRule="exact"/>
              <w:ind w:left="1080" w:leftChars="257" w:hanging="540"/>
              <w:rPr>
                <w:rFonts w:hint="eastAsia" w:ascii="微软雅黑" w:hAnsi="微软雅黑" w:eastAsia="微软雅黑" w:cs="微软雅黑"/>
                <w:color w:val="auto"/>
                <w:sz w:val="24"/>
                <w:szCs w:val="24"/>
                <w:highlight w:val="none"/>
              </w:rPr>
            </w:pPr>
          </w:p>
        </w:tc>
        <w:tc>
          <w:tcPr>
            <w:tcW w:w="496" w:type="pct"/>
          </w:tcPr>
          <w:p w14:paraId="4A4CFAA2">
            <w:pPr>
              <w:pStyle w:val="17"/>
              <w:spacing w:line="360" w:lineRule="exact"/>
              <w:ind w:left="1080" w:leftChars="257" w:hanging="540"/>
              <w:rPr>
                <w:rFonts w:hint="eastAsia" w:ascii="微软雅黑" w:hAnsi="微软雅黑" w:eastAsia="微软雅黑" w:cs="微软雅黑"/>
                <w:color w:val="auto"/>
                <w:sz w:val="24"/>
                <w:szCs w:val="24"/>
                <w:highlight w:val="none"/>
              </w:rPr>
            </w:pPr>
          </w:p>
        </w:tc>
      </w:tr>
    </w:tbl>
    <w:p w14:paraId="3AC4B2DB">
      <w:pPr>
        <w:pStyle w:val="17"/>
        <w:spacing w:line="360" w:lineRule="exact"/>
        <w:ind w:left="1080" w:leftChars="257" w:hanging="540"/>
        <w:rPr>
          <w:rFonts w:hint="eastAsia" w:ascii="微软雅黑" w:hAnsi="微软雅黑" w:eastAsia="微软雅黑" w:cs="微软雅黑"/>
          <w:color w:val="auto"/>
          <w:sz w:val="24"/>
          <w:szCs w:val="24"/>
          <w:highlight w:val="none"/>
        </w:rPr>
      </w:pPr>
    </w:p>
    <w:p w14:paraId="019E6242">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1E58B0F">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1711130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6D66B24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6BB51B8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3EA102A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75456BC9">
      <w:pPr>
        <w:pStyle w:val="17"/>
        <w:spacing w:line="400" w:lineRule="exact"/>
        <w:ind w:left="1080" w:leftChars="257" w:hanging="540"/>
        <w:rPr>
          <w:rFonts w:hint="eastAsia" w:ascii="微软雅黑" w:hAnsi="微软雅黑" w:eastAsia="微软雅黑" w:cs="微软雅黑"/>
          <w:b/>
          <w:bCs/>
          <w:color w:val="auto"/>
          <w:sz w:val="24"/>
          <w:szCs w:val="24"/>
          <w:highlight w:val="none"/>
        </w:rPr>
      </w:pPr>
    </w:p>
    <w:p w14:paraId="249F8169">
      <w:pPr>
        <w:pStyle w:val="17"/>
        <w:spacing w:line="240" w:lineRule="atLeast"/>
        <w:rPr>
          <w:rFonts w:hint="eastAsia" w:ascii="微软雅黑" w:hAnsi="微软雅黑" w:eastAsia="微软雅黑" w:cs="微软雅黑"/>
          <w:b/>
          <w:bCs/>
          <w:color w:val="auto"/>
          <w:sz w:val="24"/>
          <w:szCs w:val="24"/>
          <w:highlight w:val="none"/>
        </w:rPr>
      </w:pPr>
    </w:p>
    <w:p w14:paraId="6932F525">
      <w:pPr>
        <w:pStyle w:val="17"/>
        <w:spacing w:line="240" w:lineRule="atLeast"/>
        <w:rPr>
          <w:rFonts w:hint="eastAsia" w:ascii="微软雅黑" w:hAnsi="微软雅黑" w:eastAsia="微软雅黑" w:cs="微软雅黑"/>
          <w:b/>
          <w:bCs/>
          <w:color w:val="auto"/>
          <w:sz w:val="24"/>
          <w:szCs w:val="24"/>
          <w:highlight w:val="none"/>
        </w:rPr>
      </w:pPr>
    </w:p>
    <w:p w14:paraId="742636A1">
      <w:pPr>
        <w:pStyle w:val="17"/>
        <w:spacing w:line="240" w:lineRule="atLeast"/>
        <w:rPr>
          <w:rFonts w:hint="eastAsia" w:ascii="微软雅黑" w:hAnsi="微软雅黑" w:eastAsia="微软雅黑" w:cs="微软雅黑"/>
          <w:b/>
          <w:bCs/>
          <w:color w:val="auto"/>
          <w:sz w:val="24"/>
          <w:szCs w:val="24"/>
          <w:highlight w:val="none"/>
        </w:rPr>
      </w:pPr>
    </w:p>
    <w:p w14:paraId="0C7ED6E9">
      <w:pPr>
        <w:pStyle w:val="17"/>
        <w:spacing w:line="240" w:lineRule="atLeast"/>
        <w:rPr>
          <w:rFonts w:hint="eastAsia" w:ascii="微软雅黑" w:hAnsi="微软雅黑" w:eastAsia="微软雅黑" w:cs="微软雅黑"/>
          <w:b/>
          <w:bCs/>
          <w:color w:val="auto"/>
          <w:sz w:val="24"/>
          <w:szCs w:val="24"/>
          <w:highlight w:val="none"/>
        </w:rPr>
      </w:pPr>
    </w:p>
    <w:p w14:paraId="3D18F157">
      <w:pPr>
        <w:pStyle w:val="17"/>
        <w:spacing w:line="240" w:lineRule="atLeast"/>
        <w:rPr>
          <w:rFonts w:hint="eastAsia" w:ascii="微软雅黑" w:hAnsi="微软雅黑" w:eastAsia="微软雅黑" w:cs="微软雅黑"/>
          <w:b/>
          <w:bCs/>
          <w:color w:val="auto"/>
          <w:sz w:val="24"/>
          <w:szCs w:val="24"/>
          <w:highlight w:val="none"/>
        </w:rPr>
      </w:pPr>
    </w:p>
    <w:p w14:paraId="4808D2B4">
      <w:pPr>
        <w:pStyle w:val="17"/>
        <w:spacing w:line="240" w:lineRule="atLeast"/>
        <w:rPr>
          <w:rFonts w:hint="eastAsia" w:ascii="微软雅黑" w:hAnsi="微软雅黑" w:eastAsia="微软雅黑" w:cs="微软雅黑"/>
          <w:b/>
          <w:bCs/>
          <w:color w:val="auto"/>
          <w:sz w:val="24"/>
          <w:szCs w:val="24"/>
          <w:highlight w:val="none"/>
        </w:rPr>
      </w:pPr>
    </w:p>
    <w:p w14:paraId="5B37A556">
      <w:pPr>
        <w:pStyle w:val="17"/>
        <w:spacing w:line="240" w:lineRule="atLeast"/>
        <w:rPr>
          <w:rFonts w:hint="eastAsia" w:ascii="微软雅黑" w:hAnsi="微软雅黑" w:eastAsia="微软雅黑" w:cs="微软雅黑"/>
          <w:b/>
          <w:bCs/>
          <w:color w:val="auto"/>
          <w:sz w:val="24"/>
          <w:szCs w:val="24"/>
          <w:highlight w:val="none"/>
        </w:rPr>
      </w:pPr>
    </w:p>
    <w:p w14:paraId="0F5BF784">
      <w:pPr>
        <w:pStyle w:val="17"/>
        <w:spacing w:line="240" w:lineRule="atLeast"/>
        <w:rPr>
          <w:rFonts w:hint="eastAsia" w:ascii="微软雅黑" w:hAnsi="微软雅黑" w:eastAsia="微软雅黑" w:cs="微软雅黑"/>
          <w:b/>
          <w:bCs/>
          <w:color w:val="auto"/>
          <w:sz w:val="24"/>
          <w:szCs w:val="24"/>
          <w:highlight w:val="none"/>
        </w:rPr>
      </w:pPr>
    </w:p>
    <w:p w14:paraId="21EEC5D6">
      <w:pPr>
        <w:pStyle w:val="17"/>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2087" w:name="_Toc24320"/>
      <w:bookmarkStart w:id="2088" w:name="_Toc27254"/>
      <w:bookmarkStart w:id="2089" w:name="_Toc4215"/>
      <w:bookmarkStart w:id="2090" w:name="_Toc15034"/>
      <w:bookmarkStart w:id="2091" w:name="_Toc10335"/>
      <w:r>
        <w:rPr>
          <w:rFonts w:hint="eastAsia" w:ascii="微软雅黑" w:hAnsi="微软雅黑" w:eastAsia="微软雅黑" w:cs="微软雅黑"/>
          <w:b/>
          <w:bCs/>
          <w:color w:val="auto"/>
          <w:sz w:val="24"/>
          <w:szCs w:val="24"/>
          <w:highlight w:val="none"/>
        </w:rPr>
        <w:t>4、技术规格偏离表</w:t>
      </w:r>
      <w:bookmarkEnd w:id="2087"/>
      <w:bookmarkEnd w:id="2088"/>
      <w:bookmarkEnd w:id="2089"/>
      <w:bookmarkEnd w:id="2090"/>
      <w:bookmarkEnd w:id="2091"/>
    </w:p>
    <w:p w14:paraId="7374D4C2">
      <w:pPr>
        <w:pStyle w:val="17"/>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27"/>
        <w:gridCol w:w="2653"/>
        <w:gridCol w:w="1428"/>
        <w:gridCol w:w="1428"/>
        <w:gridCol w:w="1019"/>
        <w:gridCol w:w="1020"/>
      </w:tblGrid>
      <w:tr w14:paraId="5745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vAlign w:val="center"/>
          </w:tcPr>
          <w:p w14:paraId="3E753B96">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27" w:type="dxa"/>
            <w:vAlign w:val="center"/>
          </w:tcPr>
          <w:p w14:paraId="1BB0306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653" w:type="dxa"/>
            <w:vAlign w:val="center"/>
          </w:tcPr>
          <w:p w14:paraId="7985BABE">
            <w:pPr>
              <w:pStyle w:val="17"/>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428" w:type="dxa"/>
            <w:vAlign w:val="center"/>
          </w:tcPr>
          <w:p w14:paraId="2B611273">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428" w:type="dxa"/>
            <w:vAlign w:val="center"/>
          </w:tcPr>
          <w:p w14:paraId="4B4DBD7C">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019" w:type="dxa"/>
            <w:vAlign w:val="center"/>
          </w:tcPr>
          <w:p w14:paraId="028486B6">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20" w:type="dxa"/>
            <w:vAlign w:val="center"/>
          </w:tcPr>
          <w:p w14:paraId="2EA1E374">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0C7E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088C034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7710AB3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150EBD6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2F987AE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39ECAF4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5B46FA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4AB28F15">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919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4C76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58674D5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3A421E5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30D96BE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7EDA4C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7B1BAB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9C101F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399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7C85DAC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0A4FBC7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43436A3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6BECCEB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DEDA1A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60D30C1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6A2759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A90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1721F4B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7C983AD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50EF620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679A16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2C6E29A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1DD676F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679622E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FB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4FA6341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6B50D5E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4C6F32E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60CB32E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5890844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53F92D0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14C811C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5A48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39" w:type="dxa"/>
          </w:tcPr>
          <w:p w14:paraId="290000E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4858390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579222E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99D403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76E89E1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0A6CF63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29B2E84A">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2AA2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39" w:type="dxa"/>
          </w:tcPr>
          <w:p w14:paraId="2A402CC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7" w:type="dxa"/>
          </w:tcPr>
          <w:p w14:paraId="06AE3E7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653" w:type="dxa"/>
          </w:tcPr>
          <w:p w14:paraId="02100C5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07B2F80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428" w:type="dxa"/>
          </w:tcPr>
          <w:p w14:paraId="103B769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9" w:type="dxa"/>
          </w:tcPr>
          <w:p w14:paraId="20F44F3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20" w:type="dxa"/>
          </w:tcPr>
          <w:p w14:paraId="64D9B42E">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bl>
    <w:p w14:paraId="4DCF1CC6">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5055BB72">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5B697798">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38CA169B">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bookmarkEnd w:id="2066"/>
      <w:bookmarkEnd w:id="2067"/>
      <w:bookmarkEnd w:id="2068"/>
      <w:bookmarkEnd w:id="2069"/>
      <w:bookmarkStart w:id="2092" w:name="_Toc23"/>
      <w:bookmarkStart w:id="2093" w:name="_Toc1980"/>
      <w:bookmarkStart w:id="2094" w:name="_Toc515647821"/>
      <w:bookmarkStart w:id="2095" w:name="_Toc216582818"/>
      <w:bookmarkStart w:id="2096" w:name="_Toc31439"/>
    </w:p>
    <w:p w14:paraId="64C4A9A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3E7D1B4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5FEB2B93">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4CD3C4E0">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02DFE1E1">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35AF15F">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37777429">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584873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B304662">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20A32340">
      <w:pPr>
        <w:jc w:val="center"/>
        <w:rPr>
          <w:rFonts w:hint="eastAsia" w:ascii="微软雅黑" w:hAnsi="微软雅黑" w:eastAsia="微软雅黑" w:cs="微软雅黑"/>
          <w:b/>
          <w:bCs/>
          <w:color w:val="auto"/>
          <w:sz w:val="24"/>
          <w:highlight w:val="none"/>
        </w:rPr>
      </w:pPr>
      <w:bookmarkStart w:id="2097" w:name="_Toc12914"/>
      <w:bookmarkStart w:id="2098" w:name="_Toc14887"/>
      <w:bookmarkStart w:id="2099" w:name="_Toc22109"/>
      <w:r>
        <w:rPr>
          <w:rFonts w:hint="eastAsia" w:ascii="微软雅黑" w:hAnsi="微软雅黑" w:eastAsia="微软雅黑" w:cs="微软雅黑"/>
          <w:color w:val="auto"/>
          <w:sz w:val="24"/>
          <w:highlight w:val="none"/>
        </w:rPr>
        <w:br w:type="page"/>
      </w:r>
      <w:bookmarkStart w:id="2100" w:name="_Toc2306"/>
      <w:bookmarkStart w:id="2101" w:name="_Toc15792"/>
      <w:r>
        <w:rPr>
          <w:rFonts w:hint="eastAsia" w:ascii="微软雅黑" w:hAnsi="微软雅黑" w:eastAsia="微软雅黑" w:cs="微软雅黑"/>
          <w:b/>
          <w:bCs/>
          <w:color w:val="auto"/>
          <w:sz w:val="24"/>
          <w:highlight w:val="none"/>
        </w:rPr>
        <w:t>5、商务条款偏离表</w:t>
      </w:r>
      <w:bookmarkEnd w:id="2092"/>
      <w:bookmarkEnd w:id="2093"/>
      <w:bookmarkEnd w:id="2094"/>
      <w:bookmarkEnd w:id="2095"/>
      <w:bookmarkEnd w:id="2096"/>
      <w:bookmarkEnd w:id="2097"/>
      <w:bookmarkEnd w:id="2098"/>
      <w:bookmarkEnd w:id="2099"/>
      <w:bookmarkEnd w:id="2100"/>
      <w:bookmarkEnd w:id="2101"/>
    </w:p>
    <w:p w14:paraId="2FAB9D85">
      <w:pPr>
        <w:pStyle w:val="17"/>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项目名称:项目编号:</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p>
    <w:tbl>
      <w:tblPr>
        <w:tblStyle w:val="36"/>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gridCol w:w="1014"/>
      </w:tblGrid>
      <w:tr w14:paraId="2F7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5FB85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14:paraId="025780B9">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14:paraId="2A30CBBF">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tcPr>
          <w:p w14:paraId="0040A70C">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tcPr>
          <w:p w14:paraId="14C57E08">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1014" w:type="dxa"/>
          </w:tcPr>
          <w:p w14:paraId="04D434C1">
            <w:pPr>
              <w:pStyle w:val="17"/>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2AD2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63E334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FB8F62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AF3CB97">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tcPr>
          <w:p w14:paraId="25F65B16">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14:paraId="2D5FC1E2">
            <w:pPr>
              <w:pStyle w:val="17"/>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14:paraId="302806AF">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665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83680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2DF3B9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E12939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3734D9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0EB718E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DFB9C3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B2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DB5FA9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5E1C7E6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76972C9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0EFBEE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578886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68B36F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C7A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0C6F1C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68A2448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F9F8B4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987D53C">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F718AF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4842F94">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67F4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92144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BD6BDC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63FB75C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A256F9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596D50A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2FA9697">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735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2F5FE4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1397AA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B1B2FC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7397F0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477B34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8BB270E">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5C59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612B34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776B5D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F3C30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3AF54A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288097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20FD0E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D26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5E60DA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0A31DA2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1F52432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71CD57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05EA30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ABE8F8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702F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C20885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29B16FFE">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F723D1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2B4642EF">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6450C52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775F5377">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4A2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tcPr>
          <w:p w14:paraId="167FB39B">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73FD32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81FA33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39BC1A7">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2927B5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5B542171">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0912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80BAA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6EDA50B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0A8AC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43483E06">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7ACB2420">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1EA3686">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327E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95BA81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1F8B07D5">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757844C3">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006DD379">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324DA7C2">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10F3E4A8">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r w14:paraId="6975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D165518">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14:paraId="3321A7F1">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54601DC4">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14:paraId="36A3A5AD">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4EE10C3A">
            <w:pPr>
              <w:pStyle w:val="17"/>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14:paraId="26C493A2">
            <w:pPr>
              <w:pStyle w:val="17"/>
              <w:spacing w:line="400" w:lineRule="exact"/>
              <w:ind w:left="1080" w:leftChars="257" w:hanging="540"/>
              <w:rPr>
                <w:rFonts w:hint="eastAsia" w:ascii="微软雅黑" w:hAnsi="微软雅黑" w:eastAsia="微软雅黑" w:cs="微软雅黑"/>
                <w:color w:val="auto"/>
                <w:sz w:val="24"/>
                <w:szCs w:val="24"/>
                <w:highlight w:val="none"/>
              </w:rPr>
            </w:pPr>
          </w:p>
        </w:tc>
      </w:tr>
    </w:tbl>
    <w:p w14:paraId="0D275AB3">
      <w:pPr>
        <w:pStyle w:val="17"/>
        <w:spacing w:line="400" w:lineRule="exact"/>
        <w:rPr>
          <w:rFonts w:hint="eastAsia" w:ascii="微软雅黑" w:hAnsi="微软雅黑" w:eastAsia="微软雅黑" w:cs="微软雅黑"/>
          <w:b/>
          <w:bCs/>
          <w:color w:val="auto"/>
          <w:sz w:val="24"/>
          <w:szCs w:val="24"/>
          <w:highlight w:val="none"/>
        </w:rPr>
      </w:pPr>
    </w:p>
    <w:p w14:paraId="62BDDBCA">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35FDA86C">
      <w:pPr>
        <w:pStyle w:val="17"/>
        <w:spacing w:line="400" w:lineRule="exact"/>
        <w:ind w:left="1080" w:leftChars="257" w:hanging="540"/>
        <w:rPr>
          <w:rFonts w:hint="eastAsia" w:ascii="微软雅黑" w:hAnsi="微软雅黑" w:eastAsia="微软雅黑" w:cs="微软雅黑"/>
          <w:color w:val="auto"/>
          <w:sz w:val="24"/>
          <w:szCs w:val="24"/>
          <w:highlight w:val="none"/>
        </w:rPr>
      </w:pPr>
    </w:p>
    <w:p w14:paraId="2F0B2052">
      <w:pPr>
        <w:pStyle w:val="17"/>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ab/>
      </w:r>
    </w:p>
    <w:p w14:paraId="4DAC13A7">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76E77466">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221FED46">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14AA3372">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50B8C73">
      <w:pPr>
        <w:pStyle w:val="17"/>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14:paraId="7B400E1C">
      <w:pPr>
        <w:rPr>
          <w:rFonts w:hint="eastAsia" w:ascii="微软雅黑" w:hAnsi="微软雅黑" w:eastAsia="微软雅黑" w:cs="微软雅黑"/>
          <w:color w:val="auto"/>
          <w:sz w:val="24"/>
          <w:highlight w:val="none"/>
        </w:rPr>
      </w:pPr>
      <w:bookmarkStart w:id="2102" w:name="_Toc10725"/>
      <w:bookmarkStart w:id="2103" w:name="_Toc17820"/>
      <w:bookmarkStart w:id="2104" w:name="_Toc27043"/>
      <w:bookmarkStart w:id="2105" w:name="_Toc25797"/>
      <w:bookmarkStart w:id="2106" w:name="_Toc21312"/>
      <w:bookmarkStart w:id="2107" w:name="_Toc31694"/>
      <w:bookmarkStart w:id="2108" w:name="_Toc515647823"/>
      <w:r>
        <w:rPr>
          <w:rFonts w:hint="eastAsia" w:ascii="微软雅黑" w:hAnsi="微软雅黑" w:eastAsia="微软雅黑" w:cs="微软雅黑"/>
          <w:color w:val="auto"/>
          <w:sz w:val="24"/>
          <w:highlight w:val="none"/>
        </w:rPr>
        <w:br w:type="page"/>
      </w:r>
    </w:p>
    <w:p w14:paraId="257870CF">
      <w:pPr>
        <w:pStyle w:val="3"/>
        <w:spacing w:before="0" w:line="400" w:lineRule="exact"/>
        <w:rPr>
          <w:rFonts w:hint="eastAsia" w:ascii="微软雅黑" w:hAnsi="微软雅黑" w:eastAsia="微软雅黑" w:cs="微软雅黑"/>
          <w:color w:val="auto"/>
          <w:sz w:val="24"/>
          <w:szCs w:val="24"/>
          <w:highlight w:val="none"/>
        </w:rPr>
      </w:pPr>
      <w:bookmarkStart w:id="2109" w:name="_Toc4229"/>
      <w:bookmarkStart w:id="2110" w:name="_Toc7303"/>
      <w:bookmarkStart w:id="2111" w:name="_Toc31320"/>
      <w:bookmarkStart w:id="2112" w:name="_Toc17243"/>
      <w:bookmarkStart w:id="2113" w:name="_Toc6078"/>
      <w:r>
        <w:rPr>
          <w:rFonts w:hint="eastAsia" w:ascii="微软雅黑" w:hAnsi="微软雅黑" w:eastAsia="微软雅黑" w:cs="微软雅黑"/>
          <w:color w:val="auto"/>
          <w:sz w:val="24"/>
          <w:szCs w:val="24"/>
          <w:highlight w:val="none"/>
        </w:rPr>
        <w:t>6-1</w:t>
      </w:r>
      <w:bookmarkEnd w:id="2102"/>
      <w:bookmarkEnd w:id="2103"/>
      <w:bookmarkEnd w:id="2104"/>
      <w:bookmarkEnd w:id="2105"/>
      <w:bookmarkEnd w:id="2106"/>
      <w:bookmarkEnd w:id="2107"/>
      <w:bookmarkEnd w:id="2108"/>
      <w:r>
        <w:rPr>
          <w:rFonts w:hint="eastAsia" w:ascii="微软雅黑" w:hAnsi="微软雅黑" w:eastAsia="微软雅黑" w:cs="微软雅黑"/>
          <w:color w:val="auto"/>
          <w:sz w:val="24"/>
          <w:szCs w:val="24"/>
          <w:highlight w:val="none"/>
        </w:rPr>
        <w:t>中小企业声明函</w:t>
      </w:r>
      <w:bookmarkEnd w:id="2109"/>
      <w:bookmarkStart w:id="2114" w:name="_Toc21610"/>
      <w:bookmarkStart w:id="2115" w:name="_Toc11803"/>
      <w:bookmarkStart w:id="2116" w:name="_Toc11343"/>
      <w:bookmarkStart w:id="2117" w:name="_Toc515647824"/>
      <w:bookmarkStart w:id="2118" w:name="_Toc10977"/>
      <w:bookmarkStart w:id="2119" w:name="_Toc2709"/>
      <w:bookmarkStart w:id="2120" w:name="_Toc9687"/>
      <w:r>
        <w:rPr>
          <w:rFonts w:hint="eastAsia" w:ascii="微软雅黑" w:hAnsi="微软雅黑" w:eastAsia="微软雅黑" w:cs="微软雅黑"/>
          <w:color w:val="auto"/>
          <w:sz w:val="24"/>
          <w:szCs w:val="24"/>
          <w:highlight w:val="none"/>
        </w:rPr>
        <w:t>（货物）</w:t>
      </w:r>
      <w:bookmarkEnd w:id="2110"/>
      <w:bookmarkEnd w:id="2111"/>
      <w:bookmarkEnd w:id="2112"/>
      <w:bookmarkEnd w:id="2113"/>
    </w:p>
    <w:p w14:paraId="70A6B44D">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本公司（联合体）郑重声明，根据《政府采购促进中小企业发展管理办法》（财库﹝2020﹞46号）的规定，本公司（联合体）参加</w:t>
      </w:r>
      <w:r>
        <w:rPr>
          <w:rFonts w:hint="eastAsia" w:ascii="微软雅黑" w:hAnsi="微软雅黑" w:eastAsia="微软雅黑" w:cs="微软雅黑"/>
          <w:color w:val="auto"/>
          <w:kern w:val="0"/>
          <w:sz w:val="24"/>
          <w:highlight w:val="none"/>
          <w:u w:val="single"/>
          <w:shd w:val="clear" w:color="auto" w:fill="FFFFFF"/>
        </w:rPr>
        <w:t>（单位名称）</w:t>
      </w:r>
      <w:r>
        <w:rPr>
          <w:rFonts w:hint="eastAsia" w:ascii="微软雅黑" w:hAnsi="微软雅黑" w:eastAsia="微软雅黑" w:cs="微软雅黑"/>
          <w:color w:val="auto"/>
          <w:kern w:val="0"/>
          <w:sz w:val="24"/>
          <w:highlight w:val="none"/>
          <w:shd w:val="clear" w:color="auto" w:fill="FFFFFF"/>
        </w:rPr>
        <w:t>的</w:t>
      </w:r>
      <w:r>
        <w:rPr>
          <w:rFonts w:hint="eastAsia" w:ascii="微软雅黑" w:hAnsi="微软雅黑" w:eastAsia="微软雅黑" w:cs="微软雅黑"/>
          <w:color w:val="auto"/>
          <w:kern w:val="0"/>
          <w:sz w:val="24"/>
          <w:highlight w:val="none"/>
          <w:u w:val="single"/>
          <w:shd w:val="clear" w:color="auto" w:fill="FFFFFF"/>
        </w:rPr>
        <w:t>（项目名称）</w:t>
      </w:r>
      <w:r>
        <w:rPr>
          <w:rFonts w:hint="eastAsia" w:ascii="微软雅黑" w:hAnsi="微软雅黑" w:eastAsia="微软雅黑" w:cs="微软雅黑"/>
          <w:color w:val="auto"/>
          <w:kern w:val="0"/>
          <w:sz w:val="24"/>
          <w:highlight w:val="none"/>
          <w:shd w:val="clear" w:color="auto" w:fill="FFFFFF"/>
        </w:rPr>
        <w:t>采购活动，提供的货物全部由符合政策要求的中小企业制造。相关企业（含联合体中的中小企业、签订分包意向协议的中小企业）的具体情况如下：</w:t>
      </w:r>
    </w:p>
    <w:p w14:paraId="7644232D">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1.</w:t>
      </w:r>
      <w:r>
        <w:rPr>
          <w:rFonts w:hint="eastAsia" w:ascii="微软雅黑" w:hAnsi="微软雅黑" w:eastAsia="微软雅黑" w:cs="微软雅黑"/>
          <w:color w:val="auto"/>
          <w:kern w:val="0"/>
          <w:sz w:val="24"/>
          <w:highlight w:val="none"/>
          <w:u w:val="single"/>
          <w:shd w:val="clear" w:color="auto" w:fill="FFFFFF"/>
        </w:rPr>
        <w:t>（标的名称）</w:t>
      </w:r>
      <w:r>
        <w:rPr>
          <w:rFonts w:hint="eastAsia" w:ascii="微软雅黑" w:hAnsi="微软雅黑" w:eastAsia="微软雅黑" w:cs="微软雅黑"/>
          <w:color w:val="auto"/>
          <w:kern w:val="0"/>
          <w:sz w:val="24"/>
          <w:highlight w:val="none"/>
          <w:shd w:val="clear" w:color="auto" w:fill="FFFFFF"/>
        </w:rPr>
        <w:t>，属于</w:t>
      </w:r>
      <w:r>
        <w:rPr>
          <w:rFonts w:hint="eastAsia" w:ascii="微软雅黑" w:hAnsi="微软雅黑" w:eastAsia="微软雅黑" w:cs="微软雅黑"/>
          <w:color w:val="auto"/>
          <w:kern w:val="0"/>
          <w:sz w:val="24"/>
          <w:highlight w:val="none"/>
          <w:u w:val="single"/>
          <w:shd w:val="clear" w:color="auto" w:fill="FFFFFF"/>
        </w:rPr>
        <w:t>（采购文件中明确的所属行业）</w:t>
      </w:r>
      <w:r>
        <w:rPr>
          <w:rFonts w:hint="eastAsia" w:ascii="微软雅黑" w:hAnsi="微软雅黑" w:eastAsia="微软雅黑" w:cs="微软雅黑"/>
          <w:color w:val="auto"/>
          <w:kern w:val="0"/>
          <w:sz w:val="24"/>
          <w:highlight w:val="none"/>
          <w:shd w:val="clear" w:color="auto" w:fill="FFFFFF"/>
        </w:rPr>
        <w:t>行业；制造商为</w:t>
      </w:r>
      <w:r>
        <w:rPr>
          <w:rFonts w:hint="eastAsia" w:ascii="微软雅黑" w:hAnsi="微软雅黑" w:eastAsia="微软雅黑" w:cs="微软雅黑"/>
          <w:color w:val="auto"/>
          <w:kern w:val="0"/>
          <w:sz w:val="24"/>
          <w:highlight w:val="none"/>
          <w:u w:val="single"/>
          <w:shd w:val="clear" w:color="auto" w:fill="FFFFFF"/>
        </w:rPr>
        <w:t>（企业名称）</w:t>
      </w:r>
      <w:r>
        <w:rPr>
          <w:rFonts w:hint="eastAsia" w:ascii="微软雅黑" w:hAnsi="微软雅黑" w:eastAsia="微软雅黑" w:cs="微软雅黑"/>
          <w:color w:val="auto"/>
          <w:kern w:val="0"/>
          <w:sz w:val="24"/>
          <w:highlight w:val="none"/>
          <w:shd w:val="clear" w:color="auto" w:fill="FFFFFF"/>
        </w:rPr>
        <w:t>，从业人员人，营业收入为万元，资产总额为万元，属于</w:t>
      </w:r>
      <w:r>
        <w:rPr>
          <w:rFonts w:hint="eastAsia" w:ascii="微软雅黑" w:hAnsi="微软雅黑" w:eastAsia="微软雅黑" w:cs="微软雅黑"/>
          <w:color w:val="auto"/>
          <w:kern w:val="0"/>
          <w:sz w:val="24"/>
          <w:highlight w:val="none"/>
          <w:u w:val="single"/>
          <w:shd w:val="clear" w:color="auto" w:fill="FFFFFF"/>
        </w:rPr>
        <w:t>（中型企业、小型企业、微型企业）</w:t>
      </w:r>
      <w:r>
        <w:rPr>
          <w:rFonts w:hint="eastAsia" w:ascii="微软雅黑" w:hAnsi="微软雅黑" w:eastAsia="微软雅黑" w:cs="微软雅黑"/>
          <w:color w:val="auto"/>
          <w:kern w:val="0"/>
          <w:sz w:val="24"/>
          <w:highlight w:val="none"/>
          <w:shd w:val="clear" w:color="auto" w:fill="FFFFFF"/>
        </w:rPr>
        <w:t>；</w:t>
      </w:r>
    </w:p>
    <w:p w14:paraId="0847E316">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2.</w:t>
      </w:r>
      <w:r>
        <w:rPr>
          <w:rFonts w:hint="eastAsia" w:ascii="微软雅黑" w:hAnsi="微软雅黑" w:eastAsia="微软雅黑" w:cs="微软雅黑"/>
          <w:color w:val="auto"/>
          <w:kern w:val="0"/>
          <w:sz w:val="24"/>
          <w:highlight w:val="none"/>
          <w:u w:val="single"/>
          <w:shd w:val="clear" w:color="auto" w:fill="FFFFFF"/>
        </w:rPr>
        <w:t>（标的名称）</w:t>
      </w:r>
      <w:r>
        <w:rPr>
          <w:rFonts w:hint="eastAsia" w:ascii="微软雅黑" w:hAnsi="微软雅黑" w:eastAsia="微软雅黑" w:cs="微软雅黑"/>
          <w:color w:val="auto"/>
          <w:kern w:val="0"/>
          <w:sz w:val="24"/>
          <w:highlight w:val="none"/>
          <w:shd w:val="clear" w:color="auto" w:fill="FFFFFF"/>
        </w:rPr>
        <w:t>，属于</w:t>
      </w:r>
      <w:r>
        <w:rPr>
          <w:rFonts w:hint="eastAsia" w:ascii="微软雅黑" w:hAnsi="微软雅黑" w:eastAsia="微软雅黑" w:cs="微软雅黑"/>
          <w:color w:val="auto"/>
          <w:kern w:val="0"/>
          <w:sz w:val="24"/>
          <w:highlight w:val="none"/>
          <w:u w:val="single"/>
          <w:shd w:val="clear" w:color="auto" w:fill="FFFFFF"/>
        </w:rPr>
        <w:t>（采购文件中明确的所属行业）</w:t>
      </w:r>
      <w:r>
        <w:rPr>
          <w:rFonts w:hint="eastAsia" w:ascii="微软雅黑" w:hAnsi="微软雅黑" w:eastAsia="微软雅黑" w:cs="微软雅黑"/>
          <w:color w:val="auto"/>
          <w:kern w:val="0"/>
          <w:sz w:val="24"/>
          <w:highlight w:val="none"/>
          <w:shd w:val="clear" w:color="auto" w:fill="FFFFFF"/>
        </w:rPr>
        <w:t>行业；制造商为</w:t>
      </w:r>
      <w:r>
        <w:rPr>
          <w:rFonts w:hint="eastAsia" w:ascii="微软雅黑" w:hAnsi="微软雅黑" w:eastAsia="微软雅黑" w:cs="微软雅黑"/>
          <w:color w:val="auto"/>
          <w:kern w:val="0"/>
          <w:sz w:val="24"/>
          <w:highlight w:val="none"/>
          <w:u w:val="single"/>
          <w:shd w:val="clear" w:color="auto" w:fill="FFFFFF"/>
        </w:rPr>
        <w:t>（企业名称）</w:t>
      </w:r>
      <w:r>
        <w:rPr>
          <w:rFonts w:hint="eastAsia" w:ascii="微软雅黑" w:hAnsi="微软雅黑" w:eastAsia="微软雅黑" w:cs="微软雅黑"/>
          <w:color w:val="auto"/>
          <w:kern w:val="0"/>
          <w:sz w:val="24"/>
          <w:highlight w:val="none"/>
          <w:shd w:val="clear" w:color="auto" w:fill="FFFFFF"/>
        </w:rPr>
        <w:t>，从业人员人，营业收入为万元，资产总额为万元，属于</w:t>
      </w:r>
      <w:r>
        <w:rPr>
          <w:rFonts w:hint="eastAsia" w:ascii="微软雅黑" w:hAnsi="微软雅黑" w:eastAsia="微软雅黑" w:cs="微软雅黑"/>
          <w:color w:val="auto"/>
          <w:kern w:val="0"/>
          <w:sz w:val="24"/>
          <w:highlight w:val="none"/>
          <w:u w:val="single"/>
          <w:shd w:val="clear" w:color="auto" w:fill="FFFFFF"/>
        </w:rPr>
        <w:t>（中型企业、小型企业、微型企业）</w:t>
      </w:r>
      <w:r>
        <w:rPr>
          <w:rFonts w:hint="eastAsia" w:ascii="微软雅黑" w:hAnsi="微软雅黑" w:eastAsia="微软雅黑" w:cs="微软雅黑"/>
          <w:color w:val="auto"/>
          <w:kern w:val="0"/>
          <w:sz w:val="24"/>
          <w:highlight w:val="none"/>
          <w:shd w:val="clear" w:color="auto" w:fill="FFFFFF"/>
        </w:rPr>
        <w:t>；</w:t>
      </w:r>
    </w:p>
    <w:p w14:paraId="461C86C1">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w:t>
      </w:r>
    </w:p>
    <w:p w14:paraId="77E5F290">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以上企业，不属于大企业的分支机构，不存在控股股东为大企业的情形，也不存在与大企业的负责人为同一人的情形。</w:t>
      </w:r>
    </w:p>
    <w:p w14:paraId="3EBD97ED">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本企业对上述声明内容的真实性负责。如有虚假，将依法承担相应责任。</w:t>
      </w:r>
    </w:p>
    <w:p w14:paraId="65876018">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p>
    <w:p w14:paraId="6BAEB93D">
      <w:pPr>
        <w:widowControl/>
        <w:spacing w:beforeAutospacing="1" w:afterAutospacing="1" w:line="348" w:lineRule="atLeast"/>
        <w:ind w:firstLine="384"/>
        <w:jc w:val="left"/>
        <w:rPr>
          <w:rFonts w:hint="eastAsia" w:ascii="微软雅黑" w:hAnsi="微软雅黑" w:eastAsia="微软雅黑" w:cs="微软雅黑"/>
          <w:color w:val="auto"/>
          <w:sz w:val="24"/>
          <w:highlight w:val="none"/>
        </w:rPr>
      </w:pPr>
    </w:p>
    <w:p w14:paraId="13E2E309">
      <w:pPr>
        <w:widowControl/>
        <w:spacing w:beforeAutospacing="1" w:afterAutospacing="1" w:line="348" w:lineRule="atLeast"/>
        <w:ind w:firstLine="422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企业名称（盖章）：</w:t>
      </w:r>
    </w:p>
    <w:p w14:paraId="05EF3B49">
      <w:pPr>
        <w:widowControl/>
        <w:spacing w:beforeAutospacing="1" w:afterAutospacing="1" w:line="348" w:lineRule="atLeast"/>
        <w:ind w:firstLine="4224"/>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shd w:val="clear" w:color="auto" w:fill="FFFFFF"/>
        </w:rPr>
        <w:t>日期：</w:t>
      </w:r>
    </w:p>
    <w:p w14:paraId="6ED9BAF0">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24"/>
          <w:highlight w:val="none"/>
        </w:rPr>
        <w:t>【注：请各潜在供应商谨慎填写出具中小企业声明函，如不享受政府采购相关政策可不出具中小企业声明函。】</w:t>
      </w:r>
    </w:p>
    <w:p w14:paraId="7A1BA473">
      <w:pPr>
        <w:pStyle w:val="16"/>
        <w:ind w:left="0" w:leftChars="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b/>
          <w:bCs/>
          <w:color w:val="auto"/>
          <w:sz w:val="32"/>
          <w:szCs w:val="32"/>
          <w:highlight w:val="none"/>
        </w:rPr>
        <w:t>本项目所属行业为“工业”。</w:t>
      </w:r>
    </w:p>
    <w:p w14:paraId="1F652F6F">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注：（1）从业人员、营业收入、资产总额填报上一年度数据，无上一年度数据的新成立企业可不填报。</w:t>
      </w:r>
    </w:p>
    <w:p w14:paraId="35F69FDC">
      <w:pPr>
        <w:rPr>
          <w:rFonts w:hint="eastAsia" w:ascii="微软雅黑" w:hAnsi="微软雅黑" w:eastAsia="微软雅黑" w:cs="微软雅黑"/>
          <w:color w:val="auto"/>
          <w:highlight w:val="none"/>
        </w:rPr>
      </w:pPr>
    </w:p>
    <w:p w14:paraId="20118FE8">
      <w:pPr>
        <w:jc w:val="left"/>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附：</w:t>
      </w:r>
    </w:p>
    <w:p w14:paraId="370A18B1">
      <w:pPr>
        <w:jc w:val="center"/>
        <w:rPr>
          <w:rFonts w:hint="eastAsia" w:ascii="微软雅黑" w:hAnsi="微软雅黑" w:eastAsia="微软雅黑" w:cs="微软雅黑"/>
          <w:b/>
          <w:bCs/>
          <w:color w:val="auto"/>
          <w:kern w:val="0"/>
          <w:sz w:val="28"/>
          <w:szCs w:val="28"/>
          <w:highlight w:val="none"/>
        </w:rPr>
      </w:pPr>
      <w:r>
        <w:rPr>
          <w:rFonts w:hint="eastAsia" w:ascii="微软雅黑" w:hAnsi="微软雅黑" w:eastAsia="微软雅黑" w:cs="微软雅黑"/>
          <w:b/>
          <w:bCs/>
          <w:color w:val="auto"/>
          <w:kern w:val="0"/>
          <w:sz w:val="28"/>
          <w:szCs w:val="28"/>
          <w:highlight w:val="none"/>
        </w:rPr>
        <w:t>中小微企业划型标准</w:t>
      </w:r>
    </w:p>
    <w:tbl>
      <w:tblPr>
        <w:tblStyle w:val="36"/>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34D66964">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40317F8A">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行业名称</w:t>
            </w:r>
          </w:p>
        </w:tc>
        <w:tc>
          <w:tcPr>
            <w:tcW w:w="1660" w:type="dxa"/>
            <w:tcBorders>
              <w:top w:val="single" w:color="auto" w:sz="4" w:space="0"/>
              <w:left w:val="nil"/>
              <w:bottom w:val="single" w:color="auto" w:sz="4" w:space="0"/>
              <w:right w:val="single" w:color="auto" w:sz="4" w:space="0"/>
            </w:tcBorders>
            <w:vAlign w:val="center"/>
          </w:tcPr>
          <w:p w14:paraId="273ADD88">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指标名称</w:t>
            </w:r>
          </w:p>
        </w:tc>
        <w:tc>
          <w:tcPr>
            <w:tcW w:w="1466" w:type="dxa"/>
            <w:tcBorders>
              <w:top w:val="single" w:color="auto" w:sz="4" w:space="0"/>
              <w:left w:val="nil"/>
              <w:bottom w:val="single" w:color="auto" w:sz="4" w:space="0"/>
              <w:right w:val="single" w:color="auto" w:sz="4" w:space="0"/>
            </w:tcBorders>
            <w:vAlign w:val="center"/>
          </w:tcPr>
          <w:p w14:paraId="072E02E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计量单位</w:t>
            </w:r>
          </w:p>
        </w:tc>
        <w:tc>
          <w:tcPr>
            <w:tcW w:w="1903" w:type="dxa"/>
            <w:tcBorders>
              <w:top w:val="single" w:color="auto" w:sz="4" w:space="0"/>
              <w:left w:val="nil"/>
              <w:bottom w:val="single" w:color="auto" w:sz="4" w:space="0"/>
              <w:right w:val="single" w:color="auto" w:sz="4" w:space="0"/>
            </w:tcBorders>
            <w:vAlign w:val="center"/>
          </w:tcPr>
          <w:p w14:paraId="5F443C02">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中型</w:t>
            </w:r>
          </w:p>
        </w:tc>
        <w:tc>
          <w:tcPr>
            <w:tcW w:w="1692" w:type="dxa"/>
            <w:tcBorders>
              <w:top w:val="single" w:color="auto" w:sz="4" w:space="0"/>
              <w:left w:val="nil"/>
              <w:bottom w:val="single" w:color="auto" w:sz="4" w:space="0"/>
              <w:right w:val="single" w:color="auto" w:sz="4" w:space="0"/>
            </w:tcBorders>
            <w:vAlign w:val="center"/>
          </w:tcPr>
          <w:p w14:paraId="0E19912E">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小型</w:t>
            </w:r>
          </w:p>
        </w:tc>
        <w:tc>
          <w:tcPr>
            <w:tcW w:w="1087" w:type="dxa"/>
            <w:tcBorders>
              <w:top w:val="single" w:color="auto" w:sz="4" w:space="0"/>
              <w:left w:val="nil"/>
              <w:bottom w:val="single" w:color="auto" w:sz="4" w:space="0"/>
              <w:right w:val="single" w:color="auto" w:sz="4" w:space="0"/>
            </w:tcBorders>
            <w:vAlign w:val="center"/>
          </w:tcPr>
          <w:p w14:paraId="359D74A4">
            <w:pPr>
              <w:widowControl/>
              <w:snapToGrid w:val="0"/>
              <w:contextualSpacing/>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微型</w:t>
            </w:r>
          </w:p>
        </w:tc>
      </w:tr>
      <w:tr w14:paraId="630C0AAF">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358403D9">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农、林、牧、渔</w:t>
            </w:r>
          </w:p>
        </w:tc>
        <w:tc>
          <w:tcPr>
            <w:tcW w:w="1660" w:type="dxa"/>
            <w:tcBorders>
              <w:top w:val="nil"/>
              <w:left w:val="nil"/>
              <w:bottom w:val="single" w:color="auto" w:sz="4" w:space="0"/>
              <w:right w:val="single" w:color="auto" w:sz="4" w:space="0"/>
            </w:tcBorders>
            <w:vAlign w:val="center"/>
          </w:tcPr>
          <w:p w14:paraId="6B2779E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2F26A3C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2AF3165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5B34940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50≤Y＜500</w:t>
            </w:r>
          </w:p>
        </w:tc>
        <w:tc>
          <w:tcPr>
            <w:tcW w:w="1087" w:type="dxa"/>
            <w:tcBorders>
              <w:top w:val="nil"/>
              <w:left w:val="nil"/>
              <w:bottom w:val="single" w:color="auto" w:sz="4" w:space="0"/>
              <w:right w:val="single" w:color="auto" w:sz="4" w:space="0"/>
            </w:tcBorders>
            <w:vAlign w:val="center"/>
          </w:tcPr>
          <w:p w14:paraId="77B13A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0A13B24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76B52F3">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工业</w:t>
            </w:r>
          </w:p>
        </w:tc>
        <w:tc>
          <w:tcPr>
            <w:tcW w:w="1660" w:type="dxa"/>
            <w:tcBorders>
              <w:top w:val="nil"/>
              <w:left w:val="nil"/>
              <w:bottom w:val="single" w:color="auto" w:sz="4" w:space="0"/>
              <w:right w:val="single" w:color="auto" w:sz="4" w:space="0"/>
            </w:tcBorders>
            <w:vAlign w:val="center"/>
          </w:tcPr>
          <w:p w14:paraId="3BD15DA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12236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E2B497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D6F22F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33C419D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4B165FC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E8A81A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43B176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9CEA83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5C880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2000≤Y＜40000</w:t>
            </w:r>
          </w:p>
        </w:tc>
        <w:tc>
          <w:tcPr>
            <w:tcW w:w="1692" w:type="dxa"/>
            <w:tcBorders>
              <w:top w:val="nil"/>
              <w:left w:val="nil"/>
              <w:bottom w:val="single" w:color="auto" w:sz="4" w:space="0"/>
              <w:right w:val="single" w:color="auto" w:sz="4" w:space="0"/>
            </w:tcBorders>
            <w:vAlign w:val="center"/>
          </w:tcPr>
          <w:p w14:paraId="452C21D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300≤Y＜2000</w:t>
            </w:r>
          </w:p>
        </w:tc>
        <w:tc>
          <w:tcPr>
            <w:tcW w:w="1087" w:type="dxa"/>
            <w:tcBorders>
              <w:top w:val="nil"/>
              <w:left w:val="nil"/>
              <w:bottom w:val="single" w:color="auto" w:sz="4" w:space="0"/>
              <w:right w:val="single" w:color="auto" w:sz="4" w:space="0"/>
            </w:tcBorders>
            <w:vAlign w:val="center"/>
          </w:tcPr>
          <w:p w14:paraId="2226B3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24BAE2D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79FEF3E">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建筑业</w:t>
            </w:r>
          </w:p>
        </w:tc>
        <w:tc>
          <w:tcPr>
            <w:tcW w:w="1660" w:type="dxa"/>
            <w:tcBorders>
              <w:top w:val="nil"/>
              <w:left w:val="nil"/>
              <w:bottom w:val="single" w:color="auto" w:sz="4" w:space="0"/>
              <w:right w:val="single" w:color="auto" w:sz="4" w:space="0"/>
            </w:tcBorders>
            <w:vAlign w:val="center"/>
          </w:tcPr>
          <w:p w14:paraId="7D0EA29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620215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B9726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6000≤Y＜80000</w:t>
            </w:r>
          </w:p>
        </w:tc>
        <w:tc>
          <w:tcPr>
            <w:tcW w:w="1692" w:type="dxa"/>
            <w:tcBorders>
              <w:top w:val="nil"/>
              <w:left w:val="nil"/>
              <w:bottom w:val="single" w:color="auto" w:sz="4" w:space="0"/>
              <w:right w:val="single" w:color="auto" w:sz="4" w:space="0"/>
            </w:tcBorders>
            <w:vAlign w:val="center"/>
          </w:tcPr>
          <w:p w14:paraId="1FF0484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300≤Y＜6000</w:t>
            </w:r>
          </w:p>
        </w:tc>
        <w:tc>
          <w:tcPr>
            <w:tcW w:w="1087" w:type="dxa"/>
            <w:tcBorders>
              <w:top w:val="nil"/>
              <w:left w:val="nil"/>
              <w:bottom w:val="single" w:color="auto" w:sz="4" w:space="0"/>
              <w:right w:val="single" w:color="auto" w:sz="4" w:space="0"/>
            </w:tcBorders>
            <w:vAlign w:val="center"/>
          </w:tcPr>
          <w:p w14:paraId="622D493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Y＜300</w:t>
            </w:r>
          </w:p>
        </w:tc>
      </w:tr>
      <w:tr w14:paraId="54D058B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B717D27">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3CB429F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21400B2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3904F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5000≤Z＜80000</w:t>
            </w:r>
          </w:p>
        </w:tc>
        <w:tc>
          <w:tcPr>
            <w:tcW w:w="1692" w:type="dxa"/>
            <w:tcBorders>
              <w:top w:val="nil"/>
              <w:left w:val="nil"/>
              <w:bottom w:val="single" w:color="auto" w:sz="4" w:space="0"/>
              <w:right w:val="single" w:color="auto" w:sz="4" w:space="0"/>
            </w:tcBorders>
            <w:vAlign w:val="center"/>
          </w:tcPr>
          <w:p w14:paraId="79A4FEC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300≤Z＜5000</w:t>
            </w:r>
          </w:p>
        </w:tc>
        <w:tc>
          <w:tcPr>
            <w:tcW w:w="1087" w:type="dxa"/>
            <w:tcBorders>
              <w:top w:val="nil"/>
              <w:left w:val="nil"/>
              <w:bottom w:val="single" w:color="auto" w:sz="4" w:space="0"/>
              <w:right w:val="single" w:color="auto" w:sz="4" w:space="0"/>
            </w:tcBorders>
            <w:vAlign w:val="center"/>
          </w:tcPr>
          <w:p w14:paraId="7723870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Z＜300</w:t>
            </w:r>
          </w:p>
        </w:tc>
      </w:tr>
      <w:tr w14:paraId="0F2F6D8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17CABB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批发业</w:t>
            </w:r>
          </w:p>
        </w:tc>
        <w:tc>
          <w:tcPr>
            <w:tcW w:w="1660" w:type="dxa"/>
            <w:tcBorders>
              <w:top w:val="nil"/>
              <w:left w:val="nil"/>
              <w:bottom w:val="single" w:color="auto" w:sz="4" w:space="0"/>
              <w:right w:val="single" w:color="auto" w:sz="4" w:space="0"/>
            </w:tcBorders>
            <w:vAlign w:val="center"/>
          </w:tcPr>
          <w:p w14:paraId="1350AED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78884A5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3403E9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20≤X＜200</w:t>
            </w:r>
          </w:p>
        </w:tc>
        <w:tc>
          <w:tcPr>
            <w:tcW w:w="1692" w:type="dxa"/>
            <w:tcBorders>
              <w:top w:val="nil"/>
              <w:left w:val="nil"/>
              <w:bottom w:val="single" w:color="auto" w:sz="4" w:space="0"/>
              <w:right w:val="single" w:color="auto" w:sz="4" w:space="0"/>
            </w:tcBorders>
            <w:vAlign w:val="center"/>
          </w:tcPr>
          <w:p w14:paraId="7D823A7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5≤X＜20</w:t>
            </w:r>
          </w:p>
        </w:tc>
        <w:tc>
          <w:tcPr>
            <w:tcW w:w="1087" w:type="dxa"/>
            <w:tcBorders>
              <w:top w:val="nil"/>
              <w:left w:val="nil"/>
              <w:bottom w:val="single" w:color="auto" w:sz="4" w:space="0"/>
              <w:right w:val="single" w:color="auto" w:sz="4" w:space="0"/>
            </w:tcBorders>
            <w:vAlign w:val="center"/>
          </w:tcPr>
          <w:p w14:paraId="533C221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X＜5</w:t>
            </w:r>
          </w:p>
        </w:tc>
      </w:tr>
      <w:tr w14:paraId="5C97943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6F0067F">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91001D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0370E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90DF56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5000≤Y＜40000</w:t>
            </w:r>
          </w:p>
        </w:tc>
        <w:tc>
          <w:tcPr>
            <w:tcW w:w="1692" w:type="dxa"/>
            <w:tcBorders>
              <w:top w:val="nil"/>
              <w:left w:val="nil"/>
              <w:bottom w:val="single" w:color="auto" w:sz="4" w:space="0"/>
              <w:right w:val="single" w:color="auto" w:sz="4" w:space="0"/>
            </w:tcBorders>
            <w:vAlign w:val="center"/>
          </w:tcPr>
          <w:p w14:paraId="784F8DD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087" w:type="dxa"/>
            <w:tcBorders>
              <w:top w:val="nil"/>
              <w:left w:val="nil"/>
              <w:bottom w:val="single" w:color="auto" w:sz="4" w:space="0"/>
              <w:right w:val="single" w:color="auto" w:sz="4" w:space="0"/>
            </w:tcBorders>
            <w:vAlign w:val="center"/>
          </w:tcPr>
          <w:p w14:paraId="7CB8316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Y＜1000</w:t>
            </w:r>
          </w:p>
        </w:tc>
      </w:tr>
      <w:tr w14:paraId="759D47B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4675500">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零售业</w:t>
            </w:r>
          </w:p>
        </w:tc>
        <w:tc>
          <w:tcPr>
            <w:tcW w:w="1660" w:type="dxa"/>
            <w:tcBorders>
              <w:top w:val="nil"/>
              <w:left w:val="nil"/>
              <w:bottom w:val="single" w:color="auto" w:sz="4" w:space="0"/>
              <w:right w:val="single" w:color="auto" w:sz="4" w:space="0"/>
            </w:tcBorders>
            <w:vAlign w:val="center"/>
          </w:tcPr>
          <w:p w14:paraId="030B0E7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8E30B3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840768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50≤X＜300</w:t>
            </w:r>
          </w:p>
        </w:tc>
        <w:tc>
          <w:tcPr>
            <w:tcW w:w="1692" w:type="dxa"/>
            <w:tcBorders>
              <w:top w:val="nil"/>
              <w:left w:val="nil"/>
              <w:bottom w:val="single" w:color="auto" w:sz="4" w:space="0"/>
              <w:right w:val="single" w:color="auto" w:sz="4" w:space="0"/>
            </w:tcBorders>
            <w:vAlign w:val="center"/>
          </w:tcPr>
          <w:p w14:paraId="49939CC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10≤X＜50</w:t>
            </w:r>
          </w:p>
        </w:tc>
        <w:tc>
          <w:tcPr>
            <w:tcW w:w="1087" w:type="dxa"/>
            <w:tcBorders>
              <w:top w:val="nil"/>
              <w:left w:val="nil"/>
              <w:bottom w:val="single" w:color="auto" w:sz="4" w:space="0"/>
              <w:right w:val="single" w:color="auto" w:sz="4" w:space="0"/>
            </w:tcBorders>
            <w:vAlign w:val="center"/>
          </w:tcPr>
          <w:p w14:paraId="05341F0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45E18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2CD76E">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5B5221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714C53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8630BF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500≤Y＜20000</w:t>
            </w:r>
          </w:p>
        </w:tc>
        <w:tc>
          <w:tcPr>
            <w:tcW w:w="1692" w:type="dxa"/>
            <w:tcBorders>
              <w:top w:val="nil"/>
              <w:left w:val="nil"/>
              <w:bottom w:val="single" w:color="auto" w:sz="4" w:space="0"/>
              <w:right w:val="single" w:color="auto" w:sz="4" w:space="0"/>
            </w:tcBorders>
            <w:vAlign w:val="center"/>
          </w:tcPr>
          <w:p w14:paraId="2801112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100≤Y＜500</w:t>
            </w:r>
          </w:p>
        </w:tc>
        <w:tc>
          <w:tcPr>
            <w:tcW w:w="1087" w:type="dxa"/>
            <w:tcBorders>
              <w:top w:val="nil"/>
              <w:left w:val="nil"/>
              <w:bottom w:val="single" w:color="auto" w:sz="4" w:space="0"/>
              <w:right w:val="single" w:color="auto" w:sz="4" w:space="0"/>
            </w:tcBorders>
            <w:vAlign w:val="center"/>
          </w:tcPr>
          <w:p w14:paraId="3E1499D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2D790DF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E6DAEDF">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交通运输业</w:t>
            </w:r>
          </w:p>
        </w:tc>
        <w:tc>
          <w:tcPr>
            <w:tcW w:w="1660" w:type="dxa"/>
            <w:tcBorders>
              <w:top w:val="nil"/>
              <w:left w:val="nil"/>
              <w:bottom w:val="single" w:color="auto" w:sz="4" w:space="0"/>
              <w:right w:val="single" w:color="auto" w:sz="4" w:space="0"/>
            </w:tcBorders>
            <w:vAlign w:val="center"/>
          </w:tcPr>
          <w:p w14:paraId="1AB2C07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67FFEC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0F4C52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3EB80E0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85C845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5FBC3F1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52B981D">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1E8BDE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F2AB50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9D2519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3000≤Y＜30000</w:t>
            </w:r>
          </w:p>
        </w:tc>
        <w:tc>
          <w:tcPr>
            <w:tcW w:w="1692" w:type="dxa"/>
            <w:tcBorders>
              <w:top w:val="nil"/>
              <w:left w:val="nil"/>
              <w:bottom w:val="single" w:color="auto" w:sz="4" w:space="0"/>
              <w:right w:val="single" w:color="auto" w:sz="4" w:space="0"/>
            </w:tcBorders>
            <w:vAlign w:val="center"/>
          </w:tcPr>
          <w:p w14:paraId="5152B3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200≤Y＜3000</w:t>
            </w:r>
          </w:p>
        </w:tc>
        <w:tc>
          <w:tcPr>
            <w:tcW w:w="1087" w:type="dxa"/>
            <w:tcBorders>
              <w:top w:val="nil"/>
              <w:left w:val="nil"/>
              <w:bottom w:val="single" w:color="auto" w:sz="4" w:space="0"/>
              <w:right w:val="single" w:color="auto" w:sz="4" w:space="0"/>
            </w:tcBorders>
            <w:vAlign w:val="center"/>
          </w:tcPr>
          <w:p w14:paraId="7E7DE7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w:t>
            </w:r>
          </w:p>
        </w:tc>
      </w:tr>
      <w:tr w14:paraId="0CEA3C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A6F867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仓储业</w:t>
            </w:r>
          </w:p>
        </w:tc>
        <w:tc>
          <w:tcPr>
            <w:tcW w:w="1660" w:type="dxa"/>
            <w:tcBorders>
              <w:top w:val="nil"/>
              <w:left w:val="nil"/>
              <w:bottom w:val="single" w:color="auto" w:sz="4" w:space="0"/>
              <w:right w:val="single" w:color="auto" w:sz="4" w:space="0"/>
            </w:tcBorders>
            <w:vAlign w:val="center"/>
          </w:tcPr>
          <w:p w14:paraId="2D216D9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6BCA206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9DCF19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w:t>
            </w:r>
          </w:p>
        </w:tc>
        <w:tc>
          <w:tcPr>
            <w:tcW w:w="1692" w:type="dxa"/>
            <w:tcBorders>
              <w:top w:val="nil"/>
              <w:left w:val="nil"/>
              <w:bottom w:val="single" w:color="auto" w:sz="4" w:space="0"/>
              <w:right w:val="single" w:color="auto" w:sz="4" w:space="0"/>
            </w:tcBorders>
            <w:vAlign w:val="center"/>
          </w:tcPr>
          <w:p w14:paraId="2532236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20≤X＜100</w:t>
            </w:r>
          </w:p>
        </w:tc>
        <w:tc>
          <w:tcPr>
            <w:tcW w:w="1087" w:type="dxa"/>
            <w:tcBorders>
              <w:top w:val="nil"/>
              <w:left w:val="nil"/>
              <w:bottom w:val="single" w:color="auto" w:sz="4" w:space="0"/>
              <w:right w:val="single" w:color="auto" w:sz="4" w:space="0"/>
            </w:tcBorders>
            <w:vAlign w:val="center"/>
          </w:tcPr>
          <w:p w14:paraId="220F64F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024B184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AC3967A">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2F3A078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62C2C7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07DF80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1000≤Y＜30000</w:t>
            </w:r>
          </w:p>
        </w:tc>
        <w:tc>
          <w:tcPr>
            <w:tcW w:w="1692" w:type="dxa"/>
            <w:tcBorders>
              <w:top w:val="nil"/>
              <w:left w:val="nil"/>
              <w:bottom w:val="single" w:color="auto" w:sz="4" w:space="0"/>
              <w:right w:val="single" w:color="auto" w:sz="4" w:space="0"/>
            </w:tcBorders>
            <w:vAlign w:val="center"/>
          </w:tcPr>
          <w:p w14:paraId="448E4F5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111CB7A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28347B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2655C0A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邮政业</w:t>
            </w:r>
          </w:p>
        </w:tc>
        <w:tc>
          <w:tcPr>
            <w:tcW w:w="1660" w:type="dxa"/>
            <w:tcBorders>
              <w:top w:val="nil"/>
              <w:left w:val="nil"/>
              <w:bottom w:val="single" w:color="auto" w:sz="4" w:space="0"/>
              <w:right w:val="single" w:color="auto" w:sz="4" w:space="0"/>
            </w:tcBorders>
            <w:vAlign w:val="center"/>
          </w:tcPr>
          <w:p w14:paraId="18B1F40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2091F7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7550E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18A20EB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20≤X＜300</w:t>
            </w:r>
          </w:p>
        </w:tc>
        <w:tc>
          <w:tcPr>
            <w:tcW w:w="1087" w:type="dxa"/>
            <w:tcBorders>
              <w:top w:val="nil"/>
              <w:left w:val="nil"/>
              <w:bottom w:val="single" w:color="auto" w:sz="4" w:space="0"/>
              <w:right w:val="single" w:color="auto" w:sz="4" w:space="0"/>
            </w:tcBorders>
            <w:vAlign w:val="center"/>
          </w:tcPr>
          <w:p w14:paraId="790D5BC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X＜20</w:t>
            </w:r>
          </w:p>
        </w:tc>
      </w:tr>
      <w:tr w14:paraId="61CFF6E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4A22696">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2C2AABE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1441B85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4A6B75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2000≤Y＜30000</w:t>
            </w:r>
          </w:p>
        </w:tc>
        <w:tc>
          <w:tcPr>
            <w:tcW w:w="1692" w:type="dxa"/>
            <w:tcBorders>
              <w:top w:val="nil"/>
              <w:left w:val="nil"/>
              <w:bottom w:val="single" w:color="auto" w:sz="4" w:space="0"/>
              <w:right w:val="single" w:color="auto" w:sz="4" w:space="0"/>
            </w:tcBorders>
            <w:vAlign w:val="center"/>
          </w:tcPr>
          <w:p w14:paraId="326FB4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4774DC2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04F3542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1E3DA36">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住宿业</w:t>
            </w:r>
          </w:p>
        </w:tc>
        <w:tc>
          <w:tcPr>
            <w:tcW w:w="1660" w:type="dxa"/>
            <w:tcBorders>
              <w:top w:val="nil"/>
              <w:left w:val="nil"/>
              <w:bottom w:val="single" w:color="auto" w:sz="4" w:space="0"/>
              <w:right w:val="single" w:color="auto" w:sz="4" w:space="0"/>
            </w:tcBorders>
            <w:vAlign w:val="center"/>
          </w:tcPr>
          <w:p w14:paraId="4B975A4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2F78F70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55A7356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353DA28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26BB2FC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20190E78">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8FF8463">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1EA085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04315E3B">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3B5881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6BE190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317EE5E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AB088C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778096F5">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餐饮业</w:t>
            </w:r>
          </w:p>
        </w:tc>
        <w:tc>
          <w:tcPr>
            <w:tcW w:w="1660" w:type="dxa"/>
            <w:tcBorders>
              <w:top w:val="nil"/>
              <w:left w:val="nil"/>
              <w:bottom w:val="single" w:color="auto" w:sz="4" w:space="0"/>
              <w:right w:val="single" w:color="auto" w:sz="4" w:space="0"/>
            </w:tcBorders>
            <w:vAlign w:val="center"/>
          </w:tcPr>
          <w:p w14:paraId="08FA1FB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0A677EA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1AE880F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176C9E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BDE09E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E3E7BB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18B401F">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5C6EFAE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F33751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67A3786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2000≤Y＜10000</w:t>
            </w:r>
          </w:p>
        </w:tc>
        <w:tc>
          <w:tcPr>
            <w:tcW w:w="1692" w:type="dxa"/>
            <w:tcBorders>
              <w:top w:val="nil"/>
              <w:left w:val="nil"/>
              <w:bottom w:val="single" w:color="auto" w:sz="4" w:space="0"/>
              <w:right w:val="single" w:color="auto" w:sz="4" w:space="0"/>
            </w:tcBorders>
            <w:vAlign w:val="center"/>
          </w:tcPr>
          <w:p w14:paraId="0CA579D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100≤Y＜2000</w:t>
            </w:r>
          </w:p>
        </w:tc>
        <w:tc>
          <w:tcPr>
            <w:tcW w:w="1087" w:type="dxa"/>
            <w:tcBorders>
              <w:top w:val="nil"/>
              <w:left w:val="nil"/>
              <w:bottom w:val="single" w:color="auto" w:sz="4" w:space="0"/>
              <w:right w:val="single" w:color="auto" w:sz="4" w:space="0"/>
            </w:tcBorders>
            <w:vAlign w:val="center"/>
          </w:tcPr>
          <w:p w14:paraId="1A78251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E4D886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03E455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信息传输业</w:t>
            </w:r>
          </w:p>
        </w:tc>
        <w:tc>
          <w:tcPr>
            <w:tcW w:w="1660" w:type="dxa"/>
            <w:tcBorders>
              <w:top w:val="nil"/>
              <w:left w:val="nil"/>
              <w:bottom w:val="single" w:color="auto" w:sz="4" w:space="0"/>
              <w:right w:val="single" w:color="auto" w:sz="4" w:space="0"/>
            </w:tcBorders>
            <w:vAlign w:val="center"/>
          </w:tcPr>
          <w:p w14:paraId="02E0CF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84F394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2F249A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100≤X＜2000</w:t>
            </w:r>
          </w:p>
        </w:tc>
        <w:tc>
          <w:tcPr>
            <w:tcW w:w="1692" w:type="dxa"/>
            <w:tcBorders>
              <w:top w:val="nil"/>
              <w:left w:val="nil"/>
              <w:bottom w:val="single" w:color="auto" w:sz="4" w:space="0"/>
              <w:right w:val="single" w:color="auto" w:sz="4" w:space="0"/>
            </w:tcBorders>
            <w:vAlign w:val="center"/>
          </w:tcPr>
          <w:p w14:paraId="2DF36F1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6D740FE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78B6062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02256C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193B8435">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CC2D8E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FC1670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1000≤Y＜100000</w:t>
            </w:r>
          </w:p>
        </w:tc>
        <w:tc>
          <w:tcPr>
            <w:tcW w:w="1692" w:type="dxa"/>
            <w:tcBorders>
              <w:top w:val="nil"/>
              <w:left w:val="nil"/>
              <w:bottom w:val="single" w:color="auto" w:sz="4" w:space="0"/>
              <w:right w:val="single" w:color="auto" w:sz="4" w:space="0"/>
            </w:tcBorders>
            <w:vAlign w:val="center"/>
          </w:tcPr>
          <w:p w14:paraId="2C7E6D5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100≤Y＜1000</w:t>
            </w:r>
          </w:p>
        </w:tc>
        <w:tc>
          <w:tcPr>
            <w:tcW w:w="1087" w:type="dxa"/>
            <w:tcBorders>
              <w:top w:val="nil"/>
              <w:left w:val="nil"/>
              <w:bottom w:val="single" w:color="auto" w:sz="4" w:space="0"/>
              <w:right w:val="single" w:color="auto" w:sz="4" w:space="0"/>
            </w:tcBorders>
            <w:vAlign w:val="center"/>
          </w:tcPr>
          <w:p w14:paraId="09F298F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4A31502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87F9E8D">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软件和信息技术服务业</w:t>
            </w:r>
          </w:p>
        </w:tc>
        <w:tc>
          <w:tcPr>
            <w:tcW w:w="1660" w:type="dxa"/>
            <w:tcBorders>
              <w:top w:val="nil"/>
              <w:left w:val="nil"/>
              <w:bottom w:val="single" w:color="auto" w:sz="4" w:space="0"/>
              <w:right w:val="single" w:color="auto" w:sz="4" w:space="0"/>
            </w:tcBorders>
            <w:vAlign w:val="center"/>
          </w:tcPr>
          <w:p w14:paraId="6ACB391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3A3B65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2D447BB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7E9637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0FDEF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0579585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D41F248">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6B62D12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65B7E3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74259D5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1000≤Y＜10000</w:t>
            </w:r>
          </w:p>
        </w:tc>
        <w:tc>
          <w:tcPr>
            <w:tcW w:w="1692" w:type="dxa"/>
            <w:tcBorders>
              <w:top w:val="nil"/>
              <w:left w:val="nil"/>
              <w:bottom w:val="single" w:color="auto" w:sz="4" w:space="0"/>
              <w:right w:val="single" w:color="auto" w:sz="4" w:space="0"/>
            </w:tcBorders>
            <w:vAlign w:val="center"/>
          </w:tcPr>
          <w:p w14:paraId="4B63E6F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50≤Y＜1000</w:t>
            </w:r>
          </w:p>
        </w:tc>
        <w:tc>
          <w:tcPr>
            <w:tcW w:w="1087" w:type="dxa"/>
            <w:tcBorders>
              <w:top w:val="nil"/>
              <w:left w:val="nil"/>
              <w:bottom w:val="single" w:color="auto" w:sz="4" w:space="0"/>
              <w:right w:val="single" w:color="auto" w:sz="4" w:space="0"/>
            </w:tcBorders>
            <w:vAlign w:val="center"/>
          </w:tcPr>
          <w:p w14:paraId="0504190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w:t>
            </w:r>
          </w:p>
        </w:tc>
      </w:tr>
      <w:tr w14:paraId="5BDC5CE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0D68C82">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房地产开发经营</w:t>
            </w:r>
          </w:p>
        </w:tc>
        <w:tc>
          <w:tcPr>
            <w:tcW w:w="1660" w:type="dxa"/>
            <w:tcBorders>
              <w:top w:val="nil"/>
              <w:left w:val="nil"/>
              <w:bottom w:val="single" w:color="auto" w:sz="4" w:space="0"/>
              <w:right w:val="single" w:color="auto" w:sz="4" w:space="0"/>
            </w:tcBorders>
            <w:vAlign w:val="center"/>
          </w:tcPr>
          <w:p w14:paraId="19081D9C">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167071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1BE3C5D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1000≤Y＜200000</w:t>
            </w:r>
          </w:p>
        </w:tc>
        <w:tc>
          <w:tcPr>
            <w:tcW w:w="1692" w:type="dxa"/>
            <w:tcBorders>
              <w:top w:val="nil"/>
              <w:left w:val="nil"/>
              <w:bottom w:val="single" w:color="auto" w:sz="4" w:space="0"/>
              <w:right w:val="single" w:color="auto" w:sz="4" w:space="0"/>
            </w:tcBorders>
            <w:vAlign w:val="center"/>
          </w:tcPr>
          <w:p w14:paraId="3F2A1E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100≤X＜1000</w:t>
            </w:r>
          </w:p>
        </w:tc>
        <w:tc>
          <w:tcPr>
            <w:tcW w:w="1087" w:type="dxa"/>
            <w:tcBorders>
              <w:top w:val="nil"/>
              <w:left w:val="nil"/>
              <w:bottom w:val="single" w:color="auto" w:sz="4" w:space="0"/>
              <w:right w:val="single" w:color="auto" w:sz="4" w:space="0"/>
            </w:tcBorders>
            <w:vAlign w:val="center"/>
          </w:tcPr>
          <w:p w14:paraId="796A4BC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1E42678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4554C2">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34649C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1B55597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001AD04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5000≤Z＜10000</w:t>
            </w:r>
          </w:p>
        </w:tc>
        <w:tc>
          <w:tcPr>
            <w:tcW w:w="1692" w:type="dxa"/>
            <w:tcBorders>
              <w:top w:val="nil"/>
              <w:left w:val="nil"/>
              <w:bottom w:val="single" w:color="auto" w:sz="4" w:space="0"/>
              <w:right w:val="single" w:color="auto" w:sz="4" w:space="0"/>
            </w:tcBorders>
            <w:vAlign w:val="center"/>
          </w:tcPr>
          <w:p w14:paraId="364C75C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2000≤Y＜5000</w:t>
            </w:r>
          </w:p>
        </w:tc>
        <w:tc>
          <w:tcPr>
            <w:tcW w:w="1087" w:type="dxa"/>
            <w:tcBorders>
              <w:top w:val="nil"/>
              <w:left w:val="nil"/>
              <w:bottom w:val="single" w:color="auto" w:sz="4" w:space="0"/>
              <w:right w:val="single" w:color="auto" w:sz="4" w:space="0"/>
            </w:tcBorders>
            <w:vAlign w:val="center"/>
          </w:tcPr>
          <w:p w14:paraId="6428290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Y＜2000</w:t>
            </w:r>
          </w:p>
        </w:tc>
      </w:tr>
      <w:tr w14:paraId="5EB35FA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797F62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物业管理</w:t>
            </w:r>
          </w:p>
        </w:tc>
        <w:tc>
          <w:tcPr>
            <w:tcW w:w="1660" w:type="dxa"/>
            <w:tcBorders>
              <w:top w:val="nil"/>
              <w:left w:val="nil"/>
              <w:bottom w:val="single" w:color="auto" w:sz="4" w:space="0"/>
              <w:right w:val="single" w:color="auto" w:sz="4" w:space="0"/>
            </w:tcBorders>
            <w:vAlign w:val="center"/>
          </w:tcPr>
          <w:p w14:paraId="3FC48AD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4430CE43">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34F86B6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300≤X＜1000</w:t>
            </w:r>
          </w:p>
        </w:tc>
        <w:tc>
          <w:tcPr>
            <w:tcW w:w="1692" w:type="dxa"/>
            <w:tcBorders>
              <w:top w:val="nil"/>
              <w:left w:val="nil"/>
              <w:bottom w:val="single" w:color="auto" w:sz="4" w:space="0"/>
              <w:right w:val="single" w:color="auto" w:sz="4" w:space="0"/>
            </w:tcBorders>
            <w:vAlign w:val="center"/>
          </w:tcPr>
          <w:p w14:paraId="028C9BF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087" w:type="dxa"/>
            <w:tcBorders>
              <w:top w:val="nil"/>
              <w:left w:val="nil"/>
              <w:bottom w:val="single" w:color="auto" w:sz="4" w:space="0"/>
              <w:right w:val="single" w:color="auto" w:sz="4" w:space="0"/>
            </w:tcBorders>
            <w:vAlign w:val="center"/>
          </w:tcPr>
          <w:p w14:paraId="731CCE0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X＜100</w:t>
            </w:r>
          </w:p>
        </w:tc>
      </w:tr>
      <w:tr w14:paraId="715026C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2C6D297">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6424A6C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营业收入（Y）</w:t>
            </w:r>
          </w:p>
        </w:tc>
        <w:tc>
          <w:tcPr>
            <w:tcW w:w="1466" w:type="dxa"/>
            <w:tcBorders>
              <w:top w:val="nil"/>
              <w:left w:val="nil"/>
              <w:bottom w:val="single" w:color="auto" w:sz="4" w:space="0"/>
              <w:right w:val="single" w:color="auto" w:sz="4" w:space="0"/>
            </w:tcBorders>
            <w:vAlign w:val="center"/>
          </w:tcPr>
          <w:p w14:paraId="36E1F070">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424BA4F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1000≤Y＜5000</w:t>
            </w:r>
          </w:p>
        </w:tc>
        <w:tc>
          <w:tcPr>
            <w:tcW w:w="1692" w:type="dxa"/>
            <w:tcBorders>
              <w:top w:val="nil"/>
              <w:left w:val="nil"/>
              <w:bottom w:val="single" w:color="auto" w:sz="4" w:space="0"/>
              <w:right w:val="single" w:color="auto" w:sz="4" w:space="0"/>
            </w:tcBorders>
            <w:vAlign w:val="center"/>
          </w:tcPr>
          <w:p w14:paraId="713164D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500≤Y＜1000</w:t>
            </w:r>
          </w:p>
        </w:tc>
        <w:tc>
          <w:tcPr>
            <w:tcW w:w="1087" w:type="dxa"/>
            <w:tcBorders>
              <w:top w:val="nil"/>
              <w:left w:val="nil"/>
              <w:bottom w:val="single" w:color="auto" w:sz="4" w:space="0"/>
              <w:right w:val="single" w:color="auto" w:sz="4" w:space="0"/>
            </w:tcBorders>
            <w:vAlign w:val="center"/>
          </w:tcPr>
          <w:p w14:paraId="52AB2376">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Y＜500</w:t>
            </w:r>
          </w:p>
        </w:tc>
      </w:tr>
      <w:tr w14:paraId="4ADE54A2">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A86A46C">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租赁和商务服务业</w:t>
            </w:r>
          </w:p>
        </w:tc>
        <w:tc>
          <w:tcPr>
            <w:tcW w:w="1660" w:type="dxa"/>
            <w:tcBorders>
              <w:top w:val="nil"/>
              <w:left w:val="nil"/>
              <w:bottom w:val="single" w:color="auto" w:sz="4" w:space="0"/>
              <w:right w:val="single" w:color="auto" w:sz="4" w:space="0"/>
            </w:tcBorders>
            <w:vAlign w:val="center"/>
          </w:tcPr>
          <w:p w14:paraId="6C3D34BD">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11EFF96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4B3F367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42236B3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0DC3E5F2">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r w14:paraId="6792055F">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9F4C551">
            <w:pPr>
              <w:widowControl/>
              <w:snapToGrid w:val="0"/>
              <w:contextualSpacing/>
              <w:jc w:val="center"/>
              <w:rPr>
                <w:rFonts w:hint="eastAsia" w:ascii="微软雅黑" w:hAnsi="微软雅黑" w:eastAsia="微软雅黑" w:cs="微软雅黑"/>
                <w:b/>
                <w:bCs/>
                <w:color w:val="auto"/>
                <w:kern w:val="0"/>
                <w:sz w:val="22"/>
                <w:szCs w:val="22"/>
                <w:highlight w:val="none"/>
              </w:rPr>
            </w:pPr>
          </w:p>
        </w:tc>
        <w:tc>
          <w:tcPr>
            <w:tcW w:w="1660" w:type="dxa"/>
            <w:tcBorders>
              <w:top w:val="nil"/>
              <w:left w:val="nil"/>
              <w:bottom w:val="single" w:color="auto" w:sz="4" w:space="0"/>
              <w:right w:val="single" w:color="auto" w:sz="4" w:space="0"/>
            </w:tcBorders>
            <w:vAlign w:val="center"/>
          </w:tcPr>
          <w:p w14:paraId="4523782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资产总额（Z）</w:t>
            </w:r>
          </w:p>
        </w:tc>
        <w:tc>
          <w:tcPr>
            <w:tcW w:w="1466" w:type="dxa"/>
            <w:tcBorders>
              <w:top w:val="nil"/>
              <w:left w:val="nil"/>
              <w:bottom w:val="single" w:color="auto" w:sz="4" w:space="0"/>
              <w:right w:val="single" w:color="auto" w:sz="4" w:space="0"/>
            </w:tcBorders>
            <w:vAlign w:val="center"/>
          </w:tcPr>
          <w:p w14:paraId="5B96FBBE">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万元</w:t>
            </w:r>
          </w:p>
        </w:tc>
        <w:tc>
          <w:tcPr>
            <w:tcW w:w="1903" w:type="dxa"/>
            <w:tcBorders>
              <w:top w:val="nil"/>
              <w:left w:val="nil"/>
              <w:bottom w:val="single" w:color="auto" w:sz="4" w:space="0"/>
              <w:right w:val="single" w:color="auto" w:sz="4" w:space="0"/>
            </w:tcBorders>
            <w:vAlign w:val="center"/>
          </w:tcPr>
          <w:p w14:paraId="34658F4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8000≤Z＜120000</w:t>
            </w:r>
          </w:p>
        </w:tc>
        <w:tc>
          <w:tcPr>
            <w:tcW w:w="1692" w:type="dxa"/>
            <w:tcBorders>
              <w:top w:val="nil"/>
              <w:left w:val="nil"/>
              <w:bottom w:val="single" w:color="auto" w:sz="4" w:space="0"/>
              <w:right w:val="single" w:color="auto" w:sz="4" w:space="0"/>
            </w:tcBorders>
            <w:vAlign w:val="center"/>
          </w:tcPr>
          <w:p w14:paraId="7532D9D7">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100≤Z＜8000</w:t>
            </w:r>
          </w:p>
        </w:tc>
        <w:tc>
          <w:tcPr>
            <w:tcW w:w="1087" w:type="dxa"/>
            <w:tcBorders>
              <w:top w:val="nil"/>
              <w:left w:val="nil"/>
              <w:bottom w:val="single" w:color="auto" w:sz="4" w:space="0"/>
              <w:right w:val="single" w:color="auto" w:sz="4" w:space="0"/>
            </w:tcBorders>
            <w:vAlign w:val="center"/>
          </w:tcPr>
          <w:p w14:paraId="609F7994">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Y＜100</w:t>
            </w:r>
          </w:p>
        </w:tc>
      </w:tr>
      <w:tr w14:paraId="5B8E6892">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79517054">
            <w:pPr>
              <w:widowControl/>
              <w:snapToGrid w:val="0"/>
              <w:contextualSpacing/>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其他未列明行业</w:t>
            </w:r>
          </w:p>
        </w:tc>
        <w:tc>
          <w:tcPr>
            <w:tcW w:w="1660" w:type="dxa"/>
            <w:tcBorders>
              <w:top w:val="nil"/>
              <w:left w:val="nil"/>
              <w:bottom w:val="single" w:color="auto" w:sz="4" w:space="0"/>
              <w:right w:val="single" w:color="auto" w:sz="4" w:space="0"/>
            </w:tcBorders>
            <w:vAlign w:val="center"/>
          </w:tcPr>
          <w:p w14:paraId="7CC598C1">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从业人员（X）</w:t>
            </w:r>
          </w:p>
        </w:tc>
        <w:tc>
          <w:tcPr>
            <w:tcW w:w="1466" w:type="dxa"/>
            <w:tcBorders>
              <w:top w:val="nil"/>
              <w:left w:val="nil"/>
              <w:bottom w:val="single" w:color="auto" w:sz="4" w:space="0"/>
              <w:right w:val="single" w:color="auto" w:sz="4" w:space="0"/>
            </w:tcBorders>
            <w:vAlign w:val="center"/>
          </w:tcPr>
          <w:p w14:paraId="3C77D62F">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人</w:t>
            </w:r>
          </w:p>
        </w:tc>
        <w:tc>
          <w:tcPr>
            <w:tcW w:w="1903" w:type="dxa"/>
            <w:tcBorders>
              <w:top w:val="nil"/>
              <w:left w:val="nil"/>
              <w:bottom w:val="single" w:color="auto" w:sz="4" w:space="0"/>
              <w:right w:val="single" w:color="auto" w:sz="4" w:space="0"/>
            </w:tcBorders>
            <w:vAlign w:val="center"/>
          </w:tcPr>
          <w:p w14:paraId="75FD2ADA">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100≤X＜300</w:t>
            </w:r>
          </w:p>
        </w:tc>
        <w:tc>
          <w:tcPr>
            <w:tcW w:w="1692" w:type="dxa"/>
            <w:tcBorders>
              <w:top w:val="nil"/>
              <w:left w:val="nil"/>
              <w:bottom w:val="single" w:color="auto" w:sz="4" w:space="0"/>
              <w:right w:val="single" w:color="auto" w:sz="4" w:space="0"/>
            </w:tcBorders>
            <w:vAlign w:val="center"/>
          </w:tcPr>
          <w:p w14:paraId="246FB0C8">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10≤X＜100</w:t>
            </w:r>
          </w:p>
        </w:tc>
        <w:tc>
          <w:tcPr>
            <w:tcW w:w="1087" w:type="dxa"/>
            <w:tcBorders>
              <w:top w:val="nil"/>
              <w:left w:val="nil"/>
              <w:bottom w:val="single" w:color="auto" w:sz="4" w:space="0"/>
              <w:right w:val="single" w:color="auto" w:sz="4" w:space="0"/>
            </w:tcBorders>
            <w:vAlign w:val="center"/>
          </w:tcPr>
          <w:p w14:paraId="1CE5F159">
            <w:pPr>
              <w:widowControl/>
              <w:snapToGrid w:val="0"/>
              <w:contextualSpacing/>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X＜10</w:t>
            </w:r>
          </w:p>
        </w:tc>
      </w:tr>
    </w:tbl>
    <w:p w14:paraId="74289CF7">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b/>
          <w:bCs/>
          <w:color w:val="auto"/>
          <w:kern w:val="0"/>
          <w:sz w:val="24"/>
          <w:highlight w:val="none"/>
          <w:shd w:val="clear" w:color="auto" w:fill="FFFFFF"/>
        </w:rPr>
        <w:t>说明：</w:t>
      </w:r>
      <w:r>
        <w:rPr>
          <w:rFonts w:hint="eastAsia" w:ascii="微软雅黑" w:hAnsi="微软雅黑" w:eastAsia="微软雅黑" w:cs="微软雅黑"/>
          <w:color w:val="auto"/>
          <w:kern w:val="0"/>
          <w:sz w:val="24"/>
          <w:highlight w:val="none"/>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14:paraId="760FE421">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本招标文件所称中小企业，是指在中华人民共和国境内依法设立，依据国务院批准的</w:t>
      </w:r>
    </w:p>
    <w:p w14:paraId="0E51E19F">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E1B1911">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（1）在货物采购项目中，货物由中小企业制造，即货物由中小企业生产且使用该中小企业商号或者注册商标，不对其中涉及的工程承建商和服务的承接商作出要求；</w:t>
      </w:r>
    </w:p>
    <w:p w14:paraId="6B809B65">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（2）在工程采购项目中，工程由中小企业承建，即工程施工单位为中小企业，不对其中涉及的货物的制造商和服务的承接商作出要求；</w:t>
      </w:r>
    </w:p>
    <w:p w14:paraId="00FFE3EC">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14:paraId="63003B4D">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B261CBF">
      <w:pPr>
        <w:widowControl/>
        <w:spacing w:line="460" w:lineRule="exact"/>
        <w:ind w:firstLine="480" w:firstLineChars="200"/>
        <w:jc w:val="left"/>
        <w:rPr>
          <w:rFonts w:hint="eastAsia" w:ascii="微软雅黑" w:hAnsi="微软雅黑" w:eastAsia="微软雅黑" w:cs="微软雅黑"/>
          <w:color w:val="auto"/>
          <w:kern w:val="0"/>
          <w:sz w:val="24"/>
          <w:highlight w:val="none"/>
          <w:shd w:val="clear" w:color="auto" w:fill="FFFFFF"/>
        </w:rPr>
      </w:pPr>
      <w:r>
        <w:rPr>
          <w:rFonts w:hint="eastAsia" w:ascii="微软雅黑" w:hAnsi="微软雅黑" w:eastAsia="微软雅黑" w:cs="微软雅黑"/>
          <w:color w:val="auto"/>
          <w:kern w:val="0"/>
          <w:sz w:val="24"/>
          <w:highlight w:val="none"/>
          <w:shd w:val="clear" w:color="auto" w:fill="FFFFFF"/>
        </w:rPr>
        <w:t>依据本招标文件规定享受扶持政策获得政府采购合同的，小微企业不得将合同分包给大中型企业，中型企业不得将合同分包给大型企业。</w:t>
      </w:r>
    </w:p>
    <w:p w14:paraId="14F6857A">
      <w:pPr>
        <w:pStyle w:val="16"/>
        <w:rPr>
          <w:rFonts w:hint="eastAsia" w:ascii="微软雅黑" w:hAnsi="微软雅黑" w:eastAsia="微软雅黑" w:cs="微软雅黑"/>
          <w:color w:val="auto"/>
          <w:highlight w:val="none"/>
        </w:rPr>
      </w:pPr>
    </w:p>
    <w:p w14:paraId="035FC640">
      <w:pPr>
        <w:rPr>
          <w:rFonts w:hint="eastAsia" w:ascii="微软雅黑" w:hAnsi="微软雅黑" w:eastAsia="微软雅黑" w:cs="微软雅黑"/>
          <w:color w:val="auto"/>
          <w:highlight w:val="none"/>
        </w:rPr>
      </w:pPr>
    </w:p>
    <w:p w14:paraId="6C011A34">
      <w:pPr>
        <w:pStyle w:val="3"/>
        <w:spacing w:before="0" w:line="400" w:lineRule="exact"/>
        <w:rPr>
          <w:rFonts w:hint="eastAsia" w:ascii="微软雅黑" w:hAnsi="微软雅黑" w:eastAsia="微软雅黑" w:cs="微软雅黑"/>
          <w:color w:val="auto"/>
          <w:sz w:val="24"/>
          <w:szCs w:val="24"/>
          <w:highlight w:val="none"/>
        </w:rPr>
      </w:pPr>
      <w:bookmarkStart w:id="2121" w:name="_Toc15979"/>
      <w:bookmarkStart w:id="2122" w:name="_Toc19993"/>
      <w:bookmarkStart w:id="2123" w:name="_Toc8438"/>
      <w:bookmarkStart w:id="2124" w:name="_Toc15546"/>
      <w:bookmarkStart w:id="2125" w:name="_Toc10825"/>
      <w:r>
        <w:rPr>
          <w:rFonts w:hint="eastAsia" w:ascii="微软雅黑" w:hAnsi="微软雅黑" w:eastAsia="微软雅黑" w:cs="微软雅黑"/>
          <w:color w:val="auto"/>
          <w:sz w:val="24"/>
          <w:szCs w:val="24"/>
          <w:highlight w:val="none"/>
        </w:rPr>
        <w:t>6-2</w:t>
      </w:r>
      <w:bookmarkEnd w:id="2114"/>
      <w:bookmarkEnd w:id="2115"/>
      <w:bookmarkEnd w:id="2116"/>
      <w:bookmarkEnd w:id="2117"/>
      <w:bookmarkEnd w:id="2118"/>
      <w:bookmarkEnd w:id="2119"/>
      <w:bookmarkEnd w:id="2120"/>
      <w:bookmarkStart w:id="2126" w:name="OLE_LINK14"/>
      <w:bookmarkStart w:id="2127" w:name="_Toc19312"/>
      <w:bookmarkStart w:id="2128" w:name="_Toc11516"/>
      <w:bookmarkStart w:id="2129" w:name="_Toc19284"/>
      <w:bookmarkStart w:id="2130" w:name="_Toc23068"/>
      <w:bookmarkStart w:id="2131" w:name="_Toc15294"/>
      <w:bookmarkStart w:id="2132" w:name="_Toc515647825"/>
      <w:bookmarkStart w:id="2133" w:name="OLE_LINK13"/>
      <w:bookmarkStart w:id="2134" w:name="_Toc31700"/>
      <w:r>
        <w:rPr>
          <w:rFonts w:hint="eastAsia" w:ascii="微软雅黑" w:hAnsi="微软雅黑" w:eastAsia="微软雅黑" w:cs="微软雅黑"/>
          <w:color w:val="auto"/>
          <w:sz w:val="24"/>
          <w:szCs w:val="24"/>
          <w:highlight w:val="none"/>
        </w:rPr>
        <w:t>残疾人福利</w:t>
      </w:r>
      <w:r>
        <w:rPr>
          <w:rFonts w:hint="eastAsia" w:ascii="微软雅黑" w:hAnsi="微软雅黑" w:eastAsia="微软雅黑" w:cs="微软雅黑"/>
          <w:bCs/>
          <w:color w:val="auto"/>
          <w:kern w:val="2"/>
          <w:sz w:val="24"/>
          <w:szCs w:val="24"/>
          <w:highlight w:val="none"/>
        </w:rPr>
        <w:t>性单</w:t>
      </w:r>
      <w:r>
        <w:rPr>
          <w:rFonts w:hint="eastAsia" w:ascii="微软雅黑" w:hAnsi="微软雅黑" w:eastAsia="微软雅黑" w:cs="微软雅黑"/>
          <w:color w:val="auto"/>
          <w:sz w:val="24"/>
          <w:szCs w:val="24"/>
          <w:highlight w:val="none"/>
        </w:rPr>
        <w:t>位声明函</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p>
    <w:p w14:paraId="796A7705">
      <w:pPr>
        <w:widowControl/>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（注：如不为残疾人福利性单位无需提供此项，可自行删除）</w:t>
      </w:r>
    </w:p>
    <w:p w14:paraId="0A486F8E">
      <w:pPr>
        <w:spacing w:line="400" w:lineRule="exact"/>
        <w:ind w:left="1080" w:leftChars="257" w:hanging="540"/>
        <w:jc w:val="center"/>
        <w:rPr>
          <w:rFonts w:hint="eastAsia" w:ascii="微软雅黑" w:hAnsi="微软雅黑" w:eastAsia="微软雅黑" w:cs="微软雅黑"/>
          <w:color w:val="auto"/>
          <w:kern w:val="0"/>
          <w:sz w:val="24"/>
          <w:highlight w:val="none"/>
        </w:rPr>
      </w:pPr>
    </w:p>
    <w:p w14:paraId="2B2561A7">
      <w:pPr>
        <w:spacing w:line="400" w:lineRule="exact"/>
        <w:ind w:firstLine="567"/>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5A0B2DE6">
      <w:pPr>
        <w:spacing w:line="400" w:lineRule="exact"/>
        <w:ind w:left="1080" w:leftChars="257" w:hanging="54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本单位对上述声明的真实性负责。如有虚假，将依法承担相应责任。</w:t>
      </w:r>
    </w:p>
    <w:p w14:paraId="2F8C2298">
      <w:pPr>
        <w:spacing w:line="400" w:lineRule="exact"/>
        <w:ind w:left="1080" w:leftChars="257" w:hanging="540"/>
        <w:jc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残疾人福利性单位名称（公章）：______________</w:t>
      </w:r>
    </w:p>
    <w:p w14:paraId="09393324">
      <w:pPr>
        <w:spacing w:line="400" w:lineRule="exact"/>
        <w:ind w:left="1080" w:leftChars="257" w:hanging="540"/>
        <w:jc w:val="cente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color w:val="auto"/>
          <w:kern w:val="0"/>
          <w:sz w:val="24"/>
          <w:highlight w:val="none"/>
        </w:rPr>
        <w:t>日期：_____________________________________________</w:t>
      </w:r>
    </w:p>
    <w:p w14:paraId="1CB550CE">
      <w:pPr>
        <w:pStyle w:val="14"/>
        <w:spacing w:line="400" w:lineRule="exact"/>
        <w:ind w:firstLine="480"/>
        <w:rPr>
          <w:rFonts w:hint="eastAsia" w:ascii="微软雅黑" w:hAnsi="微软雅黑" w:eastAsia="微软雅黑" w:cs="微软雅黑"/>
          <w:color w:val="auto"/>
          <w:highlight w:val="none"/>
        </w:rPr>
      </w:pPr>
    </w:p>
    <w:p w14:paraId="4B28F579">
      <w:pPr>
        <w:pStyle w:val="14"/>
        <w:spacing w:line="400" w:lineRule="exact"/>
        <w:ind w:firstLine="480"/>
        <w:rPr>
          <w:rFonts w:hint="eastAsia" w:ascii="微软雅黑" w:hAnsi="微软雅黑" w:eastAsia="微软雅黑" w:cs="微软雅黑"/>
          <w:color w:val="auto"/>
          <w:highlight w:val="none"/>
        </w:rPr>
      </w:pPr>
    </w:p>
    <w:p w14:paraId="27BE1EBE">
      <w:pPr>
        <w:pStyle w:val="3"/>
        <w:spacing w:before="0" w:line="400" w:lineRule="exact"/>
        <w:jc w:val="both"/>
        <w:rPr>
          <w:rFonts w:hint="eastAsia" w:ascii="微软雅黑" w:hAnsi="微软雅黑" w:eastAsia="微软雅黑" w:cs="微软雅黑"/>
          <w:color w:val="auto"/>
          <w:sz w:val="24"/>
          <w:szCs w:val="24"/>
          <w:highlight w:val="none"/>
        </w:rPr>
      </w:pPr>
      <w:bookmarkStart w:id="2135" w:name="_Toc27473"/>
      <w:bookmarkStart w:id="2136" w:name="_Toc20769"/>
      <w:bookmarkStart w:id="2137" w:name="_Toc30795"/>
      <w:bookmarkStart w:id="2138" w:name="_Toc515647827"/>
      <w:bookmarkStart w:id="2139" w:name="_Toc9003"/>
      <w:bookmarkStart w:id="2140" w:name="_Toc21659"/>
      <w:bookmarkStart w:id="2141" w:name="_Toc22102"/>
      <w:bookmarkStart w:id="2142" w:name="_Toc6004"/>
      <w:bookmarkStart w:id="2143" w:name="_Toc23926"/>
      <w:bookmarkStart w:id="2144" w:name="_Toc28099"/>
      <w:bookmarkStart w:id="2145" w:name="_Toc26573"/>
      <w:bookmarkStart w:id="2146" w:name="_Toc17401"/>
      <w:r>
        <w:rPr>
          <w:rFonts w:hint="eastAsia" w:ascii="微软雅黑" w:hAnsi="微软雅黑" w:eastAsia="微软雅黑" w:cs="微软雅黑"/>
          <w:color w:val="auto"/>
          <w:sz w:val="24"/>
          <w:szCs w:val="24"/>
          <w:highlight w:val="none"/>
        </w:rPr>
        <w:t>7、供应商关联单位的说明</w:t>
      </w:r>
      <w:bookmarkEnd w:id="2135"/>
      <w:bookmarkEnd w:id="2136"/>
      <w:bookmarkEnd w:id="2137"/>
      <w:bookmarkEnd w:id="2138"/>
      <w:bookmarkEnd w:id="2139"/>
      <w:bookmarkEnd w:id="2140"/>
      <w:bookmarkEnd w:id="2141"/>
      <w:bookmarkEnd w:id="2142"/>
      <w:bookmarkEnd w:id="2143"/>
      <w:bookmarkEnd w:id="2144"/>
      <w:bookmarkEnd w:id="2145"/>
      <w:bookmarkEnd w:id="2146"/>
    </w:p>
    <w:p w14:paraId="61A13324">
      <w:pPr>
        <w:pStyle w:val="7"/>
        <w:spacing w:line="400" w:lineRule="exact"/>
        <w:jc w:val="center"/>
        <w:rPr>
          <w:rFonts w:hint="eastAsia" w:ascii="微软雅黑" w:hAnsi="微软雅黑" w:eastAsia="微软雅黑" w:cs="微软雅黑"/>
          <w:color w:val="auto"/>
          <w:szCs w:val="24"/>
          <w:highlight w:val="none"/>
        </w:rPr>
      </w:pPr>
    </w:p>
    <w:p w14:paraId="75F535AB">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说明：供应商应当如实披露与本单位存在下列关联关系的单位名称：</w:t>
      </w:r>
    </w:p>
    <w:p w14:paraId="3706C130">
      <w:pPr>
        <w:pStyle w:val="7"/>
        <w:spacing w:line="400" w:lineRule="exact"/>
        <w:ind w:firstLine="960" w:firstLineChars="4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（1）与供应商单位负责人为同一人的其他单位；</w:t>
      </w:r>
    </w:p>
    <w:p w14:paraId="3C51B690">
      <w:pPr>
        <w:pStyle w:val="7"/>
        <w:spacing w:line="400" w:lineRule="exact"/>
        <w:ind w:firstLine="480" w:firstLineChars="20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（2）与供应商存在直接控股、管理关系的其他单位。</w:t>
      </w:r>
    </w:p>
    <w:p w14:paraId="2F15498E">
      <w:pPr>
        <w:pStyle w:val="8"/>
        <w:rPr>
          <w:rFonts w:hint="eastAsia" w:ascii="微软雅黑" w:hAnsi="微软雅黑" w:eastAsia="微软雅黑" w:cs="微软雅黑"/>
          <w:color w:val="auto"/>
          <w:sz w:val="24"/>
          <w:highlight w:val="none"/>
        </w:rPr>
      </w:pPr>
    </w:p>
    <w:p w14:paraId="12ADB097">
      <w:pPr>
        <w:pStyle w:val="29"/>
        <w:rPr>
          <w:rFonts w:hint="eastAsia" w:ascii="微软雅黑" w:hAnsi="微软雅黑" w:eastAsia="微软雅黑" w:cs="微软雅黑"/>
          <w:b/>
          <w:color w:val="auto"/>
          <w:kern w:val="0"/>
          <w:sz w:val="24"/>
          <w:highlight w:val="none"/>
        </w:rPr>
      </w:pPr>
    </w:p>
    <w:p w14:paraId="7022C033">
      <w:pPr>
        <w:pStyle w:val="7"/>
        <w:ind w:firstLine="0"/>
        <w:outlineLvl w:val="1"/>
        <w:rPr>
          <w:rFonts w:hint="eastAsia" w:ascii="微软雅黑" w:hAnsi="微软雅黑" w:eastAsia="微软雅黑" w:cs="微软雅黑"/>
          <w:color w:val="auto"/>
          <w:szCs w:val="24"/>
          <w:highlight w:val="none"/>
        </w:rPr>
      </w:pPr>
      <w:bookmarkStart w:id="2147" w:name="_Toc515647828"/>
      <w:bookmarkStart w:id="2148" w:name="_Toc10917"/>
      <w:bookmarkStart w:id="2149" w:name="_Toc3088"/>
      <w:bookmarkStart w:id="2150" w:name="_Toc17333"/>
      <w:bookmarkStart w:id="2151" w:name="_Toc7414"/>
      <w:bookmarkStart w:id="2152" w:name="_Toc29270"/>
      <w:bookmarkStart w:id="2153" w:name="_Toc10352"/>
      <w:bookmarkStart w:id="2154" w:name="_Toc1363"/>
      <w:bookmarkStart w:id="2155" w:name="_Toc18579"/>
      <w:bookmarkStart w:id="2156" w:name="_Toc9100"/>
      <w:bookmarkStart w:id="2157" w:name="_Toc23682"/>
      <w:bookmarkStart w:id="2158" w:name="_Toc8371"/>
      <w:r>
        <w:rPr>
          <w:rFonts w:hint="eastAsia" w:ascii="微软雅黑" w:hAnsi="微软雅黑" w:eastAsia="微软雅黑" w:cs="微软雅黑"/>
          <w:b/>
          <w:bCs/>
          <w:color w:val="auto"/>
          <w:szCs w:val="24"/>
          <w:highlight w:val="none"/>
        </w:rPr>
        <w:t>8</w:t>
      </w:r>
      <w:bookmarkEnd w:id="2147"/>
      <w:bookmarkEnd w:id="2148"/>
      <w:bookmarkEnd w:id="2149"/>
      <w:bookmarkEnd w:id="2150"/>
      <w:bookmarkEnd w:id="2151"/>
      <w:bookmarkEnd w:id="2152"/>
      <w:bookmarkEnd w:id="2153"/>
      <w:r>
        <w:rPr>
          <w:rFonts w:hint="eastAsia" w:ascii="微软雅黑" w:hAnsi="微软雅黑" w:eastAsia="微软雅黑" w:cs="微软雅黑"/>
          <w:b/>
          <w:bCs/>
          <w:color w:val="auto"/>
          <w:szCs w:val="24"/>
          <w:highlight w:val="none"/>
        </w:rPr>
        <w:t>、供应商可提供有利于投标的其他资格证明材料</w:t>
      </w:r>
      <w:bookmarkEnd w:id="2154"/>
      <w:bookmarkEnd w:id="2155"/>
      <w:bookmarkEnd w:id="2156"/>
      <w:bookmarkEnd w:id="2157"/>
      <w:bookmarkEnd w:id="2158"/>
    </w:p>
    <w:p w14:paraId="76C9A74F">
      <w:pPr>
        <w:pStyle w:val="7"/>
        <w:ind w:firstLine="0"/>
        <w:rPr>
          <w:rFonts w:hint="eastAsia" w:ascii="微软雅黑" w:hAnsi="微软雅黑" w:eastAsia="微软雅黑" w:cs="微软雅黑"/>
          <w:color w:val="auto"/>
          <w:szCs w:val="24"/>
          <w:highlight w:val="none"/>
        </w:rPr>
      </w:pPr>
    </w:p>
    <w:p w14:paraId="14348EB2">
      <w:pPr>
        <w:pStyle w:val="8"/>
        <w:rPr>
          <w:rFonts w:hint="eastAsia" w:ascii="微软雅黑" w:hAnsi="微软雅黑" w:eastAsia="微软雅黑" w:cs="微软雅黑"/>
          <w:color w:val="auto"/>
          <w:sz w:val="24"/>
          <w:highlight w:val="none"/>
        </w:rPr>
      </w:pPr>
    </w:p>
    <w:p w14:paraId="2E7F9404">
      <w:pPr>
        <w:rPr>
          <w:rFonts w:hint="eastAsia" w:ascii="微软雅黑" w:hAnsi="微软雅黑" w:eastAsia="微软雅黑" w:cs="微软雅黑"/>
          <w:color w:val="auto"/>
          <w:sz w:val="24"/>
          <w:highlight w:val="none"/>
        </w:rPr>
      </w:pPr>
    </w:p>
    <w:p w14:paraId="1422E538">
      <w:pPr>
        <w:pStyle w:val="29"/>
        <w:rPr>
          <w:rFonts w:hint="eastAsia" w:ascii="微软雅黑" w:hAnsi="微软雅黑" w:eastAsia="微软雅黑" w:cs="微软雅黑"/>
          <w:color w:val="auto"/>
          <w:sz w:val="24"/>
          <w:highlight w:val="none"/>
        </w:rPr>
      </w:pPr>
    </w:p>
    <w:p w14:paraId="3F3921E8">
      <w:pPr>
        <w:pStyle w:val="29"/>
        <w:rPr>
          <w:rFonts w:hint="eastAsia" w:ascii="微软雅黑" w:hAnsi="微软雅黑" w:eastAsia="微软雅黑" w:cs="微软雅黑"/>
          <w:color w:val="auto"/>
          <w:sz w:val="24"/>
          <w:highlight w:val="none"/>
        </w:rPr>
      </w:pPr>
    </w:p>
    <w:p w14:paraId="600A4C5F">
      <w:pPr>
        <w:pStyle w:val="29"/>
        <w:rPr>
          <w:rFonts w:hint="eastAsia" w:ascii="微软雅黑" w:hAnsi="微软雅黑" w:eastAsia="微软雅黑" w:cs="微软雅黑"/>
          <w:color w:val="auto"/>
          <w:sz w:val="24"/>
          <w:highlight w:val="none"/>
        </w:rPr>
      </w:pPr>
    </w:p>
    <w:p w14:paraId="4A14B3AC">
      <w:pPr>
        <w:pStyle w:val="29"/>
        <w:rPr>
          <w:rFonts w:hint="eastAsia" w:ascii="微软雅黑" w:hAnsi="微软雅黑" w:eastAsia="微软雅黑" w:cs="微软雅黑"/>
          <w:color w:val="auto"/>
          <w:sz w:val="24"/>
          <w:highlight w:val="none"/>
        </w:rPr>
      </w:pPr>
    </w:p>
    <w:p w14:paraId="6A92DAE3">
      <w:pPr>
        <w:pStyle w:val="29"/>
        <w:rPr>
          <w:rFonts w:hint="eastAsia" w:ascii="微软雅黑" w:hAnsi="微软雅黑" w:eastAsia="微软雅黑" w:cs="微软雅黑"/>
          <w:color w:val="auto"/>
          <w:sz w:val="24"/>
          <w:highlight w:val="none"/>
        </w:rPr>
      </w:pPr>
    </w:p>
    <w:p w14:paraId="4E4503D3">
      <w:pPr>
        <w:pStyle w:val="29"/>
        <w:rPr>
          <w:rFonts w:hint="eastAsia" w:ascii="微软雅黑" w:hAnsi="微软雅黑" w:eastAsia="微软雅黑" w:cs="微软雅黑"/>
          <w:color w:val="auto"/>
          <w:sz w:val="24"/>
          <w:highlight w:val="none"/>
        </w:rPr>
      </w:pPr>
    </w:p>
    <w:p w14:paraId="253BF689">
      <w:pPr>
        <w:pStyle w:val="29"/>
        <w:rPr>
          <w:rFonts w:hint="eastAsia" w:ascii="微软雅黑" w:hAnsi="微软雅黑" w:eastAsia="微软雅黑" w:cs="微软雅黑"/>
          <w:color w:val="auto"/>
          <w:sz w:val="24"/>
          <w:highlight w:val="none"/>
        </w:rPr>
      </w:pPr>
    </w:p>
    <w:p w14:paraId="4E7F465C">
      <w:pPr>
        <w:rPr>
          <w:rFonts w:hint="eastAsia" w:ascii="微软雅黑" w:hAnsi="微软雅黑" w:eastAsia="微软雅黑" w:cs="微软雅黑"/>
          <w:color w:val="auto"/>
          <w:sz w:val="24"/>
          <w:highlight w:val="none"/>
        </w:rPr>
      </w:pPr>
    </w:p>
    <w:p w14:paraId="644EB61E">
      <w:pPr>
        <w:rPr>
          <w:rFonts w:hint="eastAsia" w:ascii="微软雅黑" w:hAnsi="微软雅黑" w:eastAsia="微软雅黑" w:cs="微软雅黑"/>
          <w:b/>
          <w:color w:val="auto"/>
          <w:kern w:val="0"/>
          <w:sz w:val="24"/>
          <w:highlight w:val="none"/>
        </w:rPr>
      </w:pPr>
      <w:r>
        <w:rPr>
          <w:rFonts w:hint="eastAsia" w:ascii="微软雅黑" w:hAnsi="微软雅黑" w:eastAsia="微软雅黑" w:cs="微软雅黑"/>
          <w:b/>
          <w:color w:val="auto"/>
          <w:kern w:val="0"/>
          <w:sz w:val="24"/>
          <w:highlight w:val="none"/>
        </w:rPr>
        <w:br w:type="page"/>
      </w:r>
    </w:p>
    <w:p w14:paraId="307A4E39">
      <w:pPr>
        <w:spacing w:line="240" w:lineRule="atLeast"/>
        <w:ind w:left="1080" w:leftChars="257" w:hanging="540"/>
        <w:outlineLvl w:val="1"/>
        <w:rPr>
          <w:rFonts w:hint="eastAsia" w:ascii="微软雅黑" w:hAnsi="微软雅黑" w:eastAsia="微软雅黑" w:cs="微软雅黑"/>
          <w:b/>
          <w:color w:val="auto"/>
          <w:kern w:val="0"/>
          <w:sz w:val="24"/>
          <w:highlight w:val="none"/>
        </w:rPr>
      </w:pPr>
      <w:bookmarkStart w:id="2159" w:name="_Toc17411"/>
      <w:bookmarkStart w:id="2160" w:name="_Toc9452"/>
      <w:bookmarkStart w:id="2161" w:name="_Toc27062"/>
      <w:bookmarkStart w:id="2162" w:name="_Toc5997"/>
      <w:bookmarkStart w:id="2163" w:name="_Toc1808"/>
      <w:r>
        <w:rPr>
          <w:rFonts w:hint="eastAsia" w:ascii="微软雅黑" w:hAnsi="微软雅黑" w:eastAsia="微软雅黑" w:cs="微软雅黑"/>
          <w:b/>
          <w:color w:val="auto"/>
          <w:kern w:val="0"/>
          <w:sz w:val="24"/>
          <w:highlight w:val="none"/>
        </w:rPr>
        <w:t>9、投标文件格式范本</w:t>
      </w:r>
      <w:bookmarkEnd w:id="2159"/>
      <w:bookmarkEnd w:id="2160"/>
      <w:bookmarkEnd w:id="2161"/>
      <w:bookmarkEnd w:id="2162"/>
      <w:bookmarkEnd w:id="2163"/>
    </w:p>
    <w:tbl>
      <w:tblPr>
        <w:tblStyle w:val="36"/>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0BE460D5">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trPr>
        <w:tc>
          <w:tcPr>
            <w:tcW w:w="9120" w:type="dxa"/>
            <w:shd w:val="clear" w:color="auto" w:fill="FCFEEA"/>
            <w:vAlign w:val="top"/>
          </w:tcPr>
          <w:p w14:paraId="69D47BED">
            <w:pPr>
              <w:pStyle w:val="12"/>
              <w:jc w:val="center"/>
              <w:rPr>
                <w:rFonts w:hint="eastAsia" w:ascii="微软雅黑" w:hAnsi="微软雅黑" w:eastAsia="微软雅黑" w:cs="微软雅黑"/>
                <w:b/>
                <w:bCs/>
                <w:color w:val="auto"/>
                <w:highlight w:val="none"/>
              </w:rPr>
            </w:pPr>
          </w:p>
          <w:p w14:paraId="7F77163D">
            <w:pPr>
              <w:pStyle w:val="12"/>
              <w:ind w:firstLine="3602" w:firstLineChars="1500"/>
              <w:rPr>
                <w:rFonts w:hint="eastAsia" w:ascii="微软雅黑" w:hAnsi="微软雅黑" w:eastAsia="微软雅黑" w:cs="微软雅黑"/>
                <w:b/>
                <w:bCs/>
                <w:color w:val="auto"/>
                <w:highlight w:val="none"/>
              </w:rPr>
            </w:pPr>
          </w:p>
          <w:p w14:paraId="085AE94F">
            <w:pPr>
              <w:pStyle w:val="12"/>
              <w:ind w:firstLine="3602" w:firstLineChars="1500"/>
              <w:rPr>
                <w:rFonts w:hint="eastAsia" w:ascii="微软雅黑" w:hAnsi="微软雅黑" w:eastAsia="微软雅黑" w:cs="微软雅黑"/>
                <w:b/>
                <w:bCs/>
                <w:color w:val="auto"/>
                <w:highlight w:val="none"/>
              </w:rPr>
            </w:pPr>
          </w:p>
          <w:p w14:paraId="5974BBA9">
            <w:pPr>
              <w:pStyle w:val="12"/>
              <w:rPr>
                <w:rFonts w:hint="eastAsia" w:ascii="微软雅黑" w:hAnsi="微软雅黑" w:eastAsia="微软雅黑" w:cs="微软雅黑"/>
                <w:b/>
                <w:bCs/>
                <w:color w:val="auto"/>
                <w:highlight w:val="none"/>
              </w:rPr>
            </w:pPr>
          </w:p>
          <w:p w14:paraId="1AF365E8">
            <w:pPr>
              <w:pStyle w:val="12"/>
              <w:ind w:firstLine="2161" w:firstLineChars="900"/>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＊＊＊＊＊＊＊＊＊＊＊＊＊＊＊＊＊＊＊＊＊项目</w:t>
            </w:r>
          </w:p>
          <w:p w14:paraId="6AAA1AC9">
            <w:pPr>
              <w:pStyle w:val="12"/>
              <w:jc w:val="center"/>
              <w:rPr>
                <w:rFonts w:hint="eastAsia" w:ascii="微软雅黑" w:hAnsi="微软雅黑" w:eastAsia="微软雅黑" w:cs="微软雅黑"/>
                <w:b/>
                <w:bCs/>
                <w:color w:val="auto"/>
                <w:highlight w:val="none"/>
              </w:rPr>
            </w:pPr>
          </w:p>
          <w:p w14:paraId="09E357E6">
            <w:pPr>
              <w:pStyle w:val="12"/>
              <w:ind w:firstLine="3602" w:firstLineChars="1500"/>
              <w:rPr>
                <w:rFonts w:hint="default"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rPr>
              <w:t>编号＊＊＊</w:t>
            </w:r>
            <w:r>
              <w:rPr>
                <w:rFonts w:hint="eastAsia" w:ascii="微软雅黑" w:hAnsi="微软雅黑" w:eastAsia="微软雅黑" w:cs="微软雅黑"/>
                <w:b/>
                <w:bCs/>
                <w:color w:val="auto"/>
                <w:highlight w:val="none"/>
                <w:lang w:val="en-US" w:eastAsia="zh-CN"/>
              </w:rPr>
              <w:t xml:space="preserve">     标段号：</w:t>
            </w:r>
          </w:p>
          <w:p w14:paraId="787CC9F4">
            <w:pPr>
              <w:pStyle w:val="12"/>
              <w:jc w:val="center"/>
              <w:rPr>
                <w:rFonts w:hint="eastAsia" w:ascii="微软雅黑" w:hAnsi="微软雅黑" w:eastAsia="微软雅黑" w:cs="微软雅黑"/>
                <w:b/>
                <w:bCs/>
                <w:color w:val="auto"/>
                <w:highlight w:val="none"/>
              </w:rPr>
            </w:pPr>
          </w:p>
          <w:p w14:paraId="6F29ECF1">
            <w:pPr>
              <w:pStyle w:val="12"/>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投标文件</w:t>
            </w:r>
          </w:p>
          <w:p w14:paraId="19D8C63F">
            <w:pPr>
              <w:pStyle w:val="7"/>
              <w:ind w:firstLine="0"/>
              <w:rPr>
                <w:rFonts w:hint="eastAsia" w:ascii="微软雅黑" w:hAnsi="微软雅黑" w:eastAsia="微软雅黑" w:cs="微软雅黑"/>
                <w:b/>
                <w:color w:val="auto"/>
                <w:szCs w:val="24"/>
                <w:highlight w:val="none"/>
              </w:rPr>
            </w:pPr>
          </w:p>
          <w:p w14:paraId="2FD08406">
            <w:pPr>
              <w:pStyle w:val="7"/>
              <w:rPr>
                <w:rFonts w:hint="eastAsia" w:ascii="微软雅黑" w:hAnsi="微软雅黑" w:eastAsia="微软雅黑" w:cs="微软雅黑"/>
                <w:b/>
                <w:color w:val="auto"/>
                <w:szCs w:val="24"/>
                <w:highlight w:val="none"/>
              </w:rPr>
            </w:pPr>
          </w:p>
          <w:p w14:paraId="7226ED29">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w:t>
            </w:r>
            <w:r>
              <w:rPr>
                <w:rFonts w:hint="eastAsia" w:ascii="微软雅黑" w:hAnsi="微软雅黑" w:eastAsia="微软雅黑" w:cs="微软雅黑"/>
                <w:color w:val="auto"/>
                <w:szCs w:val="21"/>
                <w:highlight w:val="none"/>
              </w:rPr>
              <w:t>（公章）</w:t>
            </w:r>
          </w:p>
          <w:p w14:paraId="176D69BA">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项目名称：</w:t>
            </w:r>
          </w:p>
          <w:p w14:paraId="0EECDA6F">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项目编号：</w:t>
            </w:r>
          </w:p>
          <w:p w14:paraId="6FCB68C5">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u w:val="single"/>
                <w:lang w:eastAsia="zh-CN"/>
              </w:rPr>
            </w:pPr>
            <w:r>
              <w:rPr>
                <w:rFonts w:hint="eastAsia" w:ascii="微软雅黑" w:hAnsi="微软雅黑" w:eastAsia="微软雅黑" w:cs="微软雅黑"/>
                <w:color w:val="auto"/>
                <w:sz w:val="24"/>
                <w:highlight w:val="none"/>
              </w:rPr>
              <w:t>联系人：</w:t>
            </w:r>
          </w:p>
          <w:p w14:paraId="493F7EA5">
            <w:pPr>
              <w:snapToGrid w:val="0"/>
              <w:spacing w:line="360" w:lineRule="auto"/>
              <w:ind w:left="176" w:leftChars="84" w:firstLine="960" w:firstLineChars="400"/>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电话：</w:t>
            </w:r>
          </w:p>
          <w:p w14:paraId="1FEFC8EA">
            <w:pPr>
              <w:snapToGrid w:val="0"/>
              <w:spacing w:line="360" w:lineRule="auto"/>
              <w:ind w:left="176" w:leftChars="84" w:firstLine="960" w:firstLineChars="400"/>
              <w:textAlignment w:val="baseline"/>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color w:val="auto"/>
                <w:sz w:val="24"/>
                <w:highlight w:val="none"/>
              </w:rPr>
              <w:t>地址：</w:t>
            </w:r>
          </w:p>
          <w:p w14:paraId="70E9F5BF">
            <w:pPr>
              <w:jc w:val="center"/>
              <w:rPr>
                <w:rFonts w:hint="eastAsia" w:ascii="微软雅黑" w:hAnsi="微软雅黑" w:eastAsia="微软雅黑" w:cs="微软雅黑"/>
                <w:b/>
                <w:bCs/>
                <w:color w:val="auto"/>
                <w:sz w:val="24"/>
                <w:highlight w:val="none"/>
              </w:rPr>
            </w:pPr>
          </w:p>
          <w:p w14:paraId="2B81E1C6">
            <w:pPr>
              <w:pStyle w:val="7"/>
              <w:rPr>
                <w:rFonts w:hint="eastAsia" w:ascii="微软雅黑" w:hAnsi="微软雅黑" w:eastAsia="微软雅黑" w:cs="微软雅黑"/>
                <w:color w:val="auto"/>
                <w:szCs w:val="24"/>
                <w:highlight w:val="none"/>
              </w:rPr>
            </w:pPr>
          </w:p>
          <w:p w14:paraId="5B9B4EC1">
            <w:pPr>
              <w:jc w:val="center"/>
              <w:rPr>
                <w:rFonts w:hint="eastAsia" w:ascii="微软雅黑" w:hAnsi="微软雅黑" w:eastAsia="微软雅黑" w:cs="微软雅黑"/>
                <w:b/>
                <w:bCs/>
                <w:color w:val="auto"/>
                <w:sz w:val="24"/>
                <w:highlight w:val="none"/>
              </w:rPr>
            </w:pPr>
          </w:p>
          <w:p w14:paraId="7DF7F9F8">
            <w:pPr>
              <w:jc w:val="center"/>
              <w:rPr>
                <w:rFonts w:hint="eastAsia" w:ascii="微软雅黑" w:hAnsi="微软雅黑" w:eastAsia="微软雅黑" w:cs="微软雅黑"/>
                <w:b/>
                <w:bCs/>
                <w:color w:val="auto"/>
                <w:sz w:val="24"/>
                <w:highlight w:val="none"/>
              </w:rPr>
            </w:pPr>
          </w:p>
        </w:tc>
      </w:tr>
    </w:tbl>
    <w:p w14:paraId="1FDB34A0">
      <w:pPr>
        <w:spacing w:line="240" w:lineRule="atLeast"/>
        <w:jc w:val="both"/>
        <w:rPr>
          <w:rFonts w:hint="eastAsia" w:ascii="微软雅黑" w:hAnsi="微软雅黑" w:eastAsia="微软雅黑" w:cs="微软雅黑"/>
          <w:b/>
          <w:color w:val="auto"/>
          <w:sz w:val="24"/>
          <w:highlight w:val="none"/>
        </w:rPr>
      </w:pPr>
    </w:p>
    <w:p w14:paraId="73CA23A8">
      <w:pPr>
        <w:spacing w:line="240" w:lineRule="atLeast"/>
        <w:jc w:val="center"/>
        <w:rPr>
          <w:rFonts w:hint="eastAsia" w:ascii="微软雅黑" w:hAnsi="微软雅黑" w:eastAsia="微软雅黑" w:cs="微软雅黑"/>
          <w:b/>
          <w:color w:val="auto"/>
          <w:sz w:val="24"/>
          <w:highlight w:val="none"/>
        </w:rPr>
      </w:pPr>
    </w:p>
    <w:p w14:paraId="41F95774">
      <w:pPr>
        <w:spacing w:line="240" w:lineRule="atLeast"/>
        <w:jc w:val="center"/>
        <w:rPr>
          <w:rFonts w:hint="eastAsia" w:ascii="微软雅黑" w:hAnsi="微软雅黑" w:eastAsia="微软雅黑" w:cs="微软雅黑"/>
          <w:b/>
          <w:color w:val="auto"/>
          <w:sz w:val="24"/>
          <w:highlight w:val="none"/>
        </w:rPr>
      </w:pPr>
    </w:p>
    <w:p w14:paraId="6E7B30D1">
      <w:pPr>
        <w:spacing w:line="240" w:lineRule="atLeast"/>
        <w:rPr>
          <w:rFonts w:hint="eastAsia" w:ascii="微软雅黑" w:hAnsi="微软雅黑" w:eastAsia="微软雅黑" w:cs="微软雅黑"/>
          <w:b/>
          <w:color w:val="auto"/>
          <w:sz w:val="24"/>
          <w:highlight w:val="none"/>
        </w:rPr>
      </w:pPr>
    </w:p>
    <w:p w14:paraId="0F2B0D50">
      <w:pPr>
        <w:spacing w:line="240" w:lineRule="atLeast"/>
        <w:jc w:val="center"/>
        <w:rPr>
          <w:rFonts w:hint="eastAsia" w:ascii="微软雅黑" w:hAnsi="微软雅黑" w:eastAsia="微软雅黑" w:cs="微软雅黑"/>
          <w:b/>
          <w:color w:val="auto"/>
          <w:sz w:val="24"/>
          <w:highlight w:val="none"/>
        </w:rPr>
      </w:pPr>
    </w:p>
    <w:p w14:paraId="4EA94CC7">
      <w:pPr>
        <w:rPr>
          <w:rFonts w:hint="eastAsia" w:ascii="微软雅黑" w:hAnsi="微软雅黑" w:eastAsia="微软雅黑" w:cs="微软雅黑"/>
          <w:b/>
          <w:color w:val="auto"/>
          <w:sz w:val="24"/>
          <w:highlight w:val="none"/>
        </w:rPr>
      </w:pPr>
    </w:p>
    <w:p w14:paraId="01B8BB80">
      <w:pPr>
        <w:pStyle w:val="7"/>
        <w:rPr>
          <w:rFonts w:hint="eastAsia" w:ascii="微软雅黑" w:hAnsi="微软雅黑" w:eastAsia="微软雅黑" w:cs="微软雅黑"/>
          <w:b/>
          <w:color w:val="auto"/>
          <w:szCs w:val="24"/>
          <w:highlight w:val="none"/>
        </w:rPr>
      </w:pPr>
    </w:p>
    <w:p w14:paraId="6E584CD1">
      <w:pPr>
        <w:pStyle w:val="8"/>
        <w:rPr>
          <w:rFonts w:hint="eastAsia" w:ascii="微软雅黑" w:hAnsi="微软雅黑" w:eastAsia="微软雅黑" w:cs="微软雅黑"/>
          <w:b/>
          <w:color w:val="auto"/>
          <w:sz w:val="24"/>
          <w:highlight w:val="none"/>
        </w:rPr>
      </w:pPr>
    </w:p>
    <w:p w14:paraId="4B3F0E5F">
      <w:pPr>
        <w:rPr>
          <w:rFonts w:hint="eastAsia" w:ascii="微软雅黑" w:hAnsi="微软雅黑" w:eastAsia="微软雅黑" w:cs="微软雅黑"/>
          <w:b/>
          <w:color w:val="auto"/>
          <w:sz w:val="24"/>
          <w:highlight w:val="none"/>
        </w:rPr>
      </w:pPr>
    </w:p>
    <w:p w14:paraId="27053700">
      <w:pPr>
        <w:rPr>
          <w:rFonts w:hint="eastAsia" w:ascii="微软雅黑" w:hAnsi="微软雅黑" w:eastAsia="微软雅黑" w:cs="微软雅黑"/>
          <w:b/>
          <w:color w:val="auto"/>
          <w:sz w:val="24"/>
          <w:highlight w:val="none"/>
        </w:rPr>
      </w:pPr>
    </w:p>
    <w:p w14:paraId="4C945F15">
      <w:pPr>
        <w:rPr>
          <w:rFonts w:hint="eastAsia" w:ascii="微软雅黑" w:hAnsi="微软雅黑" w:eastAsia="微软雅黑" w:cs="微软雅黑"/>
          <w:b/>
          <w:color w:val="auto"/>
          <w:sz w:val="24"/>
          <w:highlight w:val="none"/>
        </w:rPr>
      </w:pPr>
    </w:p>
    <w:p w14:paraId="14B0B168">
      <w:pPr>
        <w:rPr>
          <w:rFonts w:hint="eastAsia" w:ascii="微软雅黑" w:hAnsi="微软雅黑" w:eastAsia="微软雅黑" w:cs="微软雅黑"/>
          <w:color w:val="auto"/>
          <w:highlight w:val="none"/>
        </w:rPr>
      </w:pPr>
    </w:p>
    <w:p w14:paraId="01CBD057">
      <w:pPr>
        <w:pStyle w:val="29"/>
        <w:rPr>
          <w:rFonts w:hint="eastAsia" w:ascii="微软雅黑" w:hAnsi="微软雅黑" w:eastAsia="微软雅黑" w:cs="微软雅黑"/>
          <w:color w:val="auto"/>
          <w:sz w:val="40"/>
          <w:szCs w:val="40"/>
          <w:highlight w:val="none"/>
        </w:rPr>
      </w:pPr>
    </w:p>
    <w:p w14:paraId="3F1F8A96">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文</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件</w:t>
      </w:r>
    </w:p>
    <w:p w14:paraId="6D477FDA">
      <w:pPr>
        <w:spacing w:line="360" w:lineRule="auto"/>
        <w:rPr>
          <w:rFonts w:hint="eastAsia" w:ascii="微软雅黑" w:hAnsi="微软雅黑" w:eastAsia="微软雅黑" w:cs="微软雅黑"/>
          <w:b/>
          <w:color w:val="auto"/>
          <w:sz w:val="40"/>
          <w:szCs w:val="40"/>
          <w:highlight w:val="none"/>
        </w:rPr>
      </w:pPr>
      <w:bookmarkStart w:id="2164" w:name="_Toc24900_WPSOffice_Level2"/>
    </w:p>
    <w:p w14:paraId="55056606">
      <w:pPr>
        <w:spacing w:line="360" w:lineRule="auto"/>
        <w:jc w:val="center"/>
        <w:rPr>
          <w:rFonts w:hint="eastAsia" w:ascii="微软雅黑" w:hAnsi="微软雅黑" w:eastAsia="微软雅黑" w:cs="微软雅黑"/>
          <w:b/>
          <w:color w:val="auto"/>
          <w:sz w:val="40"/>
          <w:szCs w:val="40"/>
          <w:highlight w:val="none"/>
          <w:lang w:eastAsia="zh-CN"/>
        </w:rPr>
      </w:pPr>
      <w:r>
        <w:rPr>
          <w:rFonts w:hint="eastAsia" w:ascii="微软雅黑" w:hAnsi="微软雅黑" w:eastAsia="微软雅黑" w:cs="微软雅黑"/>
          <w:b/>
          <w:color w:val="auto"/>
          <w:sz w:val="40"/>
          <w:szCs w:val="40"/>
          <w:highlight w:val="none"/>
        </w:rPr>
        <w:t>项目编号：</w:t>
      </w:r>
      <w:bookmarkEnd w:id="2164"/>
      <w:r>
        <w:rPr>
          <w:rFonts w:hint="eastAsia" w:ascii="微软雅黑" w:hAnsi="微软雅黑" w:eastAsia="微软雅黑" w:cs="微软雅黑"/>
          <w:b/>
          <w:color w:val="auto"/>
          <w:sz w:val="40"/>
          <w:szCs w:val="40"/>
          <w:highlight w:val="none"/>
          <w:lang w:eastAsia="zh-CN"/>
        </w:rPr>
        <w:t>26GJ-(GK)021</w:t>
      </w:r>
    </w:p>
    <w:p w14:paraId="5E89EF93">
      <w:pPr>
        <w:spacing w:line="240" w:lineRule="atLeast"/>
        <w:jc w:val="center"/>
        <w:rPr>
          <w:rFonts w:hint="eastAsia" w:ascii="微软雅黑" w:hAnsi="微软雅黑" w:eastAsia="微软雅黑" w:cs="微软雅黑"/>
          <w:b/>
          <w:color w:val="auto"/>
          <w:sz w:val="40"/>
          <w:szCs w:val="40"/>
          <w:highlight w:val="none"/>
        </w:rPr>
      </w:pPr>
    </w:p>
    <w:p w14:paraId="18881728">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二</w:t>
      </w:r>
      <w:r>
        <w:rPr>
          <w:rFonts w:hint="eastAsia" w:ascii="微软雅黑" w:hAnsi="微软雅黑" w:eastAsia="微软雅黑" w:cs="微软雅黑"/>
          <w:b/>
          <w:color w:val="auto"/>
          <w:sz w:val="40"/>
          <w:szCs w:val="40"/>
          <w:highlight w:val="none"/>
          <w:lang w:val="en-US" w:eastAsia="zh-CN"/>
        </w:rPr>
        <w:t xml:space="preserve"> </w:t>
      </w:r>
      <w:r>
        <w:rPr>
          <w:rFonts w:hint="eastAsia" w:ascii="微软雅黑" w:hAnsi="微软雅黑" w:eastAsia="微软雅黑" w:cs="微软雅黑"/>
          <w:b/>
          <w:color w:val="auto"/>
          <w:sz w:val="40"/>
          <w:szCs w:val="40"/>
          <w:highlight w:val="none"/>
        </w:rPr>
        <w:t>册</w:t>
      </w:r>
    </w:p>
    <w:p w14:paraId="43147BEB">
      <w:pPr>
        <w:rPr>
          <w:rFonts w:hint="eastAsia" w:ascii="微软雅黑" w:hAnsi="微软雅黑" w:eastAsia="微软雅黑" w:cs="微软雅黑"/>
          <w:color w:val="auto"/>
          <w:sz w:val="24"/>
          <w:highlight w:val="none"/>
        </w:rPr>
      </w:pPr>
    </w:p>
    <w:p w14:paraId="6BB3EC3D">
      <w:pPr>
        <w:rPr>
          <w:rFonts w:hint="eastAsia" w:ascii="微软雅黑" w:hAnsi="微软雅黑" w:eastAsia="微软雅黑" w:cs="微软雅黑"/>
          <w:color w:val="auto"/>
          <w:sz w:val="44"/>
          <w:szCs w:val="36"/>
          <w:highlight w:val="none"/>
        </w:rPr>
      </w:pPr>
    </w:p>
    <w:p w14:paraId="0CE643F7">
      <w:pPr>
        <w:pStyle w:val="7"/>
        <w:rPr>
          <w:rFonts w:hint="eastAsia" w:ascii="微软雅黑" w:hAnsi="微软雅黑" w:eastAsia="微软雅黑" w:cs="微软雅黑"/>
          <w:b/>
          <w:color w:val="auto"/>
          <w:sz w:val="44"/>
          <w:szCs w:val="36"/>
          <w:highlight w:val="none"/>
        </w:rPr>
      </w:pPr>
    </w:p>
    <w:p w14:paraId="63520296">
      <w:pPr>
        <w:pStyle w:val="8"/>
        <w:rPr>
          <w:rFonts w:hint="eastAsia" w:ascii="微软雅黑" w:hAnsi="微软雅黑" w:eastAsia="微软雅黑" w:cs="微软雅黑"/>
          <w:b/>
          <w:color w:val="auto"/>
          <w:sz w:val="44"/>
          <w:szCs w:val="36"/>
          <w:highlight w:val="none"/>
        </w:rPr>
      </w:pPr>
    </w:p>
    <w:p w14:paraId="24B632C0">
      <w:pPr>
        <w:rPr>
          <w:rFonts w:hint="eastAsia" w:ascii="微软雅黑" w:hAnsi="微软雅黑" w:eastAsia="微软雅黑" w:cs="微软雅黑"/>
          <w:color w:val="auto"/>
          <w:highlight w:val="none"/>
        </w:rPr>
      </w:pPr>
    </w:p>
    <w:p w14:paraId="35564434">
      <w:pPr>
        <w:rPr>
          <w:rFonts w:hint="eastAsia" w:ascii="微软雅黑" w:hAnsi="微软雅黑" w:eastAsia="微软雅黑" w:cs="微软雅黑"/>
          <w:color w:val="auto"/>
          <w:highlight w:val="none"/>
        </w:rPr>
      </w:pPr>
    </w:p>
    <w:p w14:paraId="68C09A3B">
      <w:pPr>
        <w:spacing w:line="240" w:lineRule="atLeast"/>
        <w:jc w:val="center"/>
        <w:rPr>
          <w:rFonts w:hint="eastAsia" w:ascii="微软雅黑" w:hAnsi="微软雅黑" w:eastAsia="微软雅黑" w:cs="微软雅黑"/>
          <w:b/>
          <w:color w:val="auto"/>
          <w:sz w:val="32"/>
          <w:highlight w:val="none"/>
        </w:rPr>
      </w:pPr>
    </w:p>
    <w:bookmarkEnd w:id="1974"/>
    <w:bookmarkEnd w:id="1975"/>
    <w:bookmarkEnd w:id="1976"/>
    <w:bookmarkEnd w:id="1977"/>
    <w:bookmarkEnd w:id="1978"/>
    <w:bookmarkEnd w:id="1979"/>
    <w:bookmarkEnd w:id="1980"/>
    <w:bookmarkEnd w:id="1981"/>
    <w:bookmarkEnd w:id="1982"/>
    <w:bookmarkEnd w:id="1983"/>
    <w:p w14:paraId="5CFF7A18">
      <w:pPr>
        <w:widowControl/>
        <w:spacing w:line="440" w:lineRule="exact"/>
        <w:jc w:val="center"/>
        <w:rPr>
          <w:rStyle w:val="53"/>
          <w:rFonts w:hint="eastAsia" w:ascii="微软雅黑" w:hAnsi="微软雅黑" w:eastAsia="微软雅黑" w:cs="微软雅黑"/>
          <w:color w:val="auto"/>
          <w:highlight w:val="none"/>
        </w:rPr>
      </w:pPr>
      <w:bookmarkStart w:id="2165" w:name="_Toc28765"/>
      <w:bookmarkStart w:id="2166" w:name="_Toc218935350"/>
      <w:bookmarkStart w:id="2167" w:name="_Toc16370"/>
      <w:bookmarkStart w:id="2168" w:name="_Toc515647829"/>
      <w:bookmarkStart w:id="2169" w:name="_Toc216582822"/>
      <w:bookmarkStart w:id="2170" w:name="_Toc22081"/>
      <w:bookmarkStart w:id="2171" w:name="_Toc29715"/>
      <w:bookmarkStart w:id="2172" w:name="_Toc219175634"/>
      <w:bookmarkStart w:id="2173" w:name="_Toc507399902"/>
    </w:p>
    <w:p w14:paraId="6A6CD070">
      <w:pPr>
        <w:widowControl/>
        <w:spacing w:line="440" w:lineRule="exact"/>
        <w:rPr>
          <w:rStyle w:val="53"/>
          <w:rFonts w:hint="eastAsia" w:ascii="微软雅黑" w:hAnsi="微软雅黑" w:eastAsia="微软雅黑" w:cs="微软雅黑"/>
          <w:color w:val="auto"/>
          <w:highlight w:val="none"/>
        </w:rPr>
      </w:pPr>
    </w:p>
    <w:p w14:paraId="3A9E388C">
      <w:pPr>
        <w:rPr>
          <w:rStyle w:val="53"/>
          <w:rFonts w:hint="eastAsia" w:ascii="微软雅黑" w:hAnsi="微软雅黑" w:eastAsia="微软雅黑" w:cs="微软雅黑"/>
          <w:color w:val="auto"/>
          <w:highlight w:val="none"/>
        </w:rPr>
      </w:pPr>
      <w:bookmarkStart w:id="2174" w:name="_Toc20969"/>
      <w:r>
        <w:rPr>
          <w:rStyle w:val="53"/>
          <w:rFonts w:hint="eastAsia" w:ascii="微软雅黑" w:hAnsi="微软雅黑" w:eastAsia="微软雅黑" w:cs="微软雅黑"/>
          <w:color w:val="auto"/>
          <w:highlight w:val="none"/>
        </w:rPr>
        <w:br w:type="page"/>
      </w:r>
    </w:p>
    <w:p w14:paraId="746B9D30">
      <w:pPr>
        <w:widowControl/>
        <w:spacing w:line="440" w:lineRule="exact"/>
        <w:jc w:val="center"/>
        <w:outlineLvl w:val="0"/>
        <w:rPr>
          <w:rStyle w:val="53"/>
          <w:rFonts w:hint="eastAsia" w:ascii="微软雅黑" w:hAnsi="微软雅黑" w:eastAsia="微软雅黑" w:cs="微软雅黑"/>
          <w:color w:val="auto"/>
          <w:highlight w:val="none"/>
        </w:rPr>
      </w:pPr>
      <w:bookmarkStart w:id="2175" w:name="_Toc12150"/>
      <w:r>
        <w:rPr>
          <w:rStyle w:val="53"/>
          <w:rFonts w:hint="eastAsia" w:ascii="微软雅黑" w:hAnsi="微软雅黑" w:eastAsia="微软雅黑" w:cs="微软雅黑"/>
          <w:color w:val="auto"/>
          <w:highlight w:val="none"/>
        </w:rPr>
        <w:t>第3章投标邀请</w:t>
      </w:r>
      <w:bookmarkEnd w:id="2165"/>
      <w:bookmarkEnd w:id="2166"/>
      <w:bookmarkEnd w:id="2167"/>
      <w:bookmarkEnd w:id="2168"/>
      <w:bookmarkEnd w:id="2169"/>
      <w:bookmarkEnd w:id="2170"/>
      <w:bookmarkEnd w:id="2171"/>
      <w:bookmarkEnd w:id="2172"/>
      <w:bookmarkEnd w:id="2173"/>
      <w:bookmarkEnd w:id="2174"/>
      <w:bookmarkEnd w:id="2175"/>
      <w:bookmarkStart w:id="2176" w:name="_Toc515647830"/>
      <w:bookmarkStart w:id="2177" w:name="_Toc507399903"/>
      <w:bookmarkStart w:id="2178" w:name="_Toc31583"/>
      <w:bookmarkStart w:id="2179" w:name="_Toc10488"/>
      <w:bookmarkStart w:id="2180" w:name="_Toc216582823"/>
      <w:bookmarkStart w:id="2181" w:name="_Toc5272"/>
      <w:bookmarkStart w:id="2182" w:name="_Toc512937850"/>
    </w:p>
    <w:p w14:paraId="1B1C38C3">
      <w:pPr>
        <w:tabs>
          <w:tab w:val="left" w:pos="0"/>
          <w:tab w:val="left" w:pos="3165"/>
          <w:tab w:val="center" w:pos="4153"/>
        </w:tabs>
        <w:spacing w:line="480" w:lineRule="exact"/>
        <w:jc w:val="center"/>
        <w:rPr>
          <w:rFonts w:hint="eastAsia" w:ascii="微软雅黑" w:hAnsi="微软雅黑" w:eastAsia="微软雅黑" w:cs="微软雅黑"/>
          <w:b/>
          <w:bCs/>
          <w:color w:val="auto"/>
          <w:sz w:val="32"/>
          <w:szCs w:val="32"/>
          <w:highlight w:val="none"/>
        </w:rPr>
      </w:pPr>
      <w:bookmarkStart w:id="2183" w:name="_Toc29132"/>
      <w:bookmarkStart w:id="2184" w:name="_Toc30574"/>
      <w:r>
        <w:rPr>
          <w:rFonts w:hint="eastAsia" w:ascii="微软雅黑" w:hAnsi="微软雅黑" w:eastAsia="微软雅黑" w:cs="微软雅黑"/>
          <w:b/>
          <w:bCs/>
          <w:color w:val="auto"/>
          <w:sz w:val="32"/>
          <w:szCs w:val="32"/>
          <w:highlight w:val="none"/>
        </w:rPr>
        <w:t>新疆共建恒业信息咨询有限责任公司关于</w:t>
      </w:r>
      <w:r>
        <w:rPr>
          <w:rFonts w:hint="eastAsia" w:ascii="微软雅黑" w:hAnsi="微软雅黑" w:eastAsia="微软雅黑" w:cs="微软雅黑"/>
          <w:b/>
          <w:bCs/>
          <w:color w:val="auto"/>
          <w:sz w:val="32"/>
          <w:szCs w:val="32"/>
          <w:highlight w:val="none"/>
          <w:lang w:eastAsia="zh-CN"/>
        </w:rPr>
        <w:t>喀什大学智慧教学转型研究与应用项目（第一标段、第二标段、第五标段）</w:t>
      </w:r>
      <w:r>
        <w:rPr>
          <w:rFonts w:hint="eastAsia" w:ascii="微软雅黑" w:hAnsi="微软雅黑" w:eastAsia="微软雅黑" w:cs="微软雅黑"/>
          <w:b/>
          <w:bCs/>
          <w:color w:val="auto"/>
          <w:sz w:val="32"/>
          <w:szCs w:val="32"/>
          <w:highlight w:val="none"/>
        </w:rPr>
        <w:t>公开招标公告</w:t>
      </w:r>
    </w:p>
    <w:p w14:paraId="72829512">
      <w:pPr>
        <w:pBdr>
          <w:top w:val="single" w:color="auto" w:sz="4" w:space="1"/>
          <w:left w:val="single" w:color="auto" w:sz="4" w:space="4"/>
          <w:bottom w:val="single" w:color="auto" w:sz="4" w:space="1"/>
          <w:right w:val="single" w:color="auto" w:sz="4" w:space="4"/>
        </w:pBdr>
        <w:spacing w:line="4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项目概况</w:t>
      </w:r>
    </w:p>
    <w:p w14:paraId="76413DD8">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u w:val="single"/>
          <w:lang w:eastAsia="zh-CN"/>
        </w:rPr>
        <w:t>喀什大学智慧教学转型研究与应用项目（第一标段、第二标段、第五标段）</w:t>
      </w:r>
      <w:r>
        <w:rPr>
          <w:rFonts w:hint="eastAsia" w:ascii="微软雅黑" w:hAnsi="微软雅黑" w:eastAsia="微软雅黑" w:cs="微软雅黑"/>
          <w:color w:val="auto"/>
          <w:sz w:val="24"/>
          <w:highlight w:val="none"/>
        </w:rPr>
        <w:t>的潜在供应商应在</w:t>
      </w:r>
      <w:r>
        <w:rPr>
          <w:rFonts w:hint="eastAsia" w:ascii="微软雅黑" w:hAnsi="微软雅黑" w:eastAsia="微软雅黑" w:cs="微软雅黑"/>
          <w:color w:val="auto"/>
          <w:sz w:val="24"/>
          <w:highlight w:val="none"/>
          <w:u w:val="single"/>
        </w:rPr>
        <w:t>政采云平台（https://login.zcygov.cn/user-login/#/login）</w:t>
      </w:r>
      <w:r>
        <w:rPr>
          <w:rFonts w:hint="eastAsia" w:ascii="微软雅黑" w:hAnsi="微软雅黑" w:eastAsia="微软雅黑" w:cs="微软雅黑"/>
          <w:color w:val="auto"/>
          <w:sz w:val="24"/>
          <w:highlight w:val="none"/>
        </w:rPr>
        <w:t>获取招标文件，并于</w:t>
      </w:r>
      <w:r>
        <w:rPr>
          <w:rFonts w:hint="eastAsia" w:ascii="微软雅黑" w:hAnsi="微软雅黑" w:eastAsia="微软雅黑" w:cs="微软雅黑"/>
          <w:color w:val="auto"/>
          <w:sz w:val="24"/>
          <w:highlight w:val="none"/>
          <w:u w:val="single"/>
        </w:rPr>
        <w:t>202</w:t>
      </w:r>
      <w:r>
        <w:rPr>
          <w:rFonts w:hint="eastAsia" w:ascii="微软雅黑" w:hAnsi="微软雅黑" w:eastAsia="微软雅黑" w:cs="微软雅黑"/>
          <w:color w:val="auto"/>
          <w:sz w:val="24"/>
          <w:highlight w:val="none"/>
          <w:u w:val="single"/>
          <w:lang w:val="en-US" w:eastAsia="zh-CN"/>
        </w:rPr>
        <w:t>6</w:t>
      </w:r>
      <w:r>
        <w:rPr>
          <w:rFonts w:hint="eastAsia" w:ascii="微软雅黑" w:hAnsi="微软雅黑" w:eastAsia="微软雅黑" w:cs="微软雅黑"/>
          <w:color w:val="auto"/>
          <w:sz w:val="24"/>
          <w:highlight w:val="none"/>
          <w:u w:val="single"/>
        </w:rPr>
        <w:t>年</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月</w:t>
      </w:r>
      <w:r>
        <w:rPr>
          <w:rFonts w:hint="eastAsia" w:ascii="微软雅黑" w:hAnsi="微软雅黑" w:eastAsia="微软雅黑" w:cs="微软雅黑"/>
          <w:color w:val="auto"/>
          <w:sz w:val="24"/>
          <w:highlight w:val="none"/>
          <w:u w:val="single"/>
          <w:lang w:val="en-US" w:eastAsia="zh-CN"/>
        </w:rPr>
        <w:t>7</w:t>
      </w:r>
      <w:r>
        <w:rPr>
          <w:rFonts w:hint="eastAsia" w:ascii="微软雅黑" w:hAnsi="微软雅黑" w:eastAsia="微软雅黑" w:cs="微软雅黑"/>
          <w:color w:val="auto"/>
          <w:sz w:val="24"/>
          <w:highlight w:val="none"/>
          <w:u w:val="single"/>
        </w:rPr>
        <w:t>日</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w:t>
      </w:r>
      <w:r>
        <w:rPr>
          <w:rFonts w:hint="eastAsia" w:ascii="微软雅黑" w:hAnsi="微软雅黑" w:eastAsia="微软雅黑" w:cs="微软雅黑"/>
          <w:color w:val="auto"/>
          <w:sz w:val="24"/>
          <w:highlight w:val="none"/>
          <w:u w:val="single"/>
          <w:lang w:val="en-US" w:eastAsia="zh-CN"/>
        </w:rPr>
        <w:t>3</w:t>
      </w:r>
      <w:r>
        <w:rPr>
          <w:rFonts w:hint="eastAsia" w:ascii="微软雅黑" w:hAnsi="微软雅黑" w:eastAsia="微软雅黑" w:cs="微软雅黑"/>
          <w:color w:val="auto"/>
          <w:sz w:val="24"/>
          <w:highlight w:val="none"/>
          <w:u w:val="single"/>
        </w:rPr>
        <w:t>0（北京时间）</w:t>
      </w:r>
      <w:r>
        <w:rPr>
          <w:rFonts w:hint="eastAsia" w:ascii="微软雅黑" w:hAnsi="微软雅黑" w:eastAsia="微软雅黑" w:cs="微软雅黑"/>
          <w:bCs/>
          <w:color w:val="auto"/>
          <w:sz w:val="24"/>
          <w:highlight w:val="none"/>
        </w:rPr>
        <w:t>前上传投标文件</w:t>
      </w:r>
      <w:r>
        <w:rPr>
          <w:rFonts w:hint="eastAsia" w:ascii="微软雅黑" w:hAnsi="微软雅黑" w:eastAsia="微软雅黑" w:cs="微软雅黑"/>
          <w:color w:val="auto"/>
          <w:sz w:val="24"/>
          <w:highlight w:val="none"/>
        </w:rPr>
        <w:t>。</w:t>
      </w:r>
      <w:bookmarkStart w:id="2185" w:name="_Toc28359079"/>
      <w:bookmarkStart w:id="2186" w:name="_Toc28217"/>
      <w:bookmarkStart w:id="2187" w:name="_Toc35393790"/>
      <w:bookmarkStart w:id="2188" w:name="_Toc28359002"/>
      <w:bookmarkStart w:id="2189" w:name="_Toc35393621"/>
      <w:bookmarkStart w:id="2190" w:name="_Hlk24379207"/>
    </w:p>
    <w:p w14:paraId="7DCC5867">
      <w:pPr>
        <w:spacing w:line="400" w:lineRule="exact"/>
        <w:rPr>
          <w:rFonts w:hint="eastAsia" w:ascii="微软雅黑" w:hAnsi="微软雅黑" w:eastAsia="微软雅黑" w:cs="微软雅黑"/>
          <w:b/>
          <w:color w:val="auto"/>
          <w:sz w:val="24"/>
          <w:highlight w:val="none"/>
        </w:rPr>
      </w:pPr>
      <w:bookmarkStart w:id="2191" w:name="_Toc28253"/>
      <w:bookmarkStart w:id="2192" w:name="_Toc20970"/>
      <w:r>
        <w:rPr>
          <w:rFonts w:hint="eastAsia" w:ascii="微软雅黑" w:hAnsi="微软雅黑" w:eastAsia="微软雅黑" w:cs="微软雅黑"/>
          <w:b/>
          <w:color w:val="auto"/>
          <w:sz w:val="24"/>
          <w:highlight w:val="none"/>
        </w:rPr>
        <w:t>一、</w:t>
      </w:r>
      <w:bookmarkEnd w:id="2185"/>
      <w:bookmarkEnd w:id="2186"/>
      <w:bookmarkEnd w:id="2187"/>
      <w:bookmarkEnd w:id="2188"/>
      <w:bookmarkEnd w:id="2189"/>
      <w:r>
        <w:rPr>
          <w:rFonts w:hint="eastAsia" w:ascii="微软雅黑" w:hAnsi="微软雅黑" w:eastAsia="微软雅黑" w:cs="微软雅黑"/>
          <w:b/>
          <w:color w:val="auto"/>
          <w:sz w:val="24"/>
          <w:highlight w:val="none"/>
        </w:rPr>
        <w:t>项目基本情况</w:t>
      </w:r>
      <w:bookmarkEnd w:id="2191"/>
      <w:bookmarkEnd w:id="2192"/>
    </w:p>
    <w:bookmarkEnd w:id="2190"/>
    <w:p w14:paraId="449908F7">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bookmarkStart w:id="2193" w:name="_Toc28359080"/>
      <w:bookmarkStart w:id="2194" w:name="_Toc28359003"/>
      <w:bookmarkStart w:id="2195" w:name="_Toc29506"/>
      <w:bookmarkStart w:id="2196" w:name="_Toc35393791"/>
      <w:bookmarkStart w:id="2197" w:name="_Toc13688"/>
      <w:bookmarkStart w:id="2198" w:name="_Toc35393622"/>
      <w:bookmarkStart w:id="2199" w:name="_Toc1145"/>
      <w:bookmarkStart w:id="2200" w:name="_Toc19260"/>
      <w:r>
        <w:rPr>
          <w:rFonts w:hint="eastAsia" w:ascii="微软雅黑" w:hAnsi="微软雅黑" w:eastAsia="微软雅黑" w:cs="微软雅黑"/>
          <w:color w:val="auto"/>
          <w:sz w:val="24"/>
          <w:highlight w:val="none"/>
        </w:rPr>
        <w:t>1、项目编号：</w:t>
      </w:r>
      <w:r>
        <w:rPr>
          <w:rFonts w:hint="eastAsia" w:ascii="微软雅黑" w:hAnsi="微软雅黑" w:eastAsia="微软雅黑" w:cs="微软雅黑"/>
          <w:color w:val="auto"/>
          <w:sz w:val="24"/>
          <w:highlight w:val="none"/>
          <w:lang w:eastAsia="zh-CN"/>
        </w:rPr>
        <w:t>26GJ-(GK)021</w:t>
      </w:r>
    </w:p>
    <w:p w14:paraId="61942C2A">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2、项目名称：</w:t>
      </w:r>
      <w:r>
        <w:rPr>
          <w:rFonts w:hint="eastAsia" w:ascii="微软雅黑" w:hAnsi="微软雅黑" w:eastAsia="微软雅黑" w:cs="微软雅黑"/>
          <w:color w:val="auto"/>
          <w:sz w:val="24"/>
          <w:highlight w:val="none"/>
          <w:lang w:eastAsia="zh-CN"/>
        </w:rPr>
        <w:t>喀什大学智慧教学转型研究与应用项目（第一标段、第二标段、第五标段）</w:t>
      </w:r>
    </w:p>
    <w:p w14:paraId="2CD33C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3、采购方式：公开招标</w:t>
      </w:r>
    </w:p>
    <w:p w14:paraId="2868AD2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4、预算金额（元）：</w:t>
      </w:r>
      <w:r>
        <w:rPr>
          <w:rFonts w:hint="eastAsia" w:ascii="微软雅黑" w:hAnsi="微软雅黑" w:eastAsia="微软雅黑" w:cs="微软雅黑"/>
          <w:sz w:val="24"/>
          <w:highlight w:val="none"/>
          <w:lang w:val="en-US" w:eastAsia="zh-CN"/>
        </w:rPr>
        <w:t>1960000</w:t>
      </w:r>
    </w:p>
    <w:p w14:paraId="0F3B3A1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5、最高限价（元）：</w:t>
      </w:r>
      <w:r>
        <w:rPr>
          <w:rFonts w:hint="eastAsia" w:ascii="微软雅黑" w:hAnsi="微软雅黑" w:eastAsia="微软雅黑" w:cs="微软雅黑"/>
          <w:color w:val="auto"/>
          <w:sz w:val="24"/>
          <w:highlight w:val="none"/>
          <w:lang w:val="en-US" w:eastAsia="zh-CN"/>
        </w:rPr>
        <w:t>400000,400000,1160000</w:t>
      </w:r>
    </w:p>
    <w:p w14:paraId="0C0FEA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6、采购需求：</w:t>
      </w:r>
    </w:p>
    <w:p w14:paraId="40F00A41">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标项一</w:t>
      </w:r>
    </w:p>
    <w:p w14:paraId="43829AE9">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标项名称：垂直领域模型与专业资源建设服务项目</w:t>
      </w:r>
    </w:p>
    <w:p w14:paraId="05E1672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225C509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w:t>
      </w:r>
      <w:r>
        <w:rPr>
          <w:rFonts w:hint="eastAsia" w:ascii="微软雅黑" w:hAnsi="微软雅黑" w:eastAsia="微软雅黑" w:cs="微软雅黑"/>
          <w:color w:val="auto"/>
          <w:sz w:val="24"/>
          <w:highlight w:val="none"/>
          <w:lang w:val="en-US" w:eastAsia="zh-CN"/>
        </w:rPr>
        <w:t>400000</w:t>
      </w:r>
    </w:p>
    <w:p w14:paraId="5CB7B3CC">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430DB60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采购垂直领域模型与专业资源建设服务项目</w:t>
      </w:r>
      <w:r>
        <w:rPr>
          <w:rFonts w:hint="eastAsia" w:ascii="微软雅黑" w:hAnsi="微软雅黑" w:eastAsia="微软雅黑" w:cs="微软雅黑"/>
          <w:color w:val="auto"/>
          <w:sz w:val="24"/>
          <w:highlight w:val="none"/>
        </w:rPr>
        <w:t>（详见招标文件）</w:t>
      </w:r>
    </w:p>
    <w:p w14:paraId="0D63280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第一标段</w:t>
      </w:r>
    </w:p>
    <w:p w14:paraId="4B68604A">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标项二</w:t>
      </w:r>
    </w:p>
    <w:p w14:paraId="19E1282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w:t>
      </w:r>
      <w:r>
        <w:rPr>
          <w:rFonts w:hint="eastAsia" w:ascii="微软雅黑" w:hAnsi="微软雅黑" w:eastAsia="微软雅黑" w:cs="微软雅黑"/>
          <w:color w:val="auto"/>
          <w:sz w:val="24"/>
          <w:highlight w:val="none"/>
          <w:lang w:val="en-US" w:eastAsia="zh-CN"/>
        </w:rPr>
        <w:t>专业知识创新建设服务采购项目</w:t>
      </w:r>
    </w:p>
    <w:p w14:paraId="2C64543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3C90BC6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w:t>
      </w:r>
      <w:r>
        <w:rPr>
          <w:rFonts w:hint="eastAsia" w:ascii="微软雅黑" w:hAnsi="微软雅黑" w:eastAsia="微软雅黑" w:cs="微软雅黑"/>
          <w:color w:val="auto"/>
          <w:sz w:val="24"/>
          <w:highlight w:val="none"/>
          <w:lang w:val="en-US" w:eastAsia="zh-CN"/>
        </w:rPr>
        <w:t>400000</w:t>
      </w:r>
    </w:p>
    <w:p w14:paraId="39CA5F4B">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506A3D17">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采购专业知识创新建设服务项目</w:t>
      </w:r>
      <w:r>
        <w:rPr>
          <w:rFonts w:hint="eastAsia" w:ascii="微软雅黑" w:hAnsi="微软雅黑" w:eastAsia="微软雅黑" w:cs="微软雅黑"/>
          <w:color w:val="auto"/>
          <w:sz w:val="24"/>
          <w:highlight w:val="none"/>
        </w:rPr>
        <w:t>（详见招标文件）</w:t>
      </w:r>
    </w:p>
    <w:p w14:paraId="2272635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lang w:eastAsia="zh-CN"/>
        </w:rPr>
        <w:t>标段</w:t>
      </w:r>
    </w:p>
    <w:p w14:paraId="2798B3A2">
      <w:pPr>
        <w:pageBreakBefore w:val="0"/>
        <w:kinsoku/>
        <w:wordWrap w:val="0"/>
        <w:overflowPunct/>
        <w:topLinePunct w:val="0"/>
        <w:bidi w:val="0"/>
        <w:spacing w:line="400" w:lineRule="exact"/>
        <w:ind w:firstLine="480" w:firstLineChars="20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标项三</w:t>
      </w:r>
    </w:p>
    <w:p w14:paraId="1E200138">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标项名称：未来教学空间采购项目</w:t>
      </w:r>
    </w:p>
    <w:p w14:paraId="5BFA5DC5">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数量：</w:t>
      </w:r>
      <w:r>
        <w:rPr>
          <w:rFonts w:hint="eastAsia" w:ascii="微软雅黑" w:hAnsi="微软雅黑" w:eastAsia="微软雅黑" w:cs="微软雅黑"/>
          <w:color w:val="auto"/>
          <w:sz w:val="24"/>
          <w:highlight w:val="none"/>
          <w:lang w:val="en-US" w:eastAsia="zh-CN"/>
        </w:rPr>
        <w:t>1</w:t>
      </w:r>
    </w:p>
    <w:p w14:paraId="0BD33F6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预算金额(元)：1160000</w:t>
      </w:r>
    </w:p>
    <w:p w14:paraId="15EFE71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单位：</w:t>
      </w:r>
      <w:r>
        <w:rPr>
          <w:rFonts w:hint="eastAsia" w:ascii="微软雅黑" w:hAnsi="微软雅黑" w:eastAsia="微软雅黑" w:cs="微软雅黑"/>
          <w:color w:val="auto"/>
          <w:sz w:val="24"/>
          <w:highlight w:val="none"/>
        </w:rPr>
        <w:t>批</w:t>
      </w:r>
    </w:p>
    <w:p w14:paraId="6531FEC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简要规格描述或项目基本概况介绍、用途：</w:t>
      </w:r>
      <w:r>
        <w:rPr>
          <w:rFonts w:hint="eastAsia" w:ascii="微软雅黑" w:hAnsi="微软雅黑" w:eastAsia="微软雅黑" w:cs="微软雅黑"/>
          <w:color w:val="auto"/>
          <w:sz w:val="24"/>
          <w:highlight w:val="none"/>
          <w:lang w:val="en-US" w:eastAsia="zh-CN"/>
        </w:rPr>
        <w:t>采购</w:t>
      </w:r>
      <w:r>
        <w:rPr>
          <w:rFonts w:hint="eastAsia" w:ascii="微软雅黑" w:hAnsi="微软雅黑" w:eastAsia="微软雅黑" w:cs="微软雅黑"/>
          <w:color w:val="auto"/>
          <w:sz w:val="24"/>
          <w:highlight w:val="none"/>
        </w:rPr>
        <w:t>未来教学空间采购项目（详见招标文件）</w:t>
      </w:r>
    </w:p>
    <w:p w14:paraId="10265740">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r>
        <w:rPr>
          <w:rFonts w:hint="eastAsia" w:ascii="微软雅黑" w:hAnsi="微软雅黑" w:eastAsia="微软雅黑" w:cs="微软雅黑"/>
          <w:color w:val="auto"/>
          <w:sz w:val="24"/>
          <w:highlight w:val="none"/>
          <w:lang w:eastAsia="zh-CN"/>
        </w:rPr>
        <w:t>第</w:t>
      </w:r>
      <w:r>
        <w:rPr>
          <w:rFonts w:hint="eastAsia" w:ascii="微软雅黑" w:hAnsi="微软雅黑" w:eastAsia="微软雅黑" w:cs="微软雅黑"/>
          <w:color w:val="auto"/>
          <w:sz w:val="24"/>
          <w:highlight w:val="none"/>
          <w:lang w:val="en-US" w:eastAsia="zh-CN"/>
        </w:rPr>
        <w:t>五</w:t>
      </w:r>
      <w:r>
        <w:rPr>
          <w:rFonts w:hint="eastAsia" w:ascii="微软雅黑" w:hAnsi="微软雅黑" w:eastAsia="微软雅黑" w:cs="微软雅黑"/>
          <w:color w:val="auto"/>
          <w:sz w:val="24"/>
          <w:highlight w:val="none"/>
          <w:lang w:eastAsia="zh-CN"/>
        </w:rPr>
        <w:t>标段</w:t>
      </w:r>
    </w:p>
    <w:p w14:paraId="389A0626">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7、合同履约期限：详见招标文件。</w:t>
      </w:r>
    </w:p>
    <w:p w14:paraId="2AF81931">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8、本项目不接受联合体投标。</w:t>
      </w:r>
    </w:p>
    <w:p w14:paraId="4D7DD1D4">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bookmarkEnd w:id="2193"/>
      <w:bookmarkEnd w:id="2194"/>
      <w:bookmarkEnd w:id="2195"/>
      <w:bookmarkEnd w:id="2196"/>
      <w:bookmarkEnd w:id="2197"/>
      <w:bookmarkEnd w:id="2198"/>
      <w:bookmarkEnd w:id="2199"/>
      <w:bookmarkEnd w:id="2200"/>
    </w:p>
    <w:p w14:paraId="7685149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1、满足《中华人民共和国政府采购法》第二十二条规定；</w:t>
      </w:r>
    </w:p>
    <w:p w14:paraId="5D41F65D">
      <w:pPr>
        <w:spacing w:line="400" w:lineRule="exact"/>
        <w:ind w:firstLine="54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2</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落实政府采购政策需满足的资格要求：标项1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2、3</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本项目</w:t>
      </w:r>
      <w:r>
        <w:rPr>
          <w:rFonts w:hint="eastAsia" w:ascii="微软雅黑" w:hAnsi="微软雅黑" w:eastAsia="微软雅黑" w:cs="微软雅黑"/>
          <w:color w:val="auto"/>
          <w:sz w:val="24"/>
          <w:highlight w:val="none"/>
        </w:rPr>
        <w:t>不专门面向中小企业</w:t>
      </w:r>
      <w:r>
        <w:rPr>
          <w:rFonts w:hint="eastAsia" w:ascii="微软雅黑" w:hAnsi="微软雅黑" w:eastAsia="微软雅黑" w:cs="微软雅黑"/>
          <w:color w:val="auto"/>
          <w:sz w:val="24"/>
          <w:highlight w:val="none"/>
          <w:lang w:eastAsia="zh-CN"/>
        </w:rPr>
        <w:t>。</w:t>
      </w:r>
    </w:p>
    <w:p w14:paraId="3C245C73">
      <w:pPr>
        <w:spacing w:line="400" w:lineRule="exact"/>
        <w:ind w:firstLine="54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3、本项目的特定资格要求：无。</w:t>
      </w:r>
    </w:p>
    <w:p w14:paraId="43D8D508">
      <w:pPr>
        <w:spacing w:line="400" w:lineRule="exact"/>
        <w:rPr>
          <w:rFonts w:hint="eastAsia" w:ascii="微软雅黑" w:hAnsi="微软雅黑" w:eastAsia="微软雅黑" w:cs="微软雅黑"/>
          <w:b/>
          <w:bCs/>
          <w:color w:val="auto"/>
          <w:kern w:val="0"/>
          <w:sz w:val="24"/>
          <w:highlight w:val="none"/>
        </w:rPr>
      </w:pPr>
      <w:bookmarkStart w:id="2201" w:name="_Toc28359081"/>
      <w:bookmarkStart w:id="2202" w:name="_Toc27678"/>
      <w:bookmarkStart w:id="2203" w:name="_Toc32226"/>
      <w:bookmarkStart w:id="2204" w:name="_Toc28359004"/>
      <w:bookmarkStart w:id="2205" w:name="_Toc35393792"/>
      <w:bookmarkStart w:id="2206" w:name="_Toc35393623"/>
      <w:r>
        <w:rPr>
          <w:rFonts w:hint="eastAsia" w:ascii="微软雅黑" w:hAnsi="微软雅黑" w:eastAsia="微软雅黑" w:cs="微软雅黑"/>
          <w:b/>
          <w:bCs/>
          <w:color w:val="auto"/>
          <w:kern w:val="0"/>
          <w:sz w:val="24"/>
          <w:highlight w:val="none"/>
        </w:rPr>
        <w:t>三、获取招标文件</w:t>
      </w:r>
      <w:bookmarkEnd w:id="2201"/>
      <w:bookmarkEnd w:id="2202"/>
      <w:bookmarkEnd w:id="2203"/>
      <w:bookmarkEnd w:id="2204"/>
      <w:bookmarkEnd w:id="2205"/>
      <w:bookmarkEnd w:id="2206"/>
    </w:p>
    <w:p w14:paraId="3C298879">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获取时间：2026年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15</w:t>
      </w:r>
      <w:r>
        <w:rPr>
          <w:rFonts w:hint="eastAsia" w:ascii="微软雅黑" w:hAnsi="微软雅黑" w:eastAsia="微软雅黑" w:cs="微软雅黑"/>
          <w:color w:val="auto"/>
          <w:sz w:val="24"/>
          <w:highlight w:val="none"/>
        </w:rPr>
        <w:t>日至2026年</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22</w:t>
      </w:r>
      <w:r>
        <w:rPr>
          <w:rFonts w:hint="eastAsia" w:ascii="微软雅黑" w:hAnsi="微软雅黑" w:eastAsia="微软雅黑" w:cs="微软雅黑"/>
          <w:color w:val="auto"/>
          <w:sz w:val="24"/>
          <w:highlight w:val="none"/>
        </w:rPr>
        <w:t>日，每天上午10:00至14:00，下午15:30至19:30（北京时间，法定节假日除外）</w:t>
      </w:r>
    </w:p>
    <w:p w14:paraId="1E97C49F">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C48F980">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获取地点：政采云平台线上</w:t>
      </w:r>
    </w:p>
    <w:p w14:paraId="72224EDA">
      <w:pPr>
        <w:spacing w:line="400" w:lineRule="exact"/>
        <w:ind w:firstLine="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售价（元）：0元</w:t>
      </w:r>
    </w:p>
    <w:p w14:paraId="4F4FF866">
      <w:pPr>
        <w:spacing w:line="400" w:lineRule="exact"/>
        <w:rPr>
          <w:rFonts w:hint="eastAsia" w:ascii="微软雅黑" w:hAnsi="微软雅黑" w:eastAsia="微软雅黑" w:cs="微软雅黑"/>
          <w:b/>
          <w:color w:val="auto"/>
          <w:sz w:val="24"/>
          <w:highlight w:val="none"/>
        </w:rPr>
      </w:pPr>
      <w:bookmarkStart w:id="2207" w:name="_Toc28359005"/>
      <w:bookmarkStart w:id="2208" w:name="_Toc28359082"/>
      <w:bookmarkStart w:id="2209" w:name="_Toc35393624"/>
      <w:bookmarkStart w:id="2210" w:name="_Toc35393793"/>
      <w:bookmarkStart w:id="2211" w:name="_Toc2532"/>
      <w:bookmarkStart w:id="2212" w:name="_Toc952"/>
      <w:bookmarkStart w:id="2213" w:name="_Toc9047"/>
      <w:bookmarkStart w:id="2214" w:name="_Toc2422"/>
      <w:r>
        <w:rPr>
          <w:rFonts w:hint="eastAsia" w:ascii="微软雅黑" w:hAnsi="微软雅黑" w:eastAsia="微软雅黑" w:cs="微软雅黑"/>
          <w:b/>
          <w:color w:val="auto"/>
          <w:sz w:val="24"/>
          <w:highlight w:val="none"/>
        </w:rPr>
        <w:t>四、提交投标文件</w:t>
      </w:r>
      <w:bookmarkEnd w:id="2207"/>
      <w:bookmarkEnd w:id="2208"/>
      <w:r>
        <w:rPr>
          <w:rFonts w:hint="eastAsia" w:ascii="微软雅黑" w:hAnsi="微软雅黑" w:eastAsia="微软雅黑" w:cs="微软雅黑"/>
          <w:b/>
          <w:color w:val="auto"/>
          <w:sz w:val="24"/>
          <w:highlight w:val="none"/>
        </w:rPr>
        <w:t>截止时间、开标时间和地点</w:t>
      </w:r>
      <w:bookmarkEnd w:id="2209"/>
      <w:bookmarkEnd w:id="2210"/>
      <w:bookmarkEnd w:id="2211"/>
      <w:bookmarkEnd w:id="2212"/>
      <w:bookmarkEnd w:id="2213"/>
      <w:bookmarkEnd w:id="2214"/>
    </w:p>
    <w:p w14:paraId="1221D109">
      <w:pPr>
        <w:spacing w:line="400" w:lineRule="exact"/>
        <w:ind w:firstLine="480" w:firstLineChars="200"/>
        <w:rPr>
          <w:rFonts w:hint="eastAsia" w:ascii="微软雅黑" w:hAnsi="微软雅黑" w:eastAsia="微软雅黑" w:cs="微软雅黑"/>
          <w:bCs/>
          <w:color w:val="auto"/>
          <w:sz w:val="24"/>
          <w:highlight w:val="none"/>
        </w:rPr>
      </w:pPr>
      <w:r>
        <w:rPr>
          <w:rFonts w:hint="eastAsia" w:ascii="微软雅黑" w:hAnsi="微软雅黑" w:eastAsia="微软雅黑" w:cs="微软雅黑"/>
          <w:color w:val="auto"/>
          <w:sz w:val="24"/>
          <w:highlight w:val="none"/>
        </w:rPr>
        <w:t>提交投标文件截止时间：</w:t>
      </w:r>
      <w:bookmarkStart w:id="2215" w:name="_Toc35393625"/>
      <w:bookmarkStart w:id="2216" w:name="_Toc35393794"/>
      <w:bookmarkStart w:id="2217" w:name="_Toc28359084"/>
      <w:bookmarkStart w:id="2218" w:name="_Toc28359007"/>
      <w:r>
        <w:rPr>
          <w:rFonts w:hint="eastAsia" w:ascii="微软雅黑" w:hAnsi="微软雅黑" w:eastAsia="微软雅黑" w:cs="微软雅黑"/>
          <w:color w:val="auto"/>
          <w:sz w:val="24"/>
          <w:highlight w:val="none"/>
        </w:rPr>
        <w:t>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w:t>
      </w:r>
      <w:r>
        <w:rPr>
          <w:rFonts w:hint="eastAsia" w:ascii="微软雅黑" w:hAnsi="微软雅黑" w:eastAsia="微软雅黑" w:cs="微软雅黑"/>
          <w:bCs/>
          <w:color w:val="auto"/>
          <w:sz w:val="24"/>
          <w:highlight w:val="none"/>
        </w:rPr>
        <w:t>（北京时间）</w:t>
      </w:r>
    </w:p>
    <w:p w14:paraId="6127428F">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投标地点：请登录政采云投标客户端投标</w:t>
      </w:r>
    </w:p>
    <w:p w14:paraId="7C21FDC1">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开标时间：2026年</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月</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日1</w:t>
      </w:r>
      <w:r>
        <w:rPr>
          <w:rFonts w:hint="eastAsia" w:ascii="微软雅黑" w:hAnsi="微软雅黑" w:eastAsia="微软雅黑" w:cs="微软雅黑"/>
          <w:color w:val="auto"/>
          <w:sz w:val="24"/>
          <w:highlight w:val="none"/>
          <w:lang w:val="en-US" w:eastAsia="zh-CN"/>
        </w:rPr>
        <w:t>0</w:t>
      </w:r>
      <w:r>
        <w:rPr>
          <w:rFonts w:hint="eastAsia" w:ascii="微软雅黑" w:hAnsi="微软雅黑" w:eastAsia="微软雅黑" w:cs="微软雅黑"/>
          <w:color w:val="auto"/>
          <w:sz w:val="24"/>
          <w:highlight w:val="none"/>
        </w:rPr>
        <w:t>：30（北京时间）</w:t>
      </w:r>
    </w:p>
    <w:p w14:paraId="39513DC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bookmarkStart w:id="2219" w:name="_Toc20863"/>
      <w:bookmarkStart w:id="2220" w:name="_Toc32108"/>
      <w:bookmarkStart w:id="2221" w:name="_Toc30400"/>
      <w:bookmarkStart w:id="2222" w:name="_Toc23672"/>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登录政采云平台https://www.zcygov.cn/，进入“项目采购-开标评标-右边选择对应项目点击“进入项目”进入开标大厅。</w:t>
      </w:r>
    </w:p>
    <w:p w14:paraId="1B7A4BDB">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bookmarkEnd w:id="2215"/>
      <w:bookmarkEnd w:id="2216"/>
      <w:bookmarkEnd w:id="2217"/>
      <w:bookmarkEnd w:id="2218"/>
      <w:bookmarkEnd w:id="2219"/>
      <w:bookmarkEnd w:id="2220"/>
      <w:bookmarkEnd w:id="2221"/>
      <w:bookmarkEnd w:id="2222"/>
    </w:p>
    <w:p w14:paraId="061D744D">
      <w:pPr>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14:paraId="133FBECA">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六、其它补充事宜</w:t>
      </w:r>
    </w:p>
    <w:p w14:paraId="0E3A1DCC">
      <w:pPr>
        <w:spacing w:line="400" w:lineRule="exact"/>
        <w:ind w:firstLine="480" w:firstLineChars="200"/>
        <w:rPr>
          <w:rFonts w:hint="eastAsia" w:ascii="微软雅黑" w:hAnsi="微软雅黑" w:eastAsia="微软雅黑" w:cs="微软雅黑"/>
          <w:color w:val="auto"/>
          <w:sz w:val="24"/>
          <w:highlight w:val="none"/>
        </w:rPr>
      </w:pPr>
      <w:bookmarkStart w:id="2223" w:name="_Toc35393795"/>
      <w:bookmarkStart w:id="2224" w:name="_Toc35393626"/>
      <w:bookmarkStart w:id="2225" w:name="_Toc13675"/>
      <w:bookmarkStart w:id="2226" w:name="_Toc18258"/>
      <w:bookmarkStart w:id="2227" w:name="_Toc647"/>
      <w:bookmarkStart w:id="2228" w:name="_Toc999"/>
      <w:r>
        <w:rPr>
          <w:rFonts w:hint="eastAsia" w:ascii="微软雅黑" w:hAnsi="微软雅黑" w:eastAsia="微软雅黑" w:cs="微软雅黑"/>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1DD213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2.本项目实行网上投标，采用电子投标文件(供应商须使用CA加密设备通过政采云电子投标客户端制作投标文件)。若供应商参与投标，自行承担投标一切费用。</w:t>
      </w:r>
    </w:p>
    <w:p w14:paraId="01A4328D">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1F4AE1F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6130212A">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5.供应商在开标时须使用制作加密电子投标文件所使用的CA锁及电脑，电脑须提前配置好浏览器（建议使用谷歌浏览器），以便开标时解锁。</w:t>
      </w:r>
    </w:p>
    <w:p w14:paraId="22926F7E">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微软雅黑" w:hAnsi="微软雅黑" w:eastAsia="微软雅黑" w:cs="微软雅黑"/>
          <w:color w:val="auto"/>
          <w:sz w:val="24"/>
          <w:highlight w:val="none"/>
          <w:lang w:eastAsia="zh-CN"/>
        </w:rPr>
        <w:t>标段号</w:t>
      </w:r>
      <w:r>
        <w:rPr>
          <w:rFonts w:hint="eastAsia" w:ascii="微软雅黑" w:hAnsi="微软雅黑" w:eastAsia="微软雅黑" w:cs="微软雅黑"/>
          <w:color w:val="auto"/>
          <w:sz w:val="24"/>
          <w:highlight w:val="none"/>
        </w:rPr>
        <w:t>+投标保证金。否则，届时其投标将被拒绝。</w:t>
      </w:r>
    </w:p>
    <w:p w14:paraId="16BAADA4">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F2E0FA8">
      <w:pPr>
        <w:spacing w:line="400" w:lineRule="exact"/>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w:t>
      </w:r>
      <w:bookmarkEnd w:id="2223"/>
      <w:bookmarkEnd w:id="2224"/>
      <w:bookmarkStart w:id="2229" w:name="_Toc35393627"/>
      <w:bookmarkStart w:id="2230" w:name="_Toc28359085"/>
      <w:bookmarkStart w:id="2231" w:name="_Toc35393796"/>
      <w:bookmarkStart w:id="2232" w:name="_Toc28359008"/>
      <w:r>
        <w:rPr>
          <w:rFonts w:hint="eastAsia" w:ascii="微软雅黑" w:hAnsi="微软雅黑" w:eastAsia="微软雅黑" w:cs="微软雅黑"/>
          <w:b/>
          <w:color w:val="auto"/>
          <w:sz w:val="24"/>
          <w:highlight w:val="none"/>
        </w:rPr>
        <w:t>对本次招标提出询问，请按以下方式联系。</w:t>
      </w:r>
      <w:bookmarkEnd w:id="2225"/>
      <w:bookmarkEnd w:id="2226"/>
      <w:bookmarkEnd w:id="2227"/>
      <w:bookmarkEnd w:id="2228"/>
      <w:bookmarkEnd w:id="2229"/>
      <w:bookmarkEnd w:id="2230"/>
      <w:bookmarkEnd w:id="2231"/>
      <w:bookmarkEnd w:id="2232"/>
    </w:p>
    <w:p w14:paraId="5C2B86D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bookmarkStart w:id="2233" w:name="_Toc28359010"/>
      <w:bookmarkStart w:id="2234" w:name="_Toc28359087"/>
      <w:r>
        <w:rPr>
          <w:rFonts w:hint="eastAsia" w:ascii="微软雅黑" w:hAnsi="微软雅黑" w:eastAsia="微软雅黑" w:cs="微软雅黑"/>
          <w:color w:val="auto"/>
          <w:kern w:val="0"/>
          <w:sz w:val="24"/>
          <w:highlight w:val="none"/>
        </w:rPr>
        <w:t>1.采购人信息</w:t>
      </w:r>
    </w:p>
    <w:p w14:paraId="7D30BB4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w:t>
      </w:r>
      <w:r>
        <w:rPr>
          <w:rFonts w:hint="eastAsia" w:ascii="微软雅黑" w:hAnsi="微软雅黑" w:eastAsia="微软雅黑" w:cs="微软雅黑"/>
          <w:color w:val="auto"/>
          <w:sz w:val="24"/>
          <w:highlight w:val="none"/>
        </w:rPr>
        <w:t>喀什大学</w:t>
      </w:r>
    </w:p>
    <w:p w14:paraId="1254A89D">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w:t>
      </w:r>
      <w:r>
        <w:rPr>
          <w:rFonts w:hint="eastAsia" w:ascii="微软雅黑" w:hAnsi="微软雅黑" w:eastAsia="微软雅黑" w:cs="微软雅黑"/>
          <w:color w:val="auto"/>
          <w:sz w:val="24"/>
          <w:highlight w:val="none"/>
        </w:rPr>
        <w:t>新疆维吾尔自治区喀什市东城区新泉校区</w:t>
      </w:r>
    </w:p>
    <w:p w14:paraId="13534C6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联 系 人：</w:t>
      </w:r>
      <w:r>
        <w:rPr>
          <w:rFonts w:hint="eastAsia" w:ascii="微软雅黑" w:hAnsi="微软雅黑" w:eastAsia="微软雅黑" w:cs="微软雅黑"/>
          <w:color w:val="auto"/>
          <w:sz w:val="24"/>
          <w:highlight w:val="none"/>
          <w:lang w:eastAsia="zh-CN"/>
        </w:rPr>
        <w:t>孟老师</w:t>
      </w:r>
      <w:r>
        <w:rPr>
          <w:rFonts w:hint="eastAsia" w:ascii="微软雅黑" w:hAnsi="微软雅黑" w:eastAsia="微软雅黑" w:cs="微软雅黑"/>
          <w:color w:val="auto"/>
          <w:sz w:val="24"/>
          <w:highlight w:val="none"/>
        </w:rPr>
        <w:t xml:space="preserve">  </w:t>
      </w:r>
    </w:p>
    <w:p w14:paraId="3840A844">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sz w:val="24"/>
          <w:highlight w:val="none"/>
          <w:lang w:eastAsia="zh-CN"/>
        </w:rPr>
        <w:t>18899357172</w:t>
      </w:r>
    </w:p>
    <w:p w14:paraId="7EF8E88F">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2.采购代理机构信息</w:t>
      </w:r>
    </w:p>
    <w:p w14:paraId="343E2B73">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名    称：新疆共建恒业信息咨询有限责任公司</w:t>
      </w:r>
    </w:p>
    <w:p w14:paraId="7842AD27">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地　　址：喀什经济开发区深喀大道陕西大厦12楼1208室</w:t>
      </w:r>
    </w:p>
    <w:p w14:paraId="0322E15E">
      <w:pPr>
        <w:pageBreakBefore w:val="0"/>
        <w:kinsoku/>
        <w:wordWrap w:val="0"/>
        <w:overflowPunct/>
        <w:topLinePunct w:val="0"/>
        <w:bidi w:val="0"/>
        <w:spacing w:line="400" w:lineRule="exact"/>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联系方式：</w:t>
      </w:r>
      <w:r>
        <w:rPr>
          <w:rFonts w:hint="eastAsia" w:ascii="微软雅黑" w:hAnsi="微软雅黑" w:eastAsia="微软雅黑" w:cs="微软雅黑"/>
          <w:color w:val="auto"/>
          <w:kern w:val="0"/>
          <w:sz w:val="24"/>
          <w:highlight w:val="none"/>
          <w:lang w:eastAsia="zh-CN"/>
        </w:rPr>
        <w:t>刘薇、朱萍</w:t>
      </w:r>
      <w:r>
        <w:rPr>
          <w:rFonts w:hint="eastAsia" w:ascii="微软雅黑" w:hAnsi="微软雅黑" w:eastAsia="微软雅黑" w:cs="微软雅黑"/>
          <w:color w:val="auto"/>
          <w:kern w:val="0"/>
          <w:sz w:val="24"/>
          <w:highlight w:val="none"/>
        </w:rPr>
        <w:t xml:space="preserve">   18209987338  </w:t>
      </w:r>
    </w:p>
    <w:bookmarkEnd w:id="2233"/>
    <w:bookmarkEnd w:id="2234"/>
    <w:p w14:paraId="1E3416ED">
      <w:pPr>
        <w:spacing w:line="400" w:lineRule="exact"/>
        <w:ind w:firstLine="3840" w:firstLineChars="1600"/>
        <w:rPr>
          <w:rFonts w:hint="eastAsia" w:ascii="微软雅黑" w:hAnsi="微软雅黑" w:eastAsia="微软雅黑" w:cs="微软雅黑"/>
          <w:color w:val="auto"/>
          <w:kern w:val="0"/>
          <w:sz w:val="24"/>
          <w:highlight w:val="none"/>
        </w:rPr>
      </w:pPr>
    </w:p>
    <w:p w14:paraId="69130EEA">
      <w:pPr>
        <w:spacing w:line="400" w:lineRule="exact"/>
        <w:rPr>
          <w:rFonts w:hint="eastAsia" w:ascii="微软雅黑" w:hAnsi="微软雅黑" w:eastAsia="微软雅黑" w:cs="微软雅黑"/>
          <w:color w:val="auto"/>
          <w:kern w:val="0"/>
          <w:sz w:val="24"/>
          <w:highlight w:val="none"/>
        </w:rPr>
      </w:pPr>
    </w:p>
    <w:p w14:paraId="568A0D56">
      <w:pPr>
        <w:spacing w:line="400" w:lineRule="exact"/>
        <w:ind w:firstLine="3840" w:firstLineChars="16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新疆共建恒业信息咨询有限责任公司</w:t>
      </w:r>
    </w:p>
    <w:p w14:paraId="08EF13F9">
      <w:pPr>
        <w:spacing w:line="400" w:lineRule="exact"/>
        <w:ind w:firstLine="480" w:firstLineChars="200"/>
        <w:jc w:val="righ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2026年</w:t>
      </w:r>
      <w:r>
        <w:rPr>
          <w:rFonts w:hint="eastAsia" w:ascii="微软雅黑" w:hAnsi="微软雅黑" w:eastAsia="微软雅黑" w:cs="微软雅黑"/>
          <w:color w:val="auto"/>
          <w:kern w:val="0"/>
          <w:sz w:val="24"/>
          <w:highlight w:val="none"/>
          <w:lang w:val="en-US" w:eastAsia="zh-CN"/>
        </w:rPr>
        <w:t>4</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14</w:t>
      </w:r>
      <w:r>
        <w:rPr>
          <w:rFonts w:hint="eastAsia" w:ascii="微软雅黑" w:hAnsi="微软雅黑" w:eastAsia="微软雅黑" w:cs="微软雅黑"/>
          <w:color w:val="auto"/>
          <w:kern w:val="0"/>
          <w:sz w:val="24"/>
          <w:highlight w:val="none"/>
        </w:rPr>
        <w:t>日</w:t>
      </w:r>
    </w:p>
    <w:p w14:paraId="0196242C">
      <w:pPr>
        <w:spacing w:line="400" w:lineRule="exact"/>
        <w:ind w:firstLine="480" w:firstLineChars="200"/>
        <w:jc w:val="right"/>
        <w:rPr>
          <w:rFonts w:hint="eastAsia" w:ascii="微软雅黑" w:hAnsi="微软雅黑" w:eastAsia="微软雅黑" w:cs="微软雅黑"/>
          <w:color w:val="auto"/>
          <w:kern w:val="0"/>
          <w:sz w:val="24"/>
          <w:highlight w:val="none"/>
        </w:rPr>
      </w:pPr>
    </w:p>
    <w:p w14:paraId="5181596D">
      <w:pP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br w:type="page"/>
      </w:r>
    </w:p>
    <w:p w14:paraId="0FAF40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36"/>
          <w:szCs w:val="36"/>
        </w:rPr>
      </w:pPr>
      <w:bookmarkStart w:id="2235" w:name="_Toc24673"/>
      <w:r>
        <w:rPr>
          <w:rFonts w:hint="eastAsia" w:ascii="微软雅黑" w:hAnsi="微软雅黑" w:eastAsia="微软雅黑" w:cs="微软雅黑"/>
          <w:b/>
          <w:bCs/>
          <w:kern w:val="44"/>
          <w:sz w:val="36"/>
          <w:szCs w:val="36"/>
          <w:lang w:val="en-US" w:eastAsia="zh-CN" w:bidi="ar-SA"/>
        </w:rPr>
        <w:t>新疆共建恒业信息咨询有限责任公司关于喀什大学智慧教学转型研究与应用项目（第一标段、第二标段、第五标段）（第五标段）</w:t>
      </w:r>
      <w:r>
        <w:rPr>
          <w:rFonts w:hint="eastAsia" w:ascii="微软雅黑" w:hAnsi="微软雅黑" w:eastAsia="微软雅黑" w:cs="微软雅黑"/>
          <w:b/>
          <w:bCs/>
          <w:sz w:val="36"/>
          <w:szCs w:val="36"/>
          <w:lang w:val="en-US" w:eastAsia="zh-CN"/>
        </w:rPr>
        <w:t>更正</w:t>
      </w:r>
      <w:r>
        <w:rPr>
          <w:rFonts w:hint="eastAsia" w:ascii="微软雅黑" w:hAnsi="微软雅黑" w:eastAsia="微软雅黑" w:cs="微软雅黑"/>
          <w:b/>
          <w:bCs/>
          <w:sz w:val="36"/>
          <w:szCs w:val="36"/>
        </w:rPr>
        <w:t>公告</w:t>
      </w:r>
    </w:p>
    <w:p w14:paraId="7055D02D">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9"/>
          <w:rFonts w:hint="eastAsia" w:ascii="微软雅黑" w:hAnsi="微软雅黑" w:eastAsia="微软雅黑" w:cs="微软雅黑"/>
          <w:i w:val="0"/>
          <w:iCs w:val="0"/>
          <w:caps w:val="0"/>
          <w:color w:val="000000"/>
          <w:spacing w:val="0"/>
          <w:sz w:val="24"/>
          <w:szCs w:val="24"/>
        </w:rPr>
        <w:t>一、项目基本情况</w:t>
      </w:r>
    </w:p>
    <w:p w14:paraId="730BD194">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原公告的采购项目编号：</w:t>
      </w:r>
      <w:r>
        <w:rPr>
          <w:rFonts w:hint="eastAsia" w:ascii="微软雅黑" w:hAnsi="微软雅黑" w:eastAsia="微软雅黑" w:cs="微软雅黑"/>
          <w:color w:val="auto"/>
          <w:sz w:val="24"/>
          <w:highlight w:val="none"/>
          <w:lang w:eastAsia="zh-CN"/>
        </w:rPr>
        <w:t>26GJ-(GK)021</w:t>
      </w:r>
    </w:p>
    <w:p w14:paraId="3CDF5281">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iCs w:val="0"/>
          <w:caps w:val="0"/>
          <w:color w:val="000000"/>
          <w:spacing w:val="0"/>
          <w:sz w:val="24"/>
          <w:szCs w:val="24"/>
        </w:rPr>
        <w:t>原公告的采购项目名称：</w:t>
      </w:r>
      <w:r>
        <w:rPr>
          <w:rFonts w:hint="eastAsia" w:ascii="微软雅黑" w:hAnsi="微软雅黑" w:eastAsia="微软雅黑" w:cs="微软雅黑"/>
          <w:i w:val="0"/>
          <w:iCs w:val="0"/>
          <w:caps w:val="0"/>
          <w:color w:val="000000"/>
          <w:spacing w:val="0"/>
          <w:kern w:val="0"/>
          <w:sz w:val="24"/>
          <w:szCs w:val="24"/>
          <w:lang w:val="en-US" w:eastAsia="zh-CN" w:bidi="ar-SA"/>
        </w:rPr>
        <w:t>喀什大学智慧教学转型研究与应用项目（第一标段、第二标段、第五标段）</w:t>
      </w:r>
    </w:p>
    <w:p w14:paraId="0AB14911">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首次公告日期：</w:t>
      </w:r>
      <w:r>
        <w:rPr>
          <w:rFonts w:hint="eastAsia"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日</w:t>
      </w:r>
    </w:p>
    <w:p w14:paraId="0B64CD53">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9"/>
          <w:rFonts w:hint="eastAsia" w:ascii="微软雅黑" w:hAnsi="微软雅黑" w:eastAsia="微软雅黑" w:cs="微软雅黑"/>
          <w:i w:val="0"/>
          <w:iCs w:val="0"/>
          <w:caps w:val="0"/>
          <w:color w:val="000000"/>
          <w:spacing w:val="0"/>
          <w:sz w:val="24"/>
          <w:szCs w:val="24"/>
        </w:rPr>
        <w:t>二、更正信息</w:t>
      </w:r>
    </w:p>
    <w:p w14:paraId="766FE7E9">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更正事项：采购公告,采购文件</w:t>
      </w:r>
    </w:p>
    <w:p w14:paraId="0D63BB29">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更正内容：      </w:t>
      </w:r>
    </w:p>
    <w:tbl>
      <w:tblPr>
        <w:tblStyle w:val="36"/>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9"/>
        <w:gridCol w:w="2243"/>
        <w:gridCol w:w="3373"/>
        <w:gridCol w:w="3541"/>
      </w:tblGrid>
      <w:tr w14:paraId="4EF4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3DAFE42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序号</w:t>
            </w:r>
          </w:p>
        </w:tc>
        <w:tc>
          <w:tcPr>
            <w:tcW w:w="1106" w:type="pct"/>
            <w:shd w:val="clear" w:color="auto" w:fill="auto"/>
            <w:tcMar>
              <w:top w:w="60" w:type="dxa"/>
              <w:left w:w="120" w:type="dxa"/>
              <w:bottom w:w="60" w:type="dxa"/>
              <w:right w:w="120" w:type="dxa"/>
            </w:tcMar>
            <w:vAlign w:val="center"/>
          </w:tcPr>
          <w:p w14:paraId="6316F1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更正项</w:t>
            </w:r>
          </w:p>
        </w:tc>
        <w:tc>
          <w:tcPr>
            <w:tcW w:w="1663" w:type="pct"/>
            <w:shd w:val="clear" w:color="auto" w:fill="auto"/>
            <w:tcMar>
              <w:top w:w="60" w:type="dxa"/>
              <w:left w:w="120" w:type="dxa"/>
              <w:bottom w:w="60" w:type="dxa"/>
              <w:right w:w="120" w:type="dxa"/>
            </w:tcMar>
            <w:vAlign w:val="center"/>
          </w:tcPr>
          <w:p w14:paraId="310260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更正前内容</w:t>
            </w:r>
          </w:p>
        </w:tc>
        <w:tc>
          <w:tcPr>
            <w:tcW w:w="1746" w:type="pct"/>
            <w:shd w:val="clear" w:color="auto" w:fill="auto"/>
            <w:tcMar>
              <w:top w:w="60" w:type="dxa"/>
              <w:left w:w="120" w:type="dxa"/>
              <w:bottom w:w="60" w:type="dxa"/>
              <w:right w:w="120" w:type="dxa"/>
            </w:tcMar>
            <w:vAlign w:val="center"/>
          </w:tcPr>
          <w:p w14:paraId="39D742B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更正后内容</w:t>
            </w:r>
          </w:p>
        </w:tc>
      </w:tr>
      <w:tr w14:paraId="4E2B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2F17FA8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1106" w:type="pct"/>
            <w:shd w:val="clear" w:color="auto" w:fill="auto"/>
            <w:tcMar>
              <w:top w:w="60" w:type="dxa"/>
              <w:left w:w="120" w:type="dxa"/>
              <w:bottom w:w="60" w:type="dxa"/>
              <w:right w:w="120" w:type="dxa"/>
            </w:tcMar>
            <w:vAlign w:val="center"/>
          </w:tcPr>
          <w:p w14:paraId="5ECB9C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2EBC1E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6B7FA2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E08521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65C9B8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308F63D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c>
          <w:tcPr>
            <w:tcW w:w="1746" w:type="pct"/>
            <w:shd w:val="clear" w:color="auto" w:fill="auto"/>
            <w:tcMar>
              <w:top w:w="60" w:type="dxa"/>
              <w:left w:w="120" w:type="dxa"/>
              <w:bottom w:w="60" w:type="dxa"/>
              <w:right w:w="120" w:type="dxa"/>
            </w:tcMar>
            <w:vAlign w:val="center"/>
          </w:tcPr>
          <w:p w14:paraId="6CD289B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5E332A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1.LED全彩显示屏套件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7710C66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第7条，第16条，详见附件</w:t>
            </w:r>
          </w:p>
        </w:tc>
      </w:tr>
      <w:tr w14:paraId="3D4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FD812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w:t>
            </w:r>
          </w:p>
        </w:tc>
        <w:tc>
          <w:tcPr>
            <w:tcW w:w="1106" w:type="pct"/>
            <w:shd w:val="clear" w:color="auto" w:fill="auto"/>
            <w:tcMar>
              <w:top w:w="60" w:type="dxa"/>
              <w:left w:w="120" w:type="dxa"/>
              <w:bottom w:w="60" w:type="dxa"/>
              <w:right w:w="120" w:type="dxa"/>
            </w:tcMar>
            <w:vAlign w:val="center"/>
          </w:tcPr>
          <w:p w14:paraId="517C2B5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7B6350A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19AE5FC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45998D1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0C5CB6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D37C28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5DE862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7B5D86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2.教师高清云台摄像机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13E0CF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第2条，第12条，详见附件</w:t>
            </w:r>
          </w:p>
        </w:tc>
      </w:tr>
      <w:tr w14:paraId="5812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BC2727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w:t>
            </w:r>
          </w:p>
        </w:tc>
        <w:tc>
          <w:tcPr>
            <w:tcW w:w="1106" w:type="pct"/>
            <w:shd w:val="clear" w:color="auto" w:fill="auto"/>
            <w:tcMar>
              <w:top w:w="60" w:type="dxa"/>
              <w:left w:w="120" w:type="dxa"/>
              <w:bottom w:w="60" w:type="dxa"/>
              <w:right w:w="120" w:type="dxa"/>
            </w:tcMar>
            <w:vAlign w:val="center"/>
          </w:tcPr>
          <w:p w14:paraId="53A2DD5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362C9D2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7C2B5A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368B5F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309C77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2B77583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2F4FF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c>
          <w:tcPr>
            <w:tcW w:w="1746" w:type="pct"/>
            <w:shd w:val="clear" w:color="auto" w:fill="auto"/>
            <w:tcMar>
              <w:top w:w="60" w:type="dxa"/>
              <w:left w:w="120" w:type="dxa"/>
              <w:bottom w:w="60" w:type="dxa"/>
              <w:right w:w="120" w:type="dxa"/>
            </w:tcMar>
            <w:vAlign w:val="center"/>
          </w:tcPr>
          <w:p w14:paraId="4BF0A3F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一、AI教学空间</w:t>
            </w:r>
          </w:p>
          <w:p w14:paraId="20131C6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10.触摸面板终端</w:t>
            </w:r>
          </w:p>
          <w:p w14:paraId="303447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590009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第6条，详见附件</w:t>
            </w:r>
          </w:p>
        </w:tc>
      </w:tr>
      <w:tr w14:paraId="79AC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BEDC4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4</w:t>
            </w:r>
          </w:p>
        </w:tc>
        <w:tc>
          <w:tcPr>
            <w:tcW w:w="1106" w:type="pct"/>
            <w:shd w:val="clear" w:color="auto" w:fill="auto"/>
            <w:tcMar>
              <w:top w:w="60" w:type="dxa"/>
              <w:left w:w="120" w:type="dxa"/>
              <w:bottom w:w="60" w:type="dxa"/>
              <w:right w:w="120" w:type="dxa"/>
            </w:tcMar>
            <w:vAlign w:val="center"/>
          </w:tcPr>
          <w:p w14:paraId="09BD359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1C41F87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520C2F5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0E51C72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7597A3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3DC4EC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4177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c>
          <w:tcPr>
            <w:tcW w:w="1746" w:type="pct"/>
            <w:shd w:val="clear" w:color="auto" w:fill="auto"/>
            <w:tcMar>
              <w:top w:w="60" w:type="dxa"/>
              <w:left w:w="120" w:type="dxa"/>
              <w:bottom w:w="60" w:type="dxa"/>
              <w:right w:w="120" w:type="dxa"/>
            </w:tcMar>
            <w:vAlign w:val="center"/>
          </w:tcPr>
          <w:p w14:paraId="16546C9B">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18A04C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1.LED全彩显示屏套件</w:t>
            </w:r>
          </w:p>
          <w:p w14:paraId="50D38D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62359A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第16条，详见附件</w:t>
            </w:r>
          </w:p>
        </w:tc>
      </w:tr>
      <w:tr w14:paraId="4BBB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110841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5</w:t>
            </w:r>
          </w:p>
        </w:tc>
        <w:tc>
          <w:tcPr>
            <w:tcW w:w="1106" w:type="pct"/>
            <w:shd w:val="clear" w:color="auto" w:fill="auto"/>
            <w:tcMar>
              <w:top w:w="60" w:type="dxa"/>
              <w:left w:w="120" w:type="dxa"/>
              <w:bottom w:w="60" w:type="dxa"/>
              <w:right w:w="120" w:type="dxa"/>
            </w:tcMar>
            <w:vAlign w:val="center"/>
          </w:tcPr>
          <w:p w14:paraId="122557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第5章货物内容及项目要求</w:t>
            </w:r>
          </w:p>
          <w:p w14:paraId="5C90F03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一、货物内容</w:t>
            </w:r>
          </w:p>
          <w:p w14:paraId="668E7F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58777A8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22C2D6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271308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A63DF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c>
          <w:tcPr>
            <w:tcW w:w="1746" w:type="pct"/>
            <w:shd w:val="clear" w:color="auto" w:fill="auto"/>
            <w:tcMar>
              <w:top w:w="60" w:type="dxa"/>
              <w:left w:w="120" w:type="dxa"/>
              <w:bottom w:w="60" w:type="dxa"/>
              <w:right w:w="120" w:type="dxa"/>
            </w:tcMar>
            <w:vAlign w:val="center"/>
          </w:tcPr>
          <w:p w14:paraId="0BA9BE9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lang w:val="en-US" w:eastAsia="zh-CN" w:bidi="ar"/>
              </w:rPr>
              <w:t>二、</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未来教师赋能中心</w:t>
            </w:r>
          </w:p>
          <w:p w14:paraId="3559B5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2.教师高清云台摄像机</w:t>
            </w:r>
          </w:p>
          <w:p w14:paraId="5F3CE3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4A4DCF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第2条，第12条，详见附件</w:t>
            </w:r>
          </w:p>
        </w:tc>
      </w:tr>
      <w:tr w14:paraId="6D20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06396B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6</w:t>
            </w:r>
          </w:p>
        </w:tc>
        <w:tc>
          <w:tcPr>
            <w:tcW w:w="1106" w:type="pct"/>
            <w:shd w:val="clear" w:color="auto" w:fill="auto"/>
            <w:tcMar>
              <w:top w:w="60" w:type="dxa"/>
              <w:left w:w="120" w:type="dxa"/>
              <w:bottom w:w="60" w:type="dxa"/>
              <w:right w:w="120" w:type="dxa"/>
            </w:tcMar>
            <w:vAlign w:val="center"/>
          </w:tcPr>
          <w:p w14:paraId="2E08CE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07EA4B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D55E7D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62E09A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54F7E6D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58E4F3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279A8BD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c>
          <w:tcPr>
            <w:tcW w:w="1746" w:type="pct"/>
            <w:shd w:val="clear" w:color="auto" w:fill="auto"/>
            <w:tcMar>
              <w:top w:w="60" w:type="dxa"/>
              <w:left w:w="120" w:type="dxa"/>
              <w:bottom w:w="60" w:type="dxa"/>
              <w:right w:w="120" w:type="dxa"/>
            </w:tcMar>
            <w:vAlign w:val="center"/>
          </w:tcPr>
          <w:p w14:paraId="1BD6AB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14FBD5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12.教师高清云台摄像机</w:t>
            </w:r>
          </w:p>
          <w:p w14:paraId="4F4EEC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参数：</w:t>
            </w:r>
          </w:p>
          <w:p w14:paraId="538BE7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第2条，详见附件</w:t>
            </w:r>
          </w:p>
        </w:tc>
      </w:tr>
      <w:tr w14:paraId="3914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CC42BD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7</w:t>
            </w:r>
          </w:p>
        </w:tc>
        <w:tc>
          <w:tcPr>
            <w:tcW w:w="1106" w:type="pct"/>
            <w:shd w:val="clear" w:color="auto" w:fill="auto"/>
            <w:tcMar>
              <w:top w:w="60" w:type="dxa"/>
              <w:left w:w="120" w:type="dxa"/>
              <w:bottom w:w="60" w:type="dxa"/>
              <w:right w:w="120" w:type="dxa"/>
            </w:tcMar>
            <w:vAlign w:val="center"/>
          </w:tcPr>
          <w:p w14:paraId="3CE4A2F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1CB6FFF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364DE20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第五标段：未来教学空间采购项目</w:t>
            </w:r>
          </w:p>
        </w:tc>
        <w:tc>
          <w:tcPr>
            <w:tcW w:w="1663" w:type="pct"/>
            <w:shd w:val="clear" w:color="auto" w:fill="auto"/>
            <w:tcMar>
              <w:top w:w="60" w:type="dxa"/>
              <w:left w:w="120" w:type="dxa"/>
              <w:bottom w:w="60" w:type="dxa"/>
              <w:right w:w="120" w:type="dxa"/>
            </w:tcMar>
            <w:vAlign w:val="center"/>
          </w:tcPr>
          <w:p w14:paraId="7855FC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485864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2D0396A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14DAF5C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c>
          <w:tcPr>
            <w:tcW w:w="1746" w:type="pct"/>
            <w:shd w:val="clear" w:color="auto" w:fill="auto"/>
            <w:tcMar>
              <w:top w:w="60" w:type="dxa"/>
              <w:left w:w="120" w:type="dxa"/>
              <w:bottom w:w="60" w:type="dxa"/>
              <w:right w:w="120" w:type="dxa"/>
            </w:tcMar>
            <w:vAlign w:val="center"/>
          </w:tcPr>
          <w:p w14:paraId="36A53F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lang w:val="en-US" w:eastAsia="zh-CN" w:bidi="ar"/>
              </w:rPr>
              <w:t>三、</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数字资源制作中心</w:t>
            </w:r>
          </w:p>
          <w:p w14:paraId="729A018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11.智慧黑板（86寸）</w:t>
            </w:r>
          </w:p>
          <w:p w14:paraId="3AD5AAC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参数：</w:t>
            </w:r>
          </w:p>
          <w:p w14:paraId="56B00A2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第2条，第13条，详见附件</w:t>
            </w:r>
          </w:p>
        </w:tc>
      </w:tr>
      <w:tr w14:paraId="2EB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6AB54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8</w:t>
            </w:r>
          </w:p>
        </w:tc>
        <w:tc>
          <w:tcPr>
            <w:tcW w:w="1106" w:type="pct"/>
            <w:shd w:val="clear" w:color="auto" w:fill="auto"/>
            <w:tcMar>
              <w:top w:w="60" w:type="dxa"/>
              <w:left w:w="120" w:type="dxa"/>
              <w:bottom w:w="60" w:type="dxa"/>
              <w:right w:w="120" w:type="dxa"/>
            </w:tcMar>
            <w:vAlign w:val="center"/>
          </w:tcPr>
          <w:p w14:paraId="4C4671D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4F7EACC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2F9C6D9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c>
          <w:tcPr>
            <w:tcW w:w="1746" w:type="pct"/>
            <w:shd w:val="clear" w:color="auto" w:fill="auto"/>
            <w:tcMar>
              <w:top w:w="60" w:type="dxa"/>
              <w:left w:w="120" w:type="dxa"/>
              <w:bottom w:w="60" w:type="dxa"/>
              <w:right w:w="120" w:type="dxa"/>
            </w:tcMar>
            <w:vAlign w:val="center"/>
          </w:tcPr>
          <w:p w14:paraId="2551D09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企业实力，详见附件</w:t>
            </w:r>
          </w:p>
        </w:tc>
      </w:tr>
      <w:tr w14:paraId="02C7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6996BE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9</w:t>
            </w:r>
          </w:p>
        </w:tc>
        <w:tc>
          <w:tcPr>
            <w:tcW w:w="1106" w:type="pct"/>
            <w:shd w:val="clear" w:color="auto" w:fill="auto"/>
            <w:tcMar>
              <w:top w:w="60" w:type="dxa"/>
              <w:left w:w="120" w:type="dxa"/>
              <w:bottom w:w="60" w:type="dxa"/>
              <w:right w:w="120" w:type="dxa"/>
            </w:tcMar>
            <w:vAlign w:val="center"/>
          </w:tcPr>
          <w:p w14:paraId="46612E6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581845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1343BF8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c>
          <w:tcPr>
            <w:tcW w:w="1746" w:type="pct"/>
            <w:shd w:val="clear" w:color="auto" w:fill="auto"/>
            <w:tcMar>
              <w:top w:w="60" w:type="dxa"/>
              <w:left w:w="120" w:type="dxa"/>
              <w:bottom w:w="60" w:type="dxa"/>
              <w:right w:w="120" w:type="dxa"/>
            </w:tcMar>
            <w:vAlign w:val="center"/>
          </w:tcPr>
          <w:p w14:paraId="3DE047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sz w:val="24"/>
                <w:szCs w:val="24"/>
              </w:rPr>
              <w:t>技术参数</w:t>
            </w:r>
            <w:r>
              <w:rPr>
                <w:rFonts w:hint="eastAsia" w:ascii="微软雅黑" w:hAnsi="微软雅黑" w:eastAsia="微软雅黑" w:cs="微软雅黑"/>
                <w:b w:val="0"/>
                <w:bCs w:val="0"/>
                <w:i w:val="0"/>
                <w:iCs w:val="0"/>
                <w:color w:val="auto"/>
                <w:kern w:val="0"/>
                <w:sz w:val="24"/>
                <w:szCs w:val="24"/>
                <w:highlight w:val="none"/>
                <w:u w:val="none"/>
                <w:lang w:val="en-US" w:eastAsia="zh-CN" w:bidi="ar"/>
              </w:rPr>
              <w:t>，详见附件</w:t>
            </w:r>
          </w:p>
        </w:tc>
      </w:tr>
      <w:tr w14:paraId="047C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2DAC9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1106" w:type="pct"/>
            <w:shd w:val="clear" w:color="auto" w:fill="auto"/>
            <w:tcMar>
              <w:top w:w="60" w:type="dxa"/>
              <w:left w:w="120" w:type="dxa"/>
              <w:bottom w:w="60" w:type="dxa"/>
              <w:right w:w="120" w:type="dxa"/>
            </w:tcMar>
            <w:vAlign w:val="center"/>
          </w:tcPr>
          <w:p w14:paraId="71B6CF1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第6章评标方法和标准</w:t>
            </w:r>
          </w:p>
          <w:p w14:paraId="751DA60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综合评分表（第五标段）</w:t>
            </w:r>
          </w:p>
        </w:tc>
        <w:tc>
          <w:tcPr>
            <w:tcW w:w="1663" w:type="pct"/>
            <w:shd w:val="clear" w:color="auto" w:fill="auto"/>
            <w:tcMar>
              <w:top w:w="60" w:type="dxa"/>
              <w:left w:w="120" w:type="dxa"/>
              <w:bottom w:w="60" w:type="dxa"/>
              <w:right w:w="120" w:type="dxa"/>
            </w:tcMar>
            <w:vAlign w:val="center"/>
          </w:tcPr>
          <w:p w14:paraId="54FC7D9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c>
          <w:tcPr>
            <w:tcW w:w="1746" w:type="pct"/>
            <w:shd w:val="clear" w:color="auto" w:fill="auto"/>
            <w:tcMar>
              <w:top w:w="60" w:type="dxa"/>
              <w:left w:w="120" w:type="dxa"/>
              <w:bottom w:w="60" w:type="dxa"/>
              <w:right w:w="120" w:type="dxa"/>
            </w:tcMar>
            <w:vAlign w:val="center"/>
          </w:tcPr>
          <w:p w14:paraId="41720C4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功能演示，详见附件</w:t>
            </w:r>
          </w:p>
        </w:tc>
      </w:tr>
      <w:tr w14:paraId="4BB9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02" w:hRule="atLeast"/>
        </w:trPr>
        <w:tc>
          <w:tcPr>
            <w:tcW w:w="483" w:type="pct"/>
            <w:shd w:val="clear" w:color="auto" w:fill="auto"/>
            <w:tcMar>
              <w:top w:w="60" w:type="dxa"/>
              <w:left w:w="120" w:type="dxa"/>
              <w:bottom w:w="60" w:type="dxa"/>
              <w:right w:w="120" w:type="dxa"/>
            </w:tcMar>
            <w:vAlign w:val="center"/>
          </w:tcPr>
          <w:p w14:paraId="258A011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11</w:t>
            </w:r>
          </w:p>
        </w:tc>
        <w:tc>
          <w:tcPr>
            <w:tcW w:w="1106" w:type="pct"/>
            <w:shd w:val="clear" w:color="auto" w:fill="auto"/>
            <w:tcMar>
              <w:top w:w="60" w:type="dxa"/>
              <w:left w:w="120" w:type="dxa"/>
              <w:bottom w:w="60" w:type="dxa"/>
              <w:right w:w="120" w:type="dxa"/>
            </w:tcMar>
            <w:vAlign w:val="center"/>
          </w:tcPr>
          <w:p w14:paraId="5E02ACF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sz w:val="24"/>
                <w:szCs w:val="24"/>
              </w:rPr>
              <w:t>四、提交投标文件截止时间、开标时间和地点</w:t>
            </w:r>
          </w:p>
        </w:tc>
        <w:tc>
          <w:tcPr>
            <w:tcW w:w="1663" w:type="pct"/>
            <w:shd w:val="clear" w:color="auto" w:fill="auto"/>
            <w:tcMar>
              <w:top w:w="60" w:type="dxa"/>
              <w:left w:w="120" w:type="dxa"/>
              <w:bottom w:w="60" w:type="dxa"/>
              <w:right w:w="120" w:type="dxa"/>
            </w:tcMar>
            <w:vAlign w:val="center"/>
          </w:tcPr>
          <w:p w14:paraId="6C14DC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提交投标文件截止时间：2026年5月7日10：30（北京时间）</w:t>
            </w:r>
          </w:p>
          <w:p w14:paraId="2959936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开标时间：2026年5月7日10：30（北京时间）</w:t>
            </w:r>
          </w:p>
        </w:tc>
        <w:tc>
          <w:tcPr>
            <w:tcW w:w="1746" w:type="pct"/>
            <w:shd w:val="clear" w:color="auto" w:fill="auto"/>
            <w:tcMar>
              <w:top w:w="60" w:type="dxa"/>
              <w:left w:w="120" w:type="dxa"/>
              <w:bottom w:w="60" w:type="dxa"/>
              <w:right w:w="120" w:type="dxa"/>
            </w:tcMar>
            <w:vAlign w:val="center"/>
          </w:tcPr>
          <w:p w14:paraId="039333B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提交投标文件截止时间：2026年5月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p w14:paraId="72A4D5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sz w:val="24"/>
                <w:szCs w:val="24"/>
              </w:rPr>
              <w:t>开标时间：2026年5月</w:t>
            </w:r>
            <w:r>
              <w:rPr>
                <w:rFonts w:hint="eastAsia" w:ascii="微软雅黑" w:hAnsi="微软雅黑" w:eastAsia="微软雅黑" w:cs="微软雅黑"/>
                <w:sz w:val="24"/>
                <w:szCs w:val="24"/>
                <w:lang w:val="en-US" w:eastAsia="zh-CN"/>
              </w:rPr>
              <w:t>22</w:t>
            </w:r>
            <w:r>
              <w:rPr>
                <w:rFonts w:hint="eastAsia" w:ascii="微软雅黑" w:hAnsi="微软雅黑" w:eastAsia="微软雅黑" w:cs="微软雅黑"/>
                <w:sz w:val="24"/>
                <w:szCs w:val="24"/>
              </w:rPr>
              <w:t>日10：30（北京时间）</w:t>
            </w:r>
          </w:p>
        </w:tc>
      </w:tr>
    </w:tbl>
    <w:p w14:paraId="3D1C31A0">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更正日期：202</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年</w:t>
      </w:r>
      <w:r>
        <w:rPr>
          <w:rFonts w:hint="eastAsia" w:ascii="微软雅黑" w:hAnsi="微软雅黑" w:eastAsia="微软雅黑" w:cs="微软雅黑"/>
          <w:i w:val="0"/>
          <w:iCs w:val="0"/>
          <w:caps w:val="0"/>
          <w:color w:val="000000"/>
          <w:spacing w:val="0"/>
          <w:sz w:val="24"/>
          <w:szCs w:val="24"/>
          <w:lang w:val="en-US" w:eastAsia="zh-CN"/>
        </w:rPr>
        <w:t>5</w:t>
      </w:r>
      <w:r>
        <w:rPr>
          <w:rFonts w:hint="eastAsia" w:ascii="微软雅黑" w:hAnsi="微软雅黑" w:eastAsia="微软雅黑" w:cs="微软雅黑"/>
          <w:i w:val="0"/>
          <w:iCs w:val="0"/>
          <w:caps w:val="0"/>
          <w:color w:val="000000"/>
          <w:spacing w:val="0"/>
          <w:sz w:val="24"/>
          <w:szCs w:val="24"/>
        </w:rPr>
        <w:t>月</w:t>
      </w:r>
      <w:r>
        <w:rPr>
          <w:rFonts w:hint="eastAsia" w:ascii="微软雅黑" w:hAnsi="微软雅黑" w:eastAsia="微软雅黑" w:cs="微软雅黑"/>
          <w:i w:val="0"/>
          <w:iCs w:val="0"/>
          <w:caps w:val="0"/>
          <w:color w:val="000000"/>
          <w:spacing w:val="0"/>
          <w:sz w:val="24"/>
          <w:szCs w:val="24"/>
          <w:lang w:val="en-US" w:eastAsia="zh-CN"/>
        </w:rPr>
        <w:t>6</w:t>
      </w:r>
      <w:r>
        <w:rPr>
          <w:rFonts w:hint="eastAsia" w:ascii="微软雅黑" w:hAnsi="微软雅黑" w:eastAsia="微软雅黑" w:cs="微软雅黑"/>
          <w:i w:val="0"/>
          <w:iCs w:val="0"/>
          <w:caps w:val="0"/>
          <w:color w:val="000000"/>
          <w:spacing w:val="0"/>
          <w:sz w:val="24"/>
          <w:szCs w:val="24"/>
        </w:rPr>
        <w:t>日</w:t>
      </w:r>
    </w:p>
    <w:p w14:paraId="1B00CFF6">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lang w:val="en-US" w:eastAsia="zh-CN"/>
        </w:rPr>
      </w:pPr>
      <w:r>
        <w:rPr>
          <w:rStyle w:val="39"/>
          <w:rFonts w:hint="eastAsia" w:ascii="微软雅黑" w:hAnsi="微软雅黑" w:eastAsia="微软雅黑" w:cs="微软雅黑"/>
          <w:i w:val="0"/>
          <w:iCs w:val="0"/>
          <w:caps w:val="0"/>
          <w:color w:val="000000"/>
          <w:spacing w:val="0"/>
          <w:sz w:val="24"/>
          <w:szCs w:val="24"/>
        </w:rPr>
        <w:t>三、其他补充事宜</w:t>
      </w:r>
      <w:r>
        <w:rPr>
          <w:rStyle w:val="39"/>
          <w:rFonts w:hint="eastAsia" w:ascii="微软雅黑" w:hAnsi="微软雅黑" w:eastAsia="微软雅黑" w:cs="微软雅黑"/>
          <w:i w:val="0"/>
          <w:iCs w:val="0"/>
          <w:caps w:val="0"/>
          <w:color w:val="000000"/>
          <w:spacing w:val="0"/>
          <w:sz w:val="24"/>
          <w:szCs w:val="24"/>
        </w:rPr>
        <w:br w:type="textWrapping"/>
      </w:r>
      <w:r>
        <w:rPr>
          <w:rStyle w:val="39"/>
          <w:rFonts w:hint="eastAsia" w:ascii="微软雅黑" w:hAnsi="微软雅黑" w:eastAsia="微软雅黑" w:cs="微软雅黑"/>
          <w:i w:val="0"/>
          <w:iCs w:val="0"/>
          <w:caps w:val="0"/>
          <w:color w:val="000000"/>
          <w:spacing w:val="0"/>
          <w:sz w:val="24"/>
          <w:szCs w:val="24"/>
          <w:lang w:val="en-US" w:eastAsia="zh-CN"/>
        </w:rPr>
        <w:t>无</w:t>
      </w:r>
    </w:p>
    <w:p w14:paraId="280C4393">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sz w:val="24"/>
          <w:szCs w:val="24"/>
        </w:rPr>
      </w:pPr>
      <w:r>
        <w:rPr>
          <w:rStyle w:val="39"/>
          <w:rFonts w:hint="eastAsia" w:ascii="微软雅黑" w:hAnsi="微软雅黑" w:eastAsia="微软雅黑" w:cs="微软雅黑"/>
          <w:i w:val="0"/>
          <w:iCs w:val="0"/>
          <w:caps w:val="0"/>
          <w:color w:val="000000"/>
          <w:spacing w:val="0"/>
          <w:sz w:val="24"/>
          <w:szCs w:val="24"/>
        </w:rPr>
        <w:t>四、对本次采购提出询问，请按以下方式联系。</w:t>
      </w:r>
    </w:p>
    <w:p w14:paraId="22B1E89A">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1.采购人信息</w:t>
      </w:r>
    </w:p>
    <w:p w14:paraId="0F86316F">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称：喀什大学</w:t>
      </w:r>
    </w:p>
    <w:p w14:paraId="7FB1F491">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址：新疆维吾尔自治区喀什市东城区新泉校区</w:t>
      </w:r>
    </w:p>
    <w:p w14:paraId="0DEA2CD4">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 系 人：孟老师  </w:t>
      </w:r>
    </w:p>
    <w:p w14:paraId="6F6C2DCC">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联系方式：18899357172</w:t>
      </w:r>
    </w:p>
    <w:p w14:paraId="6BF7E924">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2.采购代理机构信息</w:t>
      </w:r>
    </w:p>
    <w:p w14:paraId="1979E147">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名    称：新疆共建恒业信息咨询有限责任公司</w:t>
      </w:r>
    </w:p>
    <w:p w14:paraId="520093F8">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地　　址：喀什经济开发区深喀大道陕西大厦12楼1208室</w:t>
      </w:r>
    </w:p>
    <w:p w14:paraId="3E4179EF">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联系方式：刘薇、朱萍   18209987338  </w:t>
      </w:r>
      <w:r>
        <w:rPr>
          <w:rFonts w:hint="eastAsia" w:ascii="微软雅黑" w:hAnsi="微软雅黑" w:eastAsia="微软雅黑" w:cs="微软雅黑"/>
          <w:i w:val="0"/>
          <w:iCs w:val="0"/>
          <w:caps w:val="0"/>
          <w:color w:val="000000"/>
          <w:spacing w:val="0"/>
          <w:sz w:val="24"/>
          <w:szCs w:val="24"/>
        </w:rPr>
        <w:br w:type="page"/>
      </w:r>
    </w:p>
    <w:p w14:paraId="56A429B0">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附件：</w:t>
      </w:r>
    </w:p>
    <w:p w14:paraId="6649C631">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lang w:val="en-US" w:eastAsia="zh-CN"/>
        </w:rPr>
        <w:t>更</w:t>
      </w:r>
      <w:r>
        <w:rPr>
          <w:rFonts w:hint="eastAsia" w:ascii="微软雅黑" w:hAnsi="微软雅黑" w:eastAsia="微软雅黑" w:cs="微软雅黑"/>
          <w:i w:val="0"/>
          <w:iCs w:val="0"/>
          <w:caps w:val="0"/>
          <w:color w:val="000000"/>
          <w:spacing w:val="0"/>
          <w:sz w:val="24"/>
          <w:szCs w:val="24"/>
        </w:rPr>
        <w:t xml:space="preserve">正内容： </w:t>
      </w:r>
    </w:p>
    <w:p w14:paraId="391CBE68">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    </w:t>
      </w:r>
    </w:p>
    <w:tbl>
      <w:tblPr>
        <w:tblStyle w:val="36"/>
        <w:tblW w:w="5926" w:type="pct"/>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79"/>
        <w:gridCol w:w="1632"/>
        <w:gridCol w:w="3796"/>
        <w:gridCol w:w="3729"/>
      </w:tblGrid>
      <w:tr w14:paraId="3A2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83" w:type="pct"/>
            <w:shd w:val="clear" w:color="auto" w:fill="auto"/>
            <w:tcMar>
              <w:top w:w="60" w:type="dxa"/>
              <w:left w:w="120" w:type="dxa"/>
              <w:bottom w:w="60" w:type="dxa"/>
              <w:right w:w="120" w:type="dxa"/>
            </w:tcMar>
            <w:vAlign w:val="center"/>
          </w:tcPr>
          <w:p w14:paraId="0171C21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序号</w:t>
            </w:r>
          </w:p>
        </w:tc>
        <w:tc>
          <w:tcPr>
            <w:tcW w:w="805" w:type="pct"/>
            <w:shd w:val="clear" w:color="auto" w:fill="auto"/>
            <w:tcMar>
              <w:top w:w="60" w:type="dxa"/>
              <w:left w:w="120" w:type="dxa"/>
              <w:bottom w:w="60" w:type="dxa"/>
              <w:right w:w="120" w:type="dxa"/>
            </w:tcMar>
            <w:vAlign w:val="center"/>
          </w:tcPr>
          <w:p w14:paraId="5ADCCF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更正项</w:t>
            </w:r>
          </w:p>
        </w:tc>
        <w:tc>
          <w:tcPr>
            <w:tcW w:w="1872" w:type="pct"/>
            <w:shd w:val="clear" w:color="auto" w:fill="auto"/>
            <w:tcMar>
              <w:top w:w="60" w:type="dxa"/>
              <w:left w:w="120" w:type="dxa"/>
              <w:bottom w:w="60" w:type="dxa"/>
              <w:right w:w="120" w:type="dxa"/>
            </w:tcMar>
            <w:vAlign w:val="center"/>
          </w:tcPr>
          <w:p w14:paraId="5691506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更正前内容</w:t>
            </w:r>
          </w:p>
        </w:tc>
        <w:tc>
          <w:tcPr>
            <w:tcW w:w="1839" w:type="pct"/>
            <w:shd w:val="clear" w:color="auto" w:fill="auto"/>
            <w:tcMar>
              <w:top w:w="60" w:type="dxa"/>
              <w:left w:w="120" w:type="dxa"/>
              <w:bottom w:w="60" w:type="dxa"/>
              <w:right w:w="120" w:type="dxa"/>
            </w:tcMar>
            <w:vAlign w:val="center"/>
          </w:tcPr>
          <w:p w14:paraId="5C47D26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更正后内容</w:t>
            </w:r>
          </w:p>
        </w:tc>
      </w:tr>
      <w:tr w14:paraId="522A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44C682B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w:t>
            </w:r>
          </w:p>
        </w:tc>
        <w:tc>
          <w:tcPr>
            <w:tcW w:w="805" w:type="pct"/>
            <w:shd w:val="clear" w:color="auto" w:fill="auto"/>
            <w:tcMar>
              <w:top w:w="60" w:type="dxa"/>
              <w:left w:w="120" w:type="dxa"/>
              <w:bottom w:w="60" w:type="dxa"/>
              <w:right w:w="120" w:type="dxa"/>
            </w:tcMar>
            <w:vAlign w:val="center"/>
          </w:tcPr>
          <w:p w14:paraId="5C6C901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A2ECB6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73BD3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2A6FB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537C298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56949D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09A434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13028A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17DDC1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1.LED全彩显示屏套件</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CB029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red"/>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7.刷新频率：≥3840Hz；</w:t>
            </w:r>
          </w:p>
          <w:p w14:paraId="42ED4C4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16. 主控系统采用同</w:t>
            </w:r>
            <w:r>
              <w:rPr>
                <w:rFonts w:hint="eastAsia" w:ascii="微软雅黑" w:hAnsi="微软雅黑" w:eastAsia="微软雅黑" w:cs="微软雅黑"/>
                <w:i w:val="0"/>
                <w:iCs w:val="0"/>
                <w:color w:val="auto"/>
                <w:kern w:val="0"/>
                <w:sz w:val="21"/>
                <w:szCs w:val="21"/>
                <w:highlight w:val="red"/>
                <w:u w:val="none"/>
                <w:lang w:val="en-US" w:eastAsia="zh-CN" w:bidi="ar"/>
              </w:rPr>
              <w:t>步控制方案，支</w:t>
            </w:r>
            <w:r>
              <w:rPr>
                <w:rFonts w:hint="eastAsia" w:ascii="微软雅黑" w:hAnsi="微软雅黑" w:eastAsia="微软雅黑" w:cs="微软雅黑"/>
                <w:i w:val="0"/>
                <w:iCs w:val="0"/>
                <w:color w:val="auto"/>
                <w:kern w:val="0"/>
                <w:sz w:val="21"/>
                <w:szCs w:val="21"/>
                <w:highlight w:val="none"/>
                <w:u w:val="none"/>
                <w:lang w:val="en-US" w:eastAsia="zh-CN" w:bidi="ar"/>
              </w:rPr>
              <w:t>持热备份，单卡故障不影响整体显示；</w:t>
            </w:r>
          </w:p>
        </w:tc>
      </w:tr>
      <w:tr w14:paraId="1B5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628A5E4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w:t>
            </w:r>
          </w:p>
        </w:tc>
        <w:tc>
          <w:tcPr>
            <w:tcW w:w="805" w:type="pct"/>
            <w:shd w:val="clear" w:color="auto" w:fill="auto"/>
            <w:tcMar>
              <w:top w:w="60" w:type="dxa"/>
              <w:left w:w="120" w:type="dxa"/>
              <w:bottom w:w="60" w:type="dxa"/>
              <w:right w:w="120" w:type="dxa"/>
            </w:tcMar>
            <w:vAlign w:val="center"/>
          </w:tcPr>
          <w:p w14:paraId="0F14C20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23898E2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6F4DEA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5C96CA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6407B1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55DE6D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3B8A3EE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496BABC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一、AI教学空间</w:t>
            </w:r>
          </w:p>
          <w:p w14:paraId="214183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2.教师高清云台摄像机</w:t>
            </w:r>
            <w:r>
              <w:rPr>
                <w:rFonts w:hint="eastAsia" w:ascii="微软雅黑" w:hAnsi="微软雅黑" w:eastAsia="微软雅黑" w:cs="微软雅黑"/>
                <w:i w:val="0"/>
                <w:iCs w:val="0"/>
                <w:color w:val="auto"/>
                <w:kern w:val="0"/>
                <w:sz w:val="21"/>
                <w:szCs w:val="21"/>
                <w:highlight w:val="none"/>
                <w:u w:val="none"/>
                <w:lang w:val="en-US" w:eastAsia="zh-CN" w:bidi="ar"/>
              </w:rPr>
              <w:br w:type="textWrapping"/>
            </w: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7E7ABF8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2. </w:t>
            </w:r>
            <w:r>
              <w:rPr>
                <w:rFonts w:hint="eastAsia" w:ascii="微软雅黑" w:hAnsi="微软雅黑" w:eastAsia="微软雅黑" w:cs="微软雅黑"/>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12B4630A">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w:t>
            </w:r>
            <w:r>
              <w:rPr>
                <w:rFonts w:hint="default" w:ascii="微软雅黑" w:hAnsi="微软雅黑" w:eastAsia="微软雅黑" w:cs="微软雅黑"/>
                <w:b/>
                <w:bCs/>
                <w:sz w:val="21"/>
                <w:szCs w:val="21"/>
                <w:lang w:val="en-US" w:eastAsia="zh-CN"/>
              </w:rPr>
              <w:t>需提供产品说明书或带有 CMA 或 CNAS 标识的第三方检测报告，确保产品为原厂正品，享受厂家正规售后服务</w:t>
            </w:r>
          </w:p>
        </w:tc>
      </w:tr>
      <w:tr w14:paraId="7634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72AFDC7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3</w:t>
            </w:r>
          </w:p>
        </w:tc>
        <w:tc>
          <w:tcPr>
            <w:tcW w:w="805" w:type="pct"/>
            <w:shd w:val="clear" w:color="auto" w:fill="auto"/>
            <w:tcMar>
              <w:top w:w="60" w:type="dxa"/>
              <w:left w:w="120" w:type="dxa"/>
              <w:bottom w:w="60" w:type="dxa"/>
              <w:right w:w="120" w:type="dxa"/>
            </w:tcMar>
            <w:vAlign w:val="center"/>
          </w:tcPr>
          <w:p w14:paraId="1C1F54A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728CFEA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1827E33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5FA62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5E2635D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1445120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14BC22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▲6.支持上课、下课的场景联动，用户登录成功后系统自动开启教室内的教学设备；用户点击“下课”，系统自动关闭教室内的教学设备；</w:t>
            </w:r>
          </w:p>
          <w:p w14:paraId="3B8AE7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p>
        </w:tc>
        <w:tc>
          <w:tcPr>
            <w:tcW w:w="1839" w:type="pct"/>
            <w:shd w:val="clear" w:color="auto" w:fill="auto"/>
            <w:tcMar>
              <w:top w:w="60" w:type="dxa"/>
              <w:left w:w="120" w:type="dxa"/>
              <w:bottom w:w="60" w:type="dxa"/>
              <w:right w:w="120" w:type="dxa"/>
            </w:tcMar>
            <w:vAlign w:val="center"/>
          </w:tcPr>
          <w:p w14:paraId="31F480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一、</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AI教学空间</w:t>
            </w:r>
          </w:p>
          <w:p w14:paraId="7887537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10.触摸面板终端</w:t>
            </w:r>
          </w:p>
          <w:p w14:paraId="41A87A0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AD5B7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red"/>
                <w:u w:val="none"/>
                <w:lang w:val="en-US" w:eastAsia="zh-CN" w:bidi="ar"/>
              </w:rPr>
              <w:t>6.</w:t>
            </w:r>
            <w:r>
              <w:rPr>
                <w:rFonts w:hint="eastAsia" w:ascii="微软雅黑" w:hAnsi="微软雅黑" w:eastAsia="微软雅黑" w:cs="微软雅黑"/>
                <w:i w:val="0"/>
                <w:iCs w:val="0"/>
                <w:color w:val="auto"/>
                <w:kern w:val="0"/>
                <w:sz w:val="21"/>
                <w:szCs w:val="21"/>
                <w:highlight w:val="none"/>
                <w:u w:val="none"/>
                <w:lang w:val="en-US" w:eastAsia="zh-CN" w:bidi="ar"/>
              </w:rPr>
              <w:t>支持上课、下课的场景联动，用户登录成功后系统自动开启教室内的教学设备；用户点击“下课”，系统自动关闭教室内的教学设备；</w:t>
            </w:r>
          </w:p>
        </w:tc>
      </w:tr>
      <w:tr w14:paraId="31E8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33" w:hRule="atLeast"/>
        </w:trPr>
        <w:tc>
          <w:tcPr>
            <w:tcW w:w="483" w:type="pct"/>
            <w:shd w:val="clear" w:color="auto" w:fill="auto"/>
            <w:tcMar>
              <w:top w:w="60" w:type="dxa"/>
              <w:left w:w="120" w:type="dxa"/>
              <w:bottom w:w="60" w:type="dxa"/>
              <w:right w:w="120" w:type="dxa"/>
            </w:tcMar>
            <w:vAlign w:val="center"/>
          </w:tcPr>
          <w:p w14:paraId="68A8D12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4</w:t>
            </w:r>
          </w:p>
        </w:tc>
        <w:tc>
          <w:tcPr>
            <w:tcW w:w="805" w:type="pct"/>
            <w:shd w:val="clear" w:color="auto" w:fill="auto"/>
            <w:tcMar>
              <w:top w:w="60" w:type="dxa"/>
              <w:left w:w="120" w:type="dxa"/>
              <w:bottom w:w="60" w:type="dxa"/>
              <w:right w:w="120" w:type="dxa"/>
            </w:tcMar>
            <w:vAlign w:val="center"/>
          </w:tcPr>
          <w:p w14:paraId="3D32B5D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3C5097A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42EA7C4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BD3CDD7">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5AA44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16990E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0D064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16.主控系统采用同步控制方案，</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配置主备冗余发送卡</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，支持热备份，单卡故障不影响整体显示；</w:t>
            </w:r>
          </w:p>
        </w:tc>
        <w:tc>
          <w:tcPr>
            <w:tcW w:w="1839" w:type="pct"/>
            <w:shd w:val="clear" w:color="auto" w:fill="auto"/>
            <w:tcMar>
              <w:top w:w="60" w:type="dxa"/>
              <w:left w:w="120" w:type="dxa"/>
              <w:bottom w:w="60" w:type="dxa"/>
              <w:right w:w="120" w:type="dxa"/>
            </w:tcMar>
            <w:vAlign w:val="center"/>
          </w:tcPr>
          <w:p w14:paraId="4B280DF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187E19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1.LED全彩显示屏套件</w:t>
            </w:r>
          </w:p>
          <w:p w14:paraId="2DD066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5FA40E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16. 主控系统采用同步控制方</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案，支持热备份</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，单卡故障不影响整体显示</w:t>
            </w:r>
          </w:p>
        </w:tc>
      </w:tr>
      <w:tr w14:paraId="609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165B5DA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5</w:t>
            </w:r>
          </w:p>
        </w:tc>
        <w:tc>
          <w:tcPr>
            <w:tcW w:w="805" w:type="pct"/>
            <w:shd w:val="clear" w:color="auto" w:fill="auto"/>
            <w:tcMar>
              <w:top w:w="60" w:type="dxa"/>
              <w:left w:w="120" w:type="dxa"/>
              <w:bottom w:w="60" w:type="dxa"/>
              <w:right w:w="120" w:type="dxa"/>
            </w:tcMar>
            <w:vAlign w:val="center"/>
          </w:tcPr>
          <w:p w14:paraId="56D0B9E0">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第5章货物内容及项目要求</w:t>
            </w:r>
          </w:p>
          <w:p w14:paraId="0C1F36A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一、货物内容</w:t>
            </w:r>
          </w:p>
          <w:p w14:paraId="7F124AA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6D0C4DA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26534E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5DE48A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32F808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p w14:paraId="6A92B5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12.需提供产品说明书或带有CMA或CNAS标识的第三方检测报告，提供生产厂家出具的原厂授权书、售后服务承诺函，确保产品为原厂正品，享受厂家正规售后服务；</w:t>
            </w:r>
          </w:p>
        </w:tc>
        <w:tc>
          <w:tcPr>
            <w:tcW w:w="1839" w:type="pct"/>
            <w:shd w:val="clear" w:color="auto" w:fill="auto"/>
            <w:tcMar>
              <w:top w:w="60" w:type="dxa"/>
              <w:left w:w="120" w:type="dxa"/>
              <w:bottom w:w="60" w:type="dxa"/>
              <w:right w:w="120" w:type="dxa"/>
            </w:tcMar>
            <w:vAlign w:val="center"/>
          </w:tcPr>
          <w:p w14:paraId="233AE985">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二、</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未来教师赋能中心</w:t>
            </w:r>
          </w:p>
          <w:p w14:paraId="725AA0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2.教师高清云台摄像机</w:t>
            </w:r>
          </w:p>
          <w:p w14:paraId="1D86D6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89C4DE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p w14:paraId="61884B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default" w:ascii="微软雅黑" w:hAnsi="微软雅黑" w:eastAsia="微软雅黑" w:cs="微软雅黑"/>
                <w:b/>
                <w:bCs/>
                <w:sz w:val="21"/>
                <w:szCs w:val="21"/>
                <w:lang w:val="en-US" w:eastAsia="zh-CN"/>
              </w:rPr>
              <w:t>12. 需提供产品说明书或带有 CMA 或 CNAS 标识的第三方检测报告，确保产品为原厂正品，享受厂家正规售后服务</w:t>
            </w:r>
          </w:p>
        </w:tc>
      </w:tr>
      <w:tr w14:paraId="72F6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77E3DDD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6</w:t>
            </w:r>
          </w:p>
        </w:tc>
        <w:tc>
          <w:tcPr>
            <w:tcW w:w="805" w:type="pct"/>
            <w:shd w:val="clear" w:color="auto" w:fill="auto"/>
            <w:tcMar>
              <w:top w:w="60" w:type="dxa"/>
              <w:left w:w="120" w:type="dxa"/>
              <w:bottom w:w="60" w:type="dxa"/>
              <w:right w:w="120" w:type="dxa"/>
            </w:tcMar>
            <w:vAlign w:val="center"/>
          </w:tcPr>
          <w:p w14:paraId="42F6775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第5章货物内容及项目要求</w:t>
            </w:r>
          </w:p>
          <w:p w14:paraId="7DFA4B6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一、货物内容</w:t>
            </w:r>
          </w:p>
          <w:p w14:paraId="76EFF49E">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rPr>
              <w:t>第五标段：未来教学空间采购项目</w:t>
            </w:r>
          </w:p>
        </w:tc>
        <w:tc>
          <w:tcPr>
            <w:tcW w:w="1872" w:type="pct"/>
            <w:shd w:val="clear" w:color="auto" w:fill="auto"/>
            <w:tcMar>
              <w:top w:w="60" w:type="dxa"/>
              <w:left w:w="120" w:type="dxa"/>
              <w:bottom w:w="60" w:type="dxa"/>
              <w:right w:w="120" w:type="dxa"/>
            </w:tcMar>
            <w:vAlign w:val="center"/>
          </w:tcPr>
          <w:p w14:paraId="37B51B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12745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1B224B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2AF4BF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sz w:val="21"/>
                <w:szCs w:val="21"/>
                <w:lang w:val="en-US"/>
              </w:rPr>
            </w:pPr>
            <w:r>
              <w:rPr>
                <w:rFonts w:hint="eastAsia" w:ascii="微软雅黑" w:hAnsi="微软雅黑" w:eastAsia="微软雅黑" w:cs="微软雅黑"/>
                <w:i w:val="0"/>
                <w:iCs w:val="0"/>
                <w:color w:val="auto"/>
                <w:kern w:val="0"/>
                <w:sz w:val="21"/>
                <w:szCs w:val="21"/>
                <w:highlight w:val="none"/>
                <w:u w:val="none"/>
                <w:lang w:val="en-US" w:eastAsia="zh-CN" w:bidi="ar"/>
              </w:rPr>
              <w:t>2.</w:t>
            </w:r>
            <w:r>
              <w:rPr>
                <w:rFonts w:hint="eastAsia" w:ascii="微软雅黑" w:hAnsi="微软雅黑" w:eastAsia="微软雅黑" w:cs="微软雅黑"/>
                <w:i w:val="0"/>
                <w:iCs w:val="0"/>
                <w:color w:val="auto"/>
                <w:kern w:val="0"/>
                <w:sz w:val="21"/>
                <w:szCs w:val="21"/>
                <w:highlight w:val="red"/>
                <w:u w:val="none"/>
                <w:lang w:val="en-US" w:eastAsia="zh-CN" w:bidi="ar"/>
              </w:rPr>
              <w:t>支持内置骨骼关键点的板书动作检测算法</w:t>
            </w:r>
            <w:r>
              <w:rPr>
                <w:rFonts w:hint="eastAsia" w:ascii="微软雅黑" w:hAnsi="微软雅黑" w:eastAsia="微软雅黑" w:cs="微软雅黑"/>
                <w:i w:val="0"/>
                <w:iCs w:val="0"/>
                <w:color w:val="auto"/>
                <w:kern w:val="0"/>
                <w:sz w:val="21"/>
                <w:szCs w:val="21"/>
                <w:highlight w:val="none"/>
                <w:u w:val="none"/>
                <w:lang w:val="en-US" w:eastAsia="zh-CN" w:bidi="ar"/>
              </w:rPr>
              <w:t>，直接识别教师板书动作并拍摄板书画面；</w:t>
            </w:r>
          </w:p>
        </w:tc>
        <w:tc>
          <w:tcPr>
            <w:tcW w:w="1839" w:type="pct"/>
            <w:shd w:val="clear" w:color="auto" w:fill="auto"/>
            <w:tcMar>
              <w:top w:w="60" w:type="dxa"/>
              <w:left w:w="120" w:type="dxa"/>
              <w:bottom w:w="60" w:type="dxa"/>
              <w:right w:w="120" w:type="dxa"/>
            </w:tcMar>
            <w:vAlign w:val="center"/>
          </w:tcPr>
          <w:p w14:paraId="4C572CF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3791D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12.教师高清云台摄像机</w:t>
            </w:r>
          </w:p>
          <w:p w14:paraId="5AE375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1"/>
                <w:szCs w:val="21"/>
                <w:highlight w:val="none"/>
                <w:u w:val="none"/>
                <w:lang w:val="en-US" w:eastAsia="zh-CN" w:bidi="ar"/>
              </w:rPr>
              <w:t>参数：</w:t>
            </w:r>
          </w:p>
          <w:p w14:paraId="452C254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0" w:leftChars="0" w:firstLine="0" w:firstLineChars="0"/>
              <w:jc w:val="left"/>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i w:val="0"/>
                <w:iCs w:val="0"/>
                <w:color w:val="auto"/>
                <w:kern w:val="0"/>
                <w:sz w:val="21"/>
                <w:szCs w:val="21"/>
                <w:lang w:val="en-US" w:eastAsia="zh-CN" w:bidi="ar"/>
              </w:rPr>
              <w:t>2.</w:t>
            </w:r>
            <w:r>
              <w:rPr>
                <w:rFonts w:hint="eastAsia" w:ascii="微软雅黑" w:hAnsi="微软雅黑" w:eastAsia="微软雅黑" w:cs="微软雅黑"/>
                <w:b w:val="0"/>
                <w:bCs w:val="0"/>
                <w:i w:val="0"/>
                <w:iCs w:val="0"/>
                <w:color w:val="auto"/>
                <w:kern w:val="0"/>
                <w:sz w:val="21"/>
                <w:szCs w:val="21"/>
                <w:highlight w:val="red"/>
                <w:u w:val="none"/>
                <w:lang w:val="en-US" w:eastAsia="zh-CN" w:bidi="ar"/>
              </w:rPr>
              <w:t>支持板书动作检测算法</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，直接识别教师板书动作并拍摄板书画面；</w:t>
            </w:r>
          </w:p>
        </w:tc>
      </w:tr>
      <w:tr w14:paraId="3741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50" w:hRule="atLeast"/>
        </w:trPr>
        <w:tc>
          <w:tcPr>
            <w:tcW w:w="483" w:type="pct"/>
            <w:shd w:val="clear" w:color="auto" w:fill="auto"/>
            <w:tcMar>
              <w:top w:w="60" w:type="dxa"/>
              <w:left w:w="120" w:type="dxa"/>
              <w:bottom w:w="60" w:type="dxa"/>
              <w:right w:w="120" w:type="dxa"/>
            </w:tcMar>
            <w:vAlign w:val="center"/>
          </w:tcPr>
          <w:p w14:paraId="3800116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7</w:t>
            </w:r>
          </w:p>
        </w:tc>
        <w:tc>
          <w:tcPr>
            <w:tcW w:w="805" w:type="pct"/>
            <w:shd w:val="clear" w:color="auto" w:fill="auto"/>
            <w:tcMar>
              <w:top w:w="60" w:type="dxa"/>
              <w:left w:w="120" w:type="dxa"/>
              <w:bottom w:w="60" w:type="dxa"/>
              <w:right w:w="120" w:type="dxa"/>
            </w:tcMar>
            <w:vAlign w:val="center"/>
          </w:tcPr>
          <w:p w14:paraId="7E6A7A1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第5章货物内容及项目要求</w:t>
            </w:r>
          </w:p>
          <w:p w14:paraId="75770B8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jc w:val="both"/>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一、货物内容</w:t>
            </w:r>
          </w:p>
          <w:p w14:paraId="1AA4355C">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4"/>
                <w:szCs w:val="24"/>
              </w:rPr>
              <w:t>第五标段：未来教学空间采购项目</w:t>
            </w:r>
          </w:p>
        </w:tc>
        <w:tc>
          <w:tcPr>
            <w:tcW w:w="1872" w:type="pct"/>
            <w:shd w:val="clear" w:color="auto" w:fill="auto"/>
            <w:tcMar>
              <w:top w:w="60" w:type="dxa"/>
              <w:left w:w="120" w:type="dxa"/>
              <w:bottom w:w="60" w:type="dxa"/>
              <w:right w:w="120" w:type="dxa"/>
            </w:tcMar>
            <w:vAlign w:val="center"/>
          </w:tcPr>
          <w:p w14:paraId="56E3F5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7499B4E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2C5F712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63F5CB7">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2.智能交互黑板整机采用三段式一体化结构设计，长度≥4300mm，高度≥1200mm，厚度≤75mm；</w:t>
            </w:r>
          </w:p>
          <w:p w14:paraId="5E9145B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13.智能交互黑板具备≥12核芯片驱动，Android系统版本≥14.0，内存≥4G，存储≥32G</w:t>
            </w:r>
          </w:p>
        </w:tc>
        <w:tc>
          <w:tcPr>
            <w:tcW w:w="1839" w:type="pct"/>
            <w:shd w:val="clear" w:color="auto" w:fill="auto"/>
            <w:tcMar>
              <w:top w:w="60" w:type="dxa"/>
              <w:left w:w="120" w:type="dxa"/>
              <w:bottom w:w="60" w:type="dxa"/>
              <w:right w:w="120" w:type="dxa"/>
            </w:tcMar>
            <w:vAlign w:val="center"/>
          </w:tcPr>
          <w:p w14:paraId="75BAE7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lang w:val="en-US" w:eastAsia="zh-CN" w:bidi="ar"/>
              </w:rPr>
              <w:t>三、</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数字资源制作中心</w:t>
            </w:r>
          </w:p>
          <w:p w14:paraId="3EA85EE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11.智慧黑板（86寸）</w:t>
            </w:r>
          </w:p>
          <w:p w14:paraId="0C75415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参数：</w:t>
            </w:r>
          </w:p>
          <w:p w14:paraId="6B8AEFF4">
            <w:pPr>
              <w:keepNext w:val="0"/>
              <w:keepLines w:val="0"/>
              <w:pageBreakBefore w:val="0"/>
              <w:widowControl/>
              <w:numPr>
                <w:ilvl w:val="0"/>
                <w:numId w:val="6"/>
              </w:numPr>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智能交互黑板整机采用三段式一体化结构设计，</w:t>
            </w:r>
            <w:r>
              <w:rPr>
                <w:rFonts w:hint="eastAsia" w:ascii="微软雅黑" w:hAnsi="微软雅黑" w:eastAsia="微软雅黑" w:cs="微软雅黑"/>
                <w:b w:val="0"/>
                <w:bCs w:val="0"/>
                <w:i w:val="0"/>
                <w:iCs w:val="0"/>
                <w:color w:val="auto"/>
                <w:kern w:val="0"/>
                <w:sz w:val="21"/>
                <w:szCs w:val="21"/>
                <w:highlight w:val="red"/>
                <w:u w:val="none"/>
                <w:lang w:val="en-US" w:eastAsia="zh-CN" w:bidi="ar"/>
              </w:rPr>
              <w:t>长度≥4100mm，高度≥1100mm，厚度≤90mm；</w:t>
            </w:r>
          </w:p>
          <w:p w14:paraId="61AA0289">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i w:val="0"/>
                <w:iCs w:val="0"/>
                <w:color w:val="auto"/>
                <w:kern w:val="0"/>
                <w:sz w:val="21"/>
                <w:szCs w:val="21"/>
                <w:highlight w:val="red"/>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13.智能交互黑板具备</w:t>
            </w:r>
            <w:r>
              <w:rPr>
                <w:rFonts w:hint="eastAsia" w:ascii="微软雅黑" w:hAnsi="微软雅黑" w:eastAsia="微软雅黑" w:cs="微软雅黑"/>
                <w:b w:val="0"/>
                <w:bCs w:val="0"/>
                <w:i w:val="0"/>
                <w:iCs w:val="0"/>
                <w:color w:val="auto"/>
                <w:kern w:val="0"/>
                <w:sz w:val="21"/>
                <w:szCs w:val="21"/>
                <w:highlight w:val="red"/>
                <w:u w:val="none"/>
                <w:lang w:val="en-US" w:eastAsia="zh-CN" w:bidi="ar"/>
              </w:rPr>
              <w:t>≥8核芯片驱动，Android系统版本≥12.0</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，内存≥4G，存储≥32G</w:t>
            </w:r>
          </w:p>
        </w:tc>
      </w:tr>
      <w:tr w14:paraId="0DF7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53898F44">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8</w:t>
            </w:r>
          </w:p>
        </w:tc>
        <w:tc>
          <w:tcPr>
            <w:tcW w:w="805" w:type="pct"/>
            <w:shd w:val="clear" w:color="auto" w:fill="auto"/>
            <w:tcMar>
              <w:top w:w="60" w:type="dxa"/>
              <w:left w:w="120" w:type="dxa"/>
              <w:bottom w:w="60" w:type="dxa"/>
              <w:right w:w="120" w:type="dxa"/>
            </w:tcMar>
            <w:vAlign w:val="center"/>
          </w:tcPr>
          <w:p w14:paraId="0907A5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31B2B9F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1EACD80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b/>
                <w:bCs/>
                <w:color w:val="auto"/>
                <w:sz w:val="21"/>
                <w:szCs w:val="21"/>
                <w:highlight w:val="none"/>
                <w:lang w:val="en-US" w:eastAsia="zh-CN"/>
              </w:rPr>
              <w:t>企业实力：</w:t>
            </w:r>
            <w:r>
              <w:rPr>
                <w:rFonts w:hint="eastAsia" w:ascii="微软雅黑" w:hAnsi="微软雅黑" w:eastAsia="微软雅黑" w:cs="微软雅黑"/>
                <w:color w:val="auto"/>
                <w:sz w:val="21"/>
                <w:szCs w:val="21"/>
                <w:highlight w:val="none"/>
                <w:lang w:val="en-US" w:eastAsia="zh-CN"/>
              </w:rPr>
              <w:t>①软件开发管理能力：提供软件能力成熟度模型（CMMI）三级及以上有效证书的得2分；不提供不得分。</w:t>
            </w:r>
          </w:p>
          <w:p w14:paraId="73F7BFC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②投标人具备ITSS信息技术服务运行维护标准符合性认证，提供三级及以上有效证书的，得2分；不提供不得分。</w:t>
            </w:r>
          </w:p>
          <w:p w14:paraId="7B5A5608">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注：若证书存在虚假、伪造情况，一经查实，作废标处理；已中标的，取消其中标资格，并按相关规定处理。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1440241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val="0"/>
                <w:bCs w:val="0"/>
                <w:i w:val="0"/>
                <w:iCs w:val="0"/>
                <w:color w:val="auto"/>
                <w:kern w:val="0"/>
                <w:sz w:val="21"/>
                <w:szCs w:val="21"/>
                <w:highlight w:val="none"/>
                <w:u w:val="none"/>
                <w:lang w:val="en-US" w:eastAsia="zh-CN" w:bidi="ar"/>
              </w:rPr>
              <w:t>删除</w:t>
            </w:r>
          </w:p>
        </w:tc>
      </w:tr>
      <w:tr w14:paraId="529A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483" w:type="pct"/>
            <w:shd w:val="clear" w:color="auto" w:fill="auto"/>
            <w:tcMar>
              <w:top w:w="60" w:type="dxa"/>
              <w:left w:w="120" w:type="dxa"/>
              <w:bottom w:w="60" w:type="dxa"/>
              <w:right w:w="120" w:type="dxa"/>
            </w:tcMar>
            <w:vAlign w:val="center"/>
          </w:tcPr>
          <w:p w14:paraId="31D715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9</w:t>
            </w:r>
          </w:p>
        </w:tc>
        <w:tc>
          <w:tcPr>
            <w:tcW w:w="805" w:type="pct"/>
            <w:shd w:val="clear" w:color="auto" w:fill="auto"/>
            <w:tcMar>
              <w:top w:w="60" w:type="dxa"/>
              <w:left w:w="120" w:type="dxa"/>
              <w:bottom w:w="60" w:type="dxa"/>
              <w:right w:w="120" w:type="dxa"/>
            </w:tcMar>
            <w:vAlign w:val="center"/>
          </w:tcPr>
          <w:p w14:paraId="378A649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2F4840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468B894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宋体" w:hAnsi="宋体" w:eastAsia="宋体" w:cs="宋体"/>
                <w:i w:val="0"/>
                <w:iCs w:val="0"/>
                <w:color w:val="auto"/>
                <w:kern w:val="0"/>
                <w:sz w:val="21"/>
                <w:szCs w:val="21"/>
                <w:highlight w:val="none"/>
                <w:u w:val="none"/>
                <w:lang w:val="en-US" w:eastAsia="zh-CN" w:bidi="ar"/>
              </w:rPr>
              <w:t>▲</w:t>
            </w:r>
            <w:r>
              <w:rPr>
                <w:rFonts w:hint="eastAsia" w:ascii="微软雅黑" w:hAnsi="微软雅黑" w:eastAsia="微软雅黑" w:cs="微软雅黑"/>
                <w:b w:val="0"/>
                <w:bCs w:val="0"/>
                <w:color w:val="auto"/>
                <w:kern w:val="0"/>
                <w:sz w:val="21"/>
                <w:szCs w:val="21"/>
                <w:highlight w:val="none"/>
                <w:lang w:val="en-US" w:eastAsia="zh-CN"/>
              </w:rPr>
              <w:t>”为重要指标，负偏离扣1分，直至扣完为止；一般技术参数每有一项负偏离扣0.5分，直至扣完为止。</w:t>
            </w:r>
          </w:p>
          <w:p w14:paraId="729E74E2">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c>
          <w:tcPr>
            <w:tcW w:w="1839" w:type="pct"/>
            <w:shd w:val="clear" w:color="auto" w:fill="auto"/>
            <w:tcMar>
              <w:top w:w="60" w:type="dxa"/>
              <w:left w:w="120" w:type="dxa"/>
              <w:bottom w:w="60" w:type="dxa"/>
              <w:right w:w="120" w:type="dxa"/>
            </w:tcMar>
            <w:vAlign w:val="center"/>
          </w:tcPr>
          <w:p w14:paraId="34A02546">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bCs/>
                <w:color w:val="auto"/>
                <w:sz w:val="21"/>
                <w:szCs w:val="21"/>
                <w:highlight w:val="none"/>
              </w:rPr>
              <w:t>技术参数：</w:t>
            </w:r>
            <w:r>
              <w:rPr>
                <w:rFonts w:hint="eastAsia" w:ascii="微软雅黑" w:hAnsi="微软雅黑" w:eastAsia="微软雅黑" w:cs="微软雅黑"/>
                <w:b w:val="0"/>
                <w:bCs w:val="0"/>
                <w:color w:val="auto"/>
                <w:sz w:val="21"/>
                <w:szCs w:val="21"/>
                <w:highlight w:val="none"/>
              </w:rPr>
              <w:t>根据投标人所投产品的配置、性能、技术指标及参数响应情况进行评分：</w:t>
            </w:r>
            <w:r>
              <w:rPr>
                <w:rFonts w:hint="eastAsia" w:ascii="微软雅黑" w:hAnsi="微软雅黑" w:eastAsia="微软雅黑" w:cs="微软雅黑"/>
                <w:b w:val="0"/>
                <w:bCs w:val="0"/>
                <w:color w:val="auto"/>
                <w:kern w:val="0"/>
                <w:sz w:val="21"/>
                <w:szCs w:val="21"/>
                <w:highlight w:val="none"/>
                <w:lang w:val="en-US" w:eastAsia="zh-CN"/>
              </w:rPr>
              <w:t>完全满足招标要求的得35分</w:t>
            </w:r>
            <w:r>
              <w:rPr>
                <w:rFonts w:hint="eastAsia" w:ascii="微软雅黑" w:hAnsi="微软雅黑" w:eastAsia="微软雅黑" w:cs="微软雅黑"/>
                <w:b w:val="0"/>
                <w:bCs w:val="0"/>
                <w:color w:val="auto"/>
                <w:kern w:val="0"/>
                <w:sz w:val="21"/>
                <w:szCs w:val="21"/>
                <w:highlight w:val="red"/>
                <w:lang w:val="en-US" w:eastAsia="zh-CN"/>
              </w:rPr>
              <w:t>；“</w:t>
            </w:r>
            <w:r>
              <w:rPr>
                <w:rFonts w:hint="eastAsia" w:ascii="宋体" w:hAnsi="宋体" w:eastAsia="宋体" w:cs="宋体"/>
                <w:i w:val="0"/>
                <w:iCs w:val="0"/>
                <w:color w:val="auto"/>
                <w:kern w:val="0"/>
                <w:sz w:val="21"/>
                <w:szCs w:val="21"/>
                <w:highlight w:val="red"/>
                <w:u w:val="none"/>
                <w:lang w:val="en-US" w:eastAsia="zh-CN" w:bidi="ar"/>
              </w:rPr>
              <w:t>▲</w:t>
            </w:r>
            <w:r>
              <w:rPr>
                <w:rFonts w:hint="eastAsia" w:ascii="微软雅黑" w:hAnsi="微软雅黑" w:eastAsia="微软雅黑" w:cs="微软雅黑"/>
                <w:b w:val="0"/>
                <w:bCs w:val="0"/>
                <w:color w:val="auto"/>
                <w:kern w:val="0"/>
                <w:sz w:val="21"/>
                <w:szCs w:val="21"/>
                <w:highlight w:val="red"/>
                <w:lang w:val="en-US" w:eastAsia="zh-CN"/>
              </w:rPr>
              <w:t>”为重要指标，负偏离扣2分，直至扣完为止</w:t>
            </w:r>
            <w:r>
              <w:rPr>
                <w:rFonts w:hint="eastAsia" w:ascii="微软雅黑" w:hAnsi="微软雅黑" w:eastAsia="微软雅黑" w:cs="微软雅黑"/>
                <w:b w:val="0"/>
                <w:bCs w:val="0"/>
                <w:color w:val="auto"/>
                <w:kern w:val="0"/>
                <w:sz w:val="21"/>
                <w:szCs w:val="21"/>
                <w:highlight w:val="none"/>
                <w:lang w:val="en-US" w:eastAsia="zh-CN"/>
              </w:rPr>
              <w:t>；一般技术参数每有一项负偏离扣0.5分，直至扣完为止。</w:t>
            </w:r>
          </w:p>
          <w:p w14:paraId="01AA3611">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b/>
                <w:bCs/>
                <w:color w:val="auto"/>
                <w:sz w:val="21"/>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r>
      <w:tr w14:paraId="3A36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9" w:hRule="atLeast"/>
        </w:trPr>
        <w:tc>
          <w:tcPr>
            <w:tcW w:w="483" w:type="pct"/>
            <w:shd w:val="clear" w:color="auto" w:fill="auto"/>
            <w:tcMar>
              <w:top w:w="60" w:type="dxa"/>
              <w:left w:w="120" w:type="dxa"/>
              <w:bottom w:w="60" w:type="dxa"/>
              <w:right w:w="120" w:type="dxa"/>
            </w:tcMar>
            <w:vAlign w:val="center"/>
          </w:tcPr>
          <w:p w14:paraId="3EFD1BB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10</w:t>
            </w:r>
          </w:p>
        </w:tc>
        <w:tc>
          <w:tcPr>
            <w:tcW w:w="805" w:type="pct"/>
            <w:shd w:val="clear" w:color="auto" w:fill="auto"/>
            <w:tcMar>
              <w:top w:w="60" w:type="dxa"/>
              <w:left w:w="120" w:type="dxa"/>
              <w:bottom w:w="60" w:type="dxa"/>
              <w:right w:w="120" w:type="dxa"/>
            </w:tcMar>
            <w:vAlign w:val="center"/>
          </w:tcPr>
          <w:p w14:paraId="272BD0DB">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t>第6章评标方法和标准</w:t>
            </w:r>
          </w:p>
          <w:p w14:paraId="403A8DED">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sz w:val="21"/>
                <w:szCs w:val="21"/>
              </w:rPr>
              <w:t>综合评分表（第五标段）</w:t>
            </w:r>
          </w:p>
        </w:tc>
        <w:tc>
          <w:tcPr>
            <w:tcW w:w="1872" w:type="pct"/>
            <w:shd w:val="clear" w:color="auto" w:fill="auto"/>
            <w:tcMar>
              <w:top w:w="60" w:type="dxa"/>
              <w:left w:w="120" w:type="dxa"/>
              <w:bottom w:w="60" w:type="dxa"/>
              <w:right w:w="120" w:type="dxa"/>
            </w:tcMar>
            <w:vAlign w:val="center"/>
          </w:tcPr>
          <w:p w14:paraId="26EA8538">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功能演示：（9分）</w:t>
            </w:r>
          </w:p>
          <w:p w14:paraId="623D32B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6AA890A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1.LED大屏/触控终端正常显示，课件投屏、多画面切换流畅无延迟，适配课堂教学需求，满足要求得1分，</w:t>
            </w:r>
            <w:r>
              <w:rPr>
                <w:rFonts w:hint="eastAsia" w:ascii="微软雅黑" w:hAnsi="微软雅黑" w:eastAsia="微软雅黑" w:cs="微软雅黑"/>
                <w:b/>
                <w:bCs/>
                <w:color w:val="auto"/>
                <w:kern w:val="0"/>
                <w:sz w:val="21"/>
                <w:szCs w:val="21"/>
                <w:highlight w:val="none"/>
              </w:rPr>
              <w:t>演示内容略有瑕疵，但不影响产品的整体功能的使用，与招标文件的要求及投标文件的响应基本吻合，每项得</w:t>
            </w:r>
            <w:r>
              <w:rPr>
                <w:rFonts w:hint="eastAsia" w:ascii="微软雅黑" w:hAnsi="微软雅黑" w:eastAsia="微软雅黑" w:cs="微软雅黑"/>
                <w:b w:val="0"/>
                <w:bCs w:val="0"/>
                <w:color w:val="auto"/>
                <w:kern w:val="0"/>
                <w:sz w:val="21"/>
                <w:szCs w:val="21"/>
                <w:highlight w:val="none"/>
                <w:lang w:val="en-US" w:eastAsia="zh-CN"/>
              </w:rPr>
              <w:t>0.5分，不提供演示不得分。</w:t>
            </w:r>
          </w:p>
          <w:p w14:paraId="7EF75BA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3093E1E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15C1672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207F9D5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5B532BA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6.支持语音转文字、课堂自动摘要、知识点提取、教学行为分析功能，满足要求得1分，演示内容一般得0.5分，不提供演示不得分。</w:t>
            </w:r>
          </w:p>
          <w:p w14:paraId="328B5B0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7C2B960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62A1634">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4B92D342">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2A188A8F">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31D365BF">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5C19C3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c>
          <w:tcPr>
            <w:tcW w:w="1839" w:type="pct"/>
            <w:shd w:val="clear" w:color="auto" w:fill="auto"/>
            <w:tcMar>
              <w:top w:w="60" w:type="dxa"/>
              <w:left w:w="120" w:type="dxa"/>
              <w:bottom w:w="60" w:type="dxa"/>
              <w:right w:w="120" w:type="dxa"/>
            </w:tcMar>
            <w:vAlign w:val="center"/>
          </w:tcPr>
          <w:p w14:paraId="2EFDCB40">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功能演示：（13分）</w:t>
            </w:r>
          </w:p>
          <w:p w14:paraId="2E9F1AB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6EBB9EB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w:t>
            </w:r>
            <w:r>
              <w:rPr>
                <w:rFonts w:hint="eastAsia" w:ascii="微软雅黑" w:hAnsi="微软雅黑" w:eastAsia="微软雅黑" w:cs="微软雅黑"/>
                <w:b w:val="0"/>
                <w:bCs w:val="0"/>
                <w:color w:val="auto"/>
                <w:kern w:val="0"/>
                <w:sz w:val="21"/>
                <w:szCs w:val="21"/>
                <w:highlight w:val="red"/>
                <w:lang w:val="en-US" w:eastAsia="zh-CN"/>
              </w:rPr>
              <w:t>得1.5分</w:t>
            </w:r>
            <w:r>
              <w:rPr>
                <w:rFonts w:hint="eastAsia"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43C040D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3A7C6E7">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064B90F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4.举手响应、实时答题、投屏互动、弹幕互动功能正常，响应及时，满足要求得1</w:t>
            </w:r>
            <w:r>
              <w:rPr>
                <w:rFonts w:hint="eastAsia" w:ascii="微软雅黑" w:hAnsi="微软雅黑" w:eastAsia="微软雅黑" w:cs="微软雅黑"/>
                <w:b w:val="0"/>
                <w:bCs w:val="0"/>
                <w:color w:val="auto"/>
                <w:kern w:val="0"/>
                <w:sz w:val="21"/>
                <w:szCs w:val="21"/>
                <w:highlight w:val="none"/>
                <w:lang w:val="en-US" w:eastAsia="zh-CN"/>
              </w:rPr>
              <w:t>.5</w:t>
            </w:r>
            <w:r>
              <w:rPr>
                <w:rFonts w:hint="default" w:ascii="微软雅黑" w:hAnsi="微软雅黑" w:eastAsia="微软雅黑" w:cs="微软雅黑"/>
                <w:b w:val="0"/>
                <w:bCs w:val="0"/>
                <w:color w:val="auto"/>
                <w:kern w:val="0"/>
                <w:sz w:val="21"/>
                <w:szCs w:val="21"/>
                <w:highlight w:val="none"/>
                <w:lang w:val="en-US" w:eastAsia="zh-CN"/>
              </w:rPr>
              <w:t>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EDF036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6CC09CF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w:t>
            </w:r>
            <w:r>
              <w:rPr>
                <w:rFonts w:hint="eastAsia" w:ascii="微软雅黑" w:hAnsi="微软雅黑" w:eastAsia="微软雅黑" w:cs="微软雅黑"/>
                <w:b w:val="0"/>
                <w:bCs w:val="0"/>
                <w:color w:val="auto"/>
                <w:kern w:val="0"/>
                <w:sz w:val="21"/>
                <w:szCs w:val="21"/>
                <w:highlight w:val="red"/>
                <w:lang w:val="en-US" w:eastAsia="zh-CN"/>
              </w:rPr>
              <w:t>1.5分</w:t>
            </w:r>
            <w:r>
              <w:rPr>
                <w:rFonts w:hint="eastAsia" w:ascii="微软雅黑" w:hAnsi="微软雅黑" w:eastAsia="微软雅黑" w:cs="微软雅黑"/>
                <w:b w:val="0"/>
                <w:bCs w:val="0"/>
                <w:color w:val="auto"/>
                <w:kern w:val="0"/>
                <w:sz w:val="21"/>
                <w:szCs w:val="21"/>
                <w:highlight w:val="none"/>
                <w:lang w:val="en-US" w:eastAsia="zh-CN"/>
              </w:rPr>
              <w:t>，演示内容一般得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4710A64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352EA79F">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695B0CD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31385B73">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6D2915B1">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7D5096C5">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130CED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r>
      <w:tr w14:paraId="70A7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15" w:hRule="atLeast"/>
        </w:trPr>
        <w:tc>
          <w:tcPr>
            <w:tcW w:w="979" w:type="dxa"/>
            <w:shd w:val="clear" w:color="auto" w:fill="auto"/>
            <w:tcMar>
              <w:top w:w="60" w:type="dxa"/>
              <w:left w:w="120" w:type="dxa"/>
              <w:bottom w:w="60" w:type="dxa"/>
              <w:right w:w="120" w:type="dxa"/>
            </w:tcMar>
            <w:vAlign w:val="center"/>
          </w:tcPr>
          <w:p w14:paraId="0235A66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center"/>
              <w:textAlignment w:val="auto"/>
              <w:rPr>
                <w:rFonts w:hint="default"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11</w:t>
            </w:r>
          </w:p>
        </w:tc>
        <w:tc>
          <w:tcPr>
            <w:tcW w:w="1631" w:type="dxa"/>
            <w:shd w:val="clear" w:color="auto" w:fill="auto"/>
            <w:tcMar>
              <w:top w:w="60" w:type="dxa"/>
              <w:left w:w="120" w:type="dxa"/>
              <w:bottom w:w="60" w:type="dxa"/>
              <w:right w:w="120" w:type="dxa"/>
            </w:tcMar>
            <w:vAlign w:val="center"/>
          </w:tcPr>
          <w:p w14:paraId="7BFCE1A3">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sz w:val="21"/>
                <w:szCs w:val="21"/>
              </w:rPr>
              <w:t>四、提交投标文件截止时间、开标时间和地点</w:t>
            </w:r>
          </w:p>
        </w:tc>
        <w:tc>
          <w:tcPr>
            <w:tcW w:w="3793" w:type="dxa"/>
            <w:shd w:val="clear" w:color="auto" w:fill="auto"/>
            <w:tcMar>
              <w:top w:w="60" w:type="dxa"/>
              <w:left w:w="120" w:type="dxa"/>
              <w:bottom w:w="60" w:type="dxa"/>
              <w:right w:w="120" w:type="dxa"/>
            </w:tcMar>
            <w:vAlign w:val="center"/>
          </w:tcPr>
          <w:p w14:paraId="445AA41F">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提交投标文件截止时间：2026年5月7日10：30（北京时间）</w:t>
            </w:r>
          </w:p>
          <w:p w14:paraId="6F41F6B6">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开标时间：2026年5月7日10：30（北京时间）</w:t>
            </w:r>
          </w:p>
        </w:tc>
        <w:tc>
          <w:tcPr>
            <w:tcW w:w="3726" w:type="dxa"/>
            <w:shd w:val="clear" w:color="auto" w:fill="auto"/>
            <w:tcMar>
              <w:top w:w="60" w:type="dxa"/>
              <w:left w:w="120" w:type="dxa"/>
              <w:bottom w:w="60" w:type="dxa"/>
              <w:right w:w="120" w:type="dxa"/>
            </w:tcMar>
            <w:vAlign w:val="center"/>
          </w:tcPr>
          <w:p w14:paraId="255E7C95">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提交投标文件截止时间：2026年5月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p w14:paraId="3674CD09">
            <w:pPr>
              <w:keepNext w:val="0"/>
              <w:keepLines w:val="0"/>
              <w:pageBreakBefore w:val="0"/>
              <w:widowControl/>
              <w:suppressLineNumbers w:val="0"/>
              <w:kinsoku/>
              <w:wordWrap w:val="0"/>
              <w:overflowPunct/>
              <w:topLinePunct w:val="0"/>
              <w:autoSpaceDE/>
              <w:autoSpaceDN/>
              <w:bidi w:val="0"/>
              <w:adjustRightInd/>
              <w:snapToGrid/>
              <w:spacing w:line="360" w:lineRule="exact"/>
              <w:ind w:firstLine="0" w:firstLineChars="0"/>
              <w:jc w:val="left"/>
              <w:textAlignment w:val="auto"/>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sz w:val="21"/>
                <w:szCs w:val="21"/>
              </w:rPr>
              <w:t>开标时间：2026年5月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日10：30（北京时间）</w:t>
            </w:r>
          </w:p>
        </w:tc>
      </w:tr>
    </w:tbl>
    <w:p w14:paraId="17C1C952">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p>
    <w:p w14:paraId="7509C377">
      <w:pPr>
        <w:pStyle w:val="3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微软雅黑" w:hAnsi="微软雅黑" w:eastAsia="微软雅黑" w:cs="微软雅黑"/>
          <w:i w:val="0"/>
          <w:iCs w:val="0"/>
          <w:caps w:val="0"/>
          <w:color w:val="000000"/>
          <w:spacing w:val="0"/>
          <w:sz w:val="24"/>
          <w:szCs w:val="24"/>
        </w:rPr>
      </w:pPr>
    </w:p>
    <w:p w14:paraId="3379D815"/>
    <w:p w14:paraId="66C57927">
      <w:pP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br w:type="page"/>
      </w:r>
    </w:p>
    <w:p w14:paraId="36A18C88">
      <w:pPr>
        <w:pStyle w:val="2"/>
        <w:tabs>
          <w:tab w:val="left" w:pos="0"/>
        </w:tabs>
        <w:spacing w:before="0" w:after="0" w:line="240" w:lineRule="atLeast"/>
        <w:rPr>
          <w:rFonts w:hint="eastAsia" w:ascii="微软雅黑" w:hAnsi="微软雅黑" w:eastAsia="微软雅黑" w:cs="微软雅黑"/>
          <w:b/>
          <w:bCs/>
          <w:color w:val="auto"/>
          <w:szCs w:val="32"/>
          <w:highlight w:val="none"/>
        </w:rPr>
      </w:pPr>
      <w:r>
        <w:rPr>
          <w:rFonts w:hint="eastAsia" w:ascii="微软雅黑" w:hAnsi="微软雅黑" w:eastAsia="微软雅黑" w:cs="微软雅黑"/>
          <w:b/>
          <w:bCs/>
          <w:color w:val="auto"/>
          <w:highlight w:val="none"/>
        </w:rPr>
        <w:t>第4章供应商须知资料表</w:t>
      </w:r>
      <w:bookmarkEnd w:id="2176"/>
      <w:bookmarkEnd w:id="2177"/>
      <w:bookmarkEnd w:id="2178"/>
      <w:bookmarkEnd w:id="2179"/>
      <w:bookmarkEnd w:id="2180"/>
      <w:bookmarkEnd w:id="2181"/>
      <w:bookmarkEnd w:id="2182"/>
      <w:bookmarkEnd w:id="2183"/>
      <w:bookmarkEnd w:id="2184"/>
      <w:bookmarkEnd w:id="2235"/>
    </w:p>
    <w:p w14:paraId="70BDC893">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本表是本招标项目的具体资料，是对供应商须知的具体补充和修改，如有矛盾，应以本资料表为准。</w:t>
      </w:r>
    </w:p>
    <w:tbl>
      <w:tblPr>
        <w:tblStyle w:val="36"/>
        <w:tblW w:w="9407" w:type="dxa"/>
        <w:tblInd w:w="-3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2"/>
        <w:gridCol w:w="7995"/>
      </w:tblGrid>
      <w:tr w14:paraId="5DAD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412" w:type="dxa"/>
            <w:vAlign w:val="center"/>
          </w:tcPr>
          <w:p w14:paraId="702D2786">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7995" w:type="dxa"/>
            <w:vAlign w:val="center"/>
          </w:tcPr>
          <w:p w14:paraId="0865FEAA">
            <w:pPr>
              <w:spacing w:line="360" w:lineRule="exact"/>
              <w:ind w:left="1080" w:leftChars="257" w:hanging="540"/>
              <w:jc w:val="cente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内容</w:t>
            </w:r>
          </w:p>
        </w:tc>
      </w:tr>
      <w:tr w14:paraId="6631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trPr>
        <w:tc>
          <w:tcPr>
            <w:tcW w:w="1412" w:type="dxa"/>
            <w:vAlign w:val="center"/>
          </w:tcPr>
          <w:p w14:paraId="5155E601">
            <w:pPr>
              <w:spacing w:line="36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7995" w:type="dxa"/>
            <w:vAlign w:val="center"/>
          </w:tcPr>
          <w:p w14:paraId="756CF239">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r>
              <w:rPr>
                <w:rFonts w:hint="eastAsia" w:ascii="微软雅黑" w:hAnsi="微软雅黑" w:eastAsia="微软雅黑" w:cs="微软雅黑"/>
                <w:color w:val="auto"/>
                <w:sz w:val="24"/>
                <w:highlight w:val="none"/>
                <w:u w:val="single"/>
              </w:rPr>
              <w:t>喀什大学</w:t>
            </w:r>
          </w:p>
          <w:p w14:paraId="3C78549B">
            <w:pPr>
              <w:spacing w:line="360" w:lineRule="exact"/>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lang w:eastAsia="zh-CN"/>
              </w:rPr>
              <w:t>孟老师</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u w:val="none"/>
                <w:lang w:val="en-US" w:eastAsia="zh-CN"/>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lang w:eastAsia="zh-CN"/>
              </w:rPr>
              <w:t>18899357172</w:t>
            </w:r>
          </w:p>
        </w:tc>
      </w:tr>
      <w:tr w14:paraId="6EC9F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412" w:type="dxa"/>
            <w:vAlign w:val="center"/>
          </w:tcPr>
          <w:p w14:paraId="65C525CA">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7995" w:type="dxa"/>
            <w:vAlign w:val="center"/>
          </w:tcPr>
          <w:p w14:paraId="0F8F98B3">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新疆共建恒业信息咨询有限责任公司</w:t>
            </w:r>
          </w:p>
          <w:p w14:paraId="36AAB4A7">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14:paraId="1E7FAEE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kern w:val="0"/>
                <w:sz w:val="24"/>
                <w:highlight w:val="none"/>
                <w:u w:val="single"/>
                <w:lang w:eastAsia="zh-CN"/>
              </w:rPr>
              <w:t>刘薇、朱萍</w:t>
            </w:r>
            <w:r>
              <w:rPr>
                <w:rFonts w:hint="eastAsia" w:ascii="微软雅黑" w:hAnsi="微软雅黑" w:eastAsia="微软雅黑" w:cs="微软雅黑"/>
                <w:color w:val="auto"/>
                <w:sz w:val="24"/>
                <w:highlight w:val="none"/>
              </w:rPr>
              <w:t>　联系电话：</w:t>
            </w:r>
            <w:r>
              <w:rPr>
                <w:rFonts w:hint="eastAsia" w:ascii="微软雅黑" w:hAnsi="微软雅黑" w:eastAsia="微软雅黑" w:cs="微软雅黑"/>
                <w:color w:val="auto"/>
                <w:sz w:val="24"/>
                <w:highlight w:val="none"/>
                <w:u w:val="single"/>
              </w:rPr>
              <w:t>18209987338</w:t>
            </w:r>
          </w:p>
        </w:tc>
      </w:tr>
      <w:tr w14:paraId="00607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9191D9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7995" w:type="dxa"/>
            <w:vAlign w:val="center"/>
          </w:tcPr>
          <w:p w14:paraId="2F739365">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合格供应商的其他资格要求（须将以下资格证明材料附在投标文件中并对应上传关联节点）：</w:t>
            </w:r>
          </w:p>
          <w:p w14:paraId="4BF0519F">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1、具有有效的营业执照；</w:t>
            </w:r>
          </w:p>
          <w:p w14:paraId="60E88D26">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b/>
                <w:bCs/>
                <w:color w:val="auto"/>
                <w:sz w:val="24"/>
                <w:highlight w:val="none"/>
              </w:rPr>
              <w:t>；</w:t>
            </w:r>
          </w:p>
          <w:p w14:paraId="1BD0B5B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提供</w:t>
            </w:r>
            <w:r>
              <w:rPr>
                <w:rFonts w:hint="eastAsia" w:ascii="微软雅黑" w:hAnsi="微软雅黑" w:eastAsia="微软雅黑" w:cs="微软雅黑"/>
                <w:b/>
                <w:bCs/>
                <w:color w:val="auto"/>
                <w:sz w:val="24"/>
                <w:highlight w:val="none"/>
                <w:lang w:val="en-US" w:eastAsia="zh-CN"/>
              </w:rPr>
              <w:t>2024年或2025年</w:t>
            </w:r>
            <w:r>
              <w:rPr>
                <w:rFonts w:hint="eastAsia" w:ascii="微软雅黑" w:hAnsi="微软雅黑" w:eastAsia="微软雅黑" w:cs="微软雅黑"/>
                <w:b/>
                <w:bCs/>
                <w:color w:val="auto"/>
                <w:sz w:val="24"/>
                <w:highlight w:val="none"/>
                <w:lang w:eastAsia="zh-CN"/>
              </w:rPr>
              <w:t>任意一年完整的财务审计报告，成立时间未满十二个月的公司可提供近三个月内任意一个月的银行资信证明</w:t>
            </w:r>
            <w:r>
              <w:rPr>
                <w:rFonts w:hint="eastAsia" w:ascii="微软雅黑" w:hAnsi="微软雅黑" w:eastAsia="微软雅黑" w:cs="微软雅黑"/>
                <w:b/>
                <w:bCs/>
                <w:color w:val="auto"/>
                <w:sz w:val="24"/>
                <w:highlight w:val="none"/>
              </w:rPr>
              <w:t>；</w:t>
            </w:r>
          </w:p>
          <w:p w14:paraId="6EFD888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4、提供依法缴纳近6个月任意1个月社会保险的证明；</w:t>
            </w:r>
          </w:p>
          <w:p w14:paraId="126DFC12">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5、提供依法缴纳近6个月任意1个月的税收证明；</w:t>
            </w:r>
          </w:p>
          <w:p w14:paraId="69E35E0F">
            <w:pPr>
              <w:widowControl/>
              <w:wordWrap w:val="0"/>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6、根据《财政部关于在政府采购活动中查询及使用信用记录有关问题的通知》（财库﹝2016﹞125号）的要求，凡拟参加本次招标项目的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，如</w:t>
            </w:r>
            <w:r>
              <w:rPr>
                <w:rFonts w:hint="eastAsia" w:ascii="微软雅黑" w:hAnsi="微软雅黑" w:eastAsia="微软雅黑" w:cs="微软雅黑"/>
                <w:b/>
                <w:bCs/>
                <w:color w:val="auto"/>
                <w:sz w:val="24"/>
                <w:highlight w:val="none"/>
                <w:lang w:eastAsia="zh-CN"/>
              </w:rPr>
              <w:t>在“信用中国”网站（https://www.creditchina.gov.cn/）被列入严重失信主体名单、重大税收违法失信主体名单（首页-信用公示-严重失信主体名单查询/重大税收违法失信主体名单-搜索栏输入单位全称）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b/>
                <w:bCs/>
                <w:color w:val="auto"/>
                <w:sz w:val="24"/>
                <w:highlight w:val="none"/>
              </w:rPr>
              <w:t>、中国政府采购网（https://www.ccgp.gov.cn/search/cr/）严重违法失信行为信息记录名单（尚在处罚期内的），将拒绝其参加本次招标活动（以代理机构或采购人查询为准）；</w:t>
            </w:r>
          </w:p>
          <w:p w14:paraId="610A9FFB">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7、提供参加政府采购活动前3年内在经营活动中没有重大违法记录的书面声明函；</w:t>
            </w:r>
          </w:p>
          <w:p w14:paraId="211E88CD">
            <w:pPr>
              <w:widowControl/>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8、提供缴纳投标保证金有效凭证。</w:t>
            </w:r>
          </w:p>
          <w:p w14:paraId="38D9A50C">
            <w:pPr>
              <w:widowControl/>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注：“提供依法缴纳近6个月任意1个月的税收证明”：①若供应商某月税收为零申报，须提供加盖税务局公章的无欠税证明或“国家税务总局电子税务局（12366.chinatax.gov.cn/bsfw/onlinetaxation/main）”的申报结果查询截图。②完税证明中“税种”非养老保险、医疗保险、失业保险、工伤保险和生育保险。请各供应商注意！</w:t>
            </w:r>
          </w:p>
        </w:tc>
      </w:tr>
      <w:tr w14:paraId="003B0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412" w:type="dxa"/>
            <w:vAlign w:val="center"/>
          </w:tcPr>
          <w:p w14:paraId="076444CB">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w:t>
            </w:r>
          </w:p>
        </w:tc>
        <w:tc>
          <w:tcPr>
            <w:tcW w:w="7995" w:type="dxa"/>
            <w:vAlign w:val="center"/>
          </w:tcPr>
          <w:p w14:paraId="1FFEA34A">
            <w:pPr>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是否允许采购进口产品：</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2CDE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245521E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7995" w:type="dxa"/>
            <w:vAlign w:val="center"/>
          </w:tcPr>
          <w:p w14:paraId="482E9DAF">
            <w:pPr>
              <w:pStyle w:val="16"/>
              <w:ind w:left="0"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是否为专门面向中小企业采购：</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p w14:paraId="0A7DB793">
            <w:pPr>
              <w:pStyle w:val="16"/>
              <w:ind w:left="0"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本项目所属行业为“工业”。</w:t>
            </w:r>
          </w:p>
        </w:tc>
      </w:tr>
      <w:tr w14:paraId="32D0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412" w:type="dxa"/>
            <w:vAlign w:val="center"/>
          </w:tcPr>
          <w:p w14:paraId="49750453">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7995" w:type="dxa"/>
            <w:vAlign w:val="center"/>
          </w:tcPr>
          <w:p w14:paraId="2D4FFAA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4C9CA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12" w:type="dxa"/>
            <w:vAlign w:val="center"/>
          </w:tcPr>
          <w:p w14:paraId="7985691C">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7995" w:type="dxa"/>
            <w:vAlign w:val="center"/>
          </w:tcPr>
          <w:p w14:paraId="6AE0FC32">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w:t>
            </w:r>
            <w:r>
              <w:rPr>
                <w:rFonts w:hint="eastAsia" w:ascii="微软雅黑" w:hAnsi="微软雅黑" w:eastAsia="微软雅黑" w:cs="微软雅黑"/>
                <w:color w:val="auto"/>
                <w:sz w:val="24"/>
                <w:highlight w:val="none"/>
                <w:u w:val="single"/>
              </w:rPr>
              <w:t>无</w:t>
            </w:r>
          </w:p>
        </w:tc>
      </w:tr>
      <w:tr w14:paraId="43153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12" w:type="dxa"/>
            <w:vAlign w:val="center"/>
          </w:tcPr>
          <w:p w14:paraId="0A5D0C2A">
            <w:pPr>
              <w:spacing w:line="360" w:lineRule="exact"/>
              <w:ind w:left="1080" w:leftChars="257" w:hanging="540"/>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1.5</w:t>
            </w:r>
          </w:p>
        </w:tc>
        <w:tc>
          <w:tcPr>
            <w:tcW w:w="7995" w:type="dxa"/>
            <w:vAlign w:val="center"/>
          </w:tcPr>
          <w:p w14:paraId="1C5A438D">
            <w:pPr>
              <w:spacing w:line="360" w:lineRule="exac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核心产品：LED全彩显示屏套件、集成录播系统、录播抠像系统、资源管理系统、智慧黑板</w:t>
            </w:r>
          </w:p>
        </w:tc>
      </w:tr>
      <w:tr w14:paraId="597E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412" w:type="dxa"/>
            <w:vAlign w:val="center"/>
          </w:tcPr>
          <w:p w14:paraId="1673962E">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7995" w:type="dxa"/>
            <w:vAlign w:val="center"/>
          </w:tcPr>
          <w:p w14:paraId="053FB7AB">
            <w:pPr>
              <w:pStyle w:val="7"/>
              <w:ind w:firstLine="0"/>
              <w:rPr>
                <w:rFonts w:hint="eastAsia" w:ascii="微软雅黑" w:hAnsi="微软雅黑" w:eastAsia="微软雅黑" w:cs="微软雅黑"/>
                <w:b/>
                <w:bCs/>
                <w:color w:val="auto"/>
                <w:kern w:val="2"/>
                <w:szCs w:val="24"/>
                <w:highlight w:val="none"/>
                <w:lang w:eastAsia="zh-CN"/>
              </w:rPr>
            </w:pPr>
            <w:r>
              <w:rPr>
                <w:rFonts w:hint="eastAsia" w:ascii="微软雅黑" w:hAnsi="微软雅黑" w:eastAsia="微软雅黑" w:cs="微软雅黑"/>
                <w:b/>
                <w:bCs/>
                <w:color w:val="auto"/>
                <w:kern w:val="2"/>
                <w:szCs w:val="24"/>
                <w:highlight w:val="none"/>
                <w:lang w:val="en-US" w:eastAsia="zh-CN"/>
              </w:rPr>
              <w:t>项目</w:t>
            </w:r>
            <w:r>
              <w:rPr>
                <w:rFonts w:hint="eastAsia" w:ascii="微软雅黑" w:hAnsi="微软雅黑" w:eastAsia="微软雅黑" w:cs="微软雅黑"/>
                <w:b/>
                <w:bCs/>
                <w:color w:val="auto"/>
                <w:kern w:val="2"/>
                <w:szCs w:val="24"/>
                <w:highlight w:val="none"/>
              </w:rPr>
              <w:t>预算金额：</w:t>
            </w:r>
            <w:r>
              <w:rPr>
                <w:rFonts w:hint="eastAsia" w:ascii="微软雅黑" w:hAnsi="微软雅黑" w:eastAsia="微软雅黑" w:cs="微软雅黑"/>
                <w:b/>
                <w:bCs/>
                <w:color w:val="auto"/>
                <w:kern w:val="2"/>
                <w:szCs w:val="24"/>
                <w:highlight w:val="none"/>
                <w:lang w:val="en-US" w:eastAsia="zh-CN"/>
              </w:rPr>
              <w:t>第五标段：</w:t>
            </w:r>
            <w:r>
              <w:rPr>
                <w:rFonts w:hint="eastAsia" w:ascii="微软雅黑" w:hAnsi="微软雅黑" w:eastAsia="微软雅黑" w:cs="微软雅黑"/>
                <w:b/>
                <w:bCs/>
                <w:color w:val="auto"/>
                <w:kern w:val="2"/>
                <w:szCs w:val="24"/>
                <w:highlight w:val="none"/>
              </w:rPr>
              <w:t>1160000</w:t>
            </w:r>
            <w:r>
              <w:rPr>
                <w:rFonts w:hint="eastAsia" w:ascii="微软雅黑" w:hAnsi="微软雅黑" w:eastAsia="微软雅黑" w:cs="微软雅黑"/>
                <w:b/>
                <w:bCs/>
                <w:color w:val="auto"/>
                <w:kern w:val="2"/>
                <w:szCs w:val="24"/>
                <w:highlight w:val="none"/>
                <w:lang w:val="en-US" w:eastAsia="zh-CN"/>
              </w:rPr>
              <w:t>元</w:t>
            </w:r>
            <w:r>
              <w:rPr>
                <w:rFonts w:hint="eastAsia" w:ascii="微软雅黑" w:hAnsi="微软雅黑" w:eastAsia="微软雅黑" w:cs="微软雅黑"/>
                <w:b/>
                <w:bCs/>
                <w:color w:val="auto"/>
                <w:kern w:val="2"/>
                <w:szCs w:val="24"/>
                <w:highlight w:val="none"/>
                <w:lang w:eastAsia="zh-CN"/>
              </w:rPr>
              <w:t>。</w:t>
            </w:r>
          </w:p>
          <w:p w14:paraId="24F538AE">
            <w:pPr>
              <w:pStyle w:val="7"/>
              <w:ind w:firstLine="0"/>
              <w:rPr>
                <w:rFonts w:hint="eastAsia" w:ascii="微软雅黑" w:hAnsi="微软雅黑" w:eastAsia="微软雅黑" w:cs="微软雅黑"/>
                <w:b/>
                <w:bCs/>
                <w:color w:val="auto"/>
                <w:kern w:val="2"/>
                <w:szCs w:val="24"/>
                <w:highlight w:val="none"/>
              </w:rPr>
            </w:pPr>
            <w:r>
              <w:rPr>
                <w:rFonts w:hint="eastAsia" w:ascii="微软雅黑" w:hAnsi="微软雅黑" w:eastAsia="微软雅黑" w:cs="微软雅黑"/>
                <w:b/>
                <w:bCs/>
                <w:color w:val="auto"/>
                <w:kern w:val="2"/>
                <w:szCs w:val="24"/>
                <w:highlight w:val="none"/>
              </w:rPr>
              <w:t>最高限价：</w:t>
            </w:r>
            <w:r>
              <w:rPr>
                <w:rFonts w:hint="eastAsia" w:ascii="微软雅黑" w:hAnsi="微软雅黑" w:eastAsia="微软雅黑" w:cs="微软雅黑"/>
                <w:b/>
                <w:bCs/>
                <w:color w:val="auto"/>
                <w:kern w:val="2"/>
                <w:szCs w:val="24"/>
                <w:highlight w:val="none"/>
                <w:lang w:val="en-US" w:eastAsia="zh-CN"/>
              </w:rPr>
              <w:t>第五标段：</w:t>
            </w:r>
            <w:r>
              <w:rPr>
                <w:rFonts w:hint="eastAsia" w:ascii="微软雅黑" w:hAnsi="微软雅黑" w:eastAsia="微软雅黑" w:cs="微软雅黑"/>
                <w:b/>
                <w:bCs/>
                <w:color w:val="auto"/>
                <w:kern w:val="2"/>
                <w:szCs w:val="24"/>
                <w:highlight w:val="none"/>
              </w:rPr>
              <w:t>1160000</w:t>
            </w:r>
            <w:r>
              <w:rPr>
                <w:rFonts w:hint="eastAsia" w:ascii="微软雅黑" w:hAnsi="微软雅黑" w:eastAsia="微软雅黑" w:cs="微软雅黑"/>
                <w:b/>
                <w:bCs/>
                <w:color w:val="auto"/>
                <w:kern w:val="2"/>
                <w:szCs w:val="24"/>
                <w:highlight w:val="none"/>
                <w:lang w:val="en-US" w:eastAsia="zh-CN"/>
              </w:rPr>
              <w:t>元</w:t>
            </w:r>
            <w:r>
              <w:rPr>
                <w:rFonts w:hint="eastAsia" w:ascii="微软雅黑" w:hAnsi="微软雅黑" w:eastAsia="微软雅黑" w:cs="微软雅黑"/>
                <w:b/>
                <w:bCs/>
                <w:color w:val="auto"/>
                <w:kern w:val="2"/>
                <w:szCs w:val="24"/>
                <w:highlight w:val="none"/>
                <w:lang w:eastAsia="zh-CN"/>
              </w:rPr>
              <w:t>。</w:t>
            </w:r>
          </w:p>
          <w:p w14:paraId="11B8C575">
            <w:pPr>
              <w:pStyle w:val="7"/>
              <w:ind w:firstLine="0"/>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2"/>
                <w:szCs w:val="24"/>
                <w:highlight w:val="none"/>
              </w:rPr>
              <w:t>注：各报价不得超过预算金额否则按废标处理。</w:t>
            </w:r>
          </w:p>
        </w:tc>
      </w:tr>
      <w:tr w14:paraId="0ACAA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412" w:type="dxa"/>
            <w:vAlign w:val="center"/>
          </w:tcPr>
          <w:p w14:paraId="48D8F4AB">
            <w:pPr>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w:t>
            </w:r>
          </w:p>
        </w:tc>
        <w:tc>
          <w:tcPr>
            <w:tcW w:w="7995" w:type="dxa"/>
            <w:vAlign w:val="center"/>
          </w:tcPr>
          <w:p w14:paraId="52F140D0">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投标保证金形式：☑保函☑电汇☑支票☑对公转账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本票☑汇票</w:t>
            </w:r>
          </w:p>
          <w:p w14:paraId="491013D6">
            <w:pPr>
              <w:spacing w:line="34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投标保证金数额：</w:t>
            </w:r>
            <w:r>
              <w:rPr>
                <w:rFonts w:hint="eastAsia" w:ascii="微软雅黑" w:hAnsi="微软雅黑" w:eastAsia="微软雅黑" w:cs="微软雅黑"/>
                <w:b/>
                <w:bCs/>
                <w:color w:val="auto"/>
                <w:sz w:val="24"/>
                <w:highlight w:val="none"/>
                <w:lang w:val="en-US" w:eastAsia="zh-CN"/>
              </w:rPr>
              <w:t>第五标段：</w:t>
            </w:r>
            <w:r>
              <w:rPr>
                <w:rFonts w:hint="eastAsia" w:ascii="微软雅黑" w:hAnsi="微软雅黑" w:eastAsia="微软雅黑" w:cs="微软雅黑"/>
                <w:b/>
                <w:bCs/>
                <w:color w:val="auto"/>
                <w:sz w:val="24"/>
                <w:highlight w:val="none"/>
              </w:rPr>
              <w:t>小写：</w:t>
            </w:r>
            <w:r>
              <w:rPr>
                <w:rFonts w:hint="eastAsia" w:ascii="微软雅黑" w:hAnsi="微软雅黑" w:eastAsia="微软雅黑" w:cs="微软雅黑"/>
                <w:b/>
                <w:bCs/>
                <w:color w:val="auto"/>
                <w:sz w:val="24"/>
                <w:highlight w:val="none"/>
                <w:lang w:val="en-US" w:eastAsia="zh-CN"/>
              </w:rPr>
              <w:t>23000</w:t>
            </w:r>
            <w:r>
              <w:rPr>
                <w:rFonts w:hint="eastAsia" w:ascii="微软雅黑" w:hAnsi="微软雅黑" w:eastAsia="微软雅黑" w:cs="微软雅黑"/>
                <w:b/>
                <w:bCs/>
                <w:color w:val="auto"/>
                <w:sz w:val="24"/>
                <w:highlight w:val="none"/>
              </w:rPr>
              <w:t>元(大写：</w:t>
            </w:r>
            <w:r>
              <w:rPr>
                <w:rFonts w:hint="eastAsia" w:ascii="微软雅黑" w:hAnsi="微软雅黑" w:eastAsia="微软雅黑" w:cs="微软雅黑"/>
                <w:b/>
                <w:bCs/>
                <w:color w:val="auto"/>
                <w:sz w:val="24"/>
                <w:highlight w:val="none"/>
                <w:lang w:val="en-US" w:eastAsia="zh-CN"/>
              </w:rPr>
              <w:t>贰万叁仟元</w:t>
            </w:r>
            <w:r>
              <w:rPr>
                <w:rFonts w:hint="eastAsia" w:ascii="微软雅黑" w:hAnsi="微软雅黑" w:eastAsia="微软雅黑" w:cs="微软雅黑"/>
                <w:b/>
                <w:bCs/>
                <w:color w:val="auto"/>
                <w:sz w:val="24"/>
                <w:highlight w:val="none"/>
              </w:rPr>
              <w:t>整）</w:t>
            </w:r>
          </w:p>
          <w:p w14:paraId="45B97906">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投标保证金收款单位名称：新疆共建恒业信息咨询有限责任公司</w:t>
            </w:r>
          </w:p>
          <w:p w14:paraId="7E590E07">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开户行：乌鲁木齐银行喀什分行（营业部）</w:t>
            </w:r>
          </w:p>
          <w:p w14:paraId="5D0994A7">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账号：0000020080110025191371（电汇时请在汇款备注栏注明项目名称及</w:t>
            </w:r>
            <w:r>
              <w:rPr>
                <w:rFonts w:hint="eastAsia" w:ascii="微软雅黑" w:hAnsi="微软雅黑" w:eastAsia="微软雅黑" w:cs="微软雅黑"/>
                <w:b/>
                <w:bCs/>
                <w:color w:val="auto"/>
                <w:sz w:val="24"/>
                <w:highlight w:val="none"/>
                <w:lang w:val="en-US" w:eastAsia="zh-CN"/>
              </w:rPr>
              <w:t>标段号</w:t>
            </w:r>
            <w:r>
              <w:rPr>
                <w:rFonts w:hint="eastAsia" w:ascii="微软雅黑" w:hAnsi="微软雅黑" w:eastAsia="微软雅黑" w:cs="微软雅黑"/>
                <w:b/>
                <w:bCs/>
                <w:color w:val="auto"/>
                <w:sz w:val="24"/>
                <w:highlight w:val="none"/>
              </w:rPr>
              <w:t>（如第五标段），并注明是投标保证金。）</w:t>
            </w:r>
          </w:p>
          <w:p w14:paraId="7FEFE8C3">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行号：313894000405</w:t>
            </w:r>
          </w:p>
          <w:p w14:paraId="1F49552F">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14:paraId="05EF9D26">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A:缴纳投标保证金要求：</w:t>
            </w:r>
          </w:p>
          <w:p w14:paraId="01895D93">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投标保证金必须在开标前提交到代理机构账户中。不接受现金及任何个人、分公司汇款。供应商向银行办理保证金汇（转）款时，应在用途栏（备注栏）注明项目名称及</w:t>
            </w:r>
            <w:r>
              <w:rPr>
                <w:rFonts w:hint="eastAsia" w:ascii="微软雅黑" w:hAnsi="微软雅黑" w:eastAsia="微软雅黑" w:cs="微软雅黑"/>
                <w:b/>
                <w:bCs/>
                <w:color w:val="auto"/>
                <w:sz w:val="24"/>
                <w:highlight w:val="none"/>
                <w:lang w:eastAsia="zh-CN"/>
              </w:rPr>
              <w:t>标段号</w:t>
            </w:r>
            <w:r>
              <w:rPr>
                <w:rFonts w:hint="eastAsia" w:ascii="微软雅黑" w:hAnsi="微软雅黑" w:eastAsia="微软雅黑" w:cs="微软雅黑"/>
                <w:b/>
                <w:bCs/>
                <w:color w:val="auto"/>
                <w:sz w:val="24"/>
                <w:highlight w:val="none"/>
              </w:rPr>
              <w:t>（如有），并注明是投标保证金字样，如填写字数有要求可简写项目名称与</w:t>
            </w:r>
            <w:r>
              <w:rPr>
                <w:rFonts w:hint="eastAsia" w:ascii="微软雅黑" w:hAnsi="微软雅黑" w:eastAsia="微软雅黑" w:cs="微软雅黑"/>
                <w:b/>
                <w:bCs/>
                <w:color w:val="auto"/>
                <w:sz w:val="24"/>
                <w:highlight w:val="none"/>
                <w:lang w:eastAsia="zh-CN"/>
              </w:rPr>
              <w:t>标段号</w:t>
            </w:r>
            <w:r>
              <w:rPr>
                <w:rFonts w:hint="eastAsia" w:ascii="微软雅黑" w:hAnsi="微软雅黑" w:eastAsia="微软雅黑" w:cs="微软雅黑"/>
                <w:b/>
                <w:bCs/>
                <w:color w:val="auto"/>
                <w:sz w:val="24"/>
                <w:highlight w:val="none"/>
              </w:rPr>
              <w:t>（如有），由于未按要求注明信息而导致的一切后果由供应商自行承担。</w:t>
            </w:r>
          </w:p>
          <w:p w14:paraId="669BFC64">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B：退投标保证金：</w:t>
            </w:r>
          </w:p>
          <w:p w14:paraId="7AE386FB">
            <w:pPr>
              <w:spacing w:line="34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供应商的投标保证金，自采购合同签订之日起5个工作日内退还中标供应商的投标保证金。</w:t>
            </w:r>
          </w:p>
          <w:p w14:paraId="6CD19BA2">
            <w:pPr>
              <w:spacing w:line="34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"mailto:中标供应商的投标保证金在与采购单位签订合同后，把合同扫描件发送至邮箱3465165565@qq.com后，当日或次日即原账户退回。"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b/>
                <w:bCs/>
                <w:color w:val="auto"/>
                <w:sz w:val="24"/>
                <w:highlight w:val="none"/>
              </w:rPr>
              <w:t>中标供应商的投标保证金在与采购人签订合同后，把合同扫描件发送至邮箱3465165565@qq.com后，当日或次日即原账户退回。</w:t>
            </w:r>
            <w:r>
              <w:rPr>
                <w:rFonts w:hint="eastAsia" w:ascii="微软雅黑" w:hAnsi="微软雅黑" w:eastAsia="微软雅黑" w:cs="微软雅黑"/>
                <w:b/>
                <w:bCs/>
                <w:color w:val="auto"/>
                <w:sz w:val="24"/>
                <w:highlight w:val="none"/>
              </w:rPr>
              <w:fldChar w:fldCharType="end"/>
            </w:r>
          </w:p>
        </w:tc>
      </w:tr>
      <w:tr w14:paraId="0DE69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412" w:type="dxa"/>
            <w:vAlign w:val="center"/>
          </w:tcPr>
          <w:p w14:paraId="5889441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7995" w:type="dxa"/>
            <w:vAlign w:val="center"/>
          </w:tcPr>
          <w:p w14:paraId="3592A1CC">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b/>
                <w:bCs/>
                <w:color w:val="auto"/>
                <w:sz w:val="24"/>
                <w:highlight w:val="none"/>
              </w:rPr>
              <w:t>投标有效期：</w:t>
            </w:r>
            <w:r>
              <w:rPr>
                <w:rFonts w:hint="eastAsia" w:ascii="微软雅黑" w:hAnsi="微软雅黑" w:eastAsia="微软雅黑" w:cs="微软雅黑"/>
                <w:b/>
                <w:bCs/>
                <w:color w:val="auto"/>
                <w:sz w:val="24"/>
                <w:highlight w:val="none"/>
                <w:u w:val="single"/>
              </w:rPr>
              <w:t>　90　</w:t>
            </w:r>
            <w:r>
              <w:rPr>
                <w:rFonts w:hint="eastAsia" w:ascii="微软雅黑" w:hAnsi="微软雅黑" w:eastAsia="微软雅黑" w:cs="微软雅黑"/>
                <w:b/>
                <w:bCs/>
                <w:color w:val="auto"/>
                <w:sz w:val="24"/>
                <w:highlight w:val="none"/>
              </w:rPr>
              <w:t>日历日</w:t>
            </w:r>
          </w:p>
        </w:tc>
      </w:tr>
      <w:tr w14:paraId="5BE0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1" w:hRule="atLeast"/>
        </w:trPr>
        <w:tc>
          <w:tcPr>
            <w:tcW w:w="1412" w:type="dxa"/>
            <w:vAlign w:val="center"/>
          </w:tcPr>
          <w:p w14:paraId="7E20A77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7995" w:type="dxa"/>
            <w:vAlign w:val="center"/>
          </w:tcPr>
          <w:p w14:paraId="09DB3B82">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1196F52A">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（2）本项目实行网上投标，采用电子投标文件(供应商须使用CA加密设备通过政采云电子投标客户端制作投标文件)。若供应商参与投标，自行承担投标一切费用。</w:t>
            </w:r>
          </w:p>
          <w:p w14:paraId="4A57005D">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0506194">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455C10C">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（5）供应商在开标时须使用制作加密电子投标文件所使用的CA锁及电脑，电脑须提前配置好浏览器（建议使用360浏览器或谷歌浏览器），以便开标时解锁。</w:t>
            </w:r>
          </w:p>
          <w:p w14:paraId="77659776">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（6）投标保证金缴纳及确认时间：凡拟参加本次招标项目的供应商，必须在开标前将投标保证金汇入指定账户。否则，届时其投标将被拒绝。</w:t>
            </w:r>
          </w:p>
          <w:p w14:paraId="2E080455">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0F3C5AD">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jmbs，包含第一部分开标一览表及资格证明文件、第二部分商务及技术文件）</w:t>
            </w:r>
          </w:p>
          <w:p w14:paraId="0F45E861">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（9）供应商应完整地按招标文件提供的投标文件格式及要求编写投标文件，根据平台关联点上传对应佐证资料，供应商应承担上传失误产生的任何后果。</w:t>
            </w:r>
          </w:p>
          <w:p w14:paraId="4F1AF178">
            <w:pPr>
              <w:wordWrap w:val="0"/>
              <w:spacing w:line="40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（10）解密时长为30分钟，超出解密时长，作无效投标处理。</w:t>
            </w:r>
          </w:p>
        </w:tc>
      </w:tr>
      <w:tr w14:paraId="0A936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717A57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7995" w:type="dxa"/>
            <w:vAlign w:val="center"/>
          </w:tcPr>
          <w:p w14:paraId="40E524B2">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u w:val="single"/>
              </w:rPr>
              <w:t>2026年</w:t>
            </w:r>
            <w:r>
              <w:rPr>
                <w:rFonts w:hint="eastAsia" w:ascii="微软雅黑" w:hAnsi="微软雅黑" w:eastAsia="微软雅黑" w:cs="微软雅黑"/>
                <w:b/>
                <w:bCs/>
                <w:color w:val="auto"/>
                <w:sz w:val="24"/>
                <w:highlight w:val="none"/>
                <w:u w:val="single"/>
                <w:lang w:val="en-US" w:eastAsia="zh-CN"/>
              </w:rPr>
              <w:t>5</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22</w:t>
            </w:r>
            <w:r>
              <w:rPr>
                <w:rFonts w:hint="eastAsia" w:ascii="微软雅黑" w:hAnsi="微软雅黑" w:eastAsia="微软雅黑" w:cs="微软雅黑"/>
                <w:b/>
                <w:bCs/>
                <w:color w:val="auto"/>
                <w:sz w:val="24"/>
                <w:highlight w:val="none"/>
                <w:u w:val="single"/>
              </w:rPr>
              <w:t>日1</w:t>
            </w:r>
            <w:r>
              <w:rPr>
                <w:rFonts w:hint="eastAsia" w:ascii="微软雅黑" w:hAnsi="微软雅黑" w:eastAsia="微软雅黑" w:cs="微软雅黑"/>
                <w:b/>
                <w:bCs/>
                <w:color w:val="auto"/>
                <w:sz w:val="24"/>
                <w:highlight w:val="none"/>
                <w:u w:val="single"/>
                <w:lang w:val="en-US" w:eastAsia="zh-CN"/>
              </w:rPr>
              <w:t>0</w:t>
            </w:r>
            <w:r>
              <w:rPr>
                <w:rFonts w:hint="eastAsia" w:ascii="微软雅黑" w:hAnsi="微软雅黑" w:eastAsia="微软雅黑" w:cs="微软雅黑"/>
                <w:b/>
                <w:bCs/>
                <w:color w:val="auto"/>
                <w:sz w:val="24"/>
                <w:highlight w:val="none"/>
                <w:u w:val="single"/>
              </w:rPr>
              <w:t>：30（北京时间）</w:t>
            </w:r>
          </w:p>
          <w:p w14:paraId="7F0BE4FC">
            <w:pPr>
              <w:spacing w:line="36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投标地点：</w:t>
            </w:r>
            <w:r>
              <w:rPr>
                <w:rFonts w:hint="eastAsia" w:ascii="微软雅黑" w:hAnsi="微软雅黑" w:eastAsia="微软雅黑" w:cs="微软雅黑"/>
                <w:b/>
                <w:bCs/>
                <w:color w:val="auto"/>
                <w:sz w:val="24"/>
                <w:highlight w:val="none"/>
                <w:u w:val="single"/>
              </w:rPr>
              <w:t>请登录政采云投标客户端投标</w:t>
            </w:r>
          </w:p>
        </w:tc>
      </w:tr>
      <w:tr w14:paraId="4B868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412" w:type="dxa"/>
            <w:vAlign w:val="center"/>
          </w:tcPr>
          <w:p w14:paraId="61BDA437">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7995" w:type="dxa"/>
            <w:vAlign w:val="center"/>
          </w:tcPr>
          <w:p w14:paraId="771AA246">
            <w:pPr>
              <w:spacing w:line="360" w:lineRule="exact"/>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b/>
                <w:bCs/>
                <w:color w:val="auto"/>
                <w:sz w:val="24"/>
                <w:highlight w:val="none"/>
                <w:u w:val="single"/>
              </w:rPr>
              <w:t>2026年</w:t>
            </w:r>
            <w:r>
              <w:rPr>
                <w:rFonts w:hint="eastAsia" w:ascii="微软雅黑" w:hAnsi="微软雅黑" w:eastAsia="微软雅黑" w:cs="微软雅黑"/>
                <w:b/>
                <w:bCs/>
                <w:color w:val="auto"/>
                <w:sz w:val="24"/>
                <w:highlight w:val="none"/>
                <w:u w:val="single"/>
                <w:lang w:val="en-US" w:eastAsia="zh-CN"/>
              </w:rPr>
              <w:t>5</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22</w:t>
            </w:r>
            <w:r>
              <w:rPr>
                <w:rFonts w:hint="eastAsia" w:ascii="微软雅黑" w:hAnsi="微软雅黑" w:eastAsia="微软雅黑" w:cs="微软雅黑"/>
                <w:b/>
                <w:bCs/>
                <w:color w:val="auto"/>
                <w:sz w:val="24"/>
                <w:highlight w:val="none"/>
                <w:u w:val="single"/>
              </w:rPr>
              <w:t>日1</w:t>
            </w:r>
            <w:r>
              <w:rPr>
                <w:rFonts w:hint="eastAsia" w:ascii="微软雅黑" w:hAnsi="微软雅黑" w:eastAsia="微软雅黑" w:cs="微软雅黑"/>
                <w:b/>
                <w:bCs/>
                <w:color w:val="auto"/>
                <w:sz w:val="24"/>
                <w:highlight w:val="none"/>
                <w:u w:val="single"/>
                <w:lang w:val="en-US" w:eastAsia="zh-CN"/>
              </w:rPr>
              <w:t>0</w:t>
            </w:r>
            <w:r>
              <w:rPr>
                <w:rFonts w:hint="eastAsia" w:ascii="微软雅黑" w:hAnsi="微软雅黑" w:eastAsia="微软雅黑" w:cs="微软雅黑"/>
                <w:b/>
                <w:bCs/>
                <w:color w:val="auto"/>
                <w:sz w:val="24"/>
                <w:highlight w:val="none"/>
                <w:u w:val="single"/>
              </w:rPr>
              <w:t>：30（北京时间）</w:t>
            </w:r>
          </w:p>
          <w:p w14:paraId="38D8D7EB">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开标地点：</w:t>
            </w:r>
            <w:r>
              <w:rPr>
                <w:rFonts w:hint="eastAsia" w:ascii="微软雅黑" w:hAnsi="微软雅黑" w:eastAsia="微软雅黑" w:cs="微软雅黑"/>
                <w:b/>
                <w:bCs/>
                <w:color w:val="auto"/>
                <w:sz w:val="24"/>
                <w:highlight w:val="none"/>
                <w:u w:val="single"/>
              </w:rPr>
              <w:t>供应商登录政采云平台https://www.zcygov.cn/，进入“项目采购-开标评标-右边选择对应项目点击“进入项目”进入开标大厅。</w:t>
            </w:r>
          </w:p>
        </w:tc>
      </w:tr>
      <w:tr w14:paraId="0CD86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5D591A8D">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7995" w:type="dxa"/>
            <w:vAlign w:val="center"/>
          </w:tcPr>
          <w:p w14:paraId="1E57C1EB">
            <w:pPr>
              <w:spacing w:line="360" w:lineRule="exact"/>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14:paraId="2F41E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15F53B90">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995" w:type="dxa"/>
            <w:vAlign w:val="center"/>
          </w:tcPr>
          <w:p w14:paraId="22BFA26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推荐中标候选供应商的数量：</w:t>
            </w:r>
            <w:r>
              <w:rPr>
                <w:rFonts w:hint="eastAsia" w:ascii="微软雅黑" w:hAnsi="微软雅黑" w:eastAsia="微软雅黑" w:cs="微软雅黑"/>
                <w:color w:val="auto"/>
                <w:sz w:val="24"/>
                <w:highlight w:val="none"/>
                <w:u w:val="single"/>
              </w:rPr>
              <w:t>　3　　</w:t>
            </w:r>
          </w:p>
        </w:tc>
      </w:tr>
      <w:tr w14:paraId="71FE8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2F08F945">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995" w:type="dxa"/>
            <w:vAlign w:val="center"/>
          </w:tcPr>
          <w:p w14:paraId="23E4E46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采购人是否委托评标委员会直接确定中标人：</w:t>
            </w:r>
            <w:r>
              <w:rPr>
                <w:rFonts w:hint="eastAsia" w:ascii="微软雅黑" w:hAnsi="微软雅黑" w:eastAsia="微软雅黑" w:cs="微软雅黑"/>
                <w:color w:val="auto"/>
                <w:sz w:val="24"/>
                <w:highlight w:val="none"/>
                <w:u w:val="single"/>
              </w:rPr>
              <w:t>否</w:t>
            </w:r>
            <w:r>
              <w:rPr>
                <w:rFonts w:hint="eastAsia" w:ascii="微软雅黑" w:hAnsi="微软雅黑" w:eastAsia="微软雅黑" w:cs="微软雅黑"/>
                <w:color w:val="auto"/>
                <w:sz w:val="24"/>
                <w:highlight w:val="none"/>
              </w:rPr>
              <w:t>（是、否）</w:t>
            </w:r>
          </w:p>
        </w:tc>
      </w:tr>
      <w:tr w14:paraId="1E7C1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12" w:type="dxa"/>
            <w:vAlign w:val="center"/>
          </w:tcPr>
          <w:p w14:paraId="7C81EDC6">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7995" w:type="dxa"/>
            <w:vAlign w:val="center"/>
          </w:tcPr>
          <w:p w14:paraId="3082E14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10%</w:t>
            </w:r>
            <w:r>
              <w:rPr>
                <w:rFonts w:hint="eastAsia" w:ascii="微软雅黑" w:hAnsi="微软雅黑" w:eastAsia="微软雅黑" w:cs="微软雅黑"/>
                <w:color w:val="auto"/>
                <w:sz w:val="24"/>
                <w:highlight w:val="none"/>
              </w:rPr>
              <w:t>（不得超过政府采购合同金额的10%）</w:t>
            </w:r>
          </w:p>
          <w:p w14:paraId="3A0D8F6D">
            <w:pPr>
              <w:spacing w:line="360" w:lineRule="exac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履约保证金形式：☑保函☑电汇☑支票☑对公转账☑汇票☑本票</w:t>
            </w:r>
          </w:p>
          <w:p w14:paraId="5AF21DC7">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提交履约保证金的时间：签订合同前打入甲方指定账户</w:t>
            </w:r>
          </w:p>
          <w:p w14:paraId="6CBB9715">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r>
              <w:rPr>
                <w:rFonts w:hint="eastAsia" w:ascii="微软雅黑" w:hAnsi="微软雅黑" w:eastAsia="微软雅黑" w:cs="微软雅黑"/>
                <w:color w:val="auto"/>
                <w:sz w:val="24"/>
                <w:highlight w:val="none"/>
                <w:lang w:val="zh-CN"/>
              </w:rPr>
              <w:t>双方可以通过协商另行约定其他退还时间和方式及用途。</w:t>
            </w:r>
          </w:p>
        </w:tc>
      </w:tr>
      <w:tr w14:paraId="25F41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7" w:hRule="atLeast"/>
        </w:trPr>
        <w:tc>
          <w:tcPr>
            <w:tcW w:w="1412" w:type="dxa"/>
            <w:vAlign w:val="center"/>
          </w:tcPr>
          <w:p w14:paraId="3272FD81">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7995" w:type="dxa"/>
            <w:vAlign w:val="center"/>
          </w:tcPr>
          <w:p w14:paraId="1576D834">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zh-CN"/>
              </w:rPr>
              <w:t>参照原国家计委计价格【2002】1980号文和发改价格〔2015〕299号文件：差额累计计取，以中标价为计算基数（由中标</w:t>
            </w:r>
            <w:r>
              <w:rPr>
                <w:rFonts w:hint="eastAsia" w:ascii="微软雅黑" w:hAnsi="微软雅黑" w:eastAsia="微软雅黑" w:cs="微软雅黑"/>
                <w:color w:val="auto"/>
                <w:sz w:val="24"/>
                <w:highlight w:val="none"/>
              </w:rPr>
              <w:t>供应商支付</w:t>
            </w:r>
            <w:r>
              <w:rPr>
                <w:rFonts w:hint="eastAsia" w:ascii="微软雅黑" w:hAnsi="微软雅黑" w:eastAsia="微软雅黑" w:cs="微软雅黑"/>
                <w:color w:val="auto"/>
                <w:sz w:val="24"/>
                <w:highlight w:val="none"/>
                <w:lang w:val="zh-CN"/>
              </w:rPr>
              <w:t>）</w:t>
            </w:r>
          </w:p>
          <w:p w14:paraId="08B4F30D">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支付时间：领取</w:t>
            </w:r>
            <w:r>
              <w:rPr>
                <w:rFonts w:hint="eastAsia" w:ascii="微软雅黑" w:hAnsi="微软雅黑" w:eastAsia="微软雅黑" w:cs="微软雅黑"/>
                <w:color w:val="auto"/>
                <w:sz w:val="24"/>
                <w:highlight w:val="none"/>
                <w:lang w:val="zh-CN"/>
              </w:rPr>
              <w:t>中标</w:t>
            </w:r>
            <w:r>
              <w:rPr>
                <w:rFonts w:hint="eastAsia" w:ascii="微软雅黑" w:hAnsi="微软雅黑" w:eastAsia="微软雅黑" w:cs="微软雅黑"/>
                <w:color w:val="auto"/>
                <w:sz w:val="24"/>
                <w:highlight w:val="none"/>
              </w:rPr>
              <w:t>通知书时一次性支付。</w:t>
            </w:r>
          </w:p>
        </w:tc>
      </w:tr>
      <w:tr w14:paraId="738E2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412" w:type="dxa"/>
            <w:vAlign w:val="center"/>
          </w:tcPr>
          <w:p w14:paraId="091D5DEA">
            <w:pPr>
              <w:spacing w:line="360" w:lineRule="exact"/>
              <w:ind w:left="1080" w:leftChars="257" w:hanging="54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7995" w:type="dxa"/>
            <w:vAlign w:val="center"/>
          </w:tcPr>
          <w:p w14:paraId="04DEB8DC">
            <w:pP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是</w:t>
            </w:r>
            <w:r>
              <w:rPr>
                <w:rFonts w:hint="eastAsia" w:ascii="微软雅黑" w:hAnsi="微软雅黑" w:eastAsia="微软雅黑" w:cs="微软雅黑"/>
                <w:color w:val="auto"/>
                <w:sz w:val="24"/>
                <w:highlight w:val="none"/>
              </w:rPr>
              <w:t>（是、否）</w:t>
            </w:r>
          </w:p>
        </w:tc>
      </w:tr>
      <w:tr w14:paraId="16372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top"/>
          </w:tcPr>
          <w:p w14:paraId="62475589">
            <w:pPr>
              <w:spacing w:line="241" w:lineRule="auto"/>
              <w:rPr>
                <w:rFonts w:hint="eastAsia" w:ascii="微软雅黑" w:hAnsi="微软雅黑" w:eastAsia="微软雅黑" w:cs="微软雅黑"/>
                <w:color w:val="auto"/>
                <w:sz w:val="24"/>
                <w:szCs w:val="24"/>
                <w:highlight w:val="none"/>
              </w:rPr>
            </w:pPr>
          </w:p>
          <w:p w14:paraId="398F646D">
            <w:pPr>
              <w:spacing w:line="241" w:lineRule="auto"/>
              <w:rPr>
                <w:rFonts w:hint="eastAsia" w:ascii="微软雅黑" w:hAnsi="微软雅黑" w:eastAsia="微软雅黑" w:cs="微软雅黑"/>
                <w:color w:val="auto"/>
                <w:sz w:val="24"/>
                <w:szCs w:val="24"/>
                <w:highlight w:val="none"/>
              </w:rPr>
            </w:pPr>
          </w:p>
          <w:p w14:paraId="0D3C524A">
            <w:pPr>
              <w:spacing w:line="241" w:lineRule="auto"/>
              <w:rPr>
                <w:rFonts w:hint="eastAsia" w:ascii="微软雅黑" w:hAnsi="微软雅黑" w:eastAsia="微软雅黑" w:cs="微软雅黑"/>
                <w:color w:val="auto"/>
                <w:sz w:val="24"/>
                <w:szCs w:val="24"/>
                <w:highlight w:val="none"/>
              </w:rPr>
            </w:pPr>
          </w:p>
          <w:p w14:paraId="4E51C4FA">
            <w:pPr>
              <w:spacing w:line="241" w:lineRule="auto"/>
              <w:rPr>
                <w:rFonts w:hint="eastAsia" w:ascii="微软雅黑" w:hAnsi="微软雅黑" w:eastAsia="微软雅黑" w:cs="微软雅黑"/>
                <w:color w:val="auto"/>
                <w:sz w:val="24"/>
                <w:szCs w:val="24"/>
                <w:highlight w:val="none"/>
              </w:rPr>
            </w:pPr>
          </w:p>
          <w:p w14:paraId="114AECC6">
            <w:pPr>
              <w:spacing w:line="241" w:lineRule="auto"/>
              <w:rPr>
                <w:rFonts w:hint="eastAsia" w:ascii="微软雅黑" w:hAnsi="微软雅黑" w:eastAsia="微软雅黑" w:cs="微软雅黑"/>
                <w:color w:val="auto"/>
                <w:sz w:val="24"/>
                <w:szCs w:val="24"/>
                <w:highlight w:val="none"/>
              </w:rPr>
            </w:pPr>
          </w:p>
          <w:p w14:paraId="2595A87B">
            <w:pPr>
              <w:spacing w:line="241" w:lineRule="auto"/>
              <w:rPr>
                <w:rFonts w:hint="eastAsia" w:ascii="微软雅黑" w:hAnsi="微软雅黑" w:eastAsia="微软雅黑" w:cs="微软雅黑"/>
                <w:color w:val="auto"/>
                <w:sz w:val="24"/>
                <w:szCs w:val="24"/>
                <w:highlight w:val="none"/>
              </w:rPr>
            </w:pPr>
          </w:p>
          <w:p w14:paraId="687123FE">
            <w:pPr>
              <w:spacing w:line="241" w:lineRule="auto"/>
              <w:rPr>
                <w:rFonts w:hint="eastAsia" w:ascii="微软雅黑" w:hAnsi="微软雅黑" w:eastAsia="微软雅黑" w:cs="微软雅黑"/>
                <w:color w:val="auto"/>
                <w:sz w:val="24"/>
                <w:szCs w:val="24"/>
                <w:highlight w:val="none"/>
              </w:rPr>
            </w:pPr>
          </w:p>
          <w:p w14:paraId="2F4A4653">
            <w:pPr>
              <w:spacing w:line="241" w:lineRule="auto"/>
              <w:rPr>
                <w:rFonts w:hint="eastAsia" w:ascii="微软雅黑" w:hAnsi="微软雅黑" w:eastAsia="微软雅黑" w:cs="微软雅黑"/>
                <w:color w:val="auto"/>
                <w:sz w:val="24"/>
                <w:szCs w:val="24"/>
                <w:highlight w:val="none"/>
              </w:rPr>
            </w:pPr>
          </w:p>
          <w:p w14:paraId="6E8F99AD">
            <w:pPr>
              <w:spacing w:line="241" w:lineRule="auto"/>
              <w:rPr>
                <w:rFonts w:hint="eastAsia" w:ascii="微软雅黑" w:hAnsi="微软雅黑" w:eastAsia="微软雅黑" w:cs="微软雅黑"/>
                <w:color w:val="auto"/>
                <w:sz w:val="24"/>
                <w:szCs w:val="24"/>
                <w:highlight w:val="none"/>
              </w:rPr>
            </w:pPr>
          </w:p>
          <w:p w14:paraId="69E597DF">
            <w:pPr>
              <w:spacing w:line="241" w:lineRule="auto"/>
              <w:rPr>
                <w:rFonts w:hint="eastAsia" w:ascii="微软雅黑" w:hAnsi="微软雅黑" w:eastAsia="微软雅黑" w:cs="微软雅黑"/>
                <w:color w:val="auto"/>
                <w:sz w:val="24"/>
                <w:szCs w:val="24"/>
                <w:highlight w:val="none"/>
              </w:rPr>
            </w:pPr>
          </w:p>
          <w:p w14:paraId="33DCCC75">
            <w:pPr>
              <w:pStyle w:val="45"/>
              <w:spacing w:before="78" w:line="22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pacing w:val="-8"/>
                <w:sz w:val="24"/>
                <w:szCs w:val="24"/>
                <w:highlight w:val="none"/>
              </w:rPr>
              <w:t>中小型企业</w:t>
            </w:r>
          </w:p>
          <w:p w14:paraId="6F5369BB">
            <w:pPr>
              <w:pStyle w:val="45"/>
              <w:spacing w:before="119" w:line="220" w:lineRule="auto"/>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pacing w:val="-5"/>
                <w:sz w:val="24"/>
                <w:szCs w:val="24"/>
                <w:highlight w:val="none"/>
              </w:rPr>
              <w:t>有关政策</w:t>
            </w:r>
          </w:p>
        </w:tc>
        <w:tc>
          <w:tcPr>
            <w:tcW w:w="7995" w:type="dxa"/>
            <w:vAlign w:val="top"/>
          </w:tcPr>
          <w:p w14:paraId="4A98BCEB">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b/>
                <w:bCs/>
                <w:color w:val="auto"/>
                <w:spacing w:val="-2"/>
                <w:sz w:val="24"/>
                <w:szCs w:val="24"/>
                <w:highlight w:val="none"/>
              </w:rPr>
              <w:t>本项目</w:t>
            </w:r>
            <w:r>
              <w:rPr>
                <w:rFonts w:hint="eastAsia" w:ascii="微软雅黑" w:hAnsi="微软雅黑" w:eastAsia="微软雅黑" w:cs="微软雅黑"/>
                <w:b/>
                <w:bCs/>
                <w:color w:val="auto"/>
                <w:spacing w:val="-2"/>
                <w:sz w:val="24"/>
                <w:szCs w:val="24"/>
                <w:highlight w:val="none"/>
                <w:lang w:val="en-US" w:eastAsia="zh-CN"/>
              </w:rPr>
              <w:t>不</w:t>
            </w:r>
            <w:r>
              <w:rPr>
                <w:rFonts w:hint="eastAsia" w:ascii="微软雅黑" w:hAnsi="微软雅黑" w:eastAsia="微软雅黑" w:cs="微软雅黑"/>
                <w:b/>
                <w:bCs/>
                <w:color w:val="auto"/>
                <w:spacing w:val="-2"/>
                <w:sz w:val="24"/>
                <w:szCs w:val="24"/>
                <w:highlight w:val="none"/>
              </w:rPr>
              <w:t>专门面向中小微企业采购，若</w:t>
            </w:r>
            <w:r>
              <w:rPr>
                <w:rFonts w:hint="eastAsia" w:ascii="微软雅黑" w:hAnsi="微软雅黑" w:eastAsia="微软雅黑" w:cs="微软雅黑"/>
                <w:b/>
                <w:bCs/>
                <w:color w:val="auto"/>
                <w:spacing w:val="-2"/>
                <w:sz w:val="24"/>
                <w:szCs w:val="24"/>
                <w:highlight w:val="none"/>
                <w:lang w:eastAsia="zh-CN"/>
              </w:rPr>
              <w:t>供应商</w:t>
            </w:r>
            <w:r>
              <w:rPr>
                <w:rFonts w:hint="eastAsia" w:ascii="微软雅黑" w:hAnsi="微软雅黑" w:eastAsia="微软雅黑" w:cs="微软雅黑"/>
                <w:b/>
                <w:bCs/>
                <w:color w:val="auto"/>
                <w:spacing w:val="-2"/>
                <w:sz w:val="24"/>
                <w:szCs w:val="24"/>
                <w:highlight w:val="none"/>
              </w:rPr>
              <w:t>为中小微企业，其中针对小型、微型企业执行</w:t>
            </w:r>
            <w:r>
              <w:rPr>
                <w:rFonts w:hint="eastAsia" w:ascii="微软雅黑" w:hAnsi="微软雅黑" w:eastAsia="微软雅黑" w:cs="微软雅黑"/>
                <w:b/>
                <w:bCs/>
                <w:color w:val="auto"/>
                <w:spacing w:val="-2"/>
                <w:sz w:val="24"/>
                <w:szCs w:val="24"/>
                <w:highlight w:val="none"/>
                <w:u w:val="single"/>
              </w:rPr>
              <w:t>10%</w:t>
            </w:r>
            <w:r>
              <w:rPr>
                <w:rFonts w:hint="eastAsia" w:ascii="微软雅黑" w:hAnsi="微软雅黑" w:eastAsia="微软雅黑" w:cs="微软雅黑"/>
                <w:b/>
                <w:bCs/>
                <w:color w:val="auto"/>
                <w:spacing w:val="-2"/>
                <w:sz w:val="24"/>
                <w:szCs w:val="24"/>
                <w:highlight w:val="none"/>
              </w:rPr>
              <w:t>价格评审优惠政策。</w:t>
            </w:r>
            <w:r>
              <w:rPr>
                <w:rFonts w:hint="eastAsia" w:ascii="微软雅黑" w:hAnsi="微软雅黑" w:eastAsia="微软雅黑" w:cs="微软雅黑"/>
                <w:color w:val="auto"/>
                <w:spacing w:val="-2"/>
                <w:sz w:val="24"/>
                <w:szCs w:val="24"/>
                <w:highlight w:val="none"/>
              </w:rPr>
              <w:t>请根据要求单独上传《中小企业声明函》。（JY企业、残疾人福利性单位视同小型、微型企业）</w:t>
            </w:r>
          </w:p>
          <w:p w14:paraId="32D982F1">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2.根据关于印发《政府采购促进中小企业发展管理办法》的通知（财库[2020]46号）、关于进一步加大政府采购支持中小企业力度的通知（财库〔2022〕19号）及关于印发《中小企业划型标准规定》的通知（工信部联企业[2011]300号）规定。本次采招标所属行业为：</w:t>
            </w:r>
            <w:r>
              <w:rPr>
                <w:rFonts w:hint="eastAsia" w:ascii="微软雅黑" w:hAnsi="微软雅黑" w:eastAsia="微软雅黑" w:cs="微软雅黑"/>
                <w:b/>
                <w:bCs/>
                <w:color w:val="auto"/>
                <w:spacing w:val="-2"/>
                <w:sz w:val="24"/>
                <w:szCs w:val="24"/>
                <w:highlight w:val="none"/>
                <w:lang w:val="en-US" w:eastAsia="zh-CN"/>
              </w:rPr>
              <w:t>工业。</w:t>
            </w:r>
          </w:p>
          <w:p w14:paraId="7F569F20">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3.JY企业扶持政策</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依据财政部司法部《关于政府采购支持JY企业发展有关问题的通知》（财库[2014]68号）的规定,JY企业视同小型、微型企业</w:t>
            </w:r>
            <w:r>
              <w:rPr>
                <w:rFonts w:hint="eastAsia" w:ascii="微软雅黑" w:hAnsi="微软雅黑" w:eastAsia="微软雅黑" w:cs="微软雅黑"/>
                <w:color w:val="auto"/>
                <w:spacing w:val="-2"/>
                <w:sz w:val="24"/>
                <w:szCs w:val="24"/>
                <w:highlight w:val="none"/>
                <w:lang w:eastAsia="zh-CN"/>
              </w:rPr>
              <w:t>，</w:t>
            </w:r>
            <w:r>
              <w:rPr>
                <w:rFonts w:hint="eastAsia" w:ascii="微软雅黑" w:hAnsi="微软雅黑" w:eastAsia="微软雅黑" w:cs="微软雅黑"/>
                <w:color w:val="auto"/>
                <w:spacing w:val="-2"/>
                <w:sz w:val="24"/>
                <w:szCs w:val="24"/>
                <w:highlight w:val="none"/>
              </w:rPr>
              <w:t>享受预留份额、评审中价格扣除等促进中小企业发展的政府采购政策。JY企业应当提供由省级以上JY管理局、戒毒管理局(含新疆生产建设兵团)出具的属于JY企业的证明文件。</w:t>
            </w:r>
          </w:p>
          <w:p w14:paraId="0C6ADFB2">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促进残疾人就业政府采购政策: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2F6FEC74">
            <w:pPr>
              <w:pStyle w:val="45"/>
              <w:keepNext w:val="0"/>
              <w:keepLines w:val="0"/>
              <w:pageBreakBefore w:val="0"/>
              <w:widowControl/>
              <w:kinsoku w:val="0"/>
              <w:wordWrap/>
              <w:overflowPunct/>
              <w:topLinePunct w:val="0"/>
              <w:autoSpaceDE w:val="0"/>
              <w:autoSpaceDN w:val="0"/>
              <w:bidi w:val="0"/>
              <w:adjustRightInd w:val="0"/>
              <w:snapToGrid w:val="0"/>
              <w:spacing w:before="25" w:line="360" w:lineRule="exact"/>
              <w:ind w:left="26" w:right="17" w:firstLine="1"/>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须对《中小企业声明函》、JY企业证明文件、《残疾人福利性单位声明函》的真实性负责，上述材料与事实不符的，依照《政府采购法》第七十七条第一款的规定，处以采购金额千分之五以上千分之十以下的罚款，</w:t>
            </w:r>
            <w:r>
              <w:rPr>
                <w:rFonts w:hint="eastAsia" w:ascii="微软雅黑" w:hAnsi="微软雅黑" w:eastAsia="微软雅黑" w:cs="微软雅黑"/>
                <w:color w:val="auto"/>
                <w:spacing w:val="2"/>
                <w:sz w:val="24"/>
                <w:szCs w:val="24"/>
                <w:highlight w:val="none"/>
              </w:rPr>
              <w:t>列入不良行为记录名单，在一至三年内禁止参加政府采购活动，有违法所得的，并处没收违法所得，情节严重的，由工商行政管理机关吊销营业执照；</w:t>
            </w:r>
            <w:r>
              <w:rPr>
                <w:rFonts w:hint="eastAsia" w:ascii="微软雅黑" w:hAnsi="微软雅黑" w:eastAsia="微软雅黑" w:cs="微软雅黑"/>
                <w:color w:val="auto"/>
                <w:spacing w:val="-1"/>
                <w:sz w:val="24"/>
                <w:szCs w:val="24"/>
                <w:highlight w:val="none"/>
              </w:rPr>
              <w:t>构成犯罪的，依法追究刑事责任。</w:t>
            </w:r>
          </w:p>
          <w:p w14:paraId="34288C46">
            <w:pPr>
              <w:pStyle w:val="45"/>
              <w:keepNext w:val="0"/>
              <w:keepLines w:val="0"/>
              <w:pageBreakBefore w:val="0"/>
              <w:widowControl/>
              <w:kinsoku w:val="0"/>
              <w:wordWrap/>
              <w:overflowPunct/>
              <w:topLinePunct w:val="0"/>
              <w:autoSpaceDE w:val="0"/>
              <w:autoSpaceDN w:val="0"/>
              <w:bidi w:val="0"/>
              <w:adjustRightInd w:val="0"/>
              <w:snapToGrid w:val="0"/>
              <w:spacing w:before="48" w:line="360" w:lineRule="exact"/>
              <w:ind w:left="23" w:leftChars="0" w:hanging="1" w:firstLineChars="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3"/>
                <w:sz w:val="24"/>
                <w:szCs w:val="24"/>
                <w:highlight w:val="none"/>
              </w:rPr>
              <w:t>根据《政府采购促进中小企业发展管理办法》第十三条采购人、采购代</w:t>
            </w:r>
            <w:r>
              <w:rPr>
                <w:rFonts w:hint="eastAsia" w:ascii="微软雅黑" w:hAnsi="微软雅黑" w:eastAsia="微软雅黑" w:cs="微软雅黑"/>
                <w:color w:val="auto"/>
                <w:spacing w:val="-4"/>
                <w:sz w:val="24"/>
                <w:szCs w:val="24"/>
                <w:highlight w:val="none"/>
              </w:rPr>
              <w:t>理机构应当随中标、成交结果公开中标、成交</w:t>
            </w:r>
            <w:r>
              <w:rPr>
                <w:rFonts w:hint="eastAsia" w:ascii="微软雅黑" w:hAnsi="微软雅黑" w:eastAsia="微软雅黑" w:cs="微软雅黑"/>
                <w:color w:val="auto"/>
                <w:spacing w:val="-4"/>
                <w:sz w:val="24"/>
                <w:szCs w:val="24"/>
                <w:highlight w:val="none"/>
                <w:lang w:eastAsia="zh-CN"/>
              </w:rPr>
              <w:t>供应商</w:t>
            </w:r>
            <w:r>
              <w:rPr>
                <w:rFonts w:hint="eastAsia" w:ascii="微软雅黑" w:hAnsi="微软雅黑" w:eastAsia="微软雅黑" w:cs="微软雅黑"/>
                <w:color w:val="auto"/>
                <w:spacing w:val="-4"/>
                <w:sz w:val="24"/>
                <w:szCs w:val="24"/>
                <w:highlight w:val="none"/>
              </w:rPr>
              <w:t>的《中小</w:t>
            </w:r>
            <w:r>
              <w:rPr>
                <w:rFonts w:hint="eastAsia" w:ascii="微软雅黑" w:hAnsi="微软雅黑" w:eastAsia="微软雅黑" w:cs="微软雅黑"/>
                <w:color w:val="auto"/>
                <w:spacing w:val="-5"/>
                <w:sz w:val="24"/>
                <w:szCs w:val="24"/>
                <w:highlight w:val="none"/>
              </w:rPr>
              <w:t>企业声明函》。</w:t>
            </w:r>
          </w:p>
        </w:tc>
      </w:tr>
      <w:tr w14:paraId="187A8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A4B919E">
            <w:pPr>
              <w:pStyle w:val="45"/>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质疑</w:t>
            </w:r>
          </w:p>
          <w:p w14:paraId="2BACEF22">
            <w:pPr>
              <w:pStyle w:val="45"/>
              <w:keepNext w:val="0"/>
              <w:keepLines w:val="0"/>
              <w:pageBreakBefore w:val="0"/>
              <w:wordWrap/>
              <w:overflowPunct/>
              <w:topLinePunct w:val="0"/>
              <w:bidi w:val="0"/>
              <w:spacing w:line="360" w:lineRule="exact"/>
              <w:ind w:left="0" w:leftChars="0" w:right="0" w:rightChars="0" w:hanging="500" w:firstLineChars="0"/>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pacing w:val="-4"/>
                <w:sz w:val="24"/>
                <w:szCs w:val="24"/>
                <w:highlight w:val="none"/>
              </w:rPr>
              <w:t>接受时</w:t>
            </w:r>
            <w:r>
              <w:rPr>
                <w:rFonts w:hint="eastAsia" w:ascii="微软雅黑" w:hAnsi="微软雅黑" w:eastAsia="微软雅黑" w:cs="微软雅黑"/>
                <w:b/>
                <w:bCs/>
                <w:color w:val="auto"/>
                <w:spacing w:val="-3"/>
                <w:sz w:val="24"/>
                <w:szCs w:val="24"/>
                <w:highlight w:val="none"/>
              </w:rPr>
              <w:t>间</w:t>
            </w:r>
          </w:p>
        </w:tc>
        <w:tc>
          <w:tcPr>
            <w:tcW w:w="7995" w:type="dxa"/>
            <w:vAlign w:val="top"/>
          </w:tcPr>
          <w:p w14:paraId="702725F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1.</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认为</w:t>
            </w:r>
            <w:r>
              <w:rPr>
                <w:rFonts w:hint="eastAsia" w:ascii="微软雅黑" w:hAnsi="微软雅黑" w:eastAsia="微软雅黑" w:cs="微软雅黑"/>
                <w:b/>
                <w:bCs/>
                <w:color w:val="auto"/>
                <w:spacing w:val="-2"/>
                <w:sz w:val="24"/>
                <w:szCs w:val="24"/>
                <w:highlight w:val="none"/>
              </w:rPr>
              <w:t>采购文件、采购过程、中标或者成交结果</w:t>
            </w:r>
            <w:r>
              <w:rPr>
                <w:rFonts w:hint="eastAsia" w:ascii="微软雅黑" w:hAnsi="微软雅黑" w:eastAsia="微软雅黑" w:cs="微软雅黑"/>
                <w:color w:val="auto"/>
                <w:spacing w:val="-2"/>
                <w:sz w:val="24"/>
                <w:szCs w:val="24"/>
                <w:highlight w:val="none"/>
              </w:rPr>
              <w:t>使自己的权益受到损害的，可以在知道或者应知其权益受到损害之日起7个工作日内，以书面形式向采购人、采购代理机构提出质疑。</w:t>
            </w:r>
          </w:p>
          <w:p w14:paraId="2BCD5207">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2.</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应在法定质疑期内</w:t>
            </w:r>
            <w:r>
              <w:rPr>
                <w:rFonts w:hint="eastAsia" w:ascii="微软雅黑" w:hAnsi="微软雅黑" w:eastAsia="微软雅黑" w:cs="微软雅黑"/>
                <w:b/>
                <w:bCs/>
                <w:color w:val="auto"/>
                <w:spacing w:val="-2"/>
                <w:sz w:val="24"/>
                <w:szCs w:val="24"/>
                <w:highlight w:val="none"/>
              </w:rPr>
              <w:t>一次性</w:t>
            </w:r>
            <w:r>
              <w:rPr>
                <w:rFonts w:hint="eastAsia" w:ascii="微软雅黑" w:hAnsi="微软雅黑" w:eastAsia="微软雅黑" w:cs="微软雅黑"/>
                <w:color w:val="auto"/>
                <w:spacing w:val="-2"/>
                <w:sz w:val="24"/>
                <w:szCs w:val="24"/>
                <w:highlight w:val="none"/>
              </w:rPr>
              <w:t>提出针对</w:t>
            </w:r>
            <w:r>
              <w:rPr>
                <w:rFonts w:hint="eastAsia" w:ascii="微软雅黑" w:hAnsi="微软雅黑" w:eastAsia="微软雅黑" w:cs="微软雅黑"/>
                <w:b/>
                <w:bCs/>
                <w:color w:val="auto"/>
                <w:spacing w:val="-2"/>
                <w:sz w:val="24"/>
                <w:szCs w:val="24"/>
                <w:highlight w:val="none"/>
              </w:rPr>
              <w:t>同一采购程序环节</w:t>
            </w:r>
            <w:r>
              <w:rPr>
                <w:rFonts w:hint="eastAsia" w:ascii="微软雅黑" w:hAnsi="微软雅黑" w:eastAsia="微软雅黑" w:cs="微软雅黑"/>
                <w:color w:val="auto"/>
                <w:spacing w:val="-2"/>
                <w:sz w:val="24"/>
                <w:szCs w:val="24"/>
                <w:highlight w:val="none"/>
              </w:rPr>
              <w:t>的质疑。</w:t>
            </w:r>
          </w:p>
          <w:p w14:paraId="38298B5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3.质疑</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应按照财政部制定的《政府采购质疑函范本》格式10（可从财政部官方网站下载）和《政府采购质疑和投诉办法》（财政部令第94号）的要求，在法定质疑期内以书面形式提出质疑。</w:t>
            </w:r>
          </w:p>
          <w:p w14:paraId="6FA88944">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4.超出法定质疑期、重复或分次提出的、内容或形式不符合《政府采购质疑和投诉办法》规定的质疑将被拒绝。</w:t>
            </w:r>
          </w:p>
          <w:p w14:paraId="6643631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5.依据：《中华人民共和国政府采购法》第五十二条、《中华人民共和国政府采购法实施条例》第五十三条规定的</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617FA331">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6.采购代理机构质疑函接收信息</w:t>
            </w:r>
          </w:p>
          <w:p w14:paraId="0ED3D900">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rPr>
              <w:t>接收部门：</w:t>
            </w:r>
            <w:r>
              <w:rPr>
                <w:rFonts w:hint="eastAsia" w:ascii="微软雅黑" w:hAnsi="微软雅黑" w:eastAsia="微软雅黑" w:cs="微软雅黑"/>
                <w:color w:val="auto"/>
                <w:spacing w:val="-2"/>
                <w:sz w:val="24"/>
                <w:szCs w:val="24"/>
                <w:highlight w:val="none"/>
                <w:lang w:val="en-US" w:eastAsia="zh-CN"/>
              </w:rPr>
              <w:t>新疆共建恒业信息咨询有限责任公司</w:t>
            </w:r>
          </w:p>
          <w:p w14:paraId="50F8E98F">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联系人：</w:t>
            </w:r>
            <w:r>
              <w:rPr>
                <w:rFonts w:hint="eastAsia" w:ascii="微软雅黑" w:hAnsi="微软雅黑" w:eastAsia="微软雅黑" w:cs="微软雅黑"/>
                <w:color w:val="auto"/>
                <w:spacing w:val="-2"/>
                <w:sz w:val="24"/>
                <w:szCs w:val="24"/>
                <w:highlight w:val="none"/>
                <w:lang w:val="en-US" w:eastAsia="zh-CN"/>
              </w:rPr>
              <w:t>朱萍</w:t>
            </w:r>
          </w:p>
          <w:p w14:paraId="3023725A">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val="en-US"/>
              </w:rPr>
            </w:pPr>
            <w:r>
              <w:rPr>
                <w:rFonts w:hint="eastAsia" w:ascii="微软雅黑" w:hAnsi="微软雅黑" w:eastAsia="微软雅黑" w:cs="微软雅黑"/>
                <w:color w:val="auto"/>
                <w:spacing w:val="-2"/>
                <w:sz w:val="24"/>
                <w:szCs w:val="24"/>
                <w:highlight w:val="none"/>
              </w:rPr>
              <w:t>联系电话：</w:t>
            </w:r>
            <w:r>
              <w:rPr>
                <w:rFonts w:hint="eastAsia" w:ascii="微软雅黑" w:hAnsi="微软雅黑" w:eastAsia="微软雅黑" w:cs="微软雅黑"/>
                <w:color w:val="auto"/>
                <w:kern w:val="0"/>
                <w:sz w:val="24"/>
                <w:highlight w:val="none"/>
              </w:rPr>
              <w:t>18209987338</w:t>
            </w:r>
          </w:p>
          <w:p w14:paraId="050925DB">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地址：</w:t>
            </w:r>
            <w:r>
              <w:rPr>
                <w:rFonts w:hint="eastAsia" w:ascii="微软雅黑" w:hAnsi="微软雅黑" w:eastAsia="微软雅黑" w:cs="微软雅黑"/>
                <w:color w:val="auto"/>
                <w:kern w:val="0"/>
                <w:sz w:val="24"/>
                <w:highlight w:val="none"/>
              </w:rPr>
              <w:t>喀什经济开发区深喀大道陕西大厦12楼1208室</w:t>
            </w:r>
          </w:p>
          <w:p w14:paraId="7929A8C2">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233" w:firstLineChars="99"/>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提交方式：现场提交盖章的纸质版原件。</w:t>
            </w:r>
          </w:p>
          <w:p w14:paraId="0826FB1C">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pacing w:val="-2"/>
                <w:sz w:val="24"/>
                <w:szCs w:val="24"/>
                <w:highlight w:val="none"/>
              </w:rPr>
              <w:t>7.澄清、修改文件发出后（若有），</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必须使用最新的澄清文件制作电子响应文件。</w:t>
            </w:r>
          </w:p>
        </w:tc>
      </w:tr>
      <w:tr w14:paraId="762A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102CC183">
            <w:pPr>
              <w:pStyle w:val="45"/>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color w:val="auto"/>
                <w:spacing w:val="-7"/>
                <w:sz w:val="24"/>
                <w:szCs w:val="24"/>
                <w:highlight w:val="none"/>
              </w:rPr>
            </w:pPr>
            <w:r>
              <w:rPr>
                <w:rFonts w:hint="eastAsia" w:ascii="微软雅黑" w:hAnsi="微软雅黑" w:eastAsia="微软雅黑" w:cs="微软雅黑"/>
                <w:b/>
                <w:bCs/>
                <w:color w:val="auto"/>
                <w:spacing w:val="-7"/>
                <w:sz w:val="24"/>
                <w:szCs w:val="24"/>
                <w:highlight w:val="none"/>
              </w:rPr>
              <w:t>防止恶</w:t>
            </w:r>
          </w:p>
          <w:p w14:paraId="0FB2097B">
            <w:pPr>
              <w:pStyle w:val="45"/>
              <w:keepNext w:val="0"/>
              <w:keepLines w:val="0"/>
              <w:pageBreakBefore w:val="0"/>
              <w:wordWrap/>
              <w:overflowPunct/>
              <w:topLinePunct w:val="0"/>
              <w:bidi w:val="0"/>
              <w:spacing w:line="360" w:lineRule="exact"/>
              <w:ind w:left="0" w:leftChars="0" w:right="0" w:rightChars="0" w:hanging="472"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7"/>
                <w:sz w:val="24"/>
                <w:szCs w:val="24"/>
                <w:highlight w:val="none"/>
              </w:rPr>
              <w:t>意竞</w:t>
            </w:r>
            <w:r>
              <w:rPr>
                <w:rFonts w:hint="eastAsia" w:ascii="微软雅黑" w:hAnsi="微软雅黑" w:eastAsia="微软雅黑" w:cs="微软雅黑"/>
                <w:b/>
                <w:bCs/>
                <w:color w:val="auto"/>
                <w:spacing w:val="-3"/>
                <w:sz w:val="24"/>
                <w:szCs w:val="24"/>
                <w:highlight w:val="none"/>
              </w:rPr>
              <w:t>争</w:t>
            </w:r>
          </w:p>
        </w:tc>
        <w:tc>
          <w:tcPr>
            <w:tcW w:w="7995" w:type="dxa"/>
            <w:vAlign w:val="top"/>
          </w:tcPr>
          <w:p w14:paraId="4127A78C">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hanging="1"/>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①严禁恶意竞标，必须保证所投产品达到采购人要求。</w:t>
            </w:r>
          </w:p>
          <w:p w14:paraId="707025CF">
            <w:pPr>
              <w:pStyle w:val="45"/>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rightChars="0" w:hanging="1" w:firstLineChars="0"/>
              <w:jc w:val="both"/>
              <w:textAlignment w:val="baseline"/>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②中标后，中标人向采购人提供的产品与投标文件中技术参数不一致的，采购人有权拒收，期间所产生的任何费用由中标人承担。</w:t>
            </w:r>
          </w:p>
        </w:tc>
      </w:tr>
      <w:tr w14:paraId="4E08E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271E2BF4">
            <w:pPr>
              <w:pStyle w:val="45"/>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反不正</w:t>
            </w:r>
          </w:p>
          <w:p w14:paraId="25FE88FE">
            <w:pPr>
              <w:pStyle w:val="45"/>
              <w:keepNext w:val="0"/>
              <w:keepLines w:val="0"/>
              <w:pageBreakBefore w:val="0"/>
              <w:wordWrap/>
              <w:overflowPunct/>
              <w:topLinePunct w:val="0"/>
              <w:bidi w:val="0"/>
              <w:spacing w:line="360" w:lineRule="exact"/>
              <w:ind w:left="0" w:leftChars="0" w:right="0" w:rightChars="0" w:hanging="486" w:firstLineChars="0"/>
              <w:jc w:val="center"/>
              <w:rPr>
                <w:rFonts w:hint="eastAsia" w:ascii="微软雅黑" w:hAnsi="微软雅黑" w:eastAsia="微软雅黑" w:cs="微软雅黑"/>
                <w:b/>
                <w:bCs/>
                <w:color w:val="auto"/>
                <w:spacing w:val="-4"/>
                <w:sz w:val="24"/>
                <w:szCs w:val="24"/>
                <w:highlight w:val="none"/>
              </w:rPr>
            </w:pPr>
            <w:r>
              <w:rPr>
                <w:rFonts w:hint="eastAsia" w:ascii="微软雅黑" w:hAnsi="微软雅黑" w:eastAsia="微软雅黑" w:cs="微软雅黑"/>
                <w:b/>
                <w:bCs/>
                <w:color w:val="auto"/>
                <w:spacing w:val="-4"/>
                <w:sz w:val="24"/>
                <w:szCs w:val="24"/>
                <w:highlight w:val="none"/>
              </w:rPr>
              <w:t>当竞</w:t>
            </w:r>
            <w:r>
              <w:rPr>
                <w:rFonts w:hint="eastAsia" w:ascii="微软雅黑" w:hAnsi="微软雅黑" w:eastAsia="微软雅黑" w:cs="微软雅黑"/>
                <w:b/>
                <w:bCs/>
                <w:color w:val="auto"/>
                <w:spacing w:val="-3"/>
                <w:sz w:val="24"/>
                <w:szCs w:val="24"/>
                <w:highlight w:val="none"/>
              </w:rPr>
              <w:t>争</w:t>
            </w:r>
          </w:p>
        </w:tc>
        <w:tc>
          <w:tcPr>
            <w:tcW w:w="7995" w:type="dxa"/>
            <w:vAlign w:val="top"/>
          </w:tcPr>
          <w:p w14:paraId="3FBD844D">
            <w:pPr>
              <w:pStyle w:val="45"/>
              <w:keepNext w:val="0"/>
              <w:keepLines w:val="0"/>
              <w:pageBreakBefore w:val="0"/>
              <w:numPr>
                <w:ilvl w:val="0"/>
                <w:numId w:val="7"/>
              </w:numPr>
              <w:wordWrap/>
              <w:overflowPunct/>
              <w:topLinePunct w:val="0"/>
              <w:bidi w:val="0"/>
              <w:spacing w:line="360" w:lineRule="exact"/>
              <w:ind w:left="0" w:leftChars="0" w:right="0" w:firstLine="18"/>
              <w:jc w:val="both"/>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5"/>
                <w:sz w:val="24"/>
                <w:szCs w:val="24"/>
                <w:highlight w:val="none"/>
              </w:rPr>
              <w:t>低于成本价不正当竞争预防措施：根据“财政部87号令《政府采购货物服</w:t>
            </w:r>
            <w:r>
              <w:rPr>
                <w:rFonts w:hint="eastAsia" w:ascii="微软雅黑" w:hAnsi="微软雅黑" w:eastAsia="微软雅黑" w:cs="微软雅黑"/>
                <w:color w:val="auto"/>
                <w:spacing w:val="2"/>
                <w:sz w:val="24"/>
                <w:szCs w:val="24"/>
                <w:highlight w:val="none"/>
              </w:rPr>
              <w:t>务招标投标管理办法》”第六十条之规定：评标委员会认为</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报价明显低于其他通过符合性审查</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的报价，有可能影响产品质量或者不能诚信履约的，应当要求其在评标现场合理的时间内提供书面说明，必要时提交相关证明材料；</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不能证明其报价合理性的，评标委员会应当将其作为无效投标处理。评标委员会应当要求其在评标现场合理的时间内提供成本构成书面说明，并提交相关证明材料。</w:t>
            </w:r>
          </w:p>
          <w:p w14:paraId="176BE916">
            <w:pPr>
              <w:pStyle w:val="45"/>
              <w:keepNext w:val="0"/>
              <w:keepLines w:val="0"/>
              <w:pageBreakBefore w:val="0"/>
              <w:numPr>
                <w:ilvl w:val="0"/>
                <w:numId w:val="7"/>
              </w:numPr>
              <w:wordWrap/>
              <w:overflowPunct/>
              <w:topLinePunct w:val="0"/>
              <w:bidi w:val="0"/>
              <w:spacing w:line="360" w:lineRule="exact"/>
              <w:ind w:left="0" w:leftChars="0" w:right="0" w:rightChars="0" w:firstLine="18" w:firstLineChars="0"/>
              <w:jc w:val="both"/>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书面说明应当按照国家财务会计制度的规定要求，逐项就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提供的货物、工程和服务的主营业务成本（应根据</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企业类型予以区别）、税金及附加、销售费用、管理费用、财务费用等成本构成事项详细陈述。</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书面说明应当签字确认或者加盖公章，否则无效。书面说明的签字确认，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为法人的，由其法定代表人或者代理人签字确认；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为其他组织的，由其主要负责人或者代理人签字确认；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为自然人的，由其本人或者代理人签字确认。</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提供书面说明后，评标委员会应当结合采购项目采购需求、专业实际情况、</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财务状况报告、与其他</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比较情况等就</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书面说明进行审查评价。</w:t>
            </w:r>
            <w:r>
              <w:rPr>
                <w:rFonts w:hint="eastAsia" w:ascii="微软雅黑" w:hAnsi="微软雅黑" w:eastAsia="微软雅黑" w:cs="微软雅黑"/>
                <w:color w:val="auto"/>
                <w:spacing w:val="2"/>
                <w:sz w:val="24"/>
                <w:szCs w:val="24"/>
                <w:highlight w:val="none"/>
                <w:lang w:eastAsia="zh-CN"/>
              </w:rPr>
              <w:t>供应商</w:t>
            </w:r>
            <w:r>
              <w:rPr>
                <w:rFonts w:hint="eastAsia" w:ascii="微软雅黑" w:hAnsi="微软雅黑" w:eastAsia="微软雅黑" w:cs="微软雅黑"/>
                <w:color w:val="auto"/>
                <w:spacing w:val="2"/>
                <w:sz w:val="24"/>
                <w:szCs w:val="24"/>
                <w:highlight w:val="none"/>
              </w:rPr>
              <w:t>拒绝或者变相拒绝提供有效书面说明或者书面说明不能证明其报价合理性的，评标委员会应当将其投标文件作为无效处理。</w:t>
            </w:r>
          </w:p>
        </w:tc>
      </w:tr>
      <w:tr w14:paraId="7778C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1412" w:type="dxa"/>
            <w:vAlign w:val="center"/>
          </w:tcPr>
          <w:p w14:paraId="35BF4D73">
            <w:pPr>
              <w:pageBreakBefore w:val="0"/>
              <w:kinsoku/>
              <w:wordWrap w:val="0"/>
              <w:overflowPunct/>
              <w:topLinePunct w:val="0"/>
              <w:bidi w:val="0"/>
              <w:spacing w:line="36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重要</w:t>
            </w:r>
          </w:p>
          <w:p w14:paraId="4849AD32">
            <w:pPr>
              <w:pageBreakBefore w:val="0"/>
              <w:kinsoku/>
              <w:wordWrap w:val="0"/>
              <w:overflowPunct/>
              <w:topLinePunct w:val="0"/>
              <w:bidi w:val="0"/>
              <w:spacing w:line="36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提示</w:t>
            </w:r>
          </w:p>
        </w:tc>
        <w:tc>
          <w:tcPr>
            <w:tcW w:w="7995" w:type="dxa"/>
            <w:vAlign w:val="center"/>
          </w:tcPr>
          <w:p w14:paraId="3ED9197A">
            <w:pPr>
              <w:spacing w:line="360" w:lineRule="exact"/>
              <w:rPr>
                <w:rFonts w:ascii="微软雅黑" w:hAnsi="微软雅黑" w:eastAsia="微软雅黑" w:cs="微软雅黑"/>
                <w:b w:val="0"/>
                <w:bCs w:val="0"/>
                <w:color w:val="auto"/>
                <w:sz w:val="24"/>
                <w:highlight w:val="none"/>
              </w:rPr>
            </w:pPr>
            <w:r>
              <w:rPr>
                <w:rFonts w:hint="eastAsia" w:ascii="微软雅黑" w:hAnsi="微软雅黑" w:eastAsia="微软雅黑" w:cs="微软雅黑"/>
                <w:b/>
                <w:bCs/>
                <w:color w:val="auto"/>
                <w:sz w:val="24"/>
                <w:highlight w:val="none"/>
              </w:rPr>
              <w:t>一）演示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需投标供应商</w:t>
            </w:r>
            <w:r>
              <w:rPr>
                <w:rFonts w:hint="eastAsia" w:ascii="微软雅黑" w:hAnsi="微软雅黑" w:eastAsia="微软雅黑" w:cs="微软雅黑"/>
                <w:b/>
                <w:bCs/>
                <w:color w:val="auto"/>
                <w:sz w:val="24"/>
                <w:highlight w:val="none"/>
              </w:rPr>
              <w:t>提供演示</w:t>
            </w:r>
            <w:r>
              <w:rPr>
                <w:rFonts w:hint="eastAsia" w:ascii="微软雅黑" w:hAnsi="微软雅黑" w:eastAsia="微软雅黑" w:cs="微软雅黑"/>
                <w:b/>
                <w:bCs/>
                <w:color w:val="auto"/>
                <w:sz w:val="24"/>
                <w:highlight w:val="none"/>
                <w:lang w:val="en-US" w:eastAsia="zh-CN"/>
              </w:rPr>
              <w:t>视频</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val="0"/>
                <w:bCs w:val="0"/>
                <w:color w:val="auto"/>
                <w:sz w:val="24"/>
                <w:highlight w:val="none"/>
              </w:rPr>
              <w:t>演示所需设备由</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自行准备，</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根据要求提供相关内容的演示视频，演示内容必须为实际软件录屏或者拍摄视频，不接受PPT演示</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图片</w:t>
            </w:r>
            <w:r>
              <w:rPr>
                <w:rFonts w:hint="eastAsia" w:ascii="微软雅黑" w:hAnsi="微软雅黑" w:eastAsia="微软雅黑" w:cs="微软雅黑"/>
                <w:b w:val="0"/>
                <w:bCs w:val="0"/>
                <w:color w:val="auto"/>
                <w:sz w:val="24"/>
                <w:highlight w:val="none"/>
              </w:rPr>
              <w:t>及DEMO演示（演示时间不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694AE651">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二）各供应商应当谨认真慎阅读以下条款，否则后果自行承担。</w:t>
            </w:r>
          </w:p>
          <w:p w14:paraId="031D2B1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（1）参加本项目所有供应商应当提供真实有效佐证资料，不得存在弄虚作假骗取中标行为，一经发现将取消中标资格并列入黑名单。</w:t>
            </w:r>
          </w:p>
          <w:p w14:paraId="37485507">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（2）供应商上传投标文件时，为确保文件的可读性，提供的内容须清晰可见，若因投标文件不清晰造成的后果，由投标供应商自行承担。</w:t>
            </w:r>
          </w:p>
          <w:p w14:paraId="58F71A6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各投标供应商不得恶意低价竞标。投标供应商应充分考虑报价合理性，投标报价应包含本项目所需服务费、人工费、保险费、社保（根据国家标准按实际基数缴纳）、税金、餐费、劳保费、体检费等全部相关费用。</w:t>
            </w:r>
          </w:p>
          <w:p w14:paraId="39DF1629">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在评标过程中，评标委员会认为供应商的报价明显低于其他通过符合性审查供应商的报价，视为有可能影响产品质量或者不能诚信履约的，应当要求该异常报价的供应商在规定时间内（30分钟内）提供书面说明以及价格构成相关印证资料（收据、发票、合同明细、协议、详细的成本核算说明等）并由其法定代表人签字确认并且加盖供应商公章，否则视为无效。若未在规定时间内提供完整有效证明资料或提供的资料不能证明其报价合理性的，评标委员会应当将其作无效投标处理。</w:t>
            </w:r>
          </w:p>
          <w:p w14:paraId="12AA1760">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2FC32BE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（6）据财政部《关于推动解决政府采购异常低价问题的通知》（财库〔2026〕2号），为规范本项目评审，防范履约风险，现将异常低价审查要求明确如下：</w:t>
            </w:r>
          </w:p>
          <w:p w14:paraId="7FE50ECC">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1.报价低于其他合格投标报价算术平均值的50%；</w:t>
            </w:r>
          </w:p>
          <w:p w14:paraId="1AE3D4FF">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2.低于次低报价的50%；</w:t>
            </w:r>
          </w:p>
          <w:p w14:paraId="720ED1B2">
            <w:pPr>
              <w:keepNext w:val="0"/>
              <w:keepLines w:val="0"/>
              <w:pageBreakBefore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3.低于最高限价的45%。</w:t>
            </w:r>
          </w:p>
          <w:p w14:paraId="43884A9C">
            <w:pPr>
              <w:pageBreakBefore w:val="0"/>
              <w:kinsoku/>
              <w:wordWrap w:val="0"/>
              <w:overflowPunct/>
              <w:topLinePunct w:val="0"/>
              <w:bidi w:val="0"/>
              <w:spacing w:line="360" w:lineRule="exac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4.协商小组会也可依专业判断主动启动审查。被审查供应商须在收到通知后30分钟内，提交详尽的书面说明及成本构成、技术方案等证明材料。协商小组会将结合市场行情进行综合判断。若供应商未能说明、说明不实或材料无法证明其报价合理性，该投标将被视为无效投标，不进入后续评审。</w:t>
            </w:r>
          </w:p>
          <w:p w14:paraId="54509BB1">
            <w:pPr>
              <w:pageBreakBefore w:val="0"/>
              <w:kinsoku/>
              <w:wordWrap w:val="0"/>
              <w:overflowPunct/>
              <w:topLinePunct w:val="0"/>
              <w:bidi w:val="0"/>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szCs w:val="24"/>
                <w:highlight w:val="none"/>
                <w:lang w:val="en-US" w:eastAsia="zh-CN"/>
              </w:rPr>
              <w:t>（7）</w:t>
            </w:r>
            <w:r>
              <w:rPr>
                <w:rFonts w:hint="eastAsia" w:ascii="微软雅黑" w:hAnsi="微软雅黑" w:eastAsia="微软雅黑" w:cs="微软雅黑"/>
                <w:color w:val="auto"/>
                <w:sz w:val="24"/>
                <w:highlight w:val="none"/>
              </w:rPr>
              <w:t>中标</w:t>
            </w:r>
            <w:r>
              <w:rPr>
                <w:rFonts w:hint="eastAsia" w:ascii="微软雅黑" w:hAnsi="微软雅黑" w:eastAsia="微软雅黑" w:cs="微软雅黑"/>
                <w:color w:val="auto"/>
                <w:sz w:val="24"/>
                <w:highlight w:val="none"/>
                <w:lang w:eastAsia="zh-CN"/>
              </w:rPr>
              <w:t>人</w:t>
            </w:r>
            <w:r>
              <w:rPr>
                <w:rFonts w:hint="eastAsia" w:ascii="微软雅黑" w:hAnsi="微软雅黑" w:eastAsia="微软雅黑" w:cs="微软雅黑"/>
                <w:color w:val="auto"/>
                <w:sz w:val="24"/>
                <w:highlight w:val="none"/>
              </w:rPr>
              <w:t>必须配合代理机构提供编制连续页码的纸质版投标文件。</w:t>
            </w:r>
            <w:r>
              <w:rPr>
                <w:rFonts w:hint="eastAsia" w:ascii="微软雅黑" w:hAnsi="微软雅黑" w:eastAsia="微软雅黑" w:cs="微软雅黑"/>
                <w:color w:val="auto"/>
                <w:sz w:val="24"/>
                <w:highlight w:val="none"/>
              </w:rPr>
              <w:br w:type="page"/>
            </w:r>
          </w:p>
        </w:tc>
      </w:tr>
      <w:tr w14:paraId="4C628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atLeast"/>
        </w:trPr>
        <w:tc>
          <w:tcPr>
            <w:tcW w:w="9407" w:type="dxa"/>
            <w:gridSpan w:val="2"/>
            <w:vAlign w:val="center"/>
          </w:tcPr>
          <w:p w14:paraId="0333B5FF">
            <w:pPr>
              <w:spacing w:line="36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说明：（1）本项目第一标段、第二标段允许投标供应商兼投，但不允许兼中。投标供应商可同时参与多个标段投标，同一投标供应商最多只能中一个标段。评审时将按照标段顺序优先确定其中一个标段为中标标段，该投标供应商在其余标段自动放弃中标资格，且不再进入后续评审环节。</w:t>
            </w:r>
          </w:p>
          <w:p w14:paraId="2E5108D7">
            <w:pPr>
              <w:pageBreakBefore w:val="0"/>
              <w:kinsoku/>
              <w:wordWrap w:val="0"/>
              <w:overflowPunct/>
              <w:topLinePunct w:val="0"/>
              <w:bidi w:val="0"/>
              <w:spacing w:line="360" w:lineRule="exac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highlight w:val="none"/>
                <w:lang w:val="en-US" w:eastAsia="zh-CN"/>
              </w:rPr>
              <w:t>（2）第五标段不做限制。</w:t>
            </w:r>
          </w:p>
        </w:tc>
      </w:tr>
    </w:tbl>
    <w:p w14:paraId="7E92D612">
      <w:pPr>
        <w:spacing w:line="240" w:lineRule="atLeast"/>
        <w:ind w:left="1080" w:leftChars="257" w:hanging="540"/>
        <w:rPr>
          <w:rFonts w:hint="eastAsia" w:ascii="微软雅黑" w:hAnsi="微软雅黑" w:eastAsia="微软雅黑" w:cs="微软雅黑"/>
          <w:color w:val="auto"/>
          <w:sz w:val="24"/>
          <w:highlight w:val="none"/>
        </w:rPr>
        <w:sectPr>
          <w:headerReference r:id="rId5" w:type="default"/>
          <w:footerReference r:id="rId6" w:type="default"/>
          <w:pgSz w:w="11906" w:h="16838"/>
          <w:pgMar w:top="1440" w:right="1797" w:bottom="1440" w:left="1797" w:header="851" w:footer="992" w:gutter="0"/>
          <w:pgNumType w:start="1"/>
          <w:cols w:space="720" w:num="1"/>
          <w:docGrid w:linePitch="312" w:charSpace="0"/>
        </w:sectPr>
      </w:pPr>
    </w:p>
    <w:p w14:paraId="4003954D">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微软雅黑" w:hAnsi="微软雅黑" w:eastAsia="微软雅黑" w:cs="微软雅黑"/>
          <w:b/>
          <w:color w:val="auto"/>
          <w:sz w:val="32"/>
          <w:szCs w:val="32"/>
          <w:highlight w:val="none"/>
        </w:rPr>
      </w:pPr>
      <w:bookmarkStart w:id="2236" w:name="_Toc512937852"/>
      <w:bookmarkStart w:id="2237" w:name="_Toc18685"/>
      <w:bookmarkStart w:id="2238" w:name="_Toc27063"/>
      <w:bookmarkStart w:id="2239" w:name="_Toc27053"/>
      <w:bookmarkStart w:id="2240" w:name="_Toc15092"/>
      <w:r>
        <w:rPr>
          <w:rFonts w:hint="eastAsia" w:ascii="微软雅黑" w:hAnsi="微软雅黑" w:eastAsia="微软雅黑" w:cs="微软雅黑"/>
          <w:b/>
          <w:color w:val="auto"/>
          <w:sz w:val="32"/>
          <w:szCs w:val="32"/>
          <w:highlight w:val="none"/>
          <w:lang w:val="en-US" w:eastAsia="zh-CN"/>
        </w:rPr>
        <w:t>第5章</w:t>
      </w:r>
      <w:r>
        <w:rPr>
          <w:rFonts w:hint="eastAsia" w:ascii="微软雅黑" w:hAnsi="微软雅黑" w:eastAsia="微软雅黑" w:cs="微软雅黑"/>
          <w:b/>
          <w:color w:val="auto"/>
          <w:sz w:val="32"/>
          <w:szCs w:val="32"/>
          <w:highlight w:val="none"/>
        </w:rPr>
        <w:t>货物内容及项目要求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2236"/>
      <w:bookmarkEnd w:id="2237"/>
      <w:bookmarkEnd w:id="2238"/>
      <w:bookmarkEnd w:id="2239"/>
      <w:bookmarkEnd w:id="2240"/>
      <w:bookmarkStart w:id="2241" w:name="_Toc11259"/>
      <w:bookmarkStart w:id="2242" w:name="_Toc31651"/>
      <w:bookmarkStart w:id="2243" w:name="_Toc21071"/>
    </w:p>
    <w:p w14:paraId="60D1E069">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微软雅黑" w:hAnsi="微软雅黑" w:eastAsia="微软雅黑" w:cs="微软雅黑"/>
          <w:color w:val="auto"/>
          <w:highlight w:val="none"/>
        </w:rPr>
      </w:pPr>
    </w:p>
    <w:p w14:paraId="1AF1C14A">
      <w:pPr>
        <w:numPr>
          <w:ilvl w:val="0"/>
          <w:numId w:val="8"/>
        </w:numPr>
        <w:outlineLvl w:val="1"/>
        <w:rPr>
          <w:rStyle w:val="53"/>
          <w:rFonts w:hint="eastAsia" w:ascii="微软雅黑" w:hAnsi="微软雅黑" w:eastAsia="微软雅黑" w:cs="微软雅黑"/>
          <w:color w:val="auto"/>
          <w:szCs w:val="32"/>
          <w:highlight w:val="none"/>
          <w:lang w:val="en-US" w:eastAsia="zh-CN"/>
        </w:rPr>
      </w:pPr>
      <w:bookmarkStart w:id="2244" w:name="_Toc10694"/>
      <w:r>
        <w:rPr>
          <w:rStyle w:val="53"/>
          <w:rFonts w:hint="eastAsia" w:ascii="微软雅黑" w:hAnsi="微软雅黑" w:eastAsia="微软雅黑" w:cs="微软雅黑"/>
          <w:color w:val="auto"/>
          <w:szCs w:val="32"/>
          <w:highlight w:val="none"/>
          <w:lang w:val="en-US" w:eastAsia="zh-CN"/>
        </w:rPr>
        <w:t>货物内容</w:t>
      </w:r>
      <w:bookmarkEnd w:id="2244"/>
    </w:p>
    <w:p w14:paraId="142231DC">
      <w:pPr>
        <w:numPr>
          <w:ilvl w:val="0"/>
          <w:numId w:val="0"/>
        </w:numPr>
        <w:jc w:val="left"/>
        <w:outlineLvl w:val="9"/>
        <w:rPr>
          <w:rStyle w:val="53"/>
          <w:rFonts w:hint="eastAsia" w:ascii="微软雅黑" w:hAnsi="微软雅黑" w:eastAsia="微软雅黑" w:cs="微软雅黑"/>
          <w:color w:val="auto"/>
          <w:sz w:val="28"/>
          <w:szCs w:val="28"/>
          <w:highlight w:val="none"/>
          <w:lang w:val="en-US" w:eastAsia="zh-CN"/>
        </w:rPr>
      </w:pPr>
      <w:bookmarkStart w:id="2245" w:name="_Toc20865"/>
      <w:r>
        <w:rPr>
          <w:rStyle w:val="53"/>
          <w:rFonts w:hint="eastAsia" w:ascii="微软雅黑" w:hAnsi="微软雅黑" w:eastAsia="微软雅黑" w:cs="微软雅黑"/>
          <w:color w:val="auto"/>
          <w:sz w:val="28"/>
          <w:szCs w:val="28"/>
          <w:highlight w:val="none"/>
          <w:lang w:val="en-US" w:eastAsia="zh-CN"/>
        </w:rPr>
        <w:t>第五标段：未来教学空间采购项目</w:t>
      </w:r>
    </w:p>
    <w:bookmarkEnd w:id="2245"/>
    <w:tbl>
      <w:tblPr>
        <w:tblStyle w:val="37"/>
        <w:tblW w:w="9926" w:type="dxa"/>
        <w:tblInd w:w="-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260"/>
        <w:gridCol w:w="5331"/>
        <w:gridCol w:w="729"/>
        <w:gridCol w:w="797"/>
        <w:gridCol w:w="943"/>
      </w:tblGrid>
      <w:tr w14:paraId="5AFA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1F443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序号</w:t>
            </w:r>
          </w:p>
        </w:tc>
        <w:tc>
          <w:tcPr>
            <w:tcW w:w="1260" w:type="dxa"/>
            <w:noWrap w:val="0"/>
            <w:vAlign w:val="center"/>
          </w:tcPr>
          <w:p w14:paraId="6A117C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模块名称</w:t>
            </w:r>
          </w:p>
        </w:tc>
        <w:tc>
          <w:tcPr>
            <w:tcW w:w="5331" w:type="dxa"/>
            <w:noWrap w:val="0"/>
            <w:vAlign w:val="center"/>
          </w:tcPr>
          <w:p w14:paraId="5BD7E1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技术参数</w:t>
            </w:r>
          </w:p>
        </w:tc>
        <w:tc>
          <w:tcPr>
            <w:tcW w:w="729" w:type="dxa"/>
            <w:noWrap w:val="0"/>
            <w:vAlign w:val="center"/>
          </w:tcPr>
          <w:p w14:paraId="20DC6C8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数量</w:t>
            </w:r>
          </w:p>
        </w:tc>
        <w:tc>
          <w:tcPr>
            <w:tcW w:w="797" w:type="dxa"/>
            <w:noWrap w:val="0"/>
            <w:vAlign w:val="center"/>
          </w:tcPr>
          <w:p w14:paraId="6430DFE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单位</w:t>
            </w:r>
          </w:p>
        </w:tc>
        <w:tc>
          <w:tcPr>
            <w:tcW w:w="943" w:type="dxa"/>
            <w:noWrap w:val="0"/>
            <w:vAlign w:val="center"/>
          </w:tcPr>
          <w:p w14:paraId="77DF5C1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备注</w:t>
            </w:r>
          </w:p>
        </w:tc>
      </w:tr>
      <w:tr w14:paraId="4B8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4AFEB2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一</w:t>
            </w:r>
          </w:p>
        </w:tc>
        <w:tc>
          <w:tcPr>
            <w:tcW w:w="9060" w:type="dxa"/>
            <w:gridSpan w:val="5"/>
            <w:noWrap w:val="0"/>
            <w:vAlign w:val="center"/>
          </w:tcPr>
          <w:p w14:paraId="5FD241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AI教学空间</w:t>
            </w:r>
          </w:p>
        </w:tc>
      </w:tr>
      <w:tr w14:paraId="2A7C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94BF1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6CB9FEF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LED全彩显示屏套件</w:t>
            </w:r>
          </w:p>
        </w:tc>
        <w:tc>
          <w:tcPr>
            <w:tcW w:w="5331" w:type="dxa"/>
            <w:noWrap w:val="0"/>
            <w:vAlign w:val="center"/>
          </w:tcPr>
          <w:p w14:paraId="26A2F8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1.一体式环幕全彩显示屏，其环幕面积为：≥5m（宽）*2.2m（高），采用户内SMD全彩表贴LED，整屏无缝拼接，弧形/环幕结构平整，无明显拼缝、亮暗线、色差；</w:t>
            </w:r>
          </w:p>
          <w:p w14:paraId="41203F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2.像素间距：≤1.86mm；</w:t>
            </w:r>
          </w:p>
          <w:p w14:paraId="2DB0CBE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▲3.像素点密度：≥280000点/㎡；</w:t>
            </w:r>
          </w:p>
          <w:p w14:paraId="79BAD3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4.单元板分辨率：≥14792Dots；</w:t>
            </w:r>
          </w:p>
          <w:p w14:paraId="31214D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5.灰度等级：8-16bit任意设置；</w:t>
            </w:r>
          </w:p>
          <w:p w14:paraId="73418D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6.亮度均匀性：≥95%；</w:t>
            </w:r>
          </w:p>
          <w:p w14:paraId="12C9B5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7.刷新频率：≥3840Hz；</w:t>
            </w:r>
          </w:p>
          <w:p w14:paraId="469A1B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8.亮度：≥500cd/㎡；</w:t>
            </w:r>
          </w:p>
          <w:p w14:paraId="4268A6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9.水平视角：≥140°；垂直视角：≥140°；</w:t>
            </w:r>
          </w:p>
          <w:p w14:paraId="69065A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10.最大对比度：≥6000:1；</w:t>
            </w:r>
          </w:p>
          <w:p w14:paraId="04D1C16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11.换帧频率：60Hz；</w:t>
            </w:r>
          </w:p>
          <w:p w14:paraId="18C433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12.亮度调节：支持手动/自动/软件0-100%无极调节；</w:t>
            </w:r>
          </w:p>
          <w:p w14:paraId="6B12DD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13.平均故障恢复时间（MTTR)：≤3分钟；</w:t>
            </w:r>
          </w:p>
          <w:p w14:paraId="2A6E62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14.平均失效间隔工作时间（MTBF)：≥100000h；</w:t>
            </w:r>
          </w:p>
          <w:p w14:paraId="7060EA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15.防护性能：具有防静电、防碰撞、耐冲击、高耐磨、抗腐蚀、防划痕等功能；</w:t>
            </w:r>
          </w:p>
          <w:p w14:paraId="4F8700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16.主控系统采用同步控制方案，支持热备份，单卡故障不影响整体显示；</w:t>
            </w:r>
          </w:p>
          <w:p w14:paraId="082BBE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17.接收卡每块接收卡支持高带载，支持逐点亮色度校正、低亮高灰效果，支持网线远程升级与状态监测；</w:t>
            </w:r>
          </w:p>
          <w:p w14:paraId="0F0672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▲18.LED视频处理器（必备核心设备）：支持至少4路视频信号输入（含HDMI、DVI、DP、SDI等），支持无缝切换、淡入淡出、画中画、叠加显示、任意开窗、漫游，支持分辨率自适应、任意缩放、多画面拼接处理</w:t>
            </w:r>
          </w:p>
          <w:p w14:paraId="57EE40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支持断电记忆、一键黑屏/亮屏、场景模式保存调用；</w:t>
            </w:r>
          </w:p>
          <w:p w14:paraId="312EAD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19.控制软件；提供原厂正版LED显示控制管理软件，支持亮度、色温、Gamma、对比度统一调节，支持整屏/分区定时开关、定时任务、多场景预案，支持实时监控：温度、电压、湿度、开关电源、风扇、网卡状态</w:t>
            </w:r>
          </w:p>
          <w:p w14:paraId="0096821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支持逐点亮度/色度校正、坏点检测、智能报警，软件界面简体中文；</w:t>
            </w:r>
          </w:p>
          <w:p w14:paraId="4FE0DD1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20.</w:t>
            </w:r>
            <w:r>
              <w:rPr>
                <w:rFonts w:hint="eastAsia" w:ascii="微软雅黑" w:hAnsi="微软雅黑" w:eastAsia="微软雅黑" w:cs="微软雅黑"/>
                <w:i w:val="0"/>
                <w:iCs w:val="0"/>
                <w:color w:val="auto"/>
                <w:kern w:val="0"/>
                <w:sz w:val="24"/>
                <w:szCs w:val="24"/>
                <w:highlight w:val="none"/>
                <w:u w:val="none"/>
                <w:lang w:val="en-US" w:eastAsia="zh-CN" w:bidi="ar"/>
              </w:rPr>
              <w:t>结构与安装采用一体式钢结构/铝型材支架，承重安全可靠，环幕弧度均匀，符合建筑承重安全要求；</w:t>
            </w:r>
          </w:p>
          <w:p w14:paraId="7D4B152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21.配置专用智能配电箱，具备漏电保护、过载保护、短路保护、防雷保护、延时上电、分时上电功能；</w:t>
            </w:r>
          </w:p>
          <w:p w14:paraId="3EF703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22.含网络线、音视频线、电力线缆、金属线槽、接地系统、安装固定辅材等，布线规范美观。</w:t>
            </w:r>
          </w:p>
          <w:p w14:paraId="626EEF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23.教学环境整体适配。针对本教室135㎡教学空间，完成：声学条件优化（吸音、降噪、混响控制），墙面美化，灯光环境适配与调整，散热，确保设备长期稳定运行，供电容量校核与线路优化，教室网络覆盖强化，设备基础环境完；</w:t>
            </w:r>
          </w:p>
          <w:p w14:paraId="72760D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24.终端正常显示，课件投屏、多画面切换流畅无延迟，适配课堂教学需求；</w:t>
            </w:r>
          </w:p>
          <w:p w14:paraId="62D87B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25.为确保所供产品满足国家电子产品质量相关要求，且产品来源为知名品牌，供应商须提供所投产品有效的节能产品认证证书、中国国家强制性产品认证（3C）证书等相关证明文件。</w:t>
            </w:r>
          </w:p>
        </w:tc>
        <w:tc>
          <w:tcPr>
            <w:tcW w:w="729" w:type="dxa"/>
            <w:noWrap w:val="0"/>
            <w:vAlign w:val="center"/>
          </w:tcPr>
          <w:p w14:paraId="0554D6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3373F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60CC781">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361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1714D0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63A44B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4D858E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719100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2.支持板书动作检测算法，直接识别教师板书动作并拍摄板书画面；</w:t>
            </w:r>
          </w:p>
          <w:p w14:paraId="245E293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269AC14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5E01A0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6852F6C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2415ED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79B36A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4E0BCD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62D802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683162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07E0413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red"/>
                <w:u w:val="none"/>
                <w:lang w:val="en-US" w:eastAsia="zh-CN" w:bidi="ar"/>
              </w:rPr>
            </w:pPr>
            <w:r>
              <w:rPr>
                <w:rFonts w:hint="eastAsia" w:ascii="微软雅黑" w:hAnsi="微软雅黑" w:eastAsia="微软雅黑" w:cs="微软雅黑"/>
                <w:b w:val="0"/>
                <w:bCs w:val="0"/>
                <w:i w:val="0"/>
                <w:iCs w:val="0"/>
                <w:color w:val="auto"/>
                <w:kern w:val="0"/>
                <w:sz w:val="24"/>
                <w:szCs w:val="24"/>
                <w:highlight w:val="red"/>
                <w:u w:val="none"/>
                <w:lang w:val="en-US" w:eastAsia="zh-CN" w:bidi="ar"/>
              </w:rPr>
              <w:t>12.</w:t>
            </w:r>
            <w:r>
              <w:rPr>
                <w:rFonts w:hint="eastAsia" w:ascii="微软雅黑" w:hAnsi="微软雅黑" w:eastAsia="微软雅黑" w:cs="微软雅黑"/>
                <w:b/>
                <w:bCs/>
                <w:i w:val="0"/>
                <w:iCs w:val="0"/>
                <w:color w:val="auto"/>
                <w:kern w:val="0"/>
                <w:sz w:val="24"/>
                <w:szCs w:val="24"/>
                <w:highlight w:val="red"/>
                <w:u w:val="none"/>
                <w:lang w:val="en-US" w:eastAsia="zh-CN" w:bidi="ar"/>
              </w:rPr>
              <w:t>需提供产品说明书或带有CMA或CNAS标识的第三方检测报告，确保产品为原厂正品，享受厂家正规售后服务；</w:t>
            </w:r>
          </w:p>
          <w:p w14:paraId="1E66F6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7A9C90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C2953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554D5D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5AE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418C7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6E8471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学生高清云台摄像机</w:t>
            </w:r>
          </w:p>
        </w:tc>
        <w:tc>
          <w:tcPr>
            <w:tcW w:w="5331" w:type="dxa"/>
            <w:noWrap w:val="0"/>
            <w:vAlign w:val="center"/>
          </w:tcPr>
          <w:p w14:paraId="24A484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1.需配备内置图像识别与跟踪算法，无其他辅助的情况下，能够自动识别起立回答问题的学生，并给与特写拍摄；支持多种跟踪模式（单人起立跟踪、多目标起立跟踪）；</w:t>
            </w:r>
          </w:p>
          <w:p w14:paraId="33DF82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采用深度学习算法,在全景画面中能检测出所有出现的人,并标识出来；能够自动识别起立回答问题的学生，并给与特写拍摄；学生相对摄像机以各种角度站立均能检测；学生低头站立、离开座位站立均能被检测；</w:t>
            </w:r>
          </w:p>
          <w:p w14:paraId="23B91F2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3.摄像机可判断全景画面内人物起立和坐下并在人物起立时给人物特写；能准确检测多人站立；</w:t>
            </w:r>
          </w:p>
          <w:p w14:paraId="20D15B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4521DB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3461014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682EF6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7.支持区域锁定跟踪，能够识别学生伸懒腰、挥手、打闹、趴下、抬头、举手等动作，减少误判；</w:t>
            </w:r>
          </w:p>
          <w:p w14:paraId="5ABF5F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77942B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09F0A62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570C6F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0626BB8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12.需配置配套安装支架、网线、电力线、音视频线、线槽、安装固定辅材。</w:t>
            </w:r>
          </w:p>
        </w:tc>
        <w:tc>
          <w:tcPr>
            <w:tcW w:w="729" w:type="dxa"/>
            <w:noWrap w:val="0"/>
            <w:vAlign w:val="center"/>
          </w:tcPr>
          <w:p w14:paraId="308FEB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EB5EA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D2B07E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3D1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5B595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20E4E6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0AF14D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43C9BE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71FC46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081CE2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101FD3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3E78AE1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7BD3A0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6598276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71863D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3782C64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2A504C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3565A2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2647E32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60DB429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5A8009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5C44A26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73731D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D6767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6524007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29B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78F5B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6F3655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0BD21A8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1.高度≤2U，音频处理部分和功率放大器集成到一个机箱内；</w:t>
            </w:r>
          </w:p>
          <w:p w14:paraId="3C7CF4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4C411E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0018F7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665DAFC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7C26E7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6.具有1路两通道USB音频接口，可传输AEC-REF、AEC-OUT数据，可整合到电脑作为声卡，无缝对接在线教学平台及软会议平台音频系统；</w:t>
            </w:r>
          </w:p>
          <w:p w14:paraId="710580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52B2D6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6A31B4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690758C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53DD28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07B61F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2D67F6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063199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0630DE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2A562C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199C06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4A4CA0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078F569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19.需提供产品说明书或带有CMA或CNAS标识的第三方检测报告。</w:t>
            </w:r>
          </w:p>
          <w:p w14:paraId="382F93C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4ADC6E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27546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A55352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842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0778B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4221C6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枪式吊麦</w:t>
            </w:r>
          </w:p>
        </w:tc>
        <w:tc>
          <w:tcPr>
            <w:tcW w:w="5331" w:type="dxa"/>
            <w:noWrap w:val="0"/>
            <w:vAlign w:val="center"/>
          </w:tcPr>
          <w:p w14:paraId="367B81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1.类型：电容式；</w:t>
            </w:r>
          </w:p>
          <w:p w14:paraId="778A15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2.指向性：心型；</w:t>
            </w:r>
          </w:p>
          <w:p w14:paraId="668A66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3.频率响应：≥50Hz-16kHz；</w:t>
            </w:r>
          </w:p>
          <w:p w14:paraId="492CB49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4.灵敏度：≥-34dB；</w:t>
            </w:r>
          </w:p>
          <w:p w14:paraId="5AA587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5.输出阻抗：≥2.2kΩ（at1kHz）；</w:t>
            </w:r>
          </w:p>
          <w:p w14:paraId="59AE89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6.使用电压：≥9-48V幻像供电；</w:t>
            </w:r>
          </w:p>
          <w:p w14:paraId="2D18374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7.输出连接器/线缆：标准XLR-3公型/双绞屏蔽MIC电缆；</w:t>
            </w:r>
          </w:p>
          <w:p w14:paraId="74C895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8.颜色：亚光黑色；</w:t>
            </w:r>
          </w:p>
          <w:p w14:paraId="13272C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9.尺寸：≥Φ20×142mm；</w:t>
            </w:r>
          </w:p>
          <w:p w14:paraId="028D2E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10.配套安装支架；</w:t>
            </w:r>
          </w:p>
          <w:p w14:paraId="3174EA7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11.需提供产品说明书或带有CMA或CNAS标识的第三方检测报告；</w:t>
            </w:r>
          </w:p>
          <w:p w14:paraId="752A6B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12.需配备安装支架、音频线、网线、线槽、安装固定辅材；</w:t>
            </w:r>
          </w:p>
          <w:p w14:paraId="5B3BFC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13.需支持顶面局部造型吊顶(不太复杂的二级吊顶,弧形,圆形等拼接造型)或者拼接铝板/造型方通等稍复杂造型。</w:t>
            </w:r>
          </w:p>
        </w:tc>
        <w:tc>
          <w:tcPr>
            <w:tcW w:w="729" w:type="dxa"/>
            <w:noWrap w:val="0"/>
            <w:vAlign w:val="center"/>
          </w:tcPr>
          <w:p w14:paraId="7C080C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7CA065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支</w:t>
            </w:r>
          </w:p>
        </w:tc>
        <w:tc>
          <w:tcPr>
            <w:tcW w:w="943" w:type="dxa"/>
            <w:noWrap w:val="0"/>
            <w:vAlign w:val="center"/>
          </w:tcPr>
          <w:p w14:paraId="7F00ABF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07E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2705A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443FD91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1CCBCE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套餐配置：一拖二无线话筒套装，含1个手持无线话筒、1个头戴式无线话筒及1台真分集无线接收主机，全套设备匹配性良好，可直接通电使用，无需额外调试。</w:t>
            </w:r>
          </w:p>
          <w:p w14:paraId="36B985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695C09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726151F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612579B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25AAA2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11EE2D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636A7C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1EC95F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7B8B3C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3F65439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2662CE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182183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5F2345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7A8DC9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14.需提供产品说明书或带有CMA或CNAS标识的第三方检测报告；</w:t>
            </w:r>
          </w:p>
          <w:p w14:paraId="002512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15.配套辅材：配套提供接收器电源适配器、天线支架、音频连接线（XLR线≥2根、RCA线≥1根）、手持话筒充电底座、头戴话筒收纳袋等全套辅材，辅材符合国家相关质量标准，无需额外采购。</w:t>
            </w:r>
          </w:p>
        </w:tc>
        <w:tc>
          <w:tcPr>
            <w:tcW w:w="729" w:type="dxa"/>
            <w:noWrap w:val="0"/>
            <w:vAlign w:val="center"/>
          </w:tcPr>
          <w:p w14:paraId="7851C8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02BAD4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5BCD1B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6B7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A44E6C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0092DD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7F6A6A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5CB66A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1A751D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5AD710A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39EA77C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54AFF0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37A84D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7.需提供产品说明书或带有CMA或CNAS标识的第三方检测报告；</w:t>
            </w:r>
          </w:p>
          <w:p w14:paraId="341D53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8.需配备安装支架、音频线、电力线、线槽，辅材符合国家相关质量标准，与音箱及教室环境适配。</w:t>
            </w:r>
          </w:p>
        </w:tc>
        <w:tc>
          <w:tcPr>
            <w:tcW w:w="729" w:type="dxa"/>
            <w:noWrap w:val="0"/>
            <w:vAlign w:val="center"/>
          </w:tcPr>
          <w:p w14:paraId="3642FC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797" w:type="dxa"/>
            <w:noWrap w:val="0"/>
            <w:vAlign w:val="center"/>
          </w:tcPr>
          <w:p w14:paraId="656AE1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013B1167">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BF0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EAE2E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0482865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2F6B9D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0B0BEFA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FE802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4D841A3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0B8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3F845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196B2E4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59DDBC9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1.采用高性能数字处理芯片，可将多个高清信号任意调用；</w:t>
            </w:r>
          </w:p>
          <w:p w14:paraId="258EE0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p>
          <w:p w14:paraId="0607F4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p>
          <w:p w14:paraId="327C58D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4.需与智慧教室多功能交互终端主机无缝对接；</w:t>
            </w:r>
          </w:p>
          <w:p w14:paraId="207643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p>
          <w:p w14:paraId="01A40B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6.支持上课、下课的场景联动，用户登录成功后系统自动开启教室内的教学设备；用户点击“下课”，系统自动关闭教室内的教学设备；</w:t>
            </w:r>
          </w:p>
          <w:p w14:paraId="16B87EE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p>
          <w:p w14:paraId="287CE0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p>
          <w:p w14:paraId="0BF0FA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30F85C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26045C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66DE24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828D54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3D6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DAC8F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20A58C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01242F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036966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4EFEAE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5629C18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0A2439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17E6B7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07872F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534B89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7B85203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9.需提供产品说明书或带有CMA或CNAS标识的第三方检测报告；</w:t>
            </w:r>
          </w:p>
          <w:p w14:paraId="61A932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10.为保证产品的使用安全性，需提供入网许可证。</w:t>
            </w:r>
          </w:p>
          <w:p w14:paraId="11C302E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68A25F2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3BD63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448A26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94E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E168A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1B3E51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3DFAC1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23292C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345707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27D9E4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0179179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6CE7D5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47F394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3598B4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13B0ED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9.为保证产品的使用安全性，需提供无线电发射设备型号核准证。</w:t>
            </w:r>
          </w:p>
        </w:tc>
        <w:tc>
          <w:tcPr>
            <w:tcW w:w="729" w:type="dxa"/>
            <w:noWrap w:val="0"/>
            <w:vAlign w:val="center"/>
          </w:tcPr>
          <w:p w14:paraId="4824EE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C8144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19734AD">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988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414DD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1ED8CA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机柜</w:t>
            </w:r>
          </w:p>
        </w:tc>
        <w:tc>
          <w:tcPr>
            <w:tcW w:w="5331" w:type="dxa"/>
            <w:noWrap w:val="0"/>
            <w:vAlign w:val="center"/>
          </w:tcPr>
          <w:p w14:paraId="3EDCDB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1.容量：≥15U；</w:t>
            </w:r>
          </w:p>
          <w:p w14:paraId="418C34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2.尺寸：≥600mmx590mmx769mm；</w:t>
            </w:r>
          </w:p>
          <w:p w14:paraId="55CB24D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3.颜色：黑色；</w:t>
            </w:r>
          </w:p>
          <w:p w14:paraId="7B3CEA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4.需配套托板及机柜电源；</w:t>
            </w:r>
          </w:p>
          <w:p w14:paraId="4B540A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5.材质：SPCC优质冷轧钢；</w:t>
            </w:r>
          </w:p>
          <w:p w14:paraId="3F62CB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6.表面处理：脱脂、酸洗、磷化、静电喷塑；；</w:t>
            </w:r>
          </w:p>
          <w:p w14:paraId="0E2C1E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7.可拆卸侧板：侧面面板支持拆卸，方便出线；</w:t>
            </w:r>
          </w:p>
          <w:p w14:paraId="269B75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8.机柜钥匙：人性化设计，配扭力锁，可保证设备的安全及预防别人操作；</w:t>
            </w:r>
          </w:p>
          <w:p w14:paraId="6F391D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9.需配备机柜防尘密封处理；</w:t>
            </w:r>
          </w:p>
        </w:tc>
        <w:tc>
          <w:tcPr>
            <w:tcW w:w="729" w:type="dxa"/>
            <w:noWrap w:val="0"/>
            <w:vAlign w:val="center"/>
          </w:tcPr>
          <w:p w14:paraId="087FD2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CD61C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76C8AAD">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B55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05C29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3BC9720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笔记本电脑</w:t>
            </w:r>
          </w:p>
        </w:tc>
        <w:tc>
          <w:tcPr>
            <w:tcW w:w="5331" w:type="dxa"/>
            <w:noWrap w:val="0"/>
            <w:vAlign w:val="center"/>
          </w:tcPr>
          <w:p w14:paraId="2CD7EE3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1.处理器：≥10核；≥16线程(inteli7-13代)；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2.内存：16G；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3.硬盘：1T固态；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4.显卡：核显；</w:t>
            </w:r>
          </w:p>
          <w:p w14:paraId="48EAFD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5.显示：分辨率≥1920*1080，尺寸≥14英寸；</w:t>
            </w:r>
          </w:p>
          <w:p w14:paraId="314A94ED">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6.亮度：≥250nits，刷新率不低于60Hz；</w:t>
            </w:r>
          </w:p>
          <w:p w14:paraId="1F47438C">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7.接口：RJ45*1，HDMI*1,音频口*1，USB口不低于2个</w:t>
            </w:r>
          </w:p>
          <w:p w14:paraId="6A58B0F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8.提供配套鼠标、键盘等。</w:t>
            </w:r>
          </w:p>
        </w:tc>
        <w:tc>
          <w:tcPr>
            <w:tcW w:w="729" w:type="dxa"/>
            <w:noWrap w:val="0"/>
            <w:vAlign w:val="center"/>
          </w:tcPr>
          <w:p w14:paraId="3657B4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2B01D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F4186D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90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D3DB6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26169C2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56579A1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外板：采用优质多层板经模具冷压成型，再经修边、打磨、底油密封和精制环保面漆。厚度为不低于15mm。海绵：采用铝合金模具，PU发泡料进行高密度冷发泡定型，密度为60KG/M3。背内板：采用优质多层板经模具冷压成型，厚度为8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座内框：采用优质冷轧钢板（厚度为1.5mm）经模具冲压焊接组合成型，牢固耐用。座绵：采用铝合金模具，PU发泡料进行高密度冷发泡定型密度为65KG/M3。座外板：采用优质多层板经模具冷压成型，再经修边、打磨、底油密封和精制环保面漆。厚度为不低于15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扶手框采用2.0MM厚的优质钢板制作，经焊接、打磨、除油除锈、磷化、高温静电喷涂等工序处理，表面光滑平展。下合金站脚高230mm,宽60mm，壁厚6mm;脚板长404.2mm宽72.2mm，厚4mm;前后两个螺丝孔距为373mm，确保椅子安全稳固的固定于地面，前后2个固定安装孔与扶手在同一直线，两个安装孔更利于通道顺畅，全包围式地脚钉孔，内藏式地脚螺丝，外覆优质2个PP塑胶螺丝盖。扶手面采用进口橡木，经3底2面油漆工艺精制而成，厚度26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中心距：580mm；座内空：500mm，座绵宽：450mm；背海绵宽：470mm，座深：430mm；座高：450mm；扶手高：610mm；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扶手宽：80mm；全高：1100mm；整体深度：710mm（座板打开）；860mm（写字板打开）误差：±5-10mm</w:t>
            </w:r>
          </w:p>
        </w:tc>
        <w:tc>
          <w:tcPr>
            <w:tcW w:w="729" w:type="dxa"/>
            <w:noWrap w:val="0"/>
            <w:vAlign w:val="center"/>
          </w:tcPr>
          <w:p w14:paraId="1FA770D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59</w:t>
            </w:r>
          </w:p>
        </w:tc>
        <w:tc>
          <w:tcPr>
            <w:tcW w:w="797" w:type="dxa"/>
            <w:noWrap w:val="0"/>
            <w:vAlign w:val="center"/>
          </w:tcPr>
          <w:p w14:paraId="2614F06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69091EB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CA8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A48116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6B2808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多功能圆凳</w:t>
            </w:r>
          </w:p>
        </w:tc>
        <w:tc>
          <w:tcPr>
            <w:tcW w:w="5331" w:type="dxa"/>
            <w:noWrap w:val="0"/>
            <w:vAlign w:val="center"/>
          </w:tcPr>
          <w:p w14:paraId="71B45C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定制多功能圆凳；</w:t>
            </w:r>
          </w:p>
          <w:p w14:paraId="667E71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凳面直径：≥450mm；</w:t>
            </w:r>
          </w:p>
          <w:p w14:paraId="01CCD0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凳体高度：≥450mm；</w:t>
            </w:r>
          </w:p>
          <w:p w14:paraId="731C51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凳面材质：E1级环保高密度板，面层防火耐磨板；</w:t>
            </w:r>
          </w:p>
          <w:p w14:paraId="07C094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凳脚：钢制支撑脚，静电喷塑，防滑耐磨。</w:t>
            </w:r>
          </w:p>
        </w:tc>
        <w:tc>
          <w:tcPr>
            <w:tcW w:w="729" w:type="dxa"/>
            <w:noWrap w:val="0"/>
            <w:vAlign w:val="center"/>
          </w:tcPr>
          <w:p w14:paraId="5B1C85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797" w:type="dxa"/>
            <w:noWrap w:val="0"/>
            <w:vAlign w:val="center"/>
          </w:tcPr>
          <w:p w14:paraId="68802A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BB620F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F12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BA95E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4E8293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组合式工作柜</w:t>
            </w:r>
          </w:p>
        </w:tc>
        <w:tc>
          <w:tcPr>
            <w:tcW w:w="5331" w:type="dxa"/>
            <w:noWrap w:val="0"/>
            <w:vAlign w:val="center"/>
          </w:tcPr>
          <w:p w14:paraId="79C3C9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定制组合式工作柜；</w:t>
            </w:r>
          </w:p>
          <w:p w14:paraId="4AD129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单组尺寸：长1200mm×深400mm×高650mm，尺寸允许误差为±5mm；</w:t>
            </w:r>
          </w:p>
          <w:p w14:paraId="6CC45C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整体为两排组合式布局，可按空间分段拼接；</w:t>
            </w:r>
          </w:p>
          <w:p w14:paraId="4927BE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柜门：对开门/推拉式可选，配隐藏式拉手；</w:t>
            </w:r>
          </w:p>
          <w:p w14:paraId="66F053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柜体结构：含层板，可收纳设备、线材、教具。</w:t>
            </w:r>
          </w:p>
        </w:tc>
        <w:tc>
          <w:tcPr>
            <w:tcW w:w="729" w:type="dxa"/>
            <w:noWrap w:val="0"/>
            <w:vAlign w:val="center"/>
          </w:tcPr>
          <w:p w14:paraId="1434D93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16C0EC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08FEBAC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0EA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6FDD5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18</w:t>
            </w:r>
          </w:p>
        </w:tc>
        <w:tc>
          <w:tcPr>
            <w:tcW w:w="1260" w:type="dxa"/>
            <w:noWrap w:val="0"/>
            <w:vAlign w:val="center"/>
          </w:tcPr>
          <w:p w14:paraId="7690A3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3240727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p>
          <w:p w14:paraId="7BAE56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p>
          <w:p w14:paraId="6E2680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p>
          <w:p w14:paraId="021BB0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p>
          <w:p w14:paraId="76C8E4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p>
          <w:p w14:paraId="532B74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p>
          <w:p w14:paraId="5CA377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p>
          <w:p w14:paraId="76AD26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7E1479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1690D8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sz w:val="24"/>
                <w:szCs w:val="24"/>
                <w:highlight w:val="none"/>
                <w:u w:val="none"/>
                <w:lang w:val="en-US" w:eastAsia="zh-CN"/>
              </w:rPr>
              <w:t>台</w:t>
            </w:r>
          </w:p>
        </w:tc>
        <w:tc>
          <w:tcPr>
            <w:tcW w:w="943" w:type="dxa"/>
            <w:noWrap w:val="0"/>
            <w:vAlign w:val="center"/>
          </w:tcPr>
          <w:p w14:paraId="50F8E13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935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CD080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二</w:t>
            </w:r>
          </w:p>
        </w:tc>
        <w:tc>
          <w:tcPr>
            <w:tcW w:w="9060" w:type="dxa"/>
            <w:gridSpan w:val="5"/>
            <w:noWrap w:val="0"/>
            <w:vAlign w:val="center"/>
          </w:tcPr>
          <w:p w14:paraId="12716B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未来教师赋能中心</w:t>
            </w:r>
          </w:p>
        </w:tc>
      </w:tr>
      <w:tr w14:paraId="4E64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DD57E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0C9887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LED全彩显示屏套件</w:t>
            </w:r>
          </w:p>
        </w:tc>
        <w:tc>
          <w:tcPr>
            <w:tcW w:w="5331" w:type="dxa"/>
            <w:noWrap w:val="0"/>
            <w:vAlign w:val="center"/>
          </w:tcPr>
          <w:p w14:paraId="2C64B1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1.一体式环幕全彩显示屏，其环幕面积为：≥5m（宽）*2.2m（高），采用户内SMD全彩表贴LED，整屏无缝拼接，弧形/环幕结构平整，无明显拼缝、亮暗线、色差；</w:t>
            </w:r>
          </w:p>
          <w:p w14:paraId="6DC55F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2.像素间距：≤1.86mm；</w:t>
            </w:r>
          </w:p>
          <w:p w14:paraId="1C01C0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3.像素点密度：≥280000点/㎡；</w:t>
            </w:r>
          </w:p>
          <w:p w14:paraId="32D37D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4.单元板分辨率：≥14792Dots；</w:t>
            </w:r>
          </w:p>
          <w:p w14:paraId="148DB2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5.灰度等级：8-16bit任意设置；</w:t>
            </w:r>
          </w:p>
          <w:p w14:paraId="1137DB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6.亮度均匀性：≥95%；</w:t>
            </w:r>
          </w:p>
          <w:p w14:paraId="35A0E64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7.刷新频率：≥3840Hz；</w:t>
            </w:r>
          </w:p>
          <w:p w14:paraId="4A3CDD8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8.亮度：≥500cd/㎡；</w:t>
            </w:r>
          </w:p>
          <w:p w14:paraId="7327B4E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9.水平视角：≥140°；垂直视角：≥140°；</w:t>
            </w:r>
          </w:p>
          <w:p w14:paraId="70FE69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10.最大对比度：≥6000:1；</w:t>
            </w:r>
          </w:p>
          <w:p w14:paraId="08882E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11.换帧频率：60Hz；</w:t>
            </w:r>
          </w:p>
          <w:p w14:paraId="5DB4E9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12.亮度调节：支持手动/自动/软件0-100%无极调节；</w:t>
            </w:r>
          </w:p>
          <w:p w14:paraId="050104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13.平均故障恢复时间（MTTR)：≤3分钟；</w:t>
            </w:r>
          </w:p>
          <w:p w14:paraId="17E451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14.平均失效间隔工作时间（MTBF)：≥100000h；</w:t>
            </w:r>
          </w:p>
          <w:p w14:paraId="4034C64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15.防护性能：具有防静电、防碰撞、耐冲击、高耐磨、抗腐蚀、防划痕等功能；</w:t>
            </w:r>
          </w:p>
          <w:p w14:paraId="34FB40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16.主控系统采用同步控制方案，支持热备份，单卡故障不影响整体显示；</w:t>
            </w:r>
          </w:p>
          <w:p w14:paraId="61EB3F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17.接收卡每块接收卡支持高带载，支持逐点亮色度校正、低亮高灰效果，支持网线远程升级与状态监测；</w:t>
            </w:r>
          </w:p>
          <w:p w14:paraId="370D6C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18.LED视频处理器（必备核心设备）：支持至少4路视频信号输入（含HDMI、DVI、DP、SDI等），支持无缝切换、淡入淡出、画中画、叠加显示、任意开窗、漫游，支持分辨率自适应、任意缩放、多画面拼接处理</w:t>
            </w:r>
          </w:p>
          <w:p w14:paraId="41D162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支持断电记忆、一键黑屏/亮屏、场景模式保存调用；</w:t>
            </w:r>
          </w:p>
          <w:p w14:paraId="74D538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19.控制软件；提供原厂正版LED显示控制管理软件，支持亮度、色温、Gamma、对比度统一调节，支持整屏/分区定时开关、定时任务、多场景预案，支持实时监控：温度、电压、湿度、开关电源、风扇、网卡状态</w:t>
            </w:r>
          </w:p>
          <w:p w14:paraId="2A14BB0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支持逐点亮度/色度校正、坏点检测、智能报警，软件界面简体中文；</w:t>
            </w:r>
          </w:p>
          <w:p w14:paraId="660397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20.</w:t>
            </w:r>
            <w:r>
              <w:rPr>
                <w:rFonts w:hint="eastAsia" w:ascii="微软雅黑" w:hAnsi="微软雅黑" w:eastAsia="微软雅黑" w:cs="微软雅黑"/>
                <w:i w:val="0"/>
                <w:iCs w:val="0"/>
                <w:color w:val="auto"/>
                <w:kern w:val="0"/>
                <w:sz w:val="24"/>
                <w:szCs w:val="24"/>
                <w:highlight w:val="none"/>
                <w:u w:val="none"/>
                <w:lang w:val="en-US" w:eastAsia="zh-CN" w:bidi="ar"/>
              </w:rPr>
              <w:t>结构与安装采用一体式钢结构/铝型材支架，承重安全可靠，环幕弧度均匀，符合建筑承重安全要求；</w:t>
            </w:r>
          </w:p>
          <w:p w14:paraId="4F485E9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21.配置专用智能配电箱，具备漏电保护、过载保护、短路保护、防雷保护、延时上电、分时上电功能；</w:t>
            </w:r>
          </w:p>
          <w:p w14:paraId="2B533F1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22.含网络线、音视频线、电力线缆、金属线槽、接地系统、安装固定辅材等，布线规范美观。</w:t>
            </w:r>
          </w:p>
          <w:p w14:paraId="43C336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23.教学环境整体适配。针对本教室135㎡教学空间，完成：声学条件优化（吸音、降噪、混响控制），墙面美化，灯光环境适配与调整，散热，确保设备长期稳定运行，供电容量校核与线路优化，教室网络覆盖强化，设备基础环境完；</w:t>
            </w:r>
          </w:p>
          <w:p w14:paraId="5B5BA44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24.终端正常显示，课件投屏、多画面切换流畅无延迟，适配课堂教学需求；</w:t>
            </w:r>
          </w:p>
          <w:p w14:paraId="4EF9A7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25.</w:t>
            </w:r>
            <w:r>
              <w:rPr>
                <w:rFonts w:hint="eastAsia" w:ascii="微软雅黑" w:hAnsi="微软雅黑" w:eastAsia="微软雅黑" w:cs="微软雅黑"/>
                <w:b/>
                <w:bCs/>
                <w:i w:val="0"/>
                <w:iCs w:val="0"/>
                <w:color w:val="auto"/>
                <w:kern w:val="0"/>
                <w:sz w:val="24"/>
                <w:szCs w:val="24"/>
                <w:highlight w:val="none"/>
                <w:u w:val="none"/>
                <w:lang w:val="en-US" w:eastAsia="zh-CN" w:bidi="ar"/>
              </w:rPr>
              <w:t>为确保所供产品满足国家电子产品质量相关要求，且产品来源为知名品牌，供应商须提供所投产品有效的节能产品认证证书、中国国家强制性产品认证（3C）证书等相关证明文件。</w:t>
            </w:r>
          </w:p>
        </w:tc>
        <w:tc>
          <w:tcPr>
            <w:tcW w:w="729" w:type="dxa"/>
            <w:noWrap w:val="0"/>
            <w:vAlign w:val="center"/>
          </w:tcPr>
          <w:p w14:paraId="60C19D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A5DD0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2D7B04E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2DD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938B50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62E2B7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46A5925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393939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1"/>
                <w:szCs w:val="21"/>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r>
              <w:rPr>
                <w:rFonts w:hint="eastAsia" w:ascii="微软雅黑" w:hAnsi="微软雅黑" w:eastAsia="微软雅黑" w:cs="微软雅黑"/>
                <w:i w:val="0"/>
                <w:iCs w:val="0"/>
                <w:color w:val="auto"/>
                <w:kern w:val="0"/>
                <w:sz w:val="24"/>
                <w:szCs w:val="24"/>
                <w:highlight w:val="red"/>
                <w:u w:val="none"/>
                <w:lang w:val="en-US" w:eastAsia="zh-CN" w:bidi="ar"/>
              </w:rPr>
              <w:t>.</w:t>
            </w:r>
            <w:r>
              <w:rPr>
                <w:rFonts w:hint="eastAsia" w:ascii="微软雅黑" w:hAnsi="微软雅黑" w:eastAsia="微软雅黑" w:cs="微软雅黑"/>
                <w:b w:val="0"/>
                <w:bCs w:val="0"/>
                <w:i w:val="0"/>
                <w:iCs w:val="0"/>
                <w:color w:val="auto"/>
                <w:kern w:val="0"/>
                <w:sz w:val="24"/>
                <w:szCs w:val="24"/>
                <w:highlight w:val="red"/>
                <w:u w:val="none"/>
                <w:lang w:val="en-US" w:eastAsia="zh-CN" w:bidi="ar"/>
              </w:rPr>
              <w:t>支持板书动作检测算法，直接识别教师板书动作并拍摄板书画面；</w:t>
            </w:r>
          </w:p>
          <w:p w14:paraId="78F6606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0CF2792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6D9362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77BAD8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6.可灵活调整焦距，实现对不同区域的清晰拍摄，水平转动≥-130°~+130°，垂直转动≥-30°~+90°；</w:t>
            </w:r>
          </w:p>
          <w:p w14:paraId="05F631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5AAB12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421896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38D3BE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0893DB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2DEC2D0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i w:val="0"/>
                <w:iCs w:val="0"/>
                <w:color w:val="auto"/>
                <w:kern w:val="0"/>
                <w:sz w:val="24"/>
                <w:szCs w:val="24"/>
                <w:highlight w:val="red"/>
                <w:u w:val="none"/>
                <w:lang w:val="en-US" w:eastAsia="zh-CN" w:bidi="ar"/>
              </w:rPr>
            </w:pPr>
            <w:r>
              <w:rPr>
                <w:rFonts w:hint="eastAsia" w:ascii="微软雅黑" w:hAnsi="微软雅黑" w:eastAsia="微软雅黑" w:cs="微软雅黑"/>
                <w:b w:val="0"/>
                <w:bCs w:val="0"/>
                <w:i w:val="0"/>
                <w:iCs w:val="0"/>
                <w:color w:val="auto"/>
                <w:kern w:val="0"/>
                <w:sz w:val="24"/>
                <w:szCs w:val="24"/>
                <w:highlight w:val="red"/>
                <w:u w:val="none"/>
                <w:lang w:val="en-US" w:eastAsia="zh-CN" w:bidi="ar"/>
              </w:rPr>
              <w:t>12.</w:t>
            </w:r>
            <w:r>
              <w:rPr>
                <w:rFonts w:hint="eastAsia" w:ascii="微软雅黑" w:hAnsi="微软雅黑" w:eastAsia="微软雅黑" w:cs="微软雅黑"/>
                <w:b/>
                <w:bCs/>
                <w:i w:val="0"/>
                <w:iCs w:val="0"/>
                <w:color w:val="auto"/>
                <w:kern w:val="0"/>
                <w:sz w:val="24"/>
                <w:szCs w:val="24"/>
                <w:highlight w:val="red"/>
                <w:u w:val="none"/>
                <w:lang w:val="en-US" w:eastAsia="zh-CN" w:bidi="ar"/>
              </w:rPr>
              <w:t>需提供产品说明书或带有CMA或CNAS标识的第三方检测报告，确保产品为原厂正品，享受厂家正规售后服务；</w:t>
            </w:r>
          </w:p>
          <w:p w14:paraId="3A92D0E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6DC0E2A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AEDBC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10FE783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785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459BF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642279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学生高清跟踪摄像机</w:t>
            </w:r>
          </w:p>
        </w:tc>
        <w:tc>
          <w:tcPr>
            <w:tcW w:w="5331" w:type="dxa"/>
            <w:noWrap w:val="0"/>
            <w:vAlign w:val="center"/>
          </w:tcPr>
          <w:p w14:paraId="610634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1.手动切换：支持在老师视频和学生视频之间进行画面切换；</w:t>
            </w:r>
          </w:p>
          <w:p w14:paraId="58A2176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2.自动导播：支持老师视频和学生视频自动切换；</w:t>
            </w:r>
          </w:p>
          <w:p w14:paraId="6BF52E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3.白平衡模式：支持自动白平衡；</w:t>
            </w:r>
          </w:p>
          <w:p w14:paraId="3C7C87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4.目标跟踪：支持目标跟踪，跟踪灵敏度可调节；</w:t>
            </w:r>
          </w:p>
          <w:p w14:paraId="6C3EDB0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5.视频编码：支持H.265、H.264、MJPG可选；</w:t>
            </w:r>
          </w:p>
          <w:p w14:paraId="4013A69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6.音频编码：支持AAC音频编码；</w:t>
            </w:r>
          </w:p>
          <w:p w14:paraId="7011B95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7.网络协议：支持HTTP、TCP、UDP、RTSP、RTMP、ONVIF可选；</w:t>
            </w:r>
          </w:p>
          <w:p w14:paraId="3B0C5E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8.支持POE供电；</w:t>
            </w:r>
          </w:p>
          <w:p w14:paraId="43DAF7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9.支持镜像翻转；</w:t>
            </w:r>
          </w:p>
          <w:p w14:paraId="7172F1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10.支持2D/3D降噪；</w:t>
            </w:r>
          </w:p>
          <w:p w14:paraId="248B8B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11.支持的图像输出格式(USB)：≥3840×2160p/30Hz。</w:t>
            </w:r>
          </w:p>
          <w:p w14:paraId="7E1B9D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12.需提供产品说明书或带有CMA或CNAS标识的第三方检测报告；</w:t>
            </w:r>
          </w:p>
          <w:p w14:paraId="596705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13.需配置配套安装支架、网线、电力线、音视频线、线槽、安装固定辅材。</w:t>
            </w:r>
          </w:p>
        </w:tc>
        <w:tc>
          <w:tcPr>
            <w:tcW w:w="729" w:type="dxa"/>
            <w:noWrap w:val="0"/>
            <w:vAlign w:val="center"/>
          </w:tcPr>
          <w:p w14:paraId="3AE81B1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6398D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41B58FD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203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6D31A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1F06500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47B713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351C4FE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0E87E9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24398D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2817073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00D903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43BF45A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11CF68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4B498D8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72FA67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1584EA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7706B1F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275B933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14A4C33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0A6E20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172DB0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177370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E81F3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1AE3A71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5C6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377934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679F32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投屏器</w:t>
            </w:r>
          </w:p>
        </w:tc>
        <w:tc>
          <w:tcPr>
            <w:tcW w:w="5331" w:type="dxa"/>
            <w:noWrap w:val="0"/>
            <w:vAlign w:val="center"/>
          </w:tcPr>
          <w:p w14:paraId="2DF13E6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1.兼容终端：iOS终端/Android终端/WindowsPC/MacPC；</w:t>
            </w:r>
          </w:p>
          <w:p w14:paraId="0B9EE8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2.视频输出接口：HDMI≥1个；</w:t>
            </w:r>
          </w:p>
          <w:p w14:paraId="62B3223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3.USB接口：≥2个；</w:t>
            </w:r>
          </w:p>
          <w:p w14:paraId="2BB723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4.网络接口：≥1个；</w:t>
            </w:r>
          </w:p>
          <w:p w14:paraId="5D6976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5.3.5mm音频≥1个；</w:t>
            </w:r>
          </w:p>
          <w:p w14:paraId="4041E0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6.显示分辨率：≥4K；</w:t>
            </w:r>
          </w:p>
          <w:p w14:paraId="62AD99A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7.天线：内置天线；</w:t>
            </w:r>
          </w:p>
          <w:p w14:paraId="794128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val="0"/>
                <w:bCs w:val="0"/>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8.需提供产品说明书或带有CMA或CNAS标识的第三方检测报告。</w:t>
            </w:r>
          </w:p>
        </w:tc>
        <w:tc>
          <w:tcPr>
            <w:tcW w:w="729" w:type="dxa"/>
            <w:noWrap w:val="0"/>
            <w:vAlign w:val="center"/>
          </w:tcPr>
          <w:p w14:paraId="1215EE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AFE1D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E0231F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305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D5F79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74048D6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6A08C8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1.高度≤2U，音频处理部分和功率放大器集成到一个机箱内；</w:t>
            </w:r>
          </w:p>
          <w:p w14:paraId="1D8187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51DC4E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3DE56C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253A1A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4C2FF59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w:t>
            </w:r>
            <w:r>
              <w:rPr>
                <w:rFonts w:hint="eastAsia" w:ascii="微软雅黑" w:hAnsi="微软雅黑" w:eastAsia="微软雅黑" w:cs="微软雅黑"/>
                <w:b/>
                <w:bCs/>
                <w:i w:val="0"/>
                <w:iCs w:val="0"/>
                <w:color w:val="auto"/>
                <w:kern w:val="0"/>
                <w:sz w:val="24"/>
                <w:szCs w:val="24"/>
                <w:highlight w:val="none"/>
                <w:u w:val="none"/>
                <w:lang w:val="en-US" w:eastAsia="zh-CN" w:bidi="ar"/>
              </w:rPr>
              <w:t>无缝对接在线教学平台及软会议平台音频系统；</w:t>
            </w:r>
          </w:p>
          <w:p w14:paraId="1F534C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0DE4302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586882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6420F4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77B11C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1EBBF7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5DCB08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235F5F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45DDBB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6AE3E5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52694AF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24BFCA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6B2D9B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19.需提供产品说明书或带有CMA或CNAS标识的第三方检测报告；</w:t>
            </w:r>
          </w:p>
          <w:p w14:paraId="3408E1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4E68D3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ED373C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F9F322D">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A6F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3CD44E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46151D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枪式吊麦</w:t>
            </w:r>
          </w:p>
        </w:tc>
        <w:tc>
          <w:tcPr>
            <w:tcW w:w="5331" w:type="dxa"/>
            <w:noWrap w:val="0"/>
            <w:vAlign w:val="center"/>
          </w:tcPr>
          <w:p w14:paraId="1F5C72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1.类型：电容式；</w:t>
            </w:r>
          </w:p>
          <w:p w14:paraId="19770A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2.指向性：心型；</w:t>
            </w:r>
          </w:p>
          <w:p w14:paraId="61A85B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3.频率响应：≥50Hz-16kHz；</w:t>
            </w:r>
          </w:p>
          <w:p w14:paraId="46BE9C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4.灵敏度：≥-34dB；</w:t>
            </w:r>
          </w:p>
          <w:p w14:paraId="5E09B14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5.输出阻抗：≥2.2kΩ（at1kHz）；</w:t>
            </w:r>
          </w:p>
          <w:p w14:paraId="59D40E0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6.使用电压：≥9-48V幻像供电；</w:t>
            </w:r>
          </w:p>
          <w:p w14:paraId="4F2315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7.输出连接器/线缆：标准XLR-3公型/双绞屏蔽MIC电缆；</w:t>
            </w:r>
          </w:p>
          <w:p w14:paraId="2DACB87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8.颜色：亚光黑色；</w:t>
            </w:r>
          </w:p>
          <w:p w14:paraId="2F07F6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9.尺寸：≥Φ20×142mm；</w:t>
            </w:r>
          </w:p>
          <w:p w14:paraId="466C155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10.配套安装支架。</w:t>
            </w:r>
          </w:p>
          <w:p w14:paraId="44A24635">
            <w:pP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11.需提供产品说明书或带有CMA或CNAS标识的第三方检测报告；</w:t>
            </w:r>
          </w:p>
          <w:p w14:paraId="68E0DD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12.需配备安装支架、音频线、网线、线槽、安装固定辅材；</w:t>
            </w:r>
          </w:p>
          <w:p w14:paraId="6E49D3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13.需支持顶面局部造型吊顶(不太复杂的二级吊顶,弧形,圆形等拼接造型)或者拼接铝板/造型方通等稍复杂造型。</w:t>
            </w:r>
          </w:p>
        </w:tc>
        <w:tc>
          <w:tcPr>
            <w:tcW w:w="729" w:type="dxa"/>
            <w:noWrap w:val="0"/>
            <w:vAlign w:val="center"/>
          </w:tcPr>
          <w:p w14:paraId="5D38E44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037AA0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支</w:t>
            </w:r>
          </w:p>
        </w:tc>
        <w:tc>
          <w:tcPr>
            <w:tcW w:w="943" w:type="dxa"/>
            <w:noWrap w:val="0"/>
            <w:vAlign w:val="center"/>
          </w:tcPr>
          <w:p w14:paraId="36E1FA8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CCB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30118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04BC2D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7E9C3F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套餐含一个手持话筒和一个头戴麦</w:t>
            </w:r>
          </w:p>
          <w:p w14:paraId="2096AA6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6C5FFA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39C7AD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596ECE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050EBEA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1489EEB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5FF0B46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0E5587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52C831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5E8654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27AA41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4C441A2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29772D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7547243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14.需提供产品说明书或带有CMA或CNAS标识的第三方检测报告。</w:t>
            </w:r>
          </w:p>
        </w:tc>
        <w:tc>
          <w:tcPr>
            <w:tcW w:w="729" w:type="dxa"/>
            <w:noWrap w:val="0"/>
            <w:vAlign w:val="center"/>
          </w:tcPr>
          <w:p w14:paraId="3589A6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225DDB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006A4E5D">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462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003EE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3DED6C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3D0B3A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6993CD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5F6E63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49374B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6BE34B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3A9A79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0BC9D8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7.需提供产品说明书或带有CMA或CNAS标识的第三方检测报告；</w:t>
            </w:r>
          </w:p>
          <w:p w14:paraId="30BDB9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w:t>
            </w:r>
          </w:p>
        </w:tc>
        <w:tc>
          <w:tcPr>
            <w:tcW w:w="729" w:type="dxa"/>
            <w:noWrap w:val="0"/>
            <w:vAlign w:val="center"/>
          </w:tcPr>
          <w:p w14:paraId="787885C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558F7D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260FCE9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135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B6791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2B816D8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70D92F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p>
          <w:p w14:paraId="28A4EF4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2B312A3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779AC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09006B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A1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EE53EA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2D82C1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16661EE2">
            <w:pPr>
              <w:keepNext w:val="0"/>
              <w:keepLines w:val="0"/>
              <w:pageBreakBefore w:val="0"/>
              <w:widowControl/>
              <w:numPr>
                <w:ilvl w:val="0"/>
                <w:numId w:val="9"/>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采用高性能数字处理芯片，可将多个高清信号任意调用；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4.需与智慧教室多功能交互终端主机无缝对接；</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6.支持上课、下课的场景联动，用户登录成功后系统自动开启教室内的教学设备；用户点击“下课”，系统自动关闭教室内的教学设备；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p>
          <w:p w14:paraId="1E5E575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73ED7F4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Chars="0" w:right="0" w:right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199CE1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31EE13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98A24B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1B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E35DE8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25DC01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107445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584C26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422962E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55F74B1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1D786B3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7BD6AF6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1C13C0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7F926D3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451D77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9.需提供产品说明书或带有CMA或CNAS标识的第三方检测报告；</w:t>
            </w:r>
          </w:p>
          <w:p w14:paraId="716CDBE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10.为保证产品的使用安全性，需提供入网许可证。</w:t>
            </w:r>
          </w:p>
          <w:p w14:paraId="33D73DD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6C129D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09ECB2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6F2280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B6B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46E644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222FE3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391494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615BF9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66ECFF6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2E42A3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3A220FA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0AF665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2275F9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28EB6C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040A8BC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9.需提供产品说明书或带有CMA或CNAS标识的第三方检测报告；</w:t>
            </w:r>
          </w:p>
          <w:p w14:paraId="2D8222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10.为保证产品的使用安全性，需提供无线电发射设备型号核准证。</w:t>
            </w:r>
          </w:p>
        </w:tc>
        <w:tc>
          <w:tcPr>
            <w:tcW w:w="729" w:type="dxa"/>
            <w:noWrap w:val="0"/>
            <w:vAlign w:val="center"/>
          </w:tcPr>
          <w:p w14:paraId="1C56D2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4F64C4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3582C4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78D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9D879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6C6C55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机柜</w:t>
            </w:r>
          </w:p>
        </w:tc>
        <w:tc>
          <w:tcPr>
            <w:tcW w:w="5331" w:type="dxa"/>
            <w:noWrap w:val="0"/>
            <w:vAlign w:val="center"/>
          </w:tcPr>
          <w:p w14:paraId="62819D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1.容量：≥15U；</w:t>
            </w:r>
          </w:p>
          <w:p w14:paraId="4A93913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2.尺寸：≥600mmx590mmx769mm；</w:t>
            </w:r>
          </w:p>
          <w:p w14:paraId="287E90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3.颜色：黑色；</w:t>
            </w:r>
          </w:p>
          <w:p w14:paraId="54B5B6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4.需配套托板及机柜电源；</w:t>
            </w:r>
          </w:p>
          <w:p w14:paraId="37BC20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5.材质：SPCC优质冷轧钢；</w:t>
            </w:r>
          </w:p>
          <w:p w14:paraId="1D4B29D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6.表面处理：脱脂、酸洗、磷化、静电喷塑；；</w:t>
            </w:r>
          </w:p>
          <w:p w14:paraId="1DF79B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7.可拆卸侧板：侧面面板支持拆卸，方便出线；</w:t>
            </w:r>
          </w:p>
          <w:p w14:paraId="4E1E85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8.机柜钥匙：人性化设计，配扭力锁，可保证设备的安全及预防别人操作</w:t>
            </w:r>
          </w:p>
          <w:p w14:paraId="3482F69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9.需配备机柜防尘密封处理；</w:t>
            </w:r>
          </w:p>
        </w:tc>
        <w:tc>
          <w:tcPr>
            <w:tcW w:w="729" w:type="dxa"/>
            <w:noWrap w:val="0"/>
            <w:vAlign w:val="center"/>
          </w:tcPr>
          <w:p w14:paraId="76F46B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FE4E6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AA78B0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54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3374E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4C0E7A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笔记本电脑</w:t>
            </w:r>
          </w:p>
        </w:tc>
        <w:tc>
          <w:tcPr>
            <w:tcW w:w="5331" w:type="dxa"/>
            <w:noWrap w:val="0"/>
            <w:vAlign w:val="center"/>
          </w:tcPr>
          <w:p w14:paraId="0398EA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1.处理器：≥10核；≥16线程(inteli7-13代)；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2.内存：16G；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3.硬盘：1T固态；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4.显卡：核显；</w:t>
            </w:r>
          </w:p>
          <w:p w14:paraId="1239B3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5.显示：分辨率≥1920*1080，尺寸≥14英寸；</w:t>
            </w:r>
          </w:p>
          <w:p w14:paraId="3C761B18">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6.亮度：≥250nits，刷新率不低于60Hz；</w:t>
            </w:r>
          </w:p>
          <w:p w14:paraId="456B14F8">
            <w:pPr>
              <w:pStyle w:val="15"/>
              <w:keepNext w:val="0"/>
              <w:keepLines w:val="0"/>
              <w:pageBreakBefore w:val="0"/>
              <w:kinsoku/>
              <w:wordWrap/>
              <w:overflowPunct/>
              <w:topLinePunct w:val="0"/>
              <w:autoSpaceDE/>
              <w:autoSpaceDN/>
              <w:bidi w:val="0"/>
              <w:adjustRightInd w:val="0"/>
              <w:snapToGrid w:val="0"/>
              <w:spacing w:after="0" w:line="320" w:lineRule="exact"/>
              <w:ind w:left="0" w:leftChars="0" w:right="0" w:rightChars="0" w:firstLine="0" w:firstLineChars="0"/>
              <w:jc w:val="both"/>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7.接口：RJ45*1，HDMI*1,音频口*1，USB口不低于2个；</w:t>
            </w:r>
          </w:p>
          <w:p w14:paraId="1C277C4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8.提供配套鼠标、键盘等。</w:t>
            </w:r>
          </w:p>
        </w:tc>
        <w:tc>
          <w:tcPr>
            <w:tcW w:w="729" w:type="dxa"/>
            <w:noWrap w:val="0"/>
            <w:vAlign w:val="center"/>
          </w:tcPr>
          <w:p w14:paraId="4B741AA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35678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E7CF6B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87E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154FCE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46245E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3402F98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组合式课桌（6人一组）：</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1.采用6人一组的组合式拼接课桌，台面板:采用优质高密度板，长为800-900mm，斜边宽为550mm，厚度25mm，面粘防火板，PU胶边，具防火、耐磨、防污、牢固耐用。台面形状梯形。</w:t>
            </w:r>
          </w:p>
          <w:p w14:paraId="3A592FB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2.采用优质高密度刨花板，优质高密度刨花板，挡板尺寸280*300*217*16MM，上下边倒角，牢固耐用，抗变形；</w:t>
            </w:r>
          </w:p>
          <w:p w14:paraId="071BF00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3.可折叠，台架有拉杆拆叠装置，脚轮采用的PU万向脚轮带刹车；</w:t>
            </w:r>
          </w:p>
          <w:p w14:paraId="1C77B5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4.采用优质管(厚度为1.0mm)经模具注塑成型与圆管组成表面采用防锈静电喷涂处理。</w:t>
            </w:r>
          </w:p>
          <w:p w14:paraId="1C15560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座椅：</w:t>
            </w:r>
          </w:p>
          <w:p w14:paraId="6A3E70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1、座背胶壳：原材料使用PP工程塑料加纤，防寒耐腐，耐老化无毒环保。</w:t>
            </w:r>
          </w:p>
          <w:p w14:paraId="0811C1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2、座垫：采用定型海棉、布料采用阻燃绦纶面料，色度牢，耐光性好，抗皱免烫，座垫颜色可定制。</w:t>
            </w:r>
          </w:p>
          <w:p w14:paraId="6F6AF97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3、网背：透气中网靠背，回弹性好，坐感舒适，不场陷；不含胶水，不含有毒物质，品质健康没杂质。</w:t>
            </w:r>
          </w:p>
          <w:p w14:paraId="356849A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4、扶手：可90度翻转折叠使用；</w:t>
            </w:r>
          </w:p>
          <w:p w14:paraId="45A23C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5、脚轮：尼龙万向轮；</w:t>
            </w:r>
          </w:p>
          <w:p w14:paraId="7823E5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6、尺寸：座高≥45cm，座位宽度≥46cm，座位深度≥48cm。</w:t>
            </w:r>
          </w:p>
        </w:tc>
        <w:tc>
          <w:tcPr>
            <w:tcW w:w="729" w:type="dxa"/>
            <w:noWrap w:val="0"/>
            <w:vAlign w:val="center"/>
          </w:tcPr>
          <w:p w14:paraId="1D4246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797" w:type="dxa"/>
            <w:noWrap w:val="0"/>
            <w:vAlign w:val="center"/>
          </w:tcPr>
          <w:p w14:paraId="0B05BC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483AE3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BA1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34B5DD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450D5A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3313565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p>
          <w:p w14:paraId="586D32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p>
          <w:p w14:paraId="6A3AD7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p>
          <w:p w14:paraId="709E34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p>
          <w:p w14:paraId="6AF310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p>
          <w:p w14:paraId="77EF2C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p>
          <w:p w14:paraId="3172137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r>
              <w:rPr>
                <w:rFonts w:hint="eastAsia" w:ascii="微软雅黑" w:hAnsi="微软雅黑" w:eastAsia="微软雅黑" w:cs="微软雅黑"/>
                <w:color w:val="auto"/>
                <w:sz w:val="24"/>
                <w:szCs w:val="24"/>
                <w:highlight w:val="none"/>
                <w:vertAlign w:val="baseline"/>
                <w:lang w:eastAsia="zh-CN"/>
              </w:rPr>
              <w:t>；</w:t>
            </w:r>
          </w:p>
          <w:p w14:paraId="5A0ED4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5F01C74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52AB1BE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台</w:t>
            </w:r>
          </w:p>
        </w:tc>
        <w:tc>
          <w:tcPr>
            <w:tcW w:w="943" w:type="dxa"/>
            <w:noWrap w:val="0"/>
            <w:vAlign w:val="center"/>
          </w:tcPr>
          <w:p w14:paraId="3A01CB4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9E4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34ED6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三</w:t>
            </w:r>
          </w:p>
        </w:tc>
        <w:tc>
          <w:tcPr>
            <w:tcW w:w="9060" w:type="dxa"/>
            <w:gridSpan w:val="5"/>
            <w:noWrap w:val="0"/>
            <w:vAlign w:val="center"/>
          </w:tcPr>
          <w:p w14:paraId="79FF954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数字资源制作中心</w:t>
            </w:r>
          </w:p>
        </w:tc>
      </w:tr>
      <w:tr w14:paraId="29DB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0F392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260" w:type="dxa"/>
            <w:noWrap w:val="0"/>
            <w:vAlign w:val="center"/>
          </w:tcPr>
          <w:p w14:paraId="2C2F88E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集成录播系统</w:t>
            </w:r>
          </w:p>
        </w:tc>
        <w:tc>
          <w:tcPr>
            <w:tcW w:w="5331" w:type="dxa"/>
            <w:noWrap w:val="0"/>
            <w:vAlign w:val="center"/>
          </w:tcPr>
          <w:p w14:paraId="72D46A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一、精品录播主机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主机采用高度集成化设计，内置导播系统、互动系统、视频处理系统。具备音视频采集、音视频编解码、音视频处理、录制、直播、远程互动、视频会议、导播、行为分析、物联控制、远程运维参数设置等能力。</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2.▲主机为一体化架构，采用Linux操作系统。内置ARM架构处理器，具备8核CPU，处理器数量≥3颗。CPU采用64位八核架构，最高主频不低于2.4GHz。内存≥8GB，硬盘存储≥1TB，支持SATA。</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3.主机内置蓝牙模块，可实现对同品牌音箱的音量控制，并且可通过同品牌讲台实现对主机的开关机控制。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4.主机内置跟踪功能，无需额外配置跟踪主机即可实现智能图像识别跟踪分析与处理功能。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5.主机集成触控电容屏，屏幕尺寸≥15英寸，分辨率≥1920*1080，画面比例支持16:9，触控回传响延时≤70ms。</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6.主机平均噪声小于13dB（A）。</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7.为保证设备稳定运行，要求设备平均无故障运行时间（MTBF）≥20万小时。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8.主机支持≥5个HDMI高清接口。其中HDMI输入接口≥2个，HDMI输出接口≥3个。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9.主机支持≥5个RJ45接口。其中≥3个支持POE，LAN口≥1个，支持10/100/1000Mbps自适应，支持IPV4，IPV6设置。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11.主机支持≥4个音频接口。其中音频输入接口≥2个，输出接口≥2个。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12.支持≥1个数字麦克风输入接口，可在不接入音频处理器的情况下，通过网线就可以完成2个阵列麦克风接入主机，实现2个麦克风的供电、音频信号传输、音频参数设置。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13.支持≥5个USB接口，其中USB-A接口≥3个，Type-C接口≥2个；USB接口接入标准USB声卡，实现双向音频通信。支持≥1个RS422接口。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14.支持完全断电的情况下，从主机的音频输入通道上输入的音频，可以从主机的音频输出通道实现输出。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15.支持开启AI分析功能，开启后可进行课堂行为分析，在平台中生成报告；弗兰德斯互动分析、S-T/Rt-Ch教学分析及总结。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16.支持录制清晰度设置，支持录制清晰度自定义设置，可设置分辨率为4K、1080P、720P、VGA、QVGA，可设置帧率为60、30、25FPS，设置后可显示对应码流大小及估算视频录制的大小。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17.支持网络认证功能，可选择网络认证的线路，选择http协议或https协议。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二、精品主机流媒体系统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1.支持互动清晰度设置，分辨率可设置1080P、720P。</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2.支持互动清晰度自适应，在互动时根据网络情况选择最优清晰度。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3.支持设置主机互动模式，可选择开启或关闭互动双流设置，开启后可选择第二路流的画面，支持≥6个画面选择。</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4.支持互动协议设置，可设置主机视频通信协议，协议支持添加及参数修改。支持设置云服务器地址，可选择公有服务器或私有服务器。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5.支持互动状态下的导播模式设置，可设置手动、半自动、全自动导播模式；支持选择互动状态下的录制画面设置，可选择≥7路画面进行录制。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6.支持"1+3+直播接入"的互动授课模式，可接入1个主讲教室、3个互动教室和直播听课教室。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7.支持≥4个成员同时开麦和上台。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三、精品主机导播处理系统</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1.支持通过浏览器及电脑应用程序，对主机进行画面切换控制。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2.支持通过浏览器访问主机，进行视频管理，可对主机中录制的视频进行下载及预览。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3.支持通过浏览器，设置主机的输入配置，调整麦克风音量及设置摄像机信号。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4.支持设置主机录制清晰度、直播清晰度、直播GOP、互动清晰度；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5.支持通过浏览器，设置≥3种导播模式；设置主机网络ip；设置主机存储空间覆盖模式；查看主机系统、设备、软件等信息。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录制模式支持电影模式、资源模式两种，能同时支持1路电影模式加6路资源录制，实时录制合成画面、教师全景、教师特写、学生全景、学生特写、板书画面、电脑画面。可通过勾选录制对应画面，实现资源模式录制。录制的所有视频均有声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7.支持开始录制、暂停录制、停止录制。录制开始后系统自动计时。支持开启直播或关闭直播。</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8.支持选择≥3种导播模式，具备手动、半自动、全自动可选。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9.支持通过鼠标点击切换按钮或双击画面进行画面导播切换。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10.支持全屏放大预览画面。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11.▲支持≥16种转场特效的选择。选择对应特效后，切换画面将应用该特效。特效过渡时间0.5～1.5秒可调。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12.支持通过U盘导入片头片尾。片头片尾支持≥3种格式导入，包含图片格式及视频格式文件，支持批量管理片头片尾，可批量勾选并删除。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13.支持通过手机扫码实现字幕输入，可输入≥50个字符。导入后支持显示/隐藏控制，支持拖拽调节字幕任意位置，或通过≥6个预设位置调整字体位置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14.支持通过U盘导入台标，或通过≥5个预设位置调整台标位置。支持批量管理台标，可批量勾选并删除。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15.支持通过U盘导入背景图片，背景图片支持≥2种图片格式导入，支持总共导入≥30个大小≥19MB的图片文件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16.支持通过触控实现云台摄像机的推拉摇移控制，支持≥3种云台转动灵敏度设置。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17.支持可调用≥9个预置位，可设置预置位≥8个。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18.支持通过单击预览画面进行画面选择，选中后将框选该画面。支持通过单击画面切换按钮或双击画面进行画面导播切换。</w:t>
            </w:r>
          </w:p>
          <w:p w14:paraId="4EB724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19.需配备录播区隔音、设备防尘、网络线、电力线、音视频线、线槽。</w:t>
            </w:r>
          </w:p>
          <w:p w14:paraId="014BA6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20.含本教室135㎡空间隔墙、照明、穿墙板、灯具基础建设材料及施工。</w:t>
            </w:r>
          </w:p>
        </w:tc>
        <w:tc>
          <w:tcPr>
            <w:tcW w:w="729" w:type="dxa"/>
            <w:noWrap w:val="0"/>
            <w:vAlign w:val="center"/>
          </w:tcPr>
          <w:p w14:paraId="64F29E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567A82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9797B6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088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13DDA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260" w:type="dxa"/>
            <w:noWrap w:val="0"/>
            <w:vAlign w:val="center"/>
          </w:tcPr>
          <w:p w14:paraId="56DCA0A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录播抠像系统</w:t>
            </w:r>
          </w:p>
        </w:tc>
        <w:tc>
          <w:tcPr>
            <w:tcW w:w="5331" w:type="dxa"/>
            <w:noWrap w:val="0"/>
            <w:vAlign w:val="center"/>
          </w:tcPr>
          <w:p w14:paraId="69620A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支持任选两路通道作为前景和背景，实现对前景画面的实时抠像并叠加到背景画面，叠加后的画面通过合成通道输出并可实时预览。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2.支持≥2种抠像背景颜色，可自由切换。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3.支持通过嵌入式录播主机实现独立抠像，通过主机自带屏幕调节抠像参数。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4.支持通过嵌入式录播主机一键进入智能抠像模式，交互式智能平板可开启绿幕，无需通过录播主机环出虚拟幕布，即可实现交互式智能平板蒙绿，不影响交互式智能平板所有正常触控操作。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5.支持通过嵌入式录播主机自带屏幕或翻页笔切换人像显示或隐藏。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6.支持通过嵌入式录播主机自带屏幕调整切换效果，可选淡入淡出和无特效。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7.支持通过嵌入式录播主机自带屏幕调节抠像强度。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8.支持通过嵌入式录播主机自带屏幕控制抠像边缘羽化功能，使抠像边缘平滑、无毛刺。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9.支持设置抠像预置位，开启抠像功能时自动调用。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10.支持通过嵌入式录播主机的HDMI、UVC输出抠像后的合成画面，可以将抠像处理后的画面实时推流直播。</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11.支持抠像拍摄和实景拍摄同步进行，并可实时进行虚拟场景画面和实景拍摄画面的切换录制。</w:t>
            </w:r>
          </w:p>
          <w:p w14:paraId="174281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12.支持绿幕抠像，可实现人像叠加PPT，画面无闪烁、无边缘毛刺，合成效果自然，支持自动合成、一键导出成片，导出速度合理、成片效果达标。</w:t>
            </w:r>
          </w:p>
          <w:p w14:paraId="7A2548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13.需配备信号线、电力线、线槽、安装固定辅材。</w:t>
            </w:r>
          </w:p>
        </w:tc>
        <w:tc>
          <w:tcPr>
            <w:tcW w:w="729" w:type="dxa"/>
            <w:noWrap w:val="0"/>
            <w:vAlign w:val="center"/>
          </w:tcPr>
          <w:p w14:paraId="0D91F8B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278884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04CE892B">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202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AE25B0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260" w:type="dxa"/>
            <w:noWrap w:val="0"/>
            <w:vAlign w:val="center"/>
          </w:tcPr>
          <w:p w14:paraId="5A02699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机械云台摄像机</w:t>
            </w:r>
          </w:p>
        </w:tc>
        <w:tc>
          <w:tcPr>
            <w:tcW w:w="5331" w:type="dxa"/>
            <w:noWrap w:val="0"/>
            <w:vAlign w:val="center"/>
          </w:tcPr>
          <w:p w14:paraId="337197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传感器尺寸：≥CMOS1/1.8英寸。</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2.传感器有效像素≥800万。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3.支持不少于40倍变焦。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4.扫描方式：逐行。</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5.支持畸变矫正功能。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6.支持5.8G无线传输。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7.内置电池，支持不少于5小时续航。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8.空旷环境下无遮挡可靠传输实时4K超清视频距离≥100m。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摄像机软件：</w:t>
            </w:r>
          </w:p>
          <w:p w14:paraId="427F15C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1.支持自动白平衡。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2.支持背光补偿。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3.支持强光抑制。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4.支持图像冻结。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5.支持2D/3D降噪。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6.支持4种编码等级，包含baseline、mainprofile、highprofile、svc-t。</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7.支持人员检测，当开启跟踪时，即可实现对人员的跟踪拍摄，无需借助其他定位摄像机。</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8.支持通过录播主机手动划定跟踪目标，摄像机可对目标进行单人跟踪。</w:t>
            </w:r>
          </w:p>
          <w:p w14:paraId="0C8607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9.需配备安装支架、线槽、安装固定辅材。</w:t>
            </w:r>
          </w:p>
        </w:tc>
        <w:tc>
          <w:tcPr>
            <w:tcW w:w="729" w:type="dxa"/>
            <w:noWrap w:val="0"/>
            <w:vAlign w:val="center"/>
          </w:tcPr>
          <w:p w14:paraId="68E5B94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0F3757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1FD8446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E5C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94EC1A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260" w:type="dxa"/>
            <w:noWrap w:val="0"/>
            <w:vAlign w:val="center"/>
          </w:tcPr>
          <w:p w14:paraId="752277A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全向麦克风</w:t>
            </w:r>
          </w:p>
        </w:tc>
        <w:tc>
          <w:tcPr>
            <w:tcW w:w="5331" w:type="dxa"/>
            <w:noWrap w:val="0"/>
            <w:vAlign w:val="center"/>
          </w:tcPr>
          <w:p w14:paraId="7059C5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1.麦克风采用≥4核的国产音频芯片。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2.麦克风频率响应范围不低于50Hz~16KHz。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3.麦克风拾音半径≥8m。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4.麦克风信噪比≥68dB。</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5.麦克风声压级≥130dBSPL，10%THD@1KHz。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6.麦克风无需额外适配器供电，能够通过网线实现麦克风供电、音频信号传输、参数调整。</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7.麦克风具备≥1个状态指示灯，可显示麦克风工作状态。</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8.麦克风采用标准1/4吋螺口，适配各种类型标准吊杆。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9.麦克风支持≥2个数字音频接口，每个接口都具备输入接口和输出接口能力，支持盲插。</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10.麦克风支持≥1个Type-C接口。</w:t>
            </w:r>
          </w:p>
          <w:p w14:paraId="7FF84F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11.需配备安装支架、音频线、网线、安装固定辅材。</w:t>
            </w:r>
          </w:p>
        </w:tc>
        <w:tc>
          <w:tcPr>
            <w:tcW w:w="729" w:type="dxa"/>
            <w:noWrap w:val="0"/>
            <w:vAlign w:val="center"/>
          </w:tcPr>
          <w:p w14:paraId="760949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49339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1D5CDA9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48C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56A4D7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260" w:type="dxa"/>
            <w:noWrap w:val="0"/>
            <w:vAlign w:val="center"/>
          </w:tcPr>
          <w:p w14:paraId="4C6386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无线麦克风</w:t>
            </w:r>
          </w:p>
        </w:tc>
        <w:tc>
          <w:tcPr>
            <w:tcW w:w="5331" w:type="dxa"/>
            <w:noWrap w:val="0"/>
            <w:vAlign w:val="center"/>
          </w:tcPr>
          <w:p w14:paraId="156822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1.标配一个充电仓、两个无线麦克风，且两个麦克风支持同时工作。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2.支持任意两个麦克风放入同一个充电仓完成配对，配对后两个麦克风可同时连接一个接收端。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3.支持红外和无线2.4G同时配对，实现远距离配对的同时，防止误配对。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4.支持领夹佩戴、手持、挂脖佩戴、头戴佩戴等多种使用方式，满足不同场景需求。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5.麦克风自带全彩显示屏，支持显示显示麦克风电池电量、麦克风配对状态、麦克风所连接的设备、显示当前麦克风接收声音强度、无线连接信号强度。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6.支持抗干扰能力，支持自动跳频技术，避免同频干扰问题，同一空间内有多个无线麦克风不会产生相互干扰。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7.支持在空旷环境下，有效传输距离≥100m，适用于多种场景。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8.支持充电仓快速充电，1小时充满麦克风。</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9.麦克风续航时间不低于6小时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10.麦克风采用基于Bluetooth5.2的LEAudio技术标准，保证高品质抗干扰、低功耗、低延时传输。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11.麦克风音频编码方式采用LC3plus。</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12.支持啸叫抑制算法，实现本地扩声无啸叫现象。支持全频自适应降噪技术。支持全频自适应降噪技术。</w:t>
            </w:r>
          </w:p>
        </w:tc>
        <w:tc>
          <w:tcPr>
            <w:tcW w:w="729" w:type="dxa"/>
            <w:noWrap w:val="0"/>
            <w:vAlign w:val="center"/>
          </w:tcPr>
          <w:p w14:paraId="633481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70C546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324B2A8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FE1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0390E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260" w:type="dxa"/>
            <w:noWrap w:val="0"/>
            <w:vAlign w:val="center"/>
          </w:tcPr>
          <w:p w14:paraId="74E51D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资源管理系统</w:t>
            </w:r>
          </w:p>
        </w:tc>
        <w:tc>
          <w:tcPr>
            <w:tcW w:w="5331" w:type="dxa"/>
            <w:noWrap w:val="0"/>
            <w:vAlign w:val="center"/>
          </w:tcPr>
          <w:p w14:paraId="0E5CC3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1.可实现课堂管理、直播活动、用户管理等功能。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2.角色自定义：支持管理员根据不同教师的工作需求创建角色，自定义该角色的名称和可使用的功能权限；并可查看各角色的人数，方便管理。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3.可以根据教师个人学习需求对全校的视频课程进行筛选、点播观看、在线学习。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4.视频管理：录播主机录制的视频自动上传至平台，支持本校教师或管理员对视频进行名称编辑、学科学段编辑、下载、删除、发布课程等操作。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5.上传附件：平台支持支持用户在发布课程时上传相关资料；课程发布后，观众观看课程时下载相关资料，进行深入学习。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6.课程发布：课程发布时，可选择对应的学段、学科、发布模块、示范课分类等，方便用户按不同维度查找课程。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7.课程审核：支持学校管理员对本校教师申请发布的课程进行审核，监控公开课程资源的质量。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8.课程评论：支持用户对已发布视频进行视频打点并插入课堂评价，所评论内容可以关联视频对应时间点，便于回看时快速定位跳转，支持管理员对可选择性删除评论内容，管控评论秩序。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▲9.公网直播：学校管理员可设置录播设备的直播模式为公网直播，自由发起公网直播活动，方便举办公开课、校园培训等活动。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10.直播活动：支持用户创建直播，提前设置预约直播信息，并获取直播地址及二维码海报，方便提前发布直播信息。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11.创建直播时支持添加直播助教；助教进入工作台可进行直播间秩序维护，具体功能包括：</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①．支持对观众聊天互动的发言记录进行单个/批量删除，保障教师间互动交流的友好秩序；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②．支持对观众进行单个/批量的禁言，禁言后观众将不能在直播互动中发表言论，避免不法人员在公众场合捣乱。</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12.直播分享：用户可一键生成链接并进行分享，其他用户通过打开链接的方式，可登录观看直播视频。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14.禁言要求：直播开始前和直播过程中，支持用户修改观众聊天互动的权限；可设置为观众禁言，仅允许管理员进行发言，把控直播活动的纪律。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15.签到设置：支持在直播活动开始前，设置签到规则；可选择观众首次进入直播进行签到，或直播开始后15分钟开始签到，适应不同的直播场景。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16.直播数据：直播开始后，支持查看直播的人气峰值、观看人次、累计点赞、观众发言次数、签到人数等数据，随时掌握直播情况。</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17.管理直播回放：教师可选择直播中各时段生成的回放视频，删除不必要的回放片段，或选择发布至专递示范课/名校网络课堂/名师示范课，方便其他师生观看。</w:t>
            </w:r>
          </w:p>
        </w:tc>
        <w:tc>
          <w:tcPr>
            <w:tcW w:w="729" w:type="dxa"/>
            <w:noWrap w:val="0"/>
            <w:vAlign w:val="center"/>
          </w:tcPr>
          <w:p w14:paraId="52C826C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5D31ED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1394687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E73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573F8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260" w:type="dxa"/>
            <w:noWrap w:val="0"/>
            <w:vAlign w:val="center"/>
          </w:tcPr>
          <w:p w14:paraId="1082604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回显电视</w:t>
            </w:r>
          </w:p>
        </w:tc>
        <w:tc>
          <w:tcPr>
            <w:tcW w:w="5331" w:type="dxa"/>
            <w:noWrap w:val="0"/>
            <w:vAlign w:val="center"/>
          </w:tcPr>
          <w:p w14:paraId="247F5CB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1.屏幕物理尺寸≥55吋。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2.屏幕分辨率≥3840*2160。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3.屏幕刷新率≥60Hz。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4.屏幕可视角度≥±176度。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5.整机功耗≤120W。</w:t>
            </w:r>
          </w:p>
          <w:p w14:paraId="6E443F1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6.需配备安装支架、HDMI线、电力线、线槽、安装固定辅材。</w:t>
            </w:r>
          </w:p>
        </w:tc>
        <w:tc>
          <w:tcPr>
            <w:tcW w:w="729" w:type="dxa"/>
            <w:noWrap w:val="0"/>
            <w:vAlign w:val="center"/>
          </w:tcPr>
          <w:p w14:paraId="127869D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745BB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31860C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0FA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B10530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260" w:type="dxa"/>
            <w:noWrap w:val="0"/>
            <w:vAlign w:val="center"/>
          </w:tcPr>
          <w:p w14:paraId="4F232D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教学一体机</w:t>
            </w:r>
          </w:p>
        </w:tc>
        <w:tc>
          <w:tcPr>
            <w:tcW w:w="5331" w:type="dxa"/>
            <w:noWrap w:val="0"/>
            <w:vAlign w:val="center"/>
          </w:tcPr>
          <w:p w14:paraId="68228D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一、整机要求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整机采用边框与背板一体化冲压成型结构，上左右三边边框与背板非拼接组装结构，连接处无拼缝。上左右三边边框正面宽度相等（等边框结构），且三边宽度均≤15mm，屏占比≥89%。屏幕采用86英寸超⾼清LED液晶屏，显示分辨率3840*2160，可视⻆度≥178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2.屏幕采⽤≤3mm钢化玻璃保护，表⾯硬度≥石墨硬度9H或莫氏硬度7级，透光率不低于91%，雾度≤8%。</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3.整机左、右、下三边框皆具备磁吸功能，边框任意位置可吸附具备磁吸功能的书写笔。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4.整机采用≥12核国产化嵌入式芯片，嵌入式系统版本≥Android15，主频≥1.6GHz，内存≥2GB，存储空间≥32GB。</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5.整机CPU芯片，WIFI与蓝牙芯片、摄像头图像处理芯片、均采用国产自主芯片。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6.整机全通道⽀持4K显示，包括安卓通道、PC通道、HDMI通道。.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7.整机设备内置2.2声道扬声器，最大功率≥84W，最低谐振频率≤85Hz。扬声器采用模块化设计，无需打开背板即可单独拆卸。</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8.整机内置非独立外扩展的4阵列麦克风，可用于对教室环境音频进行采集，麦克风拾音距离≥12米。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9.支持标准、听力、观影和空间感知音效模式，空间感知音效模式可通过内置麦克风采集教室物理环境声音，自动生成符合当前教室物理环境的频段、音量、音效。</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10.整机听力模式下具备AI人声语言增强功能，支持三挡强弱调节。扩声系统语言传输指数（STIPA）≥0.75。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12.整机具备熄屏扩声功能，在关闭显示部分的情况下可播放音频及本地扩音，轻触显示部分可点亮屏幕。</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13.整机系统支持手势上滑调出人工智能画质调节模式，开启后播放视频即可根据屏幕内容自动调节画质参数，当屏幕出现人物、建筑、夜景元素时，自动调整对比度、饱和度、锐利度、色调色相值、高光/阴影。</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14.整机具备前置物理按键，可实现开关机、音量＋－、护眼、录屏、设置功能。前置接口与按键在设备同一侧。前置按键支持自定义设置，可通过自定义设置实现前置面板功能按键一键启用任一全局小工具。</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15.整机支持发出频率为18kHz-22kHz超声波信号，智能手机和笔记本电脑接收超声波信号后可以自动识别附近投屏设备，点击对应设备即可完成投屏操作。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整机支持蓝牙Bluetooth5.4标准,内置双WiFi6无线网卡（不接受外接），在Android下支持无线设备同时连接数量≥32个，在Windows系统下支持无线设备同时连接≥8个。无线模块（Wi-Fi和蓝牙）采用独立模块化设计，无需拆卸整机后壳即可独立拆装。</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整机PC通道及安卓通道各具备一颗WiFi6无线芯片，PC和安卓通道均可通过大屏发送WiFi6热点以及连接WiFi6的路由器。配套教学应用APP可通过wifi直连技术，近场发现附近教学大屏设备，无需扫码、账号密码输入步骤，即可直接连接并登录教学大屏设备，基于统一身份认证机制可实现其他教学软件免登录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18.整机上边框内置非独立摄像头，采用一体化集成设计，⽀持输出4:3、16:9⽐例的图⽚和视频，支持拍摄≥1600万像素数的照片和视频，支持输出4k分辨率的视频。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19.整机具备班级视力检测功能，学⽣站在距离屏幕前5m处，可通过⼿势识别方式来标识方向进行视力测试，测试完成后可直接⽣成视⼒检测结果，并建⽴学⽣视⼒档案，对学⽣视⼒情况进⾏管理。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20.支持绿幕生成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二、系统模块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1.处理器：不低于十二代IntelCorei5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2.内存：8GB内存或以上配置。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3.硬盘：256GB或以上，SSD固态硬盘</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4.PC模块可抽拉式插入整机，可实现无单独接线的插拔。</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5.为保证设备使用稳定性及兼容性，OPS模块需与交互智能一体机为同一品牌。</w:t>
            </w:r>
          </w:p>
          <w:p w14:paraId="53933DA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6.需配备安装支架、HDMI线、电力线、线槽、安装固定辅材。</w:t>
            </w:r>
          </w:p>
          <w:p w14:paraId="748BD9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三、翻页笔</w:t>
            </w:r>
          </w:p>
          <w:p w14:paraId="56FEF2A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1.遥控距离:100米。</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2.激光:3R类激光。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3.激光波长:640nm-660nm(红光)。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4.电池:一节七号(AAA)电池。</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5.操作系统:Windows7及以上版本。</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6.USB版本:USB2.0，即插即用，无需安装驱动。</w:t>
            </w:r>
          </w:p>
        </w:tc>
        <w:tc>
          <w:tcPr>
            <w:tcW w:w="729" w:type="dxa"/>
            <w:noWrap w:val="0"/>
            <w:vAlign w:val="center"/>
          </w:tcPr>
          <w:p w14:paraId="5F2C7A3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668825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47F01BD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12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EC813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260" w:type="dxa"/>
            <w:noWrap w:val="0"/>
            <w:vAlign w:val="center"/>
          </w:tcPr>
          <w:p w14:paraId="070935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顶部LED柔光灯及套件</w:t>
            </w:r>
          </w:p>
        </w:tc>
        <w:tc>
          <w:tcPr>
            <w:tcW w:w="5331" w:type="dxa"/>
            <w:noWrap w:val="0"/>
            <w:vAlign w:val="center"/>
          </w:tcPr>
          <w:p w14:paraId="2BAD9B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一、顶部LED柔光灯</w:t>
            </w:r>
          </w:p>
          <w:p w14:paraId="283871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1.输入电压：AC220V；</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2.额定功率：≤100w；</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3.色温：5600K/3200K可调。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4.显色指数：Ra≥95％；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5.TLCI(Qa)：＞95；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6.通道数量：≥3通道；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7.亮度调节：支持无极调光；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8.单灯调光：≥4种调光方式；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9.多灯同时调光：≥1种调光方式；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10.仰俯角度：支持翻转，角度应不小于85°；</w:t>
            </w:r>
          </w:p>
          <w:p w14:paraId="662B74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11.需配备安装支架、电力线、控制线、线槽。</w:t>
            </w:r>
          </w:p>
          <w:p w14:paraId="45DDF3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二、LED柔光灯遥控器</w:t>
            </w:r>
          </w:p>
          <w:p w14:paraId="37F411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1.机身支持中英文两种语言；</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2.支持对每只灯具进行独立调校；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3.支持控制≥99组灯光，每组灯光可添加≥99个灯具，合计可控制灯具总数≥9801台；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4.支持节能/保护模式；</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5.支持自动进入省电模式。</w:t>
            </w:r>
          </w:p>
        </w:tc>
        <w:tc>
          <w:tcPr>
            <w:tcW w:w="729" w:type="dxa"/>
            <w:noWrap w:val="0"/>
            <w:vAlign w:val="center"/>
          </w:tcPr>
          <w:p w14:paraId="08D0EB7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797" w:type="dxa"/>
            <w:noWrap w:val="0"/>
            <w:vAlign w:val="center"/>
          </w:tcPr>
          <w:p w14:paraId="0B7F38F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666BA6E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8E0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1D36E2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260" w:type="dxa"/>
            <w:noWrap w:val="0"/>
            <w:vAlign w:val="center"/>
          </w:tcPr>
          <w:p w14:paraId="67141E9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提词器</w:t>
            </w:r>
          </w:p>
        </w:tc>
        <w:tc>
          <w:tcPr>
            <w:tcW w:w="5331" w:type="dxa"/>
            <w:noWrap w:val="0"/>
            <w:vAlign w:val="center"/>
          </w:tcPr>
          <w:p w14:paraId="0110E2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1.提词器屏幕亮度≥250cd/m²，分辨率1920*1080。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2.提词器具备≥1个hdmi接口，≥1个vga接口。</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3.提词器屏幕菜单支持≥8种语言。</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4.提词器分光镜透光率≥97%，反射率≥20%。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5.支持滚动速度任意调整；字号、字体任意设置，字色、背景色任意搭配等功能。软件控制方式多样化，键盘、鼠标、遥控器、脚踏板、遥控手柄均可。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6.提词器整体结构为CNC数控加工成型，强度高，坚固结实。</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7.摄像机承托架结构为铝材数控一次挤出成型，固定支架可前后滑动，能与各种摄像机和三脚架固定使用,拆装简便。</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8.遮光罩为一次模压成型EV材质。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9.提词器配备加厚承重型三脚架。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10.依托加强型万向脚轮，移动平滑。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▲11.内置电脑，采用企业级高效内嵌微型主机，采用ATX系列主板，Intel专业CPU，4GB内存，128GB高速msata企业版硬盘。</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12.支持≥4个usb接口，支持从U盘导入演讲文档，并支持鼠标键盘控制。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13.内置无线遥控器，可控制文稿的暂停与播放，控制播放速度。</w:t>
            </w:r>
          </w:p>
        </w:tc>
        <w:tc>
          <w:tcPr>
            <w:tcW w:w="729" w:type="dxa"/>
            <w:noWrap w:val="0"/>
            <w:vAlign w:val="center"/>
          </w:tcPr>
          <w:p w14:paraId="0F47BB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4FF0ED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796B58D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4E8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717BF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260" w:type="dxa"/>
            <w:noWrap w:val="0"/>
            <w:vAlign w:val="center"/>
          </w:tcPr>
          <w:p w14:paraId="7DE131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智慧黑板（86寸）</w:t>
            </w:r>
          </w:p>
        </w:tc>
        <w:tc>
          <w:tcPr>
            <w:tcW w:w="5331" w:type="dxa"/>
            <w:noWrap w:val="0"/>
            <w:vAlign w:val="center"/>
          </w:tcPr>
          <w:p w14:paraId="40A0B15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▲1.智能交互黑板显示尺寸86英寸，分辨率：3840*2160，采用电容触控技术，在双系统下均支持40点同时触控；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red"/>
                <w:u w:val="none"/>
                <w:lang w:val="en-US" w:eastAsia="zh-CN" w:bidi="ar"/>
              </w:rPr>
              <w:t>2.</w:t>
            </w:r>
            <w:r>
              <w:rPr>
                <w:rFonts w:hint="eastAsia" w:ascii="微软雅黑" w:hAnsi="微软雅黑" w:eastAsia="微软雅黑" w:cs="微软雅黑"/>
                <w:b w:val="0"/>
                <w:bCs w:val="0"/>
                <w:i w:val="0"/>
                <w:iCs w:val="0"/>
                <w:color w:val="auto"/>
                <w:kern w:val="0"/>
                <w:sz w:val="24"/>
                <w:szCs w:val="24"/>
                <w:highlight w:val="red"/>
                <w:u w:val="none"/>
                <w:lang w:val="en-US" w:eastAsia="zh-CN" w:bidi="ar"/>
              </w:rPr>
              <w:t>智能交互黑板整机采用三段式一体化结构设计，长度≥4100mm，高度≥1100mm，厚度≤90mm；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3.智能交互黑板表面玻璃应采用高强度钢化玻璃，玻璃厚度≤3.2mm，硬度可达莫氏7级，高于石墨1-9H硬度；</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4.智能交互黑板需采用全贴合设计，屏体表面无可见金属条纹；</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5.智能交互黑板前面板至少具备1路HDMI接口（非转接），2路USB3.0接口，1路全功能Type-C接口，全功能接口具备音频、视频、数据、触控、充电等功能，外接电脑可调用屏体麦克风、音响、摄像头等数据；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6.智能交互黑板后置标配VGA输入≥1路；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7.智能交互黑板前置中文按键≥7个，可实现音量加减、窗口关闭、触控开关等功能，且按键均具备两种及以上明确的功能；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8.智能交互黑板内置WiFi6无线网卡，在Android和Windows系统下，可实现Wi-Fi无线上网连接、AP无线热点发射，在双系统下支持无线设备同时连接数量≥32个；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9.整机内置蓝牙Bluetooth5.4模块，支持连接外部蓝牙音箱播放音频；</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10.无需打开智能交互黑板背板，前置接口面板、前置按键面板、屏体主板、屏体电源板、扬声器支持单独前拆；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11.智能交互黑板具备前置电脑还原按键，为避免误碰，按键采用针孔式设计，并有配有中文标识；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12.采用针孔阵列发声设计，智能交互黑板下边框具有4个发声单元，总功率≥60W，低音音箱尺寸≥3.5英寸，扬声器在100%音量下，1米处声压级≥90dB，10米处声压级≥80dB；谐振频率不高于260Hz；</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red"/>
                <w:u w:val="none"/>
                <w:lang w:val="en-US" w:eastAsia="zh-CN" w:bidi="ar"/>
              </w:rPr>
              <w:t>13.智能交互黑板具备≥8核芯片驱动，Android系统版本≥12.0，内存≥4G，存储≥32G；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14.内置一体化超高清5K摄像头，单颗摄像头有效像素≥1900W，可输出最大分辨率5104*3864的图片与视频，支持搭配AI软件实现自动点名点数功能；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15.智能交互黑板左右两侧可提供与教学应用密切相关的快捷键，数量各不少于15个，并支持自定义设置：时间，显示模式，单侧显示、双侧同时显示，该快捷键至少具有关闭窗口，展台，桌面、多屏互动等教学常用按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16.智能交互黑板具有悬浮菜单，两指可快速移动悬浮菜单至按压位置，悬浮菜单可进行自定义分组，可添加AI互动软件等不少于30个应用；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17.智能交互黑板采用硬件低蓝光背光技术，在源头减少有害蓝光波段能量，蓝光占比（有害蓝光415～455nm能量综合）/（整体蓝光400～500能量综合）＜50%；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18.智能交互黑板背光系统支持DC调光方式，多级亮度调节；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19.智能交互黑板全通道支持纸质护眼模式，可实现画面纹理的实时调整；支持纸质纹理：素描纸、宣纸、水彩纸；支持透明度调节与色温调节；显示画面各像素点灰度不规则，减少背景干扰；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20.通过五指抓取屏幕任意位置可调出多任务处理窗口，并对正在运行的应用进行浏览、快速切换或结束进程；</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21.在任意信号源下，从屏幕下方任意位置向上滑动，可调用快捷设置菜单，无需切换系统，可快速调节Windows和Android的设置，并支持拖拽到屏幕任意位置；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22.智能交互黑板采用OPS-C标准的80pin针口设计，向下插拔的方式方便后续自主升级维护；</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23.侧板支持磁性材质教具吸附；</w:t>
            </w:r>
          </w:p>
          <w:p w14:paraId="2C33A23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24.需配备安装支架、电力线、信号线、线槽；</w:t>
            </w:r>
          </w:p>
        </w:tc>
        <w:tc>
          <w:tcPr>
            <w:tcW w:w="729" w:type="dxa"/>
            <w:noWrap w:val="0"/>
            <w:vAlign w:val="center"/>
          </w:tcPr>
          <w:p w14:paraId="0AC5648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5C6537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CA8E01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B6E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D8A98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260" w:type="dxa"/>
            <w:noWrap w:val="0"/>
            <w:vAlign w:val="center"/>
          </w:tcPr>
          <w:p w14:paraId="274F2D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教师高清云台摄像机</w:t>
            </w:r>
          </w:p>
        </w:tc>
        <w:tc>
          <w:tcPr>
            <w:tcW w:w="5331" w:type="dxa"/>
            <w:noWrap w:val="0"/>
            <w:vAlign w:val="center"/>
          </w:tcPr>
          <w:p w14:paraId="4B7722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1.支持根据教师身高变化自动调整画面垂直角度；教室前排学生站立和挥手对教师跟踪无影响，教师在讲台上面对或背对摄像机时跟踪无影响；</w:t>
            </w:r>
          </w:p>
          <w:p w14:paraId="7194B8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red"/>
                <w:u w:val="none"/>
                <w:lang w:val="en-US" w:eastAsia="zh-CN" w:bidi="ar"/>
              </w:rPr>
            </w:pPr>
            <w:r>
              <w:rPr>
                <w:rFonts w:hint="eastAsia" w:ascii="微软雅黑" w:hAnsi="微软雅黑" w:eastAsia="微软雅黑" w:cs="微软雅黑"/>
                <w:i w:val="0"/>
                <w:iCs w:val="0"/>
                <w:color w:val="auto"/>
                <w:kern w:val="0"/>
                <w:sz w:val="24"/>
                <w:szCs w:val="24"/>
                <w:highlight w:val="red"/>
                <w:u w:val="none"/>
                <w:lang w:val="en-US" w:eastAsia="zh-CN" w:bidi="ar"/>
              </w:rPr>
              <w:t>2.支持板书动作检测算法，直接识别教师板书动作并拍摄板书画面；</w:t>
            </w:r>
          </w:p>
          <w:p w14:paraId="6CFEC78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3.需具备内置图像识别与跟踪算法，无其他辅助的情况下，即可实现云台跟踪效果；支持多种跟踪模式（跟随模式、动静模式）；</w:t>
            </w:r>
          </w:p>
          <w:p w14:paraId="69413B0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4.支持高清分辨率图像，支持≥1080P@60fps图像编码输出，同时向下兼容720p分辨率；</w:t>
            </w:r>
          </w:p>
          <w:p w14:paraId="48EBB9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5.传感器尺寸≥1/2.8英寸,有效像素≥214万；光学变焦≥20倍；支持自动、手动、一键白平衡、静态色温；</w:t>
            </w:r>
          </w:p>
          <w:p w14:paraId="4F587F9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6.可根据教室的实际布局和需求灵活调整焦距，实现对不同区域的清晰拍摄，水平转动≥-130°~+130°，垂直转动≥-30°~+90°；</w:t>
            </w:r>
          </w:p>
          <w:p w14:paraId="132EB3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7.支持区域锁定跟踪，支持≥8个屏蔽区域设置；</w:t>
            </w:r>
          </w:p>
          <w:p w14:paraId="1AC3D6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8.支持H.265/H.264/MJEPG三种视频编码标准，音频AAC编码标准；支持RTSP、RTMP、Onvif、网络协议；</w:t>
            </w:r>
          </w:p>
          <w:p w14:paraId="156B9A2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9.单台摄像机支持全景视频和特写视频同时输出，支持≥4路网络视频流输出，支持≥1路视频支持自动导切视频输出；</w:t>
            </w:r>
          </w:p>
          <w:p w14:paraId="53479E6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10.接口具备LINEIN接口≥1个；RS-232IN接口≥1个；RS-232OUT接口≥1个；</w:t>
            </w:r>
          </w:p>
          <w:p w14:paraId="74D651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11.支持宽动态范围；支持图像2D和3D降噪；支持PoE供电；</w:t>
            </w:r>
          </w:p>
          <w:p w14:paraId="1525C4AB">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12.需提供产品说明书或带有CMA或CNAS标识的第三方检测报告；</w:t>
            </w:r>
          </w:p>
          <w:p w14:paraId="45CAC78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13.需配套安装支架、网线、电力线、音视频线、线槽、安装固定辅材。</w:t>
            </w:r>
          </w:p>
        </w:tc>
        <w:tc>
          <w:tcPr>
            <w:tcW w:w="729" w:type="dxa"/>
            <w:noWrap w:val="0"/>
            <w:vAlign w:val="center"/>
          </w:tcPr>
          <w:p w14:paraId="62A630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E860F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B489E8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88F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2FF8FF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260" w:type="dxa"/>
            <w:noWrap w:val="0"/>
            <w:vAlign w:val="center"/>
          </w:tcPr>
          <w:p w14:paraId="1CE1452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学生高清跟踪摄像机</w:t>
            </w:r>
          </w:p>
        </w:tc>
        <w:tc>
          <w:tcPr>
            <w:tcW w:w="5331" w:type="dxa"/>
            <w:noWrap w:val="0"/>
            <w:vAlign w:val="center"/>
          </w:tcPr>
          <w:p w14:paraId="5FE73D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1.手动切换：支持在老师视频和学生视频之间进行画面切换；</w:t>
            </w:r>
          </w:p>
          <w:p w14:paraId="5DDF1E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2.自动导播：支持老师视频和学生视频自动切换；</w:t>
            </w:r>
          </w:p>
          <w:p w14:paraId="5DFD460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3.白平衡模式：支持自动白平衡；</w:t>
            </w:r>
          </w:p>
          <w:p w14:paraId="4CC565B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4.目标跟踪：支持目标跟踪，跟踪灵敏度可调节；</w:t>
            </w:r>
          </w:p>
          <w:p w14:paraId="1FCAB5C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5.视频编码：支持H.265、H.264、MJPG可选；</w:t>
            </w:r>
          </w:p>
          <w:p w14:paraId="209CCA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6.音频编码：支持AAC音频编码；</w:t>
            </w:r>
          </w:p>
          <w:p w14:paraId="207E05D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7.网络协议：支持HTTP、TCP、UDP、RTSP、RTMP、ONVIF可选；</w:t>
            </w:r>
          </w:p>
          <w:p w14:paraId="218BBF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8.支持POE供电；</w:t>
            </w:r>
          </w:p>
          <w:p w14:paraId="2F0DBF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9.支持镜像翻转；</w:t>
            </w:r>
          </w:p>
          <w:p w14:paraId="509DBE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10.支持2D/3D降噪；</w:t>
            </w:r>
          </w:p>
          <w:p w14:paraId="4ED018D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11.支持的图像输出格式(USB)：≥3840×2160p/30Hz。</w:t>
            </w:r>
          </w:p>
          <w:p w14:paraId="7C13645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12.需配置配套安装支架、网线、电力线、音视频线、线槽、安装固定辅材。</w:t>
            </w:r>
          </w:p>
        </w:tc>
        <w:tc>
          <w:tcPr>
            <w:tcW w:w="729" w:type="dxa"/>
            <w:noWrap w:val="0"/>
            <w:vAlign w:val="center"/>
          </w:tcPr>
          <w:p w14:paraId="6EA5C6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3AE215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7146E71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B06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39C53A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260" w:type="dxa"/>
            <w:noWrap w:val="0"/>
            <w:vAlign w:val="center"/>
          </w:tcPr>
          <w:p w14:paraId="032DA6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同步课堂软件</w:t>
            </w:r>
          </w:p>
        </w:tc>
        <w:tc>
          <w:tcPr>
            <w:tcW w:w="5331" w:type="dxa"/>
            <w:noWrap w:val="0"/>
            <w:vAlign w:val="center"/>
          </w:tcPr>
          <w:p w14:paraId="5C2380B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1.支持快速绑定教室的电脑设备与教室摄像机设备，简化教室的设备调试流程，能够快速搭建直播教室；</w:t>
            </w:r>
          </w:p>
          <w:p w14:paraId="354268F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2.支持快捷开启直播课堂；支持编辑课堂名称与授课老师姓名，支持学生随时通过课堂观摩链接加入直播课堂，线上观摩直播课程；</w:t>
            </w:r>
          </w:p>
          <w:p w14:paraId="165E682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3.支持通过客户端采集教室音频设备流，内置编解码模块，可通过网络抓取技术采集显示信号和音频信号同步进行压缩编码传输；</w:t>
            </w:r>
          </w:p>
          <w:p w14:paraId="41A59E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4.支持开课后自由选择是否开启屏幕共享，支持选择启动时自动开启屏幕共享；支持共享桌面画面，学生可以直接看到主讲教师桌面，方便教学课件进行展示；</w:t>
            </w:r>
          </w:p>
          <w:p w14:paraId="68B6F8E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5.支持调用本地的摄像机（支持同时接入老师机位摄像机和学生机位摄像机），采集教室视频流；</w:t>
            </w:r>
          </w:p>
          <w:p w14:paraId="60DADD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6.支持老师一键复制观摩信息，方便邀请旁听学生通过课堂观摩参加码加入直播课程，或通过课堂观摩直播链接快速进入观摩课堂，节省时间；</w:t>
            </w:r>
          </w:p>
          <w:p w14:paraId="083DAF1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7.支持点击麦克风图标，进入音频选项界面，检测麦克风、扬声器接入情况，调整音量大小；</w:t>
            </w:r>
          </w:p>
          <w:p w14:paraId="7D3DE17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转文模块：支持AI识别功能，能够将课堂语音转化为“文字稿”。教学管理员和老师可以对文字稿的内容进行编辑以及导出操作；教学管理员、老师以及学生均可通过搜索框，迅速定位所需文字。支持教学管理员、老师和学生点取文字稿中的内容，此时视频将跳转到该内容对应的位置，从而实现快速回顾课堂知识点的目的；</w:t>
            </w:r>
          </w:p>
          <w:p w14:paraId="7246686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课堂摘要模块：支持AI“课堂摘要”功能，能够智能地总结全文或章节内容。AI能力可将视频划分为若干个章节，并与相应的章节概要一一对应。教学管理人员和老师能够对切片视频进行在线剪辑，同时也可以对课堂摘要进行在线编辑，以此帮助未参与课程的人员快速理解授课内容。该功能可实现快速定位授课内容，便于浏览人员迅速掌握课堂脉络并精准定位目标内容；</w:t>
            </w:r>
          </w:p>
          <w:p w14:paraId="4AD0F0D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▲10.知识点模块：支持AI“知识点标签”功能，可自动将老师的授课内容总结归纳为课堂知识点标签。用户通过点击标签，便能迅速定位到原视频的讲解位置；</w:t>
            </w:r>
          </w:p>
          <w:p w14:paraId="6E1BFF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11.</w:t>
            </w:r>
            <w:r>
              <w:rPr>
                <w:rFonts w:hint="eastAsia" w:ascii="微软雅黑" w:hAnsi="微软雅黑" w:eastAsia="微软雅黑" w:cs="微软雅黑"/>
                <w:i w:val="0"/>
                <w:iCs w:val="0"/>
                <w:color w:val="auto"/>
                <w:kern w:val="0"/>
                <w:sz w:val="24"/>
                <w:szCs w:val="24"/>
                <w:highlight w:val="none"/>
                <w:u w:val="none"/>
                <w:lang w:val="en-US" w:eastAsia="zh-CN" w:bidi="ar"/>
              </w:rPr>
              <w:t>教学概要分析模块：支持数据总览包括课堂时长、课堂摘要数量、知识点标签数量、课堂板书；支持统计教学活动时长占比；</w:t>
            </w:r>
          </w:p>
          <w:p w14:paraId="00D56FD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12.支持双机位自动录制，可实现教师/学生画面自动切换，录制音画同步、无卡顿、无杂音；</w:t>
            </w:r>
          </w:p>
          <w:p w14:paraId="782183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13.支持一键开播，推流稳定、画面清晰，可支持外部终端实时观看；</w:t>
            </w:r>
          </w:p>
          <w:p w14:paraId="1C828E0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14.举手响应、实时答题、投屏互动、弹幕互动功能正常，响应及时</w:t>
            </w:r>
          </w:p>
          <w:p w14:paraId="48E6A87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15.实时巡课、多画面监看、远程督导功能流畅可用，操作便捷；</w:t>
            </w:r>
          </w:p>
          <w:p w14:paraId="57E090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color w:val="auto"/>
                <w:sz w:val="24"/>
                <w:szCs w:val="24"/>
                <w:highlight w:val="none"/>
                <w:vertAlign w:val="baseline"/>
                <w:lang w:val="en-US" w:eastAsia="zh-CN"/>
              </w:rPr>
              <w:t>16.支持语音转文字、课堂自动摘要、知识点提取、教学行为分析功能。</w:t>
            </w:r>
          </w:p>
        </w:tc>
        <w:tc>
          <w:tcPr>
            <w:tcW w:w="729" w:type="dxa"/>
            <w:noWrap w:val="0"/>
            <w:vAlign w:val="center"/>
          </w:tcPr>
          <w:p w14:paraId="622A2A8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EA0A1D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56FE6A0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BB0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D54396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260" w:type="dxa"/>
            <w:noWrap w:val="0"/>
            <w:vAlign w:val="center"/>
          </w:tcPr>
          <w:p w14:paraId="16CBF7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智能音频扩声主机</w:t>
            </w:r>
          </w:p>
        </w:tc>
        <w:tc>
          <w:tcPr>
            <w:tcW w:w="5331" w:type="dxa"/>
            <w:noWrap w:val="0"/>
            <w:vAlign w:val="center"/>
          </w:tcPr>
          <w:p w14:paraId="2FD7ACB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1.高度≤2U，音频处理部分和功率放大器集成到一个机箱内；</w:t>
            </w:r>
          </w:p>
          <w:p w14:paraId="74ED9B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2.具有≥2路48V幻象供电麦克风输入；</w:t>
            </w:r>
          </w:p>
          <w:p w14:paraId="6061EA3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3.具有≥4路平衡式线性输入，采用凤凰端子；</w:t>
            </w:r>
          </w:p>
          <w:p w14:paraId="7B59FD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4.具有≥6路平衡式线性输出，采用凤凰端子；</w:t>
            </w:r>
          </w:p>
          <w:p w14:paraId="7BCA29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5.物理面板具有≥1路3.5mm监听接口；</w:t>
            </w:r>
          </w:p>
          <w:p w14:paraId="0E2A780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6.具有1路两通道USB音频接口，可传输AEC-REF、AEC-OUT数据，可整合到电脑作为声卡，</w:t>
            </w:r>
            <w:r>
              <w:rPr>
                <w:rFonts w:hint="eastAsia" w:ascii="微软雅黑" w:hAnsi="微软雅黑" w:eastAsia="微软雅黑" w:cs="微软雅黑"/>
                <w:b/>
                <w:bCs/>
                <w:i w:val="0"/>
                <w:iCs w:val="0"/>
                <w:color w:val="auto"/>
                <w:kern w:val="0"/>
                <w:sz w:val="24"/>
                <w:szCs w:val="24"/>
                <w:highlight w:val="none"/>
                <w:u w:val="none"/>
                <w:lang w:val="en-US" w:eastAsia="zh-CN" w:bidi="ar"/>
              </w:rPr>
              <w:t>无缝对接在线教学平台及软会议平台音频系统</w:t>
            </w:r>
            <w:r>
              <w:rPr>
                <w:rFonts w:hint="eastAsia" w:ascii="微软雅黑" w:hAnsi="微软雅黑" w:eastAsia="微软雅黑" w:cs="微软雅黑"/>
                <w:i w:val="0"/>
                <w:iCs w:val="0"/>
                <w:color w:val="auto"/>
                <w:kern w:val="0"/>
                <w:sz w:val="24"/>
                <w:szCs w:val="24"/>
                <w:highlight w:val="none"/>
                <w:u w:val="none"/>
                <w:lang w:val="en-US" w:eastAsia="zh-CN" w:bidi="ar"/>
              </w:rPr>
              <w:t>；</w:t>
            </w:r>
          </w:p>
          <w:p w14:paraId="2A9EDF2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7.2路功放输出，每通道支持≥2路并联，每路≥100W；</w:t>
            </w:r>
          </w:p>
          <w:p w14:paraId="0395DE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8.支持自动语音聚焦功能，抑制混响效果明显；</w:t>
            </w:r>
          </w:p>
          <w:p w14:paraId="4C81CAA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9.卓越丰富的信号处理模块：高、低通滤波功能模块、≥7段参量均衡调节模块、限幅器、压缩器等功能模块，支持闪避功能、支持音量调节功能等；</w:t>
            </w:r>
          </w:p>
          <w:p w14:paraId="3D151C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10.顶尖的AFC自学习声反馈抑制功能，传声增益提升幅度≥15dB；</w:t>
            </w:r>
          </w:p>
          <w:p w14:paraId="0D7F50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11.支持全频带全双工自适应回声消除技术，回音消除尾音长度：≥512ms；</w:t>
            </w:r>
          </w:p>
          <w:p w14:paraId="0C82C04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12.本地扩声声场不均匀度（SFN）：&lt;3dB；</w:t>
            </w:r>
          </w:p>
          <w:p w14:paraId="76B11B3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13.信噪比：≥100dB；</w:t>
            </w:r>
          </w:p>
          <w:p w14:paraId="65FF83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14.支持自适应自动增益功能；</w:t>
            </w:r>
          </w:p>
          <w:p w14:paraId="56CFA2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15.信号处理延时：&lt;8ms；无故障运行时间：(MTBF):≥60000小时；</w:t>
            </w:r>
          </w:p>
          <w:p w14:paraId="57BBB5D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16.动态自适应背景降噪技术，信噪比提升≥18dB；</w:t>
            </w:r>
          </w:p>
          <w:p w14:paraId="0401C60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17.本地扩音和远程互动能同时进行，并且相互不影响效果；</w:t>
            </w:r>
          </w:p>
          <w:p w14:paraId="42A61BD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18.调试控制接口：同时支持网口和串口调试。</w:t>
            </w:r>
          </w:p>
          <w:p w14:paraId="6E9D9314">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19.需提供产品说明书或带有CMA或CNAS标识的第三方检测报告；</w:t>
            </w:r>
          </w:p>
          <w:p w14:paraId="4BED2C9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20.需配备电力线、音频线、线槽、音频区域隔音优化、设备防尘处理。</w:t>
            </w:r>
          </w:p>
        </w:tc>
        <w:tc>
          <w:tcPr>
            <w:tcW w:w="729" w:type="dxa"/>
            <w:noWrap w:val="0"/>
            <w:vAlign w:val="center"/>
          </w:tcPr>
          <w:p w14:paraId="77925A8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892D0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1A858453">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5382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5EA15DD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260" w:type="dxa"/>
            <w:noWrap w:val="0"/>
            <w:vAlign w:val="center"/>
          </w:tcPr>
          <w:p w14:paraId="4CFEC5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无线话筒套装</w:t>
            </w:r>
          </w:p>
        </w:tc>
        <w:tc>
          <w:tcPr>
            <w:tcW w:w="5331" w:type="dxa"/>
            <w:noWrap w:val="0"/>
            <w:vAlign w:val="center"/>
          </w:tcPr>
          <w:p w14:paraId="039273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餐含一个手持话筒和一个头戴麦</w:t>
            </w:r>
          </w:p>
          <w:p w14:paraId="24015C1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1.工作频率:≥690-740、740-800、800-850MHz；</w:t>
            </w:r>
          </w:p>
          <w:p w14:paraId="326B98C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2.调制方式：宽带FM；</w:t>
            </w:r>
          </w:p>
          <w:p w14:paraId="2C9759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3.信道数目：≥200；</w:t>
            </w:r>
          </w:p>
          <w:p w14:paraId="50A8949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4.信道间隔：≥250KHz；</w:t>
            </w:r>
          </w:p>
          <w:p w14:paraId="5F7541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5.频率稳定度：≥±0.005%；</w:t>
            </w:r>
          </w:p>
          <w:p w14:paraId="730FCF0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6.动态范围：≥100dB；</w:t>
            </w:r>
          </w:p>
          <w:p w14:paraId="07DD70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7.最大偏移：≥±45KHz；</w:t>
            </w:r>
          </w:p>
          <w:p w14:paraId="074590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8.音频频率响应：≥80Hz-18KHz（3±dB）；</w:t>
            </w:r>
          </w:p>
          <w:p w14:paraId="4FC597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9.综合信噪比：＞105dB；</w:t>
            </w:r>
          </w:p>
          <w:p w14:paraId="43F7D8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10.综合失真：≤0.5%；</w:t>
            </w:r>
          </w:p>
          <w:p w14:paraId="46D53D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11.工作距离：≥100m（在没有干扰的情况下）；</w:t>
            </w:r>
          </w:p>
          <w:p w14:paraId="7DEEA34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12.接收器为真分集无线接收主机，1U机架式标准设计；</w:t>
            </w:r>
          </w:p>
          <w:p w14:paraId="26AE2FB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13.接收器具备双天线分集接收，有效提升抗干扰能力；</w:t>
            </w:r>
          </w:p>
          <w:p w14:paraId="1EDAA72A">
            <w:pP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14.需提供产品说明书或带有CMA或CNAS标识的第三方检测报告。</w:t>
            </w:r>
          </w:p>
        </w:tc>
        <w:tc>
          <w:tcPr>
            <w:tcW w:w="729" w:type="dxa"/>
            <w:noWrap w:val="0"/>
            <w:vAlign w:val="center"/>
          </w:tcPr>
          <w:p w14:paraId="2BEFF06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0464AC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42E8D10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6569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750D54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17</w:t>
            </w:r>
          </w:p>
        </w:tc>
        <w:tc>
          <w:tcPr>
            <w:tcW w:w="1260" w:type="dxa"/>
            <w:noWrap w:val="0"/>
            <w:vAlign w:val="center"/>
          </w:tcPr>
          <w:p w14:paraId="5B8650E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音箱</w:t>
            </w:r>
          </w:p>
        </w:tc>
        <w:tc>
          <w:tcPr>
            <w:tcW w:w="5331" w:type="dxa"/>
            <w:noWrap w:val="0"/>
            <w:vAlign w:val="center"/>
          </w:tcPr>
          <w:p w14:paraId="37F54E9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1.系统类型：≥6.5"专业全频音箱；</w:t>
            </w:r>
          </w:p>
          <w:p w14:paraId="13DD5BF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2.阻抗：≥8Ω；</w:t>
            </w:r>
          </w:p>
          <w:p w14:paraId="13540E8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3.频响：≥50Hz-18kHz；</w:t>
            </w:r>
          </w:p>
          <w:p w14:paraId="4A6B8A3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4.额定功率：≥40W；</w:t>
            </w:r>
          </w:p>
          <w:p w14:paraId="336CC9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5.承受功率：≥100W；</w:t>
            </w:r>
          </w:p>
          <w:p w14:paraId="41ECCD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6.灵敏度：≥110dB。</w:t>
            </w:r>
          </w:p>
          <w:p w14:paraId="58AF1108">
            <w:pPr>
              <w:rPr>
                <w:rFonts w:hint="eastAsia" w:ascii="微软雅黑" w:hAnsi="微软雅黑" w:eastAsia="微软雅黑" w:cs="微软雅黑"/>
                <w:b w:val="0"/>
                <w:bCs w:val="0"/>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7.需提供产品说明书或带有CMA或CNAS标识的第三方检测报告；</w:t>
            </w:r>
          </w:p>
          <w:p w14:paraId="30D71CE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8.需配备安装支架、音频线、电力线、线槽。</w:t>
            </w:r>
          </w:p>
        </w:tc>
        <w:tc>
          <w:tcPr>
            <w:tcW w:w="729" w:type="dxa"/>
            <w:noWrap w:val="0"/>
            <w:vAlign w:val="center"/>
          </w:tcPr>
          <w:p w14:paraId="1074EC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7E649C0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只</w:t>
            </w:r>
          </w:p>
        </w:tc>
        <w:tc>
          <w:tcPr>
            <w:tcW w:w="943" w:type="dxa"/>
            <w:noWrap w:val="0"/>
            <w:vAlign w:val="center"/>
          </w:tcPr>
          <w:p w14:paraId="34024E3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697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234DE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18</w:t>
            </w:r>
          </w:p>
        </w:tc>
        <w:tc>
          <w:tcPr>
            <w:tcW w:w="1260" w:type="dxa"/>
            <w:noWrap w:val="0"/>
            <w:vAlign w:val="center"/>
          </w:tcPr>
          <w:p w14:paraId="359DF6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教室网络终端</w:t>
            </w:r>
          </w:p>
        </w:tc>
        <w:tc>
          <w:tcPr>
            <w:tcW w:w="5331" w:type="dxa"/>
            <w:noWrap w:val="0"/>
            <w:vAlign w:val="center"/>
          </w:tcPr>
          <w:p w14:paraId="2B8E22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教室终端为嵌入式架构一体化设备，内置多媒体智慧控制模块、6路网络数字交换模块、4进4出高清全交叉切换模块、无线话筒耳麦模块含天线接囗2路、音频数字功放模块含4路输出囗、控制切换操控模块、电源时序升降幕布模块、集中管理等功能模块为一体；</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2.采用四核≥1.6GHz，主频嵌入式64位CPU，板载≥1GBDDR3内存，≥8GBFLASH存储；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3.可切换显示电脑桌面信号、液晶触摸一体机/白板/投影显示画面。触控即可实现设备开关、信号切换、一键录制、系统设置等操作，方便授课老师使用相应教学功能；</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4.支持设置智慧终端自定义策略，根据教室课表时间，自动打开/关闭设备，环境温度达到设置温度阈值，空调自动开启；</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5.支持提供完整的系统运行日志：包括中控开机、关机日志，刷卡日志，远程设备开关日志、用户日志；</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6.支持物联网智慧管控，搭载物联网关可实现对灯光、电源、温湿度、PM2.5、空调等物联设备的统一管理；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7.支持对接录播主机系统的录制，暂停，停止，直播开启等操作；</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8.支持远程自定义和分配用户权限的管理功能，可以设置账户的平台功能操作权限，对任意终端、任意分区分组终端的操控权限；</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9.支持远程升级服务，可指定教室设备，也可针对批量教室设备进行远程升级；</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10.支持远程实现对相应设备的参数配置。</w:t>
            </w:r>
          </w:p>
        </w:tc>
        <w:tc>
          <w:tcPr>
            <w:tcW w:w="729" w:type="dxa"/>
            <w:noWrap w:val="0"/>
            <w:vAlign w:val="center"/>
          </w:tcPr>
          <w:p w14:paraId="5077B6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7B399C7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627A971F">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94D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2BD9A2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19</w:t>
            </w:r>
          </w:p>
        </w:tc>
        <w:tc>
          <w:tcPr>
            <w:tcW w:w="1260" w:type="dxa"/>
            <w:noWrap w:val="0"/>
            <w:vAlign w:val="center"/>
          </w:tcPr>
          <w:p w14:paraId="475555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触摸面板终端</w:t>
            </w:r>
          </w:p>
        </w:tc>
        <w:tc>
          <w:tcPr>
            <w:tcW w:w="5331" w:type="dxa"/>
            <w:noWrap w:val="0"/>
            <w:vAlign w:val="center"/>
          </w:tcPr>
          <w:p w14:paraId="1B8FE4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lang w:val="en-US" w:eastAsia="zh-CN" w:bidi="ar"/>
              </w:rPr>
              <w:t>1.</w:t>
            </w:r>
            <w:r>
              <w:rPr>
                <w:rFonts w:hint="eastAsia" w:ascii="微软雅黑" w:hAnsi="微软雅黑" w:eastAsia="微软雅黑" w:cs="微软雅黑"/>
                <w:i w:val="0"/>
                <w:iCs w:val="0"/>
                <w:color w:val="auto"/>
                <w:kern w:val="0"/>
                <w:sz w:val="24"/>
                <w:szCs w:val="24"/>
                <w:highlight w:val="none"/>
                <w:u w:val="none"/>
                <w:lang w:val="en-US" w:eastAsia="zh-CN" w:bidi="ar"/>
              </w:rPr>
              <w:t>采用高性能数字处理芯片，可将多个高清信号任意调用；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2.安卓系统液晶触摸式≥7寸触摸屏，分辨率≥1024*600；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3.设备提供千兆网口≥1个；</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4.需与智慧教室多功能交互终端主机无缝对接；</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5.支持选择台式机、笔记本、展示台等设备的任意一路信号，并广播到所有小组的屏幕上；</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6.支持上课、下课的场景联动，用户登录成功后系统自动开启教室内的教学设备；用户点击“下课”，系统自动关闭教室内的教学设备；</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7.可控制教学模式切换，所有小组可显示老师端画面，支持选择某个小组进行展示，其他小组和老师端显示被选中小组实时画面；</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8.可分别控制音箱、麦克风的音量大小，以适应老师个人上课需求；</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9.支持自定义一键上课、一键下课等功能，灵活设置各设备的启闭及操作延时时间，延时时间精确到秒。一键上课：自动联动开启电脑、投影机、降下幕布、关闭黑板灯等；一键下课：自动联动关闭投影机、升起幕布、电脑关机、空调关闭等；</w:t>
            </w:r>
          </w:p>
          <w:p w14:paraId="007EDCC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10.支持一键进入录制模式，灯光、音频、摄像机可自动就绪。</w:t>
            </w:r>
          </w:p>
        </w:tc>
        <w:tc>
          <w:tcPr>
            <w:tcW w:w="729" w:type="dxa"/>
            <w:noWrap w:val="0"/>
            <w:vAlign w:val="center"/>
          </w:tcPr>
          <w:p w14:paraId="2681424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BB0791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35A29615">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B43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D4F0DE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20</w:t>
            </w:r>
          </w:p>
        </w:tc>
        <w:tc>
          <w:tcPr>
            <w:tcW w:w="1260" w:type="dxa"/>
            <w:noWrap w:val="0"/>
            <w:vAlign w:val="center"/>
          </w:tcPr>
          <w:p w14:paraId="678698F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千兆PoE路由器</w:t>
            </w:r>
          </w:p>
        </w:tc>
        <w:tc>
          <w:tcPr>
            <w:tcW w:w="5331" w:type="dxa"/>
            <w:noWrap w:val="0"/>
            <w:vAlign w:val="center"/>
          </w:tcPr>
          <w:p w14:paraId="6158E7F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1.固定端口：≥10个10/100/1000M电口，支持≥4个WAN口；</w:t>
            </w:r>
          </w:p>
          <w:p w14:paraId="419589C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2.内存：≥256MB；</w:t>
            </w:r>
          </w:p>
          <w:p w14:paraId="0FF65D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3.FLASH：≥256MB；</w:t>
            </w:r>
          </w:p>
          <w:p w14:paraId="46D440B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4.PoE：外置电源适配器，整机PoE最大输出功率≥110W。支持标准802.3af/at;支持≥8个LAN口作为PoE口；</w:t>
            </w:r>
          </w:p>
          <w:p w14:paraId="2104642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5.带机数：≥200台终端；</w:t>
            </w:r>
          </w:p>
          <w:p w14:paraId="6FE7AC3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6.带宽：≥1500Mbps；</w:t>
            </w:r>
          </w:p>
          <w:p w14:paraId="3B1F211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7.本地供电：额定电压范围：1≥00-240VAC；</w:t>
            </w:r>
          </w:p>
          <w:p w14:paraId="34D8C87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8.整机功率：≤130W。</w:t>
            </w:r>
          </w:p>
          <w:p w14:paraId="643D860D">
            <w:pP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w:t>
            </w:r>
            <w:r>
              <w:rPr>
                <w:rFonts w:hint="eastAsia" w:ascii="微软雅黑" w:hAnsi="微软雅黑" w:eastAsia="微软雅黑" w:cs="微软雅黑"/>
                <w:b/>
                <w:bCs/>
                <w:i w:val="0"/>
                <w:iCs w:val="0"/>
                <w:color w:val="auto"/>
                <w:kern w:val="0"/>
                <w:sz w:val="24"/>
                <w:szCs w:val="24"/>
                <w:highlight w:val="none"/>
                <w:u w:val="none"/>
                <w:lang w:val="en-US" w:eastAsia="zh-CN" w:bidi="ar"/>
              </w:rPr>
              <w:t>.需提供产品说明书或带有CMA或CNAS标识的第三方检测报告；</w:t>
            </w:r>
          </w:p>
          <w:p w14:paraId="37E147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10.</w:t>
            </w:r>
            <w:r>
              <w:rPr>
                <w:rFonts w:hint="eastAsia" w:ascii="微软雅黑" w:hAnsi="微软雅黑" w:eastAsia="微软雅黑" w:cs="微软雅黑"/>
                <w:b/>
                <w:bCs/>
                <w:i w:val="0"/>
                <w:iCs w:val="0"/>
                <w:color w:val="auto"/>
                <w:kern w:val="0"/>
                <w:sz w:val="24"/>
                <w:szCs w:val="24"/>
                <w:highlight w:val="none"/>
                <w:u w:val="none"/>
                <w:lang w:val="en-US" w:eastAsia="zh-CN" w:bidi="ar"/>
              </w:rPr>
              <w:t>为保证产品的使用安全性，需提供入网许可证；</w:t>
            </w:r>
          </w:p>
          <w:p w14:paraId="5C5D958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11.需配备网线、水晶头、电力线、线槽、安装固定辅材。</w:t>
            </w:r>
          </w:p>
        </w:tc>
        <w:tc>
          <w:tcPr>
            <w:tcW w:w="729" w:type="dxa"/>
            <w:noWrap w:val="0"/>
            <w:vAlign w:val="center"/>
          </w:tcPr>
          <w:p w14:paraId="48D0593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2115518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225351A4">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8C6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1F539C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21</w:t>
            </w:r>
          </w:p>
        </w:tc>
        <w:tc>
          <w:tcPr>
            <w:tcW w:w="1260" w:type="dxa"/>
            <w:noWrap w:val="0"/>
            <w:vAlign w:val="center"/>
          </w:tcPr>
          <w:p w14:paraId="6A027B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8口POE交换机</w:t>
            </w:r>
          </w:p>
        </w:tc>
        <w:tc>
          <w:tcPr>
            <w:tcW w:w="5331" w:type="dxa"/>
            <w:noWrap w:val="0"/>
            <w:vAlign w:val="center"/>
          </w:tcPr>
          <w:p w14:paraId="4D99A7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1.固定端口：≥10个10/100/1000Mbps自适应以太网接口；</w:t>
            </w:r>
          </w:p>
          <w:p w14:paraId="3AD844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2.PoE协议：IEEE802.3af,IEEE802.3at；</w:t>
            </w:r>
          </w:p>
          <w:p w14:paraId="059F17B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3.PoE单端口供电功率：≥30W；</w:t>
            </w:r>
          </w:p>
          <w:p w14:paraId="7FFC610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4.PoE整机供电功率：≥110W；</w:t>
            </w:r>
          </w:p>
          <w:p w14:paraId="2E085FB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5.交换容量：≥20Gbps；</w:t>
            </w:r>
          </w:p>
          <w:p w14:paraId="79D6D31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6.包转发率：≥15Mpps。</w:t>
            </w:r>
          </w:p>
          <w:p w14:paraId="11B952C5">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7.需提供产品说明书或带有CMA或CNAS标识的第三方检测报告；</w:t>
            </w:r>
          </w:p>
          <w:p w14:paraId="5C47FA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8.为保证产品的使用安全性，需提供入网许可证；</w:t>
            </w:r>
          </w:p>
          <w:p w14:paraId="172402B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9.需配备网线、水晶头、电力线、线槽、安装固定辅材。</w:t>
            </w:r>
          </w:p>
        </w:tc>
        <w:tc>
          <w:tcPr>
            <w:tcW w:w="729" w:type="dxa"/>
            <w:noWrap w:val="0"/>
            <w:vAlign w:val="center"/>
          </w:tcPr>
          <w:p w14:paraId="142BD5B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1F9604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1E9EC99E">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494A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68FADD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22</w:t>
            </w:r>
          </w:p>
        </w:tc>
        <w:tc>
          <w:tcPr>
            <w:tcW w:w="1260" w:type="dxa"/>
            <w:noWrap w:val="0"/>
            <w:vAlign w:val="center"/>
          </w:tcPr>
          <w:p w14:paraId="3257CA4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无线AP</w:t>
            </w:r>
          </w:p>
        </w:tc>
        <w:tc>
          <w:tcPr>
            <w:tcW w:w="5331" w:type="dxa"/>
            <w:noWrap w:val="0"/>
            <w:vAlign w:val="center"/>
          </w:tcPr>
          <w:p w14:paraId="74E693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1.符合支持IEEE802.11be、IEEE802.11ax、IEEE802.11ac协议，支持160M频宽，支持MU-MIMO双流技术；</w:t>
            </w:r>
          </w:p>
          <w:p w14:paraId="267886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2.工作模式：2.4G+5G；</w:t>
            </w:r>
          </w:p>
          <w:p w14:paraId="65EF54A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3.传输速率：2.4G提供最高600Mbps的接入速率，5G提供最高4000Mbps的接入速率；</w:t>
            </w:r>
          </w:p>
          <w:p w14:paraId="4295CFE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4.发射功率：27dBm(2.4GHz)，30dBm(5GHz)；</w:t>
            </w:r>
          </w:p>
          <w:p w14:paraId="2F35F13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5.天线：内置天线；</w:t>
            </w:r>
          </w:p>
          <w:p w14:paraId="7C3CE66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6.供电方式：支持本地供电，支持PoE供电；</w:t>
            </w:r>
          </w:p>
          <w:p w14:paraId="5ABA8CF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7.整机功率：≤25.5W；</w:t>
            </w:r>
          </w:p>
          <w:p w14:paraId="26AF610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8.安装方式：壁挂、吸顶。</w:t>
            </w:r>
          </w:p>
          <w:p w14:paraId="493A1603">
            <w:pP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bCs/>
                <w:i w:val="0"/>
                <w:iCs w:val="0"/>
                <w:color w:val="auto"/>
                <w:kern w:val="0"/>
                <w:sz w:val="24"/>
                <w:szCs w:val="24"/>
                <w:highlight w:val="none"/>
                <w:u w:val="none"/>
                <w:lang w:val="en-US" w:eastAsia="zh-CN" w:bidi="ar"/>
              </w:rPr>
              <w:t>9.需提供产品说明书或带有CMA或CNAS标识的第三方检测报告；</w:t>
            </w:r>
          </w:p>
          <w:p w14:paraId="0A71B3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b/>
                <w:bCs/>
                <w:i w:val="0"/>
                <w:iCs w:val="0"/>
                <w:color w:val="auto"/>
                <w:kern w:val="0"/>
                <w:sz w:val="24"/>
                <w:szCs w:val="24"/>
                <w:highlight w:val="none"/>
                <w:u w:val="none"/>
                <w:lang w:val="en-US" w:eastAsia="zh-CN" w:bidi="ar"/>
              </w:rPr>
              <w:t>10.为保证产品的使用安全性，需提供无线电发射设备型号核准证。</w:t>
            </w:r>
          </w:p>
        </w:tc>
        <w:tc>
          <w:tcPr>
            <w:tcW w:w="729" w:type="dxa"/>
            <w:noWrap w:val="0"/>
            <w:vAlign w:val="center"/>
          </w:tcPr>
          <w:p w14:paraId="35E480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1D02CE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EE4F9B0">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70E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1C7AEF1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23</w:t>
            </w:r>
          </w:p>
        </w:tc>
        <w:tc>
          <w:tcPr>
            <w:tcW w:w="1260" w:type="dxa"/>
            <w:noWrap w:val="0"/>
            <w:vAlign w:val="center"/>
          </w:tcPr>
          <w:p w14:paraId="18F43EF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智能讲桌</w:t>
            </w:r>
          </w:p>
        </w:tc>
        <w:tc>
          <w:tcPr>
            <w:tcW w:w="5331" w:type="dxa"/>
            <w:noWrap w:val="0"/>
            <w:vAlign w:val="center"/>
          </w:tcPr>
          <w:p w14:paraId="50E1418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1.L*W*H（mm）：≥1000*705*1132（±5mm）；其中操作台面高度（mm）：≥900（±5mm）；</w:t>
            </w:r>
          </w:p>
          <w:p w14:paraId="7AA95CA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钢木结合，主体采用≥1.0-2.0mm冷轧钢材，保证产品耐固性，棱边圆弧化设计保证安全性；桌面采用≥25mm厚高密度纤维板材料，内凹设计。背面采用≥18mm厚高密度纤维板材料，可供学校进行LOGO定制，整体更加圆润、大气。</w:t>
            </w:r>
          </w:p>
          <w:p w14:paraId="6EAB3A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3.上层：分为显示区域和操作台面两部分；倾斜式设计，配置显示器、简易按键等设备；操作台面配置嵌入式键盘，台面边缘处做9mm下陷处理，可防止物品跌落；</w:t>
            </w:r>
          </w:p>
          <w:p w14:paraId="3DB70B2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4.下层：三面拆装式，整体外形为喇叭式设计，呼应整体外观，独立隐藏式走线通道；</w:t>
            </w:r>
          </w:p>
          <w:p w14:paraId="03332C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5.机柜：安装≥14U落地式机柜，可根据教室需求，接入第三方设备。前门后通开，方便检修维护设备；</w:t>
            </w:r>
          </w:p>
          <w:p w14:paraId="5EB8D9E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6.嵌入一个物理键盘，键盘易拆卸、维修及更换；</w:t>
            </w:r>
          </w:p>
          <w:p w14:paraId="1E18E8A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7.桌面右下立面处，安装笔记本模块，供输入接口：≥USB3.0接口x2、≥五孔方形插座x1、≥HDMI线x1、≥网线x1；</w:t>
            </w:r>
          </w:p>
          <w:p w14:paraId="3A3B55B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8.前侧立面配置两个抽屉，标准≥1U储物空间；抽屉采用三节加厚钢珠静音导轨，材料厚度为≥1.2mm；</w:t>
            </w:r>
          </w:p>
          <w:p w14:paraId="7791C76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9.右侧底部配置隐藏式旋转水杯架≥1套。左侧上方配置可回弹不锈钢挂钩≥1个；</w:t>
            </w:r>
          </w:p>
          <w:p w14:paraId="73F196C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10.讲桌上层后方维修口采用可滑动抽拉板，方便检修设备。</w:t>
            </w:r>
          </w:p>
        </w:tc>
        <w:tc>
          <w:tcPr>
            <w:tcW w:w="729" w:type="dxa"/>
            <w:noWrap w:val="0"/>
            <w:vAlign w:val="center"/>
          </w:tcPr>
          <w:p w14:paraId="706369C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66B60F1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台</w:t>
            </w:r>
          </w:p>
        </w:tc>
        <w:tc>
          <w:tcPr>
            <w:tcW w:w="943" w:type="dxa"/>
            <w:noWrap w:val="0"/>
            <w:vAlign w:val="center"/>
          </w:tcPr>
          <w:p w14:paraId="587208B6">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01B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7FE2FEF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24</w:t>
            </w:r>
          </w:p>
        </w:tc>
        <w:tc>
          <w:tcPr>
            <w:tcW w:w="1260" w:type="dxa"/>
            <w:noWrap w:val="0"/>
            <w:vAlign w:val="center"/>
          </w:tcPr>
          <w:p w14:paraId="2EAE623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智能讲桌电脑主机及显示组件</w:t>
            </w:r>
          </w:p>
        </w:tc>
        <w:tc>
          <w:tcPr>
            <w:tcW w:w="5331" w:type="dxa"/>
            <w:noWrap w:val="0"/>
            <w:vAlign w:val="center"/>
          </w:tcPr>
          <w:p w14:paraId="3E94B91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电脑主机：</w:t>
            </w:r>
          </w:p>
          <w:p w14:paraId="492E7D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w:t>
            </w:r>
            <w:r>
              <w:rPr>
                <w:rFonts w:hint="eastAsia" w:ascii="微软雅黑" w:hAnsi="微软雅黑" w:eastAsia="微软雅黑" w:cs="微软雅黑"/>
                <w:color w:val="auto"/>
                <w:sz w:val="24"/>
                <w:szCs w:val="24"/>
                <w:highlight w:val="none"/>
                <w:lang w:val="en-US" w:eastAsia="zh-CN"/>
              </w:rPr>
              <w:t>1.处理器：≥20核；≥28线程(inteli7-14700T)；</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2.内存：≥16G*2；</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3.硬盘：≥512G固态；</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4.显卡：核显，支持蓝牙功能。</w:t>
            </w:r>
          </w:p>
          <w:p w14:paraId="1FD446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5.接口：RJ45*1,HDMI*1,音频口*1，整机USB口*8</w:t>
            </w:r>
          </w:p>
          <w:p w14:paraId="3D26D8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i w:val="0"/>
                <w:iCs w:val="0"/>
                <w:color w:val="auto"/>
                <w:kern w:val="0"/>
                <w:sz w:val="24"/>
                <w:szCs w:val="24"/>
                <w:highlight w:val="none"/>
                <w:u w:val="none"/>
                <w:lang w:val="en-US" w:eastAsia="zh-CN" w:bidi="ar"/>
              </w:rPr>
              <w:t>提供配套键盘、鼠标等。</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显示组件</w:t>
            </w:r>
          </w:p>
          <w:p w14:paraId="534A266B">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1.桌面左侧嵌入≥21.5寸触摸显示器，嵌入讲桌后无明显缝隙，仰角≥25°；</w:t>
            </w:r>
          </w:p>
          <w:p w14:paraId="4AFA4CB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2.触摸显示器采用BOE屏幕，厚≥3mm的钢化玻璃全贴合，窄边工艺，显示器外框尺寸≥503x301mm；</w:t>
            </w:r>
          </w:p>
          <w:p w14:paraId="1B789AE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3.支持≥10点触摸；</w:t>
            </w:r>
          </w:p>
          <w:p w14:paraId="702B351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4.分辨率：≥1920x1080；</w:t>
            </w:r>
          </w:p>
          <w:p w14:paraId="22C16F6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5.亮度≥500cd/m²；</w:t>
            </w:r>
          </w:p>
          <w:p w14:paraId="3E66AF2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6.对比度≥1500:1；</w:t>
            </w:r>
          </w:p>
          <w:p w14:paraId="1E0EFB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7.响应时间≤14ms；</w:t>
            </w:r>
          </w:p>
          <w:p w14:paraId="4A88362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8.屏幕支持≥7*16h工作时间；</w:t>
            </w:r>
          </w:p>
          <w:p w14:paraId="030D5BD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9.输入接口有HDMI接口、DC接口、VGA接口、音频接口、USB接口、DVI接口。</w:t>
            </w:r>
          </w:p>
        </w:tc>
        <w:tc>
          <w:tcPr>
            <w:tcW w:w="729" w:type="dxa"/>
            <w:noWrap w:val="0"/>
            <w:vAlign w:val="center"/>
          </w:tcPr>
          <w:p w14:paraId="7B53B57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1F2B0F6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套</w:t>
            </w:r>
          </w:p>
        </w:tc>
        <w:tc>
          <w:tcPr>
            <w:tcW w:w="943" w:type="dxa"/>
            <w:noWrap w:val="0"/>
            <w:vAlign w:val="center"/>
          </w:tcPr>
          <w:p w14:paraId="0545CBB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3035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099C6DF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25</w:t>
            </w:r>
          </w:p>
        </w:tc>
        <w:tc>
          <w:tcPr>
            <w:tcW w:w="1260" w:type="dxa"/>
            <w:noWrap w:val="0"/>
            <w:vAlign w:val="center"/>
          </w:tcPr>
          <w:p w14:paraId="64B238B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学生工作台</w:t>
            </w:r>
          </w:p>
        </w:tc>
        <w:tc>
          <w:tcPr>
            <w:tcW w:w="5331" w:type="dxa"/>
            <w:noWrap w:val="0"/>
            <w:vAlign w:val="center"/>
          </w:tcPr>
          <w:p w14:paraId="286DE0C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一、双人工作台6套</w:t>
            </w:r>
          </w:p>
          <w:p w14:paraId="7FFA652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尺寸:宽度450mm*长度1300mm。</w:t>
            </w:r>
          </w:p>
          <w:p w14:paraId="66D15FE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椅子参数:</w:t>
            </w:r>
          </w:p>
          <w:p w14:paraId="01866A5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1.椅背：PA+25%玻纤坚固外框，PP增韧尼龙内框；</w:t>
            </w:r>
          </w:p>
          <w:p w14:paraId="63C1A3D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2.座垫：密度60、硬度55的定型海绵，优质高弹力坐布；</w:t>
            </w:r>
          </w:p>
          <w:p w14:paraId="396A3C9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3.扶手：PA+25%玻纤扶手面，精抛铝合金支架；</w:t>
            </w:r>
          </w:p>
          <w:p w14:paraId="25B9C06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4.椅脚：优质管材Φ28mm，前脚T2.0mm，后脚T1.5mm；</w:t>
            </w:r>
          </w:p>
          <w:p w14:paraId="3792B4C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脚轮：Φ50mm，PU面静音尼龙轮；</w:t>
            </w:r>
          </w:p>
          <w:p w14:paraId="59C88FC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桌子参数:</w:t>
            </w:r>
          </w:p>
          <w:p w14:paraId="6748CF5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p>
          <w:p w14:paraId="5E746A3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p>
          <w:p w14:paraId="3E2B687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p>
          <w:p w14:paraId="18C2631A">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p>
          <w:p w14:paraId="0C1BA2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二、三人工作台6套</w:t>
            </w:r>
          </w:p>
          <w:p w14:paraId="441952B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尺寸:宽度450mm*长度1800mm；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1.椅背：PA+25%玻纤坚固外框，PP增韧尼龙内框；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2.座垫：密度60、硬度55的定型海绵，优质高弹力坐布；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3.扶手：PA+25%玻纤扶手面，精抛铝合金支架；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4.椅脚：优质管材Φ28mm，前脚T2.0mm，后脚T1.5mm；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脚轮：Φ50mm，PU面静音尼龙轮；</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桌子参数:</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1.表面选用美耐板,"E1"环保刨花板,甲醛释放量优于国家标准;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2.表面选用防火板,"E1"环保中纤板,甲醛释放量优于国家标准;</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3.优质PVC封边条;</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4.优质钢脚,表面经静电粉末喷涂。</w:t>
            </w:r>
          </w:p>
        </w:tc>
        <w:tc>
          <w:tcPr>
            <w:tcW w:w="729" w:type="dxa"/>
            <w:noWrap w:val="0"/>
            <w:vAlign w:val="center"/>
          </w:tcPr>
          <w:p w14:paraId="53EFD3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02DC50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741697C8">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0F7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25CE8DF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26</w:t>
            </w:r>
          </w:p>
        </w:tc>
        <w:tc>
          <w:tcPr>
            <w:tcW w:w="1260" w:type="dxa"/>
            <w:noWrap w:val="0"/>
            <w:vAlign w:val="center"/>
          </w:tcPr>
          <w:p w14:paraId="1013B0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录播资源调控台</w:t>
            </w:r>
          </w:p>
        </w:tc>
        <w:tc>
          <w:tcPr>
            <w:tcW w:w="5331" w:type="dxa"/>
            <w:noWrap w:val="0"/>
            <w:vAlign w:val="center"/>
          </w:tcPr>
          <w:p w14:paraId="70EE54A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1.录播资源存储柜</w:t>
            </w:r>
          </w:p>
          <w:p w14:paraId="71B00A3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尺寸：1200mm×350mm×1800mm，尺寸允许误差为±5mm；</w:t>
            </w:r>
          </w:p>
          <w:p w14:paraId="65F9706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材质：E1级环保防火板材，分层承重设计；</w:t>
            </w:r>
          </w:p>
          <w:p w14:paraId="22BC5D7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用途：存放录播设备、课件资源、教具耗材。</w:t>
            </w:r>
          </w:p>
          <w:p w14:paraId="5BEB6B5F">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2.录播研讨操作台</w:t>
            </w:r>
          </w:p>
          <w:p w14:paraId="64A57F1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台面尺寸：直径1200mm×高750mm；</w:t>
            </w:r>
          </w:p>
          <w:p w14:paraId="33B6BE9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材质：防火耐磨台面，钢制稳固支架；</w:t>
            </w:r>
          </w:p>
          <w:p w14:paraId="0391FB2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配套：录播研讨凳6张；</w:t>
            </w:r>
          </w:p>
          <w:p w14:paraId="1C0BB67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用途：课程研讨、课件打磨、录播复盘。</w:t>
            </w:r>
          </w:p>
          <w:p w14:paraId="144CF02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3.录播主控操作电脑桌</w:t>
            </w:r>
          </w:p>
          <w:p w14:paraId="341B2158">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尺寸：长1200mm×宽600mm×高750mm；</w:t>
            </w:r>
          </w:p>
          <w:p w14:paraId="28195AD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结构：走线孔、理线空间、主机放置位；</w:t>
            </w:r>
          </w:p>
          <w:p w14:paraId="01253BF1">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用途：录播主机控制、系统操作、素材管理。</w:t>
            </w:r>
          </w:p>
        </w:tc>
        <w:tc>
          <w:tcPr>
            <w:tcW w:w="729" w:type="dxa"/>
            <w:noWrap w:val="0"/>
            <w:vAlign w:val="center"/>
          </w:tcPr>
          <w:p w14:paraId="660D27C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797" w:type="dxa"/>
            <w:noWrap w:val="0"/>
            <w:vAlign w:val="center"/>
          </w:tcPr>
          <w:p w14:paraId="375147EE">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0C8FC272">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213C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44D1806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27</w:t>
            </w:r>
          </w:p>
        </w:tc>
        <w:tc>
          <w:tcPr>
            <w:tcW w:w="1260" w:type="dxa"/>
            <w:noWrap w:val="0"/>
            <w:vAlign w:val="center"/>
          </w:tcPr>
          <w:p w14:paraId="695700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教师实训工作台</w:t>
            </w:r>
          </w:p>
        </w:tc>
        <w:tc>
          <w:tcPr>
            <w:tcW w:w="5331" w:type="dxa"/>
            <w:noWrap w:val="0"/>
            <w:vAlign w:val="center"/>
          </w:tcPr>
          <w:p w14:paraId="0C51EBF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单张尺寸：1800mm×600mm×750mm，尺寸允许误差为±5mm；</w:t>
            </w:r>
          </w:p>
          <w:p w14:paraId="67C370A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台面：高强度耐磨环保板材；</w:t>
            </w:r>
          </w:p>
          <w:p w14:paraId="102BF285">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支架：加厚钢制承重结构。</w:t>
            </w:r>
          </w:p>
        </w:tc>
        <w:tc>
          <w:tcPr>
            <w:tcW w:w="729" w:type="dxa"/>
            <w:noWrap w:val="0"/>
            <w:vAlign w:val="center"/>
          </w:tcPr>
          <w:p w14:paraId="77C0945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5C9BAEC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i w:val="0"/>
                <w:iCs w:val="0"/>
                <w:color w:val="auto"/>
                <w:sz w:val="24"/>
                <w:szCs w:val="24"/>
                <w:highlight w:val="none"/>
                <w:u w:val="none"/>
                <w:lang w:val="en-US" w:eastAsia="zh-CN"/>
              </w:rPr>
            </w:pPr>
            <w:r>
              <w:rPr>
                <w:rFonts w:hint="eastAsia" w:ascii="微软雅黑" w:hAnsi="微软雅黑" w:eastAsia="微软雅黑" w:cs="微软雅黑"/>
                <w:i w:val="0"/>
                <w:iCs w:val="0"/>
                <w:color w:val="auto"/>
                <w:sz w:val="24"/>
                <w:szCs w:val="24"/>
                <w:highlight w:val="none"/>
                <w:u w:val="none"/>
                <w:lang w:val="en-US" w:eastAsia="zh-CN"/>
              </w:rPr>
              <w:t>套</w:t>
            </w:r>
          </w:p>
        </w:tc>
        <w:tc>
          <w:tcPr>
            <w:tcW w:w="943" w:type="dxa"/>
            <w:noWrap w:val="0"/>
            <w:vAlign w:val="center"/>
          </w:tcPr>
          <w:p w14:paraId="778CC27A">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r w14:paraId="1F10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noWrap w:val="0"/>
            <w:vAlign w:val="center"/>
          </w:tcPr>
          <w:p w14:paraId="6F4C2342">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default"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28</w:t>
            </w:r>
          </w:p>
        </w:tc>
        <w:tc>
          <w:tcPr>
            <w:tcW w:w="1260" w:type="dxa"/>
            <w:noWrap w:val="0"/>
            <w:vAlign w:val="center"/>
          </w:tcPr>
          <w:p w14:paraId="2B73F457">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空调</w:t>
            </w:r>
          </w:p>
        </w:tc>
        <w:tc>
          <w:tcPr>
            <w:tcW w:w="5331" w:type="dxa"/>
            <w:noWrap w:val="0"/>
            <w:vAlign w:val="center"/>
          </w:tcPr>
          <w:p w14:paraId="4AAB714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1.</w:t>
            </w:r>
            <w:r>
              <w:rPr>
                <w:rFonts w:hint="eastAsia" w:ascii="微软雅黑" w:hAnsi="微软雅黑" w:eastAsia="微软雅黑" w:cs="微软雅黑"/>
                <w:color w:val="auto"/>
                <w:sz w:val="24"/>
                <w:szCs w:val="24"/>
                <w:highlight w:val="none"/>
                <w:vertAlign w:val="baseline"/>
              </w:rPr>
              <w:t>类型：冷暖型落地式空调</w:t>
            </w:r>
            <w:r>
              <w:rPr>
                <w:rFonts w:hint="eastAsia" w:ascii="微软雅黑" w:hAnsi="微软雅黑" w:eastAsia="微软雅黑" w:cs="微软雅黑"/>
                <w:color w:val="auto"/>
                <w:sz w:val="24"/>
                <w:szCs w:val="24"/>
                <w:highlight w:val="none"/>
                <w:vertAlign w:val="baseline"/>
                <w:lang w:eastAsia="zh-CN"/>
              </w:rPr>
              <w:t>；</w:t>
            </w:r>
          </w:p>
          <w:p w14:paraId="087732E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2.</w:t>
            </w:r>
            <w:r>
              <w:rPr>
                <w:rFonts w:hint="eastAsia" w:ascii="微软雅黑" w:hAnsi="微软雅黑" w:eastAsia="微软雅黑" w:cs="微软雅黑"/>
                <w:color w:val="auto"/>
                <w:sz w:val="24"/>
                <w:szCs w:val="24"/>
                <w:highlight w:val="none"/>
                <w:vertAlign w:val="baseline"/>
              </w:rPr>
              <w:t>制冷量：≥7200W</w:t>
            </w:r>
            <w:r>
              <w:rPr>
                <w:rFonts w:hint="eastAsia" w:ascii="微软雅黑" w:hAnsi="微软雅黑" w:eastAsia="微软雅黑" w:cs="微软雅黑"/>
                <w:color w:val="auto"/>
                <w:sz w:val="24"/>
                <w:szCs w:val="24"/>
                <w:highlight w:val="none"/>
                <w:vertAlign w:val="baseline"/>
                <w:lang w:eastAsia="zh-CN"/>
              </w:rPr>
              <w:t>；</w:t>
            </w:r>
          </w:p>
          <w:p w14:paraId="0480F19C">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3.</w:t>
            </w:r>
            <w:r>
              <w:rPr>
                <w:rFonts w:hint="eastAsia" w:ascii="微软雅黑" w:hAnsi="微软雅黑" w:eastAsia="微软雅黑" w:cs="微软雅黑"/>
                <w:color w:val="auto"/>
                <w:sz w:val="24"/>
                <w:szCs w:val="24"/>
                <w:highlight w:val="none"/>
                <w:vertAlign w:val="baseline"/>
              </w:rPr>
              <w:t>单位面积制冷量：≥200W/㎡</w:t>
            </w:r>
            <w:r>
              <w:rPr>
                <w:rFonts w:hint="eastAsia" w:ascii="微软雅黑" w:hAnsi="微软雅黑" w:eastAsia="微软雅黑" w:cs="微软雅黑"/>
                <w:color w:val="auto"/>
                <w:sz w:val="24"/>
                <w:szCs w:val="24"/>
                <w:highlight w:val="none"/>
                <w:vertAlign w:val="baseline"/>
                <w:lang w:eastAsia="zh-CN"/>
              </w:rPr>
              <w:t>；</w:t>
            </w:r>
          </w:p>
          <w:p w14:paraId="2529017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4.</w:t>
            </w:r>
            <w:r>
              <w:rPr>
                <w:rFonts w:hint="eastAsia" w:ascii="微软雅黑" w:hAnsi="微软雅黑" w:eastAsia="微软雅黑" w:cs="微软雅黑"/>
                <w:color w:val="auto"/>
                <w:sz w:val="24"/>
                <w:szCs w:val="24"/>
                <w:highlight w:val="none"/>
                <w:vertAlign w:val="baseline"/>
              </w:rPr>
              <w:t>运行噪音低，适合教学/录播环境使用</w:t>
            </w:r>
            <w:r>
              <w:rPr>
                <w:rFonts w:hint="eastAsia" w:ascii="微软雅黑" w:hAnsi="微软雅黑" w:eastAsia="微软雅黑" w:cs="微软雅黑"/>
                <w:color w:val="auto"/>
                <w:sz w:val="24"/>
                <w:szCs w:val="24"/>
                <w:highlight w:val="none"/>
                <w:vertAlign w:val="baseline"/>
                <w:lang w:eastAsia="zh-CN"/>
              </w:rPr>
              <w:t>；</w:t>
            </w:r>
          </w:p>
          <w:p w14:paraId="2E0B3080">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5.</w:t>
            </w:r>
            <w:r>
              <w:rPr>
                <w:rFonts w:hint="eastAsia" w:ascii="微软雅黑" w:hAnsi="微软雅黑" w:eastAsia="微软雅黑" w:cs="微软雅黑"/>
                <w:color w:val="auto"/>
                <w:sz w:val="24"/>
                <w:szCs w:val="24"/>
                <w:highlight w:val="none"/>
                <w:vertAlign w:val="baseline"/>
              </w:rPr>
              <w:t>具备除湿、定时、自动清洁、故障自检功能</w:t>
            </w:r>
            <w:r>
              <w:rPr>
                <w:rFonts w:hint="eastAsia" w:ascii="微软雅黑" w:hAnsi="微软雅黑" w:eastAsia="微软雅黑" w:cs="微软雅黑"/>
                <w:color w:val="auto"/>
                <w:sz w:val="24"/>
                <w:szCs w:val="24"/>
                <w:highlight w:val="none"/>
                <w:vertAlign w:val="baseline"/>
                <w:lang w:eastAsia="zh-CN"/>
              </w:rPr>
              <w:t>；</w:t>
            </w:r>
          </w:p>
          <w:p w14:paraId="5F0C4923">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6.</w:t>
            </w:r>
            <w:r>
              <w:rPr>
                <w:rFonts w:hint="eastAsia" w:ascii="微软雅黑" w:hAnsi="微软雅黑" w:eastAsia="微软雅黑" w:cs="微软雅黑"/>
                <w:color w:val="auto"/>
                <w:sz w:val="24"/>
                <w:szCs w:val="24"/>
                <w:highlight w:val="none"/>
                <w:vertAlign w:val="baseline"/>
              </w:rPr>
              <w:t>供电：220V/50Hz</w:t>
            </w:r>
            <w:r>
              <w:rPr>
                <w:rFonts w:hint="eastAsia" w:ascii="微软雅黑" w:hAnsi="微软雅黑" w:eastAsia="微软雅黑" w:cs="微软雅黑"/>
                <w:color w:val="auto"/>
                <w:sz w:val="24"/>
                <w:szCs w:val="24"/>
                <w:highlight w:val="none"/>
                <w:vertAlign w:val="baseline"/>
                <w:lang w:eastAsia="zh-CN"/>
              </w:rPr>
              <w:t>；</w:t>
            </w:r>
          </w:p>
          <w:p w14:paraId="1411A79D">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7.</w:t>
            </w:r>
            <w:r>
              <w:rPr>
                <w:rFonts w:hint="eastAsia" w:ascii="微软雅黑" w:hAnsi="微软雅黑" w:eastAsia="微软雅黑" w:cs="微软雅黑"/>
                <w:color w:val="auto"/>
                <w:sz w:val="24"/>
                <w:szCs w:val="24"/>
                <w:highlight w:val="none"/>
                <w:vertAlign w:val="baseline"/>
              </w:rPr>
              <w:t>含安装支架、连接管、排水管、穿墙打孔、布线、调试</w:t>
            </w:r>
            <w:r>
              <w:rPr>
                <w:rFonts w:hint="eastAsia" w:ascii="微软雅黑" w:hAnsi="微软雅黑" w:eastAsia="微软雅黑" w:cs="微软雅黑"/>
                <w:color w:val="auto"/>
                <w:sz w:val="24"/>
                <w:szCs w:val="24"/>
                <w:highlight w:val="none"/>
                <w:vertAlign w:val="baseline"/>
                <w:lang w:eastAsia="zh-CN"/>
              </w:rPr>
              <w:t>；</w:t>
            </w:r>
          </w:p>
          <w:p w14:paraId="5A8B0B69">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both"/>
              <w:textAlignment w:val="center"/>
              <w:rPr>
                <w:rFonts w:hint="eastAsia" w:ascii="微软雅黑" w:hAnsi="微软雅黑" w:eastAsia="微软雅黑" w:cs="微软雅黑"/>
                <w:color w:val="auto"/>
                <w:sz w:val="24"/>
                <w:szCs w:val="24"/>
                <w:highlight w:val="none"/>
                <w:vertAlign w:val="baseline"/>
                <w:lang w:eastAsia="zh-CN"/>
              </w:rPr>
            </w:pPr>
            <w:r>
              <w:rPr>
                <w:rFonts w:hint="eastAsia" w:ascii="微软雅黑" w:hAnsi="微软雅黑" w:eastAsia="微软雅黑" w:cs="微软雅黑"/>
                <w:color w:val="auto"/>
                <w:sz w:val="24"/>
                <w:szCs w:val="24"/>
                <w:highlight w:val="none"/>
                <w:vertAlign w:val="baseline"/>
                <w:lang w:val="en-US" w:eastAsia="zh-CN"/>
              </w:rPr>
              <w:t>8.</w:t>
            </w:r>
            <w:r>
              <w:rPr>
                <w:rFonts w:hint="eastAsia" w:ascii="微软雅黑" w:hAnsi="微软雅黑" w:eastAsia="微软雅黑" w:cs="微软雅黑"/>
                <w:color w:val="auto"/>
                <w:sz w:val="24"/>
                <w:szCs w:val="24"/>
                <w:highlight w:val="none"/>
                <w:vertAlign w:val="baseline"/>
              </w:rPr>
              <w:t>包含设备安装</w:t>
            </w:r>
            <w:r>
              <w:rPr>
                <w:rFonts w:hint="eastAsia" w:ascii="微软雅黑" w:hAnsi="微软雅黑" w:eastAsia="微软雅黑" w:cs="微软雅黑"/>
                <w:color w:val="auto"/>
                <w:sz w:val="24"/>
                <w:szCs w:val="24"/>
                <w:highlight w:val="none"/>
                <w:vertAlign w:val="baseline"/>
                <w:lang w:eastAsia="zh-CN"/>
              </w:rPr>
              <w:t>。</w:t>
            </w:r>
          </w:p>
        </w:tc>
        <w:tc>
          <w:tcPr>
            <w:tcW w:w="729" w:type="dxa"/>
            <w:noWrap w:val="0"/>
            <w:vAlign w:val="center"/>
          </w:tcPr>
          <w:p w14:paraId="32D23086">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797" w:type="dxa"/>
            <w:noWrap w:val="0"/>
            <w:vAlign w:val="center"/>
          </w:tcPr>
          <w:p w14:paraId="18C19824">
            <w:pPr>
              <w:keepNext w:val="0"/>
              <w:keepLines w:val="0"/>
              <w:pageBreakBefore w:val="0"/>
              <w:widowControl/>
              <w:suppressLineNumbers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center"/>
              <w:rPr>
                <w:rFonts w:hint="eastAsia" w:ascii="微软雅黑" w:hAnsi="微软雅黑" w:eastAsia="微软雅黑" w:cs="微软雅黑"/>
                <w:color w:val="auto"/>
                <w:sz w:val="24"/>
                <w:szCs w:val="24"/>
                <w:highlight w:val="none"/>
                <w:vertAlign w:val="baseline"/>
                <w:lang w:val="en-US" w:eastAsia="zh-CN"/>
              </w:rPr>
            </w:pPr>
            <w:r>
              <w:rPr>
                <w:rFonts w:hint="eastAsia" w:ascii="微软雅黑" w:hAnsi="微软雅黑" w:eastAsia="微软雅黑" w:cs="微软雅黑"/>
                <w:color w:val="auto"/>
                <w:sz w:val="24"/>
                <w:szCs w:val="24"/>
                <w:highlight w:val="none"/>
                <w:vertAlign w:val="baseline"/>
                <w:lang w:val="en-US" w:eastAsia="zh-CN"/>
              </w:rPr>
              <w:t>台</w:t>
            </w:r>
          </w:p>
        </w:tc>
        <w:tc>
          <w:tcPr>
            <w:tcW w:w="943" w:type="dxa"/>
            <w:noWrap w:val="0"/>
            <w:vAlign w:val="center"/>
          </w:tcPr>
          <w:p w14:paraId="0E520BE9">
            <w:pPr>
              <w:keepNext w:val="0"/>
              <w:keepLines w:val="0"/>
              <w:pageBreakBefore w:val="0"/>
              <w:kinsoku/>
              <w:wordWrap/>
              <w:overflowPunct/>
              <w:topLinePunct w:val="0"/>
              <w:autoSpaceDE/>
              <w:autoSpaceDN/>
              <w:bidi w:val="0"/>
              <w:adjustRightInd w:val="0"/>
              <w:snapToGrid w:val="0"/>
              <w:spacing w:line="320" w:lineRule="exact"/>
              <w:ind w:left="0" w:leftChars="0" w:right="0" w:rightChars="0" w:firstLine="0" w:firstLineChars="0"/>
              <w:jc w:val="center"/>
              <w:rPr>
                <w:rFonts w:hint="eastAsia" w:ascii="微软雅黑" w:hAnsi="微软雅黑" w:eastAsia="微软雅黑" w:cs="微软雅黑"/>
                <w:color w:val="auto"/>
                <w:sz w:val="24"/>
                <w:szCs w:val="24"/>
                <w:highlight w:val="none"/>
                <w:vertAlign w:val="baseline"/>
              </w:rPr>
            </w:pPr>
          </w:p>
        </w:tc>
      </w:tr>
    </w:tbl>
    <w:p w14:paraId="7FD33890">
      <w:pPr>
        <w:rPr>
          <w:rStyle w:val="53"/>
          <w:rFonts w:hint="eastAsia" w:ascii="微软雅黑" w:hAnsi="微软雅黑" w:eastAsia="微软雅黑" w:cs="微软雅黑"/>
          <w:color w:val="auto"/>
          <w:szCs w:val="32"/>
          <w:highlight w:val="none"/>
        </w:rPr>
      </w:pPr>
      <w:r>
        <w:rPr>
          <w:rFonts w:hint="eastAsia" w:ascii="微软雅黑" w:hAnsi="微软雅黑" w:eastAsia="微软雅黑" w:cs="微软雅黑"/>
          <w:b/>
          <w:bCs/>
          <w:color w:val="auto"/>
          <w:sz w:val="24"/>
          <w:highlight w:val="none"/>
          <w:lang w:val="en-US" w:eastAsia="zh-CN"/>
        </w:rPr>
        <w:t>核心产品：LED全彩显示屏套件、集成录播系统、录播抠像系统、资源管理系统、智慧黑板</w:t>
      </w:r>
    </w:p>
    <w:p w14:paraId="47313B39">
      <w:pPr>
        <w:rPr>
          <w:rStyle w:val="53"/>
          <w:rFonts w:hint="eastAsia" w:ascii="微软雅黑" w:hAnsi="微软雅黑" w:eastAsia="微软雅黑" w:cs="微软雅黑"/>
          <w:color w:val="auto"/>
          <w:szCs w:val="32"/>
          <w:highlight w:val="none"/>
        </w:rPr>
      </w:pPr>
      <w:r>
        <w:rPr>
          <w:rStyle w:val="53"/>
          <w:rFonts w:hint="eastAsia" w:ascii="微软雅黑" w:hAnsi="微软雅黑" w:eastAsia="微软雅黑" w:cs="微软雅黑"/>
          <w:color w:val="auto"/>
          <w:szCs w:val="32"/>
          <w:highlight w:val="none"/>
          <w:lang w:val="en-US" w:eastAsia="zh-CN"/>
        </w:rPr>
        <w:br w:type="page"/>
      </w:r>
    </w:p>
    <w:p w14:paraId="3B3B63EF">
      <w:pPr>
        <w:numPr>
          <w:ilvl w:val="0"/>
          <w:numId w:val="8"/>
        </w:numPr>
        <w:outlineLvl w:val="1"/>
        <w:rPr>
          <w:rStyle w:val="53"/>
          <w:rFonts w:hint="eastAsia" w:ascii="微软雅黑" w:hAnsi="微软雅黑" w:eastAsia="微软雅黑" w:cs="微软雅黑"/>
          <w:color w:val="auto"/>
          <w:szCs w:val="32"/>
          <w:highlight w:val="none"/>
        </w:rPr>
      </w:pPr>
      <w:bookmarkStart w:id="2246" w:name="_Toc28219"/>
      <w:r>
        <w:rPr>
          <w:rStyle w:val="53"/>
          <w:rFonts w:hint="eastAsia" w:ascii="微软雅黑" w:hAnsi="微软雅黑" w:eastAsia="微软雅黑" w:cs="微软雅黑"/>
          <w:color w:val="auto"/>
          <w:szCs w:val="32"/>
          <w:highlight w:val="none"/>
          <w:lang w:val="en-US" w:eastAsia="zh-CN"/>
        </w:rPr>
        <w:t>项目要求</w:t>
      </w:r>
      <w:bookmarkEnd w:id="2246"/>
    </w:p>
    <w:p w14:paraId="580E29F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项目以智慧教学、教师发展、资源建设、数据安全为核心主线，聚焦课堂教学、教研实训、课程录制、在线互动、督导巡课、资源管理等核心业务场景，核心任务是完成AI教学空间、未来教师赋能中心、数字资源制作中心三大空间的一体化建设、设备部署、系统集成、功能调试与落地应用，最终实现“智能高效、稳定流畅、场景适配、安全可控、运维便捷”的核心目标。为确保项目高标准落地见效，具体要求如下：</w:t>
      </w:r>
    </w:p>
    <w:p w14:paraId="37F090A8">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highlight w:val="none"/>
        </w:rPr>
        <w:t>所招产品的质量要求</w:t>
      </w:r>
    </w:p>
    <w:p w14:paraId="01547E35">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技术参数、设备规格、功能指标均为通用化、非指向性要求，投标供应商可根据技术要求、场景需求及商务要求，自主选择产品品牌、型号与配置；所有硬件设备、软件系统须为原厂正品，提供合法授权、检测报告、3C认证、节能认证等相关资质文件，确保质量合格、性能稳定、售后可追溯。</w:t>
      </w:r>
    </w:p>
    <w:p w14:paraId="05A7749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2.核心目标落地要求</w:t>
      </w:r>
    </w:p>
    <w:p w14:paraId="211AB330">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破解教学场景应用瓶颈：依托AI智能跟踪、高清直录播、分布式音视频处理、集中管控等技术能力，彻底解决传统课堂录制不清晰、互动延迟、直播卡顿、点播加载慢、教研观摩不便、资源制作流程繁琐等问题，保障多媒体教学、课堂实录、直播互动、微课录制、远程答辩、在线巡课等核心教学场景顺畅高效运行。</w:t>
      </w:r>
    </w:p>
    <w:p w14:paraId="199EF84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筑牢教学资源与数据安全防线：严格落实国家教育数字化及校园数据安全规范，实现课堂实录视频、微课资源、教学数据、教研资料全量本地化存储、权限化管理、安全化调用，确保教学资源版权可控、师生数据安全合规、系统运行稳定可信，全面符合教育行业数据安全、网络安全相关标准。</w:t>
      </w:r>
    </w:p>
    <w:p w14:paraId="05CE599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优化空间与设备使用效能：构建“硬件一体化、软件一体化、管控一体化、应用一体化”的数智化教学环境，提升空间利用率、设备使用率与教学应用效率，实现一套设备支撑多场景复用、一个平台统一管控、一次部署长期可用，降低后期运维与重复建设成本。</w:t>
      </w:r>
    </w:p>
    <w:p w14:paraId="3DB56E4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保障教学业务连续稳定：建设、安装、调试、试运行全过程不影响正常教学秩序、不中断课堂应用、不丢失教学资源；项目交付后长期稳定运行，满足日常教学、教师培训、资源制作、公开课、答辩、实训等高频场景需求，为学校智慧教学改革与教师能力提升提供坚实支撑。</w:t>
      </w:r>
    </w:p>
    <w:p w14:paraId="22A2FB6B">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3.具体实施要求</w:t>
      </w:r>
    </w:p>
    <w:p w14:paraId="71E721D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部署安装与集成调试要求：制定科学详尽的设备部署、系统集成、联合调试与教学环境适配实施方案，按空间功能需求完成强弱电规整、管线优化、点位布设、设备固定安装与环境条件达标处理；实现三大空间硬件设备统一联动、软件平台统一接入；调试过程做到不影响正常教学、无安全隐患，建立完善的应急处置机制，妥善应对施工与调试中的各类突发状况。</w:t>
      </w:r>
    </w:p>
    <w:p w14:paraId="2E2C8663">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空间功能与运行环境要求：严格按照AI教学空间、未来教师赋能中心、数字资源制作中心功能定位，完成教学环境适配、声学条件优化、灯光环境达标、散热与供电保障、网络覆盖强化、设备基础环境完善，确保空间满足高清录播、扩声拾音、智能交互、资源制作等专业教学场景使用要求；平台与设备具备良好兼容性、扩展性、易用性，支持后期设备扩容、功能升级、场景扩展，满足学校未来3—5年教学发展、资源建设与教师培训需求。</w:t>
      </w:r>
    </w:p>
    <w:p w14:paraId="6DCE418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安全与稳定运行要求：系统与设备符合校园用电安全、网络安全、电磁兼容、降噪环保等标准；具备7×24小时稳定运行能力，关键设备具备冗余保障；录播视频、教学资源、用户数据具备自动备份、快速恢复能力，确保数据不丢失、资源可追溯、系统可快速回退。</w:t>
      </w:r>
    </w:p>
    <w:p w14:paraId="05CCF4A5">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系统对接与兼容要求：新建数智化教室系统须与学校统一身份认证平台、教务系统、一站式服务大厅、教学督导平台、数据中台无缝对接，实现单点登录、数据互通、状态同步、统一管控；开放标准API接口，支持与校内其他智慧教学、信息化管理系统协同联动，消除数据孤岛，为AI教学分析、督导巡课、资源汇聚提供数据支撑。</w:t>
      </w:r>
    </w:p>
    <w:p w14:paraId="20D3426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4.系统对接与数据迁移要求</w:t>
      </w:r>
    </w:p>
    <w:p w14:paraId="46FFBC2E">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1）本项目作为学校智慧教学建设核心组成部分，须与学校现有数据标准、接口规范、网络环境、管理模式保持完全一致，确保系统兼容、平稳接入、稳定运行。</w:t>
      </w:r>
    </w:p>
    <w:p w14:paraId="6BA386D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2）中标方须协助学校完成教学视频、历史课程资源、用户权限、课堂数据的迁移、对接与整合，实现新旧资源统一管理、统一点播、统一应用。</w:t>
      </w:r>
    </w:p>
    <w:p w14:paraId="308C29B9">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本项目须免费完成系统对接、接口开发、数据迁移、数据清洗、资源备份与格式标准化工作；项目产生的教学资源、系统数据、配置文件须向学校开放完整管理权限，交付文档包含管理员账号、密码、后台权限、对接说明等全套资料。</w:t>
      </w:r>
    </w:p>
    <w:p w14:paraId="467B2882">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4）项目实施过程中，所有接口开发、系统对接、功能适配、现场调试、需求优化等相关费用均由中标方承担；学校提出的合理功能优化、界面调整、流程适配需求，须由产品原厂提供免费定制与升级服务。</w:t>
      </w:r>
    </w:p>
    <w:p w14:paraId="0B937E7A">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5</w:t>
      </w:r>
      <w:r>
        <w:rPr>
          <w:rFonts w:hint="eastAsia" w:ascii="微软雅黑" w:hAnsi="微软雅黑" w:eastAsia="微软雅黑" w:cs="微软雅黑"/>
          <w:b/>
          <w:color w:val="auto"/>
          <w:sz w:val="24"/>
          <w:szCs w:val="24"/>
          <w:highlight w:val="none"/>
        </w:rPr>
        <w:t>、招标项目的交货期和质保期</w:t>
      </w:r>
    </w:p>
    <w:p w14:paraId="57A3B060">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bCs/>
          <w:color w:val="auto"/>
          <w:sz w:val="24"/>
          <w:szCs w:val="24"/>
          <w:highlight w:val="none"/>
        </w:rPr>
        <w:t>交货期：</w:t>
      </w:r>
      <w:r>
        <w:rPr>
          <w:rFonts w:hint="eastAsia" w:ascii="微软雅黑" w:hAnsi="微软雅黑" w:eastAsia="微软雅黑" w:cs="微软雅黑"/>
          <w:color w:val="auto"/>
          <w:sz w:val="24"/>
          <w:szCs w:val="24"/>
          <w:highlight w:val="none"/>
        </w:rPr>
        <w:t>合同生效后</w:t>
      </w:r>
      <w:r>
        <w:rPr>
          <w:rFonts w:hint="eastAsia" w:ascii="微软雅黑" w:hAnsi="微软雅黑" w:eastAsia="微软雅黑" w:cs="微软雅黑"/>
          <w:color w:val="auto"/>
          <w:sz w:val="24"/>
          <w:szCs w:val="24"/>
          <w:highlight w:val="none"/>
          <w:lang w:val="en-US" w:eastAsia="zh-CN"/>
        </w:rPr>
        <w:t>35天</w:t>
      </w:r>
      <w:r>
        <w:rPr>
          <w:rFonts w:hint="eastAsia" w:ascii="微软雅黑" w:hAnsi="微软雅黑" w:eastAsia="微软雅黑" w:cs="微软雅黑"/>
          <w:color w:val="auto"/>
          <w:sz w:val="24"/>
          <w:szCs w:val="24"/>
          <w:highlight w:val="none"/>
        </w:rPr>
        <w:t>内</w:t>
      </w:r>
      <w:r>
        <w:rPr>
          <w:rFonts w:hint="eastAsia" w:ascii="微软雅黑" w:hAnsi="微软雅黑" w:eastAsia="微软雅黑" w:cs="微软雅黑"/>
          <w:color w:val="auto"/>
          <w:sz w:val="24"/>
          <w:szCs w:val="24"/>
          <w:highlight w:val="none"/>
          <w:lang w:eastAsia="zh-CN"/>
        </w:rPr>
        <w:t>；</w:t>
      </w:r>
    </w:p>
    <w:p w14:paraId="410AF0DC">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szCs w:val="24"/>
          <w:highlight w:val="none"/>
        </w:rPr>
        <w:t>质保期：</w:t>
      </w:r>
      <w:r>
        <w:rPr>
          <w:rFonts w:hint="eastAsia" w:ascii="微软雅黑" w:hAnsi="微软雅黑" w:eastAsia="微软雅黑" w:cs="微软雅黑"/>
          <w:color w:val="auto"/>
          <w:sz w:val="24"/>
          <w:szCs w:val="24"/>
          <w:highlight w:val="none"/>
        </w:rPr>
        <w:t>自安装调试完成并交付使用之日起</w:t>
      </w:r>
      <w:r>
        <w:rPr>
          <w:rFonts w:hint="eastAsia" w:ascii="微软雅黑" w:hAnsi="微软雅黑" w:eastAsia="微软雅黑" w:cs="微软雅黑"/>
          <w:color w:val="auto"/>
          <w:sz w:val="24"/>
          <w:szCs w:val="24"/>
          <w:highlight w:val="none"/>
          <w:lang w:eastAsia="zh-CN"/>
        </w:rPr>
        <w:t>，提供3年免费质保服务。</w:t>
      </w:r>
    </w:p>
    <w:p w14:paraId="4B2CCB1F">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6</w:t>
      </w:r>
      <w:r>
        <w:rPr>
          <w:rFonts w:hint="eastAsia" w:ascii="微软雅黑" w:hAnsi="微软雅黑" w:eastAsia="微软雅黑" w:cs="微软雅黑"/>
          <w:b/>
          <w:color w:val="auto"/>
          <w:sz w:val="24"/>
          <w:szCs w:val="24"/>
          <w:highlight w:val="none"/>
        </w:rPr>
        <w:t>、付款方式及交货地点</w:t>
      </w:r>
    </w:p>
    <w:p w14:paraId="4BF9CE08">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宋体"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
          <w:color w:val="auto"/>
          <w:sz w:val="24"/>
          <w:szCs w:val="24"/>
          <w:highlight w:val="none"/>
        </w:rPr>
        <w:t>付款方式：</w:t>
      </w:r>
      <w:r>
        <w:rPr>
          <w:rFonts w:hint="eastAsia" w:ascii="微软雅黑" w:hAnsi="微软雅黑" w:eastAsia="微软雅黑" w:cs="微软雅黑"/>
          <w:color w:val="auto"/>
          <w:sz w:val="24"/>
          <w:szCs w:val="24"/>
          <w:highlight w:val="none"/>
        </w:rPr>
        <w:t>双方在签订合同5日内，中标人应向采购人出具符合采购人要求的资金保函，资金保函金额不低于中标价</w:t>
      </w:r>
      <w:r>
        <w:rPr>
          <w:rFonts w:hint="eastAsia" w:ascii="微软雅黑" w:hAnsi="微软雅黑" w:eastAsia="微软雅黑" w:cs="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%，采购人在收到中标人资金保函后按照双方约定，采购人向</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支付合同总金额的</w:t>
      </w:r>
      <w:r>
        <w:rPr>
          <w:rFonts w:hint="eastAsia" w:ascii="微软雅黑" w:hAnsi="微软雅黑" w:eastAsia="微软雅黑" w:cs="微软雅黑"/>
          <w:color w:val="auto"/>
          <w:sz w:val="24"/>
          <w:szCs w:val="24"/>
          <w:highlight w:val="none"/>
          <w:lang w:val="en-US" w:eastAsia="zh-CN"/>
        </w:rPr>
        <w:t>50</w:t>
      </w:r>
      <w:r>
        <w:rPr>
          <w:rFonts w:hint="eastAsia" w:ascii="微软雅黑" w:hAnsi="微软雅黑" w:eastAsia="微软雅黑" w:cs="微软雅黑"/>
          <w:color w:val="auto"/>
          <w:sz w:val="24"/>
          <w:szCs w:val="24"/>
          <w:highlight w:val="none"/>
        </w:rPr>
        <w:t>%作为预付款；产品全部到货并完成初步验收合格后，支付合同总金额的</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0%；项目整体验收合格且结算完成后，支付合同总金额的30%。所有款项支付前，</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须提供符合国家规定的合法有效发票</w:t>
      </w:r>
      <w:r>
        <w:rPr>
          <w:rFonts w:hint="eastAsia" w:ascii="微软雅黑" w:hAnsi="微软雅黑" w:eastAsia="微软雅黑" w:cs="微软雅黑"/>
          <w:color w:val="auto"/>
          <w:sz w:val="24"/>
          <w:szCs w:val="24"/>
          <w:highlight w:val="none"/>
          <w:lang w:val="en-US" w:eastAsia="zh-CN"/>
        </w:rPr>
        <w:t>及学校要求的相关付款材料</w:t>
      </w:r>
      <w:r>
        <w:rPr>
          <w:rFonts w:hint="eastAsia" w:ascii="微软雅黑" w:hAnsi="微软雅黑" w:eastAsia="微软雅黑" w:cs="微软雅黑"/>
          <w:color w:val="auto"/>
          <w:sz w:val="24"/>
          <w:szCs w:val="24"/>
          <w:highlight w:val="none"/>
        </w:rPr>
        <w:t>，否则采购人有权顺延付款，且不承担逾期付款责任。</w:t>
      </w:r>
    </w:p>
    <w:p w14:paraId="6B36D143">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宋体"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color w:val="auto"/>
          <w:sz w:val="24"/>
          <w:szCs w:val="24"/>
          <w:highlight w:val="none"/>
        </w:rPr>
        <w:t>交货地点</w:t>
      </w:r>
      <w:r>
        <w:rPr>
          <w:rFonts w:hint="eastAsia" w:ascii="微软雅黑" w:hAnsi="微软雅黑" w:eastAsia="微软雅黑" w:cs="微软雅黑"/>
          <w:color w:val="auto"/>
          <w:sz w:val="24"/>
          <w:szCs w:val="24"/>
          <w:highlight w:val="none"/>
        </w:rPr>
        <w:t>：喀什大学</w:t>
      </w:r>
    </w:p>
    <w:p w14:paraId="5183A864">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7</w:t>
      </w:r>
      <w:r>
        <w:rPr>
          <w:rFonts w:hint="eastAsia" w:ascii="微软雅黑" w:hAnsi="微软雅黑" w:eastAsia="微软雅黑" w:cs="微软雅黑"/>
          <w:b/>
          <w:color w:val="auto"/>
          <w:sz w:val="24"/>
          <w:szCs w:val="24"/>
          <w:highlight w:val="none"/>
        </w:rPr>
        <w:t>、售后服务要求</w:t>
      </w:r>
    </w:p>
    <w:p w14:paraId="0A0AC4BC">
      <w:pPr>
        <w:keepNext w:val="0"/>
        <w:keepLines w:val="0"/>
        <w:pageBreakBefore w:val="0"/>
        <w:widowControl/>
        <w:suppressLineNumbers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所投产品须提供三年质保及终身维护服务；质保期内，须配备1-2名专职对接人驻校办公，专项处理项目相关问题；各系统、软件全生命周期使用期间，需提供7×24小时技术咨询、故障响应及版本升级服务，确保系统稳定运行。</w:t>
      </w:r>
    </w:p>
    <w:p w14:paraId="5C6D8997">
      <w:pPr>
        <w:keepNext w:val="0"/>
        <w:keepLines w:val="0"/>
        <w:pageBreakBefore w:val="0"/>
        <w:kinsoku/>
        <w:wordWrap/>
        <w:overflowPunct/>
        <w:topLinePunct w:val="0"/>
        <w:autoSpaceDE/>
        <w:autoSpaceDN/>
        <w:bidi w:val="0"/>
        <w:adjustRightInd/>
        <w:spacing w:line="40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8</w:t>
      </w:r>
      <w:r>
        <w:rPr>
          <w:rFonts w:hint="eastAsia" w:ascii="微软雅黑" w:hAnsi="微软雅黑" w:eastAsia="微软雅黑" w:cs="微软雅黑"/>
          <w:b/>
          <w:color w:val="auto"/>
          <w:sz w:val="24"/>
          <w:szCs w:val="24"/>
          <w:highlight w:val="none"/>
        </w:rPr>
        <w:t>、其他需要说明的事项</w:t>
      </w:r>
    </w:p>
    <w:p w14:paraId="33C2DC52">
      <w:pPr>
        <w:keepNext w:val="0"/>
        <w:keepLines w:val="0"/>
        <w:pageBreakBefore w:val="0"/>
        <w:kinsoku/>
        <w:wordWrap/>
        <w:overflowPunct/>
        <w:topLinePunct w:val="0"/>
        <w:autoSpaceDE/>
        <w:autoSpaceDN/>
        <w:bidi w:val="0"/>
        <w:adjustRightInd/>
        <w:spacing w:line="400" w:lineRule="exact"/>
        <w:ind w:firstLine="480" w:firstLineChars="200"/>
        <w:rPr>
          <w:rFonts w:hint="eastAsia" w:eastAsia="宋体"/>
          <w:color w:val="auto"/>
          <w:highlight w:val="none"/>
          <w:lang w:eastAsia="zh-CN"/>
        </w:rPr>
      </w:pPr>
      <w:r>
        <w:rPr>
          <w:rFonts w:hint="eastAsia" w:ascii="微软雅黑" w:hAnsi="微软雅黑" w:eastAsia="微软雅黑" w:cs="微软雅黑"/>
          <w:color w:val="auto"/>
          <w:sz w:val="24"/>
          <w:szCs w:val="24"/>
          <w:highlight w:val="none"/>
        </w:rPr>
        <w:t>1）中标人与采购人签订合同前，</w:t>
      </w:r>
      <w:r>
        <w:rPr>
          <w:rFonts w:hint="eastAsia" w:ascii="微软雅黑" w:hAnsi="微软雅黑" w:eastAsia="微软雅黑" w:cs="微软雅黑"/>
          <w:color w:val="auto"/>
          <w:sz w:val="24"/>
          <w:szCs w:val="24"/>
          <w:highlight w:val="none"/>
          <w:lang w:eastAsia="zh-CN"/>
        </w:rPr>
        <w:t>须向采购人缴纳相当于中标金额10%的履约保证金。</w:t>
      </w:r>
    </w:p>
    <w:p w14:paraId="5FACC03D">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2）必须免费提供各系统、软</w:t>
      </w:r>
      <w:r>
        <w:rPr>
          <w:rFonts w:hint="eastAsia" w:ascii="微软雅黑" w:hAnsi="微软雅黑" w:eastAsia="微软雅黑" w:cs="微软雅黑"/>
          <w:color w:val="auto"/>
          <w:sz w:val="24"/>
          <w:szCs w:val="24"/>
          <w:highlight w:val="none"/>
          <w:lang w:val="en-US" w:eastAsia="zh-CN"/>
        </w:rPr>
        <w:t>或</w:t>
      </w:r>
      <w:r>
        <w:rPr>
          <w:rFonts w:hint="eastAsia" w:ascii="微软雅黑" w:hAnsi="微软雅黑" w:eastAsia="微软雅黑" w:cs="微软雅黑"/>
          <w:color w:val="auto"/>
          <w:sz w:val="24"/>
          <w:szCs w:val="24"/>
          <w:highlight w:val="none"/>
        </w:rPr>
        <w:t>硬件使用资料，免费支持软件升级服务和质保期内至少6次的使用培训。</w:t>
      </w:r>
    </w:p>
    <w:p w14:paraId="60796B00">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可以根据项目需求及自身情况，如有必要，自行提前联系项目联系人，沟通了解目前我校现有的教学管理运行情况，或前往学校参观现用的教学管理系统软硬件，熟悉三校区教学管理运行情况。</w:t>
      </w:r>
    </w:p>
    <w:p w14:paraId="2FFE271A">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）验收要求：中标方在项目验收前必须提供详实准确的项目文档资料，资料不限于文字、图表、数据文件等。</w:t>
      </w:r>
    </w:p>
    <w:p w14:paraId="2F9827D3">
      <w:pPr>
        <w:keepNext w:val="0"/>
        <w:keepLines w:val="0"/>
        <w:pageBreakBefore w:val="0"/>
        <w:kinsoku/>
        <w:wordWrap/>
        <w:overflowPunct/>
        <w:topLinePunct w:val="0"/>
        <w:autoSpaceDE/>
        <w:autoSpaceDN/>
        <w:bidi w:val="0"/>
        <w:adjustRightInd/>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）本技术规范书中所有条款解释权归招标方所</w:t>
      </w:r>
      <w:r>
        <w:rPr>
          <w:rFonts w:hint="eastAsia" w:ascii="微软雅黑" w:hAnsi="微软雅黑" w:eastAsia="微软雅黑" w:cs="微软雅黑"/>
          <w:color w:val="auto"/>
          <w:sz w:val="24"/>
          <w:szCs w:val="24"/>
          <w:highlight w:val="none"/>
          <w:lang w:val="en-US" w:eastAsia="zh-CN"/>
        </w:rPr>
        <w:t>有</w:t>
      </w:r>
      <w:r>
        <w:rPr>
          <w:rFonts w:hint="eastAsia" w:ascii="微软雅黑" w:hAnsi="微软雅黑" w:eastAsia="微软雅黑" w:cs="微软雅黑"/>
          <w:color w:val="auto"/>
          <w:sz w:val="24"/>
          <w:szCs w:val="24"/>
          <w:highlight w:val="none"/>
          <w:lang w:eastAsia="zh-CN"/>
        </w:rPr>
        <w:t>。</w:t>
      </w:r>
    </w:p>
    <w:p w14:paraId="7650FD9F">
      <w:pPr>
        <w:pStyle w:val="57"/>
        <w:widowControl/>
        <w:snapToGrid w:val="0"/>
        <w:spacing w:line="400" w:lineRule="exact"/>
        <w:ind w:firstLine="0" w:firstLineChars="0"/>
        <w:jc w:val="left"/>
        <w:textAlignment w:val="baseline"/>
        <w:rPr>
          <w:rFonts w:ascii="微软雅黑" w:hAnsi="微软雅黑" w:eastAsia="微软雅黑" w:cs="微软雅黑"/>
          <w:b/>
          <w:bCs/>
          <w:color w:val="auto"/>
          <w:sz w:val="22"/>
          <w:szCs w:val="22"/>
          <w:highlight w:val="none"/>
        </w:rPr>
      </w:pPr>
    </w:p>
    <w:p w14:paraId="67CE10F2">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kern w:val="0"/>
          <w:szCs w:val="21"/>
          <w:highlight w:val="none"/>
        </w:rPr>
      </w:pPr>
    </w:p>
    <w:p w14:paraId="1FA21D66">
      <w:pPr>
        <w:pStyle w:val="57"/>
        <w:widowControl/>
        <w:snapToGrid w:val="0"/>
        <w:spacing w:line="400" w:lineRule="exact"/>
        <w:ind w:firstLine="0" w:firstLineChars="0"/>
        <w:jc w:val="left"/>
        <w:textAlignment w:val="baseline"/>
        <w:rPr>
          <w:rFonts w:hint="eastAsia" w:ascii="微软雅黑" w:hAnsi="微软雅黑" w:eastAsia="微软雅黑" w:cs="微软雅黑"/>
          <w:b/>
          <w:bCs/>
          <w:color w:val="auto"/>
          <w:kern w:val="0"/>
          <w:szCs w:val="21"/>
          <w:highlight w:val="none"/>
          <w:lang w:eastAsia="zh-CN"/>
        </w:rPr>
      </w:pPr>
      <w:r>
        <w:rPr>
          <w:rFonts w:hint="eastAsia" w:ascii="微软雅黑" w:hAnsi="微软雅黑" w:eastAsia="微软雅黑" w:cs="微软雅黑"/>
          <w:b/>
          <w:bCs/>
          <w:color w:val="auto"/>
          <w:kern w:val="0"/>
          <w:szCs w:val="21"/>
          <w:highlight w:val="none"/>
        </w:rPr>
        <w:t>重点说明：本项目</w:t>
      </w:r>
      <w:r>
        <w:rPr>
          <w:rFonts w:hint="eastAsia" w:ascii="微软雅黑" w:hAnsi="微软雅黑" w:eastAsia="微软雅黑" w:cs="微软雅黑"/>
          <w:b/>
          <w:bCs/>
          <w:color w:val="auto"/>
          <w:kern w:val="0"/>
          <w:szCs w:val="21"/>
          <w:highlight w:val="none"/>
          <w:lang w:val="en-US" w:eastAsia="zh-CN"/>
        </w:rPr>
        <w:t>需供应商提供演示视频，</w:t>
      </w:r>
      <w:r>
        <w:rPr>
          <w:rFonts w:hint="eastAsia" w:ascii="微软雅黑" w:hAnsi="微软雅黑" w:eastAsia="微软雅黑" w:cs="微软雅黑"/>
          <w:b/>
          <w:bCs/>
          <w:color w:val="auto"/>
          <w:kern w:val="0"/>
          <w:szCs w:val="21"/>
          <w:highlight w:val="none"/>
        </w:rPr>
        <w:t>演示所需设备由</w:t>
      </w:r>
      <w:r>
        <w:rPr>
          <w:rFonts w:hint="eastAsia" w:ascii="微软雅黑" w:hAnsi="微软雅黑" w:eastAsia="微软雅黑" w:cs="微软雅黑"/>
          <w:b/>
          <w:bCs/>
          <w:color w:val="auto"/>
          <w:kern w:val="0"/>
          <w:szCs w:val="21"/>
          <w:highlight w:val="none"/>
          <w:lang w:eastAsia="zh-CN"/>
        </w:rPr>
        <w:t>供应商</w:t>
      </w:r>
      <w:r>
        <w:rPr>
          <w:rFonts w:hint="eastAsia" w:ascii="微软雅黑" w:hAnsi="微软雅黑" w:eastAsia="微软雅黑" w:cs="微软雅黑"/>
          <w:b/>
          <w:bCs/>
          <w:color w:val="auto"/>
          <w:kern w:val="0"/>
          <w:szCs w:val="21"/>
          <w:highlight w:val="none"/>
        </w:rPr>
        <w:t>自行准备，</w:t>
      </w:r>
      <w:r>
        <w:rPr>
          <w:rFonts w:hint="eastAsia" w:ascii="微软雅黑" w:hAnsi="微软雅黑" w:eastAsia="微软雅黑" w:cs="微软雅黑"/>
          <w:b/>
          <w:bCs/>
          <w:color w:val="auto"/>
          <w:kern w:val="0"/>
          <w:szCs w:val="21"/>
          <w:highlight w:val="none"/>
          <w:lang w:eastAsia="zh-CN"/>
        </w:rPr>
        <w:t>供应商</w:t>
      </w:r>
      <w:r>
        <w:rPr>
          <w:rFonts w:hint="eastAsia" w:ascii="微软雅黑" w:hAnsi="微软雅黑" w:eastAsia="微软雅黑" w:cs="微软雅黑"/>
          <w:b/>
          <w:bCs/>
          <w:color w:val="auto"/>
          <w:kern w:val="0"/>
          <w:szCs w:val="21"/>
          <w:highlight w:val="none"/>
        </w:rPr>
        <w:t>根据要求提供相关内容的演示视频，演示内容必须为实际软件录屏或者拍摄视频，不接受PPT演示</w:t>
      </w:r>
      <w:r>
        <w:rPr>
          <w:rFonts w:hint="eastAsia" w:ascii="微软雅黑" w:hAnsi="微软雅黑" w:eastAsia="微软雅黑" w:cs="微软雅黑"/>
          <w:b/>
          <w:bCs/>
          <w:color w:val="auto"/>
          <w:kern w:val="0"/>
          <w:szCs w:val="21"/>
          <w:highlight w:val="none"/>
          <w:lang w:eastAsia="zh-CN"/>
        </w:rPr>
        <w:t>、</w:t>
      </w:r>
      <w:r>
        <w:rPr>
          <w:rFonts w:hint="eastAsia" w:ascii="微软雅黑" w:hAnsi="微软雅黑" w:eastAsia="微软雅黑" w:cs="微软雅黑"/>
          <w:b/>
          <w:bCs/>
          <w:color w:val="auto"/>
          <w:kern w:val="0"/>
          <w:szCs w:val="21"/>
          <w:highlight w:val="none"/>
        </w:rPr>
        <w:t>图片及DEMO演示（演示时间不</w:t>
      </w:r>
      <w:r>
        <w:rPr>
          <w:rFonts w:hint="eastAsia" w:ascii="微软雅黑" w:hAnsi="微软雅黑" w:eastAsia="微软雅黑" w:cs="微软雅黑"/>
          <w:b/>
          <w:bCs/>
          <w:color w:val="auto"/>
          <w:kern w:val="0"/>
          <w:szCs w:val="21"/>
          <w:highlight w:val="none"/>
          <w:lang w:val="en-US" w:eastAsia="zh-CN"/>
        </w:rPr>
        <w:t>得</w:t>
      </w:r>
      <w:r>
        <w:rPr>
          <w:rFonts w:hint="eastAsia" w:ascii="微软雅黑" w:hAnsi="微软雅黑" w:eastAsia="微软雅黑" w:cs="微软雅黑"/>
          <w:b/>
          <w:bCs/>
          <w:color w:val="auto"/>
          <w:kern w:val="0"/>
          <w:szCs w:val="21"/>
          <w:highlight w:val="none"/>
        </w:rPr>
        <w:t>超过20分钟）；演示视频的录制要求能够完整准确展示演示内容及相关具体操作过程，并提供同步解说（视频格式应能由Windows操作系统自带的WindowsMediaPlayer支持播放）。开标截止时间前请各供应商提前准备好相关环境，以及调试正常的可视化音视频电脑以供演示，如果供应商因自身原因不能正常演示，自行承担后果；开标当天由代理公司工作人员邀请供应商进入政采云线上视频会议或腾讯会议平台进行演示并进行录制。请各供应商保持电话畅通，接到通知后进入相关平台并在规定时间内按照要求演示。</w:t>
      </w:r>
    </w:p>
    <w:p w14:paraId="4D6BD354">
      <w:pPr>
        <w:rPr>
          <w:rStyle w:val="53"/>
          <w:rFonts w:hint="eastAsia" w:ascii="微软雅黑" w:hAnsi="微软雅黑" w:eastAsia="微软雅黑" w:cs="微软雅黑"/>
          <w:color w:val="auto"/>
          <w:szCs w:val="32"/>
          <w:highlight w:val="none"/>
        </w:rPr>
      </w:pPr>
      <w:r>
        <w:rPr>
          <w:rStyle w:val="53"/>
          <w:rFonts w:hint="eastAsia" w:ascii="微软雅黑" w:hAnsi="微软雅黑" w:eastAsia="微软雅黑" w:cs="微软雅黑"/>
          <w:color w:val="auto"/>
          <w:szCs w:val="32"/>
          <w:highlight w:val="none"/>
        </w:rPr>
        <w:br w:type="page"/>
      </w:r>
    </w:p>
    <w:p w14:paraId="65BC5892">
      <w:pPr>
        <w:jc w:val="center"/>
        <w:outlineLvl w:val="0"/>
        <w:rPr>
          <w:rFonts w:hint="eastAsia" w:ascii="微软雅黑" w:hAnsi="微软雅黑" w:eastAsia="微软雅黑" w:cs="微软雅黑"/>
          <w:color w:val="auto"/>
          <w:sz w:val="32"/>
          <w:szCs w:val="32"/>
          <w:highlight w:val="none"/>
        </w:rPr>
      </w:pPr>
      <w:bookmarkStart w:id="2247" w:name="_Toc17852"/>
      <w:r>
        <w:rPr>
          <w:rStyle w:val="53"/>
          <w:rFonts w:hint="eastAsia" w:ascii="微软雅黑" w:hAnsi="微软雅黑" w:eastAsia="微软雅黑" w:cs="微软雅黑"/>
          <w:color w:val="auto"/>
          <w:szCs w:val="32"/>
          <w:highlight w:val="none"/>
        </w:rPr>
        <w:t>第6章评标方法和标准</w:t>
      </w:r>
      <w:bookmarkEnd w:id="14"/>
      <w:bookmarkEnd w:id="15"/>
      <w:bookmarkEnd w:id="16"/>
      <w:bookmarkEnd w:id="17"/>
      <w:bookmarkEnd w:id="18"/>
      <w:bookmarkEnd w:id="19"/>
      <w:bookmarkEnd w:id="20"/>
      <w:bookmarkEnd w:id="2241"/>
      <w:bookmarkEnd w:id="2242"/>
      <w:bookmarkEnd w:id="2243"/>
      <w:bookmarkEnd w:id="2247"/>
    </w:p>
    <w:p w14:paraId="57ACA22A">
      <w:pPr>
        <w:pStyle w:val="12"/>
        <w:tabs>
          <w:tab w:val="clear" w:pos="567"/>
        </w:tabs>
        <w:spacing w:before="0" w:line="380" w:lineRule="exact"/>
        <w:ind w:firstLine="540" w:firstLineChars="22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本项目将按照招标文件第一章供应商须知中“五开标及评标”、“六确定中标”及本章的规定评标。</w:t>
      </w:r>
    </w:p>
    <w:p w14:paraId="52EAF6BC">
      <w:pPr>
        <w:widowControl/>
        <w:spacing w:line="3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14:paraId="4AB42D3E">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14:paraId="6825C23D">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14:paraId="2250E8C7">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14:paraId="27E65285">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（4）供应商应当对所投</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投标文件中“货物内容及项目要求”所列的所有内容进行投标，如仅响应某一</w:t>
      </w:r>
      <w:r>
        <w:rPr>
          <w:rFonts w:hint="eastAsia" w:ascii="微软雅黑" w:hAnsi="微软雅黑" w:eastAsia="微软雅黑" w:cs="微软雅黑"/>
          <w:color w:val="auto"/>
          <w:sz w:val="24"/>
          <w:highlight w:val="none"/>
          <w:lang w:val="en-US" w:eastAsia="zh-CN"/>
        </w:rPr>
        <w:t>标段</w:t>
      </w:r>
      <w:r>
        <w:rPr>
          <w:rFonts w:hint="eastAsia" w:ascii="微软雅黑" w:hAnsi="微软雅黑" w:eastAsia="微软雅黑" w:cs="微软雅黑"/>
          <w:color w:val="auto"/>
          <w:sz w:val="24"/>
          <w:highlight w:val="none"/>
        </w:rPr>
        <w:t>中的部分内容，其该包投标将被认定为投标无效。</w:t>
      </w:r>
    </w:p>
    <w:p w14:paraId="6F4DE314">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（5）供应商未按本须知第12.1和12.3条规定提交投标保证金的，其投标资格将被认定为投标无效。</w:t>
      </w:r>
    </w:p>
    <w:p w14:paraId="0C065E7C">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所有投标均以人民币报价。供应商的投标报价应遵守《中华人民共和国价格法》。同时，根据《中华人民共和国政府采购法》第二条的规定，为保证公平竞争，如有货物主体部分的赠与行为，其投标将被认定为投标无效。</w:t>
      </w:r>
    </w:p>
    <w:p w14:paraId="307E9535">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（7）供应商所报的各分项投标单价在合同履行过程中是固定不变的，不得以任何理由予以变更。任何包含价格调整要求的投标，其投标将被认定为投标无效。</w:t>
      </w:r>
    </w:p>
    <w:p w14:paraId="26E19B49">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（8）投标应在供应商须知资料表中规定时间内保持有效。投标有效期不满足要求的投标，其投标将被认定为投标无效。</w:t>
      </w:r>
    </w:p>
    <w:p w14:paraId="69A435A6">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14:paraId="50172D79">
      <w:pPr>
        <w:widowControl/>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w:t>
      </w:r>
    </w:p>
    <w:p w14:paraId="1AACDA78">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关于中小企业、残疾人福利性单位、JY企业扶持政策落实的规定：根据《政府采购促进中小企业发展管理办法》（财库[2020]46号）、《财政部司法部关于政府采购支持监狱企业发展有关问题的通知》（财库〔2014〕68号）、《三部门联合发布关于促进残疾人就业政府采购政策的通知》（财库〔2017〕141号）和《财政部关于进一步加大政府采购支持中小企业力度的通知》财库〔2022〕19号的规定：</w:t>
      </w:r>
    </w:p>
    <w:p w14:paraId="5C2F01DF">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1</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小微企业报价的价格扣除</w:t>
      </w:r>
    </w:p>
    <w:p w14:paraId="7D07FD71">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①</w:t>
      </w:r>
      <w:r>
        <w:rPr>
          <w:rFonts w:hint="eastAsia" w:ascii="微软雅黑" w:hAnsi="微软雅黑" w:eastAsia="微软雅黑" w:cs="微软雅黑"/>
          <w:b/>
          <w:bCs/>
          <w:color w:val="auto"/>
          <w:sz w:val="24"/>
          <w:highlight w:val="none"/>
        </w:rPr>
        <w:t>本项目</w:t>
      </w:r>
      <w:r>
        <w:rPr>
          <w:rFonts w:hint="eastAsia" w:ascii="微软雅黑" w:hAnsi="微软雅黑" w:eastAsia="微软雅黑" w:cs="微软雅黑"/>
          <w:b/>
          <w:bCs/>
          <w:color w:val="auto"/>
          <w:sz w:val="24"/>
          <w:highlight w:val="none"/>
          <w:lang w:val="en-US" w:eastAsia="zh-CN"/>
        </w:rPr>
        <w:t>不</w:t>
      </w:r>
      <w:r>
        <w:rPr>
          <w:rFonts w:hint="eastAsia" w:ascii="微软雅黑" w:hAnsi="微软雅黑" w:eastAsia="微软雅黑" w:cs="微软雅黑"/>
          <w:b/>
          <w:bCs/>
          <w:color w:val="auto"/>
          <w:sz w:val="24"/>
          <w:highlight w:val="none"/>
        </w:rPr>
        <w:t>专门面向中小企业，</w:t>
      </w:r>
      <w:r>
        <w:rPr>
          <w:rFonts w:hint="eastAsia" w:ascii="微软雅黑" w:hAnsi="微软雅黑" w:eastAsia="微软雅黑" w:cs="微软雅黑"/>
          <w:b w:val="0"/>
          <w:bCs w:val="0"/>
          <w:color w:val="auto"/>
          <w:sz w:val="24"/>
          <w:highlight w:val="none"/>
        </w:rPr>
        <w:t>面对小型、微型企业进行10%价格扣除。</w:t>
      </w:r>
      <w:r>
        <w:rPr>
          <w:rFonts w:hint="eastAsia" w:ascii="微软雅黑" w:hAnsi="微软雅黑" w:eastAsia="微软雅黑" w:cs="微软雅黑"/>
          <w:b w:val="0"/>
          <w:bCs w:val="0"/>
          <w:color w:val="auto"/>
          <w:sz w:val="24"/>
          <w:highlight w:val="none"/>
          <w:lang w:val="en-US" w:eastAsia="zh-CN"/>
        </w:rPr>
        <w:t>②</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需按照采购文件的要求提供《中小企业声明函》，详见第二部分“商务及技术文件”。</w:t>
      </w:r>
    </w:p>
    <w:p w14:paraId="0E836390">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2</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残疾人福利性单位报价的价格扣除</w:t>
      </w:r>
    </w:p>
    <w:p w14:paraId="73CCCC5A">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残疾人福利性单位视同小型、微型企业。②残疾人福利性单位需按照采购文件的要求提供《残疾人福利性单位声明函》。③残疾人福利性单位标准请参照《关于促进残疾人就业政府采购政策的通知》（财库〔2017〕141号）。</w:t>
      </w:r>
    </w:p>
    <w:p w14:paraId="21D93A62">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lang w:val="en-US" w:eastAsia="zh-CN"/>
        </w:rPr>
        <w:t>3</w:t>
      </w:r>
      <w:r>
        <w:rPr>
          <w:rFonts w:hint="eastAsia" w:ascii="微软雅黑" w:hAnsi="微软雅黑" w:eastAsia="微软雅黑" w:cs="微软雅黑"/>
          <w:b w:val="0"/>
          <w:bCs w:val="0"/>
          <w:color w:val="auto"/>
          <w:sz w:val="24"/>
          <w:highlight w:val="none"/>
          <w:lang w:eastAsia="zh-CN"/>
        </w:rPr>
        <w:t>）</w:t>
      </w:r>
      <w:r>
        <w:rPr>
          <w:rFonts w:hint="eastAsia" w:ascii="微软雅黑" w:hAnsi="微软雅黑" w:eastAsia="微软雅黑" w:cs="微软雅黑"/>
          <w:b w:val="0"/>
          <w:bCs w:val="0"/>
          <w:color w:val="auto"/>
          <w:sz w:val="24"/>
          <w:highlight w:val="none"/>
        </w:rPr>
        <w:t>JY和戒毒企业报价的价格扣除</w:t>
      </w:r>
    </w:p>
    <w:p w14:paraId="782B9108">
      <w:pPr>
        <w:pageBreakBefore w:val="0"/>
        <w:widowControl/>
        <w:kinsoku/>
        <w:wordWrap w:val="0"/>
        <w:overflowPunct/>
        <w:topLinePunct w:val="0"/>
        <w:bidi w:val="0"/>
        <w:spacing w:line="380" w:lineRule="exact"/>
        <w:jc w:val="left"/>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rPr>
        <w:t>①本项目对JY和戒毒企业（简称JY企业）视同小型、微型企业。②JY企业参加政府采购活动时，需提供由省级以上JY管理局、戒毒管理局(含新疆生产建设兵团)出具的属于JY企业的证明文件。</w:t>
      </w:r>
      <w:r>
        <w:rPr>
          <w:rFonts w:hint="eastAsia" w:ascii="微软雅黑" w:hAnsi="微软雅黑" w:eastAsia="微软雅黑" w:cs="微软雅黑"/>
          <w:b w:val="0"/>
          <w:bCs w:val="0"/>
          <w:color w:val="auto"/>
          <w:sz w:val="24"/>
          <w:highlight w:val="none"/>
          <w:lang w:eastAsia="zh-CN"/>
        </w:rPr>
        <w:t>供应商</w:t>
      </w:r>
      <w:r>
        <w:rPr>
          <w:rFonts w:hint="eastAsia" w:ascii="微软雅黑" w:hAnsi="微软雅黑" w:eastAsia="微软雅黑" w:cs="微软雅黑"/>
          <w:b w:val="0"/>
          <w:bCs w:val="0"/>
          <w:color w:val="auto"/>
          <w:sz w:val="24"/>
          <w:highlight w:val="none"/>
        </w:rPr>
        <w:t>如不提供上述证明文件，价格将不做相应扣除。③JY企业标准请参照《关于政府采购支持JY企业发展有关问题的通知》（财库[2014]68号）。</w:t>
      </w:r>
    </w:p>
    <w:p w14:paraId="005A92EF">
      <w:pPr>
        <w:pageBreakBefore w:val="0"/>
        <w:widowControl/>
        <w:kinsoku/>
        <w:wordWrap w:val="0"/>
        <w:overflowPunct/>
        <w:topLinePunct w:val="0"/>
        <w:bidi w:val="0"/>
        <w:spacing w:line="380" w:lineRule="exact"/>
        <w:jc w:val="lef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残疾人福利单位、JY企业属于小型、微型企业的，不重复享受政策。</w:t>
      </w:r>
    </w:p>
    <w:p w14:paraId="0A2BFAF9">
      <w:pPr>
        <w:widowControl/>
        <w:spacing w:line="38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，小型、微型企业和监狱企业的协议合同金额占到联合体协议合同总金额30%以上的，可给予联合体</w:t>
      </w:r>
      <w:r>
        <w:rPr>
          <w:rFonts w:hint="eastAsia" w:ascii="微软雅黑" w:hAnsi="微软雅黑" w:eastAsia="微软雅黑" w:cs="微软雅黑"/>
          <w:color w:val="auto"/>
          <w:sz w:val="24"/>
          <w:highlight w:val="none"/>
          <w:u w:val="single"/>
        </w:rPr>
        <w:t>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14:paraId="2EA73817">
      <w:pPr>
        <w:widowControl/>
        <w:ind w:firstLine="480" w:firstLineChars="20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联合体各方均为小型、微型企业和监狱企业的，联合体视同为小型、微型企业和监狱企业。</w:t>
      </w:r>
    </w:p>
    <w:p w14:paraId="73CB330D">
      <w:pPr>
        <w:pStyle w:val="12"/>
        <w:tabs>
          <w:tab w:val="clear" w:pos="567"/>
        </w:tabs>
        <w:spacing w:before="0" w:line="380" w:lineRule="exact"/>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4.对创新产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w:t>
      </w:r>
    </w:p>
    <w:p w14:paraId="586B2913">
      <w:pPr>
        <w:widowControl/>
        <w:snapToGrid w:val="0"/>
        <w:spacing w:line="380" w:lineRule="exact"/>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5.开标：</w:t>
      </w:r>
    </w:p>
    <w:p w14:paraId="53A4CCB6">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（1）供应商按照须知资料表中规定的开标时间和地点，在规定时间内上传投标文件。</w:t>
      </w:r>
    </w:p>
    <w:p w14:paraId="093AF8DB">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w:t>
      </w:r>
    </w:p>
    <w:p w14:paraId="17F208D5">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（3）在开标记录时，代理机构开启签字时段，须供应商使用CA锁在政采云平台进行签字确认报价。</w:t>
      </w:r>
    </w:p>
    <w:p w14:paraId="2E5D982A">
      <w:pPr>
        <w:widowControl/>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（4）采购人登录政采云平台对供应商的资格证明材料进行审查。</w:t>
      </w:r>
    </w:p>
    <w:p w14:paraId="703D88FA">
      <w:pPr>
        <w:pStyle w:val="29"/>
        <w:spacing w:line="436"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6.评标：</w:t>
      </w:r>
    </w:p>
    <w:p w14:paraId="1D6A4684">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（1）在政采云平台上随机抽取4名相关专业专家、采购单位出1名业主专家，共计5名评标委员会成员，负责评标工作。</w:t>
      </w:r>
    </w:p>
    <w:p w14:paraId="20C15CAC">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（2）评标前，工作人员收取所有参会人员的手机，主持人宣读评标纪律。</w:t>
      </w:r>
    </w:p>
    <w:p w14:paraId="0AAED256">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对采购单位的纪律要求：采购单位不得泄露招投标活动中应当保密的情况和资料，不得与供应商串通损害国家利益、社会公共利益或者他人合法权益</w:t>
      </w:r>
    </w:p>
    <w:p w14:paraId="1709E9E4">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对与开标大会活动有关的工作人员的纪律要求：与开标大会活动有关的工作人员不得收受他人的财物或者其他好处，不得向他人透露对中标候选人的推荐情况以及评标有关的其他情况。</w:t>
      </w:r>
    </w:p>
    <w:p w14:paraId="3BE2FDC8">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对评标专家的评标纪律及注意事项：</w:t>
      </w:r>
    </w:p>
    <w:p w14:paraId="5C6A61B9">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①与本次评标工作无关的人员不得进入评标现场；</w:t>
      </w:r>
    </w:p>
    <w:p w14:paraId="37CF7EA7">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②在评标过程中评标委员会以外人员不得干预或影响正常评标工作，不得明示或暗示其倾向性、引导性言论；</w:t>
      </w:r>
    </w:p>
    <w:p w14:paraId="42ECE8FE">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③评标委员会成员要严格遵守政府采购法、政府采购法实施条例、政府采购货物和服务招标投标管理办法及评标专家管理办法，要求公正、公平的参与评标工作；</w:t>
      </w:r>
    </w:p>
    <w:p w14:paraId="6FA18D22">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14:paraId="40E02AA7">
      <w:pPr>
        <w:pStyle w:val="29"/>
        <w:spacing w:line="436"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14:paraId="5C7B37A4">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14:paraId="6CC81EE0">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⑦评标专家与供应商有下列利害关系之一的人员，应当回避：</w:t>
      </w:r>
    </w:p>
    <w:p w14:paraId="11378CD0">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参加采购活动前3年内与供应商存在劳动关系；</w:t>
      </w:r>
    </w:p>
    <w:p w14:paraId="0551F089">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参加采购活动前3年内担任供应商的董事、监事；</w:t>
      </w:r>
    </w:p>
    <w:p w14:paraId="2BDBCC81">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参加采购活动前3年内是供应商的控股股东或者实际控制人；</w:t>
      </w:r>
    </w:p>
    <w:p w14:paraId="7ED3759B">
      <w:pPr>
        <w:pStyle w:val="29"/>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与供应商的法定代表人或者负责人有夫妻、直系血亲、三代以内旁系血亲或者近姻亲关系。</w:t>
      </w:r>
    </w:p>
    <w:p w14:paraId="2BB18CEF">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（3）评标委员会应当按照招标文件中规定的评标方法和标准，对所有通过资格审查要求的投标供应商的投标文件，进行符合性审查，以确定是否满足招标文件的实质性要求。</w:t>
      </w:r>
    </w:p>
    <w:p w14:paraId="73C3530E">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14:paraId="5CAED5B7">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14:paraId="55F04A36">
      <w:pPr>
        <w:pStyle w:val="29"/>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（6）评标委员会成员对需要共同认定的事项存在争议的，应当按照少数服从多数的原则作出结论。持不同意见的评标委员会成员应当在评标报告上签署不同意见及理由，否则视为同意评标报告。</w:t>
      </w:r>
    </w:p>
    <w:p w14:paraId="5D9AF7FD">
      <w:pPr>
        <w:pStyle w:val="29"/>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注：现场所有参会人员均要对开标内容进行保密。</w:t>
      </w:r>
    </w:p>
    <w:p w14:paraId="1BE66CC3">
      <w:pPr>
        <w:pStyle w:val="29"/>
        <w:spacing w:line="50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7.答疑澄清：</w:t>
      </w:r>
    </w:p>
    <w:p w14:paraId="4ACE6E2A">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（1）评标委员会对于投标文件中含义不明确、同类问题表述不一致或者有明显文字和计算错误的内容，要求供应商以书面形式现场作出必要的澄清、说明或者补正。</w:t>
      </w:r>
    </w:p>
    <w:p w14:paraId="1A89A91D">
      <w:pPr>
        <w:pStyle w:val="29"/>
        <w:spacing w:line="436"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（2）供应商的澄清、说明或者补正应当采用书面形式，并加盖公章，或者由法定代表人或其授权的代表签字。供应商的澄清、说明或者补正不得超出投标文件的范围或者改变投标文件的实质性内容。</w:t>
      </w:r>
    </w:p>
    <w:p w14:paraId="67AF6C06">
      <w:pPr>
        <w:pStyle w:val="29"/>
        <w:spacing w:line="498"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8.定标：</w:t>
      </w:r>
    </w:p>
    <w:p w14:paraId="6EB3B716">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（1）采购代理机构应当在评标结束后2个工作日内将评标报告送采购人。</w:t>
      </w:r>
    </w:p>
    <w:p w14:paraId="3F8F7E7E">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（2）采购人应当自收到评标报告之日起5个工作日内，在评标报告确定的中标候选人名单中按顺序确定中标人。中标候选人并列的，由采购人按照招标文件规定的方式确定中标人。</w:t>
      </w:r>
    </w:p>
    <w:p w14:paraId="76715A63">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（3）采购人在收到评标报告5个工作日内未按评标报告推荐的中标候选人顺序确定中标人，又不能说明合法理由的，视同按评标报告推荐的顺序确定排名第一的中标候选人为中标人。</w:t>
      </w:r>
    </w:p>
    <w:p w14:paraId="3087BCBD">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186D9DC8">
      <w:pPr>
        <w:pStyle w:val="29"/>
        <w:spacing w:line="498"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14:paraId="07B28993">
      <w:pPr>
        <w:rPr>
          <w:rFonts w:hint="eastAsia" w:ascii="微软雅黑" w:hAnsi="微软雅黑" w:eastAsia="微软雅黑" w:cs="微软雅黑"/>
          <w:color w:val="auto"/>
          <w:highlight w:val="none"/>
        </w:rPr>
      </w:pPr>
      <w:bookmarkStart w:id="2248" w:name="_Toc5478"/>
      <w:bookmarkStart w:id="2249" w:name="_Toc1327"/>
      <w:bookmarkStart w:id="2250" w:name="_Toc21866"/>
      <w:bookmarkStart w:id="2251" w:name="_Toc21578"/>
      <w:bookmarkStart w:id="2252" w:name="_Toc5578"/>
      <w:bookmarkStart w:id="2253" w:name="_Toc9116"/>
      <w:bookmarkStart w:id="2254" w:name="_Toc5776"/>
      <w:bookmarkStart w:id="2255" w:name="_Toc5986"/>
      <w:bookmarkStart w:id="2256" w:name="_Toc19412"/>
      <w:bookmarkStart w:id="2257" w:name="_Toc6128"/>
      <w:bookmarkStart w:id="2258" w:name="_Toc10419"/>
      <w:bookmarkStart w:id="2259" w:name="_Toc25901"/>
      <w:bookmarkStart w:id="2260" w:name="_Toc397"/>
      <w:bookmarkStart w:id="2261" w:name="_Toc7467"/>
      <w:bookmarkStart w:id="2262" w:name="_Toc23103"/>
      <w:bookmarkStart w:id="2263" w:name="_Toc28782"/>
      <w:bookmarkStart w:id="2264" w:name="_Toc29085"/>
      <w:bookmarkStart w:id="2265" w:name="_Toc9835"/>
      <w:r>
        <w:rPr>
          <w:rFonts w:hint="eastAsia" w:ascii="微软雅黑" w:hAnsi="微软雅黑" w:eastAsia="微软雅黑" w:cs="微软雅黑"/>
          <w:color w:val="auto"/>
          <w:highlight w:val="none"/>
        </w:rPr>
        <w:br w:type="page"/>
      </w:r>
    </w:p>
    <w:p w14:paraId="7EC71CF7">
      <w:pPr>
        <w:pStyle w:val="3"/>
        <w:rPr>
          <w:rFonts w:hint="eastAsia" w:ascii="微软雅黑" w:hAnsi="微软雅黑" w:eastAsia="微软雅黑" w:cs="微软雅黑"/>
          <w:color w:val="auto"/>
          <w:highlight w:val="none"/>
        </w:rPr>
      </w:pPr>
      <w:bookmarkStart w:id="2266" w:name="_Toc14817"/>
      <w:bookmarkStart w:id="2267" w:name="_Toc11755"/>
      <w:r>
        <w:rPr>
          <w:rFonts w:hint="eastAsia" w:ascii="微软雅黑" w:hAnsi="微软雅黑" w:eastAsia="微软雅黑" w:cs="微软雅黑"/>
          <w:color w:val="auto"/>
          <w:highlight w:val="none"/>
        </w:rPr>
        <w:t>初步评审—资格性审查表</w:t>
      </w:r>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p>
    <w:tbl>
      <w:tblPr>
        <w:tblStyle w:val="3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86"/>
        <w:gridCol w:w="851"/>
        <w:gridCol w:w="706"/>
        <w:gridCol w:w="722"/>
      </w:tblGrid>
      <w:tr w14:paraId="79A5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67" w:type="dxa"/>
            <w:vMerge w:val="restart"/>
            <w:vAlign w:val="center"/>
          </w:tcPr>
          <w:p w14:paraId="127CFC44">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486" w:type="dxa"/>
            <w:vMerge w:val="restart"/>
            <w:vAlign w:val="center"/>
          </w:tcPr>
          <w:p w14:paraId="4C829905">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2279" w:type="dxa"/>
            <w:gridSpan w:val="3"/>
            <w:vAlign w:val="center"/>
          </w:tcPr>
          <w:p w14:paraId="55FA30B1">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供应商</w:t>
            </w:r>
          </w:p>
        </w:tc>
      </w:tr>
      <w:tr w14:paraId="4839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7" w:type="dxa"/>
            <w:vMerge w:val="continue"/>
            <w:vAlign w:val="center"/>
          </w:tcPr>
          <w:p w14:paraId="3D4F0241">
            <w:pPr>
              <w:spacing w:line="320" w:lineRule="exact"/>
              <w:jc w:val="center"/>
              <w:rPr>
                <w:rFonts w:hint="eastAsia" w:ascii="微软雅黑" w:hAnsi="微软雅黑" w:eastAsia="微软雅黑" w:cs="微软雅黑"/>
                <w:b/>
                <w:bCs/>
                <w:color w:val="auto"/>
                <w:sz w:val="24"/>
                <w:highlight w:val="none"/>
              </w:rPr>
            </w:pPr>
          </w:p>
        </w:tc>
        <w:tc>
          <w:tcPr>
            <w:tcW w:w="7486" w:type="dxa"/>
            <w:vMerge w:val="continue"/>
            <w:vAlign w:val="center"/>
          </w:tcPr>
          <w:p w14:paraId="593A8702">
            <w:pPr>
              <w:spacing w:line="320" w:lineRule="exact"/>
              <w:jc w:val="center"/>
              <w:rPr>
                <w:rFonts w:hint="eastAsia" w:ascii="微软雅黑" w:hAnsi="微软雅黑" w:eastAsia="微软雅黑" w:cs="微软雅黑"/>
                <w:b/>
                <w:bCs/>
                <w:color w:val="auto"/>
                <w:sz w:val="24"/>
                <w:highlight w:val="none"/>
              </w:rPr>
            </w:pPr>
          </w:p>
        </w:tc>
        <w:tc>
          <w:tcPr>
            <w:tcW w:w="851" w:type="dxa"/>
            <w:vAlign w:val="center"/>
          </w:tcPr>
          <w:p w14:paraId="6AD75C00">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06" w:type="dxa"/>
            <w:vAlign w:val="center"/>
          </w:tcPr>
          <w:p w14:paraId="350C08C8">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c>
          <w:tcPr>
            <w:tcW w:w="722" w:type="dxa"/>
            <w:vAlign w:val="center"/>
          </w:tcPr>
          <w:p w14:paraId="7F16E36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2E53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7" w:type="dxa"/>
            <w:vAlign w:val="center"/>
          </w:tcPr>
          <w:p w14:paraId="54994F47">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486" w:type="dxa"/>
            <w:vAlign w:val="center"/>
          </w:tcPr>
          <w:p w14:paraId="0493BE5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具有有效的营业执照；</w:t>
            </w:r>
          </w:p>
        </w:tc>
        <w:tc>
          <w:tcPr>
            <w:tcW w:w="851" w:type="dxa"/>
          </w:tcPr>
          <w:p w14:paraId="57D7EB19">
            <w:pPr>
              <w:spacing w:line="320" w:lineRule="exact"/>
              <w:rPr>
                <w:rFonts w:hint="eastAsia" w:ascii="微软雅黑" w:hAnsi="微软雅黑" w:eastAsia="微软雅黑" w:cs="微软雅黑"/>
                <w:color w:val="auto"/>
                <w:sz w:val="22"/>
                <w:szCs w:val="22"/>
                <w:highlight w:val="none"/>
              </w:rPr>
            </w:pPr>
          </w:p>
        </w:tc>
        <w:tc>
          <w:tcPr>
            <w:tcW w:w="706" w:type="dxa"/>
          </w:tcPr>
          <w:p w14:paraId="02F0161C">
            <w:pPr>
              <w:spacing w:line="320" w:lineRule="exact"/>
              <w:rPr>
                <w:rFonts w:hint="eastAsia" w:ascii="微软雅黑" w:hAnsi="微软雅黑" w:eastAsia="微软雅黑" w:cs="微软雅黑"/>
                <w:color w:val="auto"/>
                <w:sz w:val="22"/>
                <w:szCs w:val="22"/>
                <w:highlight w:val="none"/>
              </w:rPr>
            </w:pPr>
          </w:p>
        </w:tc>
        <w:tc>
          <w:tcPr>
            <w:tcW w:w="722" w:type="dxa"/>
          </w:tcPr>
          <w:p w14:paraId="30C75593">
            <w:pPr>
              <w:spacing w:line="320" w:lineRule="exact"/>
              <w:rPr>
                <w:rFonts w:hint="eastAsia" w:ascii="微软雅黑" w:hAnsi="微软雅黑" w:eastAsia="微软雅黑" w:cs="微软雅黑"/>
                <w:color w:val="auto"/>
                <w:sz w:val="22"/>
                <w:szCs w:val="22"/>
                <w:highlight w:val="none"/>
              </w:rPr>
            </w:pPr>
          </w:p>
        </w:tc>
      </w:tr>
      <w:tr w14:paraId="7637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67" w:type="dxa"/>
            <w:shd w:val="clear" w:color="auto" w:fill="auto"/>
            <w:vAlign w:val="center"/>
          </w:tcPr>
          <w:p w14:paraId="141D890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486" w:type="dxa"/>
            <w:vAlign w:val="center"/>
          </w:tcPr>
          <w:p w14:paraId="1D4CA42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eastAsia="zh-CN"/>
              </w:rPr>
              <w:t>法定代表人本人投标需提供法定代表人身份证及法定代表人资格证明书;授权委托人投标需提供法定代表人授权委托书、法定代表人身份证及被授权委托人身份证</w:t>
            </w:r>
            <w:r>
              <w:rPr>
                <w:rFonts w:hint="eastAsia" w:ascii="微软雅黑" w:hAnsi="微软雅黑" w:eastAsia="微软雅黑" w:cs="微软雅黑"/>
                <w:color w:val="auto"/>
                <w:spacing w:val="-2"/>
                <w:szCs w:val="21"/>
                <w:highlight w:val="none"/>
              </w:rPr>
              <w:t>；</w:t>
            </w:r>
          </w:p>
        </w:tc>
        <w:tc>
          <w:tcPr>
            <w:tcW w:w="851" w:type="dxa"/>
          </w:tcPr>
          <w:p w14:paraId="34FB3194">
            <w:pPr>
              <w:spacing w:line="320" w:lineRule="exact"/>
              <w:rPr>
                <w:rFonts w:hint="eastAsia" w:ascii="微软雅黑" w:hAnsi="微软雅黑" w:eastAsia="微软雅黑" w:cs="微软雅黑"/>
                <w:color w:val="auto"/>
                <w:sz w:val="22"/>
                <w:szCs w:val="22"/>
                <w:highlight w:val="none"/>
              </w:rPr>
            </w:pPr>
          </w:p>
        </w:tc>
        <w:tc>
          <w:tcPr>
            <w:tcW w:w="706" w:type="dxa"/>
          </w:tcPr>
          <w:p w14:paraId="631421F4">
            <w:pPr>
              <w:spacing w:line="320" w:lineRule="exact"/>
              <w:rPr>
                <w:rFonts w:hint="eastAsia" w:ascii="微软雅黑" w:hAnsi="微软雅黑" w:eastAsia="微软雅黑" w:cs="微软雅黑"/>
                <w:color w:val="auto"/>
                <w:sz w:val="22"/>
                <w:szCs w:val="22"/>
                <w:highlight w:val="none"/>
              </w:rPr>
            </w:pPr>
          </w:p>
        </w:tc>
        <w:tc>
          <w:tcPr>
            <w:tcW w:w="722" w:type="dxa"/>
          </w:tcPr>
          <w:p w14:paraId="4B8CC884">
            <w:pPr>
              <w:spacing w:line="320" w:lineRule="exact"/>
              <w:rPr>
                <w:rFonts w:hint="eastAsia" w:ascii="微软雅黑" w:hAnsi="微软雅黑" w:eastAsia="微软雅黑" w:cs="微软雅黑"/>
                <w:color w:val="auto"/>
                <w:sz w:val="22"/>
                <w:szCs w:val="22"/>
                <w:highlight w:val="none"/>
              </w:rPr>
            </w:pPr>
          </w:p>
        </w:tc>
      </w:tr>
      <w:tr w14:paraId="15D6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7F1D7716">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486" w:type="dxa"/>
            <w:shd w:val="clear" w:color="auto" w:fill="auto"/>
            <w:vAlign w:val="center"/>
          </w:tcPr>
          <w:p w14:paraId="7A7CE6D6">
            <w:pPr>
              <w:spacing w:line="320" w:lineRule="exact"/>
              <w:jc w:val="left"/>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eastAsia="zh-CN"/>
              </w:rPr>
              <w:t>提供2024年或2025年任意一年完整的财务审计报告，成立时间未满十二个月的公司可提供近三个月内任意一个月的银行资信证明；</w:t>
            </w:r>
          </w:p>
        </w:tc>
        <w:tc>
          <w:tcPr>
            <w:tcW w:w="851" w:type="dxa"/>
          </w:tcPr>
          <w:p w14:paraId="314558F0">
            <w:pPr>
              <w:spacing w:line="320" w:lineRule="exact"/>
              <w:rPr>
                <w:rFonts w:hint="eastAsia" w:ascii="微软雅黑" w:hAnsi="微软雅黑" w:eastAsia="微软雅黑" w:cs="微软雅黑"/>
                <w:color w:val="auto"/>
                <w:sz w:val="22"/>
                <w:szCs w:val="22"/>
                <w:highlight w:val="none"/>
              </w:rPr>
            </w:pPr>
          </w:p>
        </w:tc>
        <w:tc>
          <w:tcPr>
            <w:tcW w:w="706" w:type="dxa"/>
          </w:tcPr>
          <w:p w14:paraId="0C645B47">
            <w:pPr>
              <w:spacing w:line="320" w:lineRule="exact"/>
              <w:rPr>
                <w:rFonts w:hint="eastAsia" w:ascii="微软雅黑" w:hAnsi="微软雅黑" w:eastAsia="微软雅黑" w:cs="微软雅黑"/>
                <w:color w:val="auto"/>
                <w:sz w:val="22"/>
                <w:szCs w:val="22"/>
                <w:highlight w:val="none"/>
              </w:rPr>
            </w:pPr>
          </w:p>
        </w:tc>
        <w:tc>
          <w:tcPr>
            <w:tcW w:w="722" w:type="dxa"/>
          </w:tcPr>
          <w:p w14:paraId="3D75E74D">
            <w:pPr>
              <w:spacing w:line="320" w:lineRule="exact"/>
              <w:rPr>
                <w:rFonts w:hint="eastAsia" w:ascii="微软雅黑" w:hAnsi="微软雅黑" w:eastAsia="微软雅黑" w:cs="微软雅黑"/>
                <w:color w:val="auto"/>
                <w:sz w:val="22"/>
                <w:szCs w:val="22"/>
                <w:highlight w:val="none"/>
              </w:rPr>
            </w:pPr>
          </w:p>
        </w:tc>
      </w:tr>
      <w:tr w14:paraId="6D12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67" w:type="dxa"/>
            <w:shd w:val="clear" w:color="auto" w:fill="auto"/>
            <w:vAlign w:val="center"/>
          </w:tcPr>
          <w:p w14:paraId="4AB6029F">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486" w:type="dxa"/>
            <w:shd w:val="clear" w:color="auto" w:fill="auto"/>
            <w:vAlign w:val="center"/>
          </w:tcPr>
          <w:p w14:paraId="270CDAE1">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提供依法缴纳近6个月任意1个月社会保险的证明；</w:t>
            </w:r>
          </w:p>
        </w:tc>
        <w:tc>
          <w:tcPr>
            <w:tcW w:w="851" w:type="dxa"/>
          </w:tcPr>
          <w:p w14:paraId="35892B8B">
            <w:pPr>
              <w:spacing w:line="320" w:lineRule="exact"/>
              <w:rPr>
                <w:rFonts w:hint="eastAsia" w:ascii="微软雅黑" w:hAnsi="微软雅黑" w:eastAsia="微软雅黑" w:cs="微软雅黑"/>
                <w:color w:val="auto"/>
                <w:sz w:val="22"/>
                <w:szCs w:val="22"/>
                <w:highlight w:val="none"/>
              </w:rPr>
            </w:pPr>
          </w:p>
        </w:tc>
        <w:tc>
          <w:tcPr>
            <w:tcW w:w="706" w:type="dxa"/>
          </w:tcPr>
          <w:p w14:paraId="23B70776">
            <w:pPr>
              <w:spacing w:line="320" w:lineRule="exact"/>
              <w:rPr>
                <w:rFonts w:hint="eastAsia" w:ascii="微软雅黑" w:hAnsi="微软雅黑" w:eastAsia="微软雅黑" w:cs="微软雅黑"/>
                <w:color w:val="auto"/>
                <w:sz w:val="22"/>
                <w:szCs w:val="22"/>
                <w:highlight w:val="none"/>
              </w:rPr>
            </w:pPr>
          </w:p>
        </w:tc>
        <w:tc>
          <w:tcPr>
            <w:tcW w:w="722" w:type="dxa"/>
          </w:tcPr>
          <w:p w14:paraId="6915611F">
            <w:pPr>
              <w:spacing w:line="320" w:lineRule="exact"/>
              <w:rPr>
                <w:rFonts w:hint="eastAsia" w:ascii="微软雅黑" w:hAnsi="微软雅黑" w:eastAsia="微软雅黑" w:cs="微软雅黑"/>
                <w:color w:val="auto"/>
                <w:sz w:val="22"/>
                <w:szCs w:val="22"/>
                <w:highlight w:val="none"/>
              </w:rPr>
            </w:pPr>
          </w:p>
        </w:tc>
      </w:tr>
      <w:tr w14:paraId="1C5A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7" w:type="dxa"/>
            <w:shd w:val="clear" w:color="auto" w:fill="auto"/>
            <w:vAlign w:val="center"/>
          </w:tcPr>
          <w:p w14:paraId="7B7666D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486" w:type="dxa"/>
            <w:shd w:val="clear" w:color="auto" w:fill="auto"/>
            <w:vAlign w:val="center"/>
          </w:tcPr>
          <w:p w14:paraId="2F4F35E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提供依法缴纳近6个月任意1个月的税收证明；</w:t>
            </w:r>
          </w:p>
        </w:tc>
        <w:tc>
          <w:tcPr>
            <w:tcW w:w="851" w:type="dxa"/>
          </w:tcPr>
          <w:p w14:paraId="094B149D">
            <w:pPr>
              <w:spacing w:line="320" w:lineRule="exact"/>
              <w:rPr>
                <w:rFonts w:hint="eastAsia" w:ascii="微软雅黑" w:hAnsi="微软雅黑" w:eastAsia="微软雅黑" w:cs="微软雅黑"/>
                <w:color w:val="auto"/>
                <w:sz w:val="22"/>
                <w:szCs w:val="22"/>
                <w:highlight w:val="none"/>
              </w:rPr>
            </w:pPr>
          </w:p>
        </w:tc>
        <w:tc>
          <w:tcPr>
            <w:tcW w:w="706" w:type="dxa"/>
          </w:tcPr>
          <w:p w14:paraId="40FB4F1A">
            <w:pPr>
              <w:spacing w:line="320" w:lineRule="exact"/>
              <w:rPr>
                <w:rFonts w:hint="eastAsia" w:ascii="微软雅黑" w:hAnsi="微软雅黑" w:eastAsia="微软雅黑" w:cs="微软雅黑"/>
                <w:color w:val="auto"/>
                <w:sz w:val="22"/>
                <w:szCs w:val="22"/>
                <w:highlight w:val="none"/>
              </w:rPr>
            </w:pPr>
          </w:p>
        </w:tc>
        <w:tc>
          <w:tcPr>
            <w:tcW w:w="722" w:type="dxa"/>
          </w:tcPr>
          <w:p w14:paraId="44BC9A1B">
            <w:pPr>
              <w:spacing w:line="320" w:lineRule="exact"/>
              <w:rPr>
                <w:rFonts w:hint="eastAsia" w:ascii="微软雅黑" w:hAnsi="微软雅黑" w:eastAsia="微软雅黑" w:cs="微软雅黑"/>
                <w:color w:val="auto"/>
                <w:sz w:val="22"/>
                <w:szCs w:val="22"/>
                <w:highlight w:val="none"/>
              </w:rPr>
            </w:pPr>
          </w:p>
        </w:tc>
      </w:tr>
      <w:tr w14:paraId="3698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69053E60">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486" w:type="dxa"/>
            <w:shd w:val="clear" w:color="auto" w:fill="auto"/>
            <w:vAlign w:val="center"/>
          </w:tcPr>
          <w:p w14:paraId="47F076E7">
            <w:pPr>
              <w:wordWrap w:val="0"/>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根据《财政部关于在政府采购活动中查询及使用信用记录有关问题的通知》（财库﹝2016﹞125号）的要求，凡拟参加本次招标项目的</w:t>
            </w:r>
            <w:r>
              <w:rPr>
                <w:rFonts w:hint="eastAsia" w:ascii="微软雅黑" w:hAnsi="微软雅黑" w:eastAsia="微软雅黑" w:cs="微软雅黑"/>
                <w:color w:val="auto"/>
                <w:spacing w:val="-2"/>
                <w:szCs w:val="21"/>
                <w:highlight w:val="none"/>
                <w:lang w:eastAsia="zh-CN"/>
              </w:rPr>
              <w:t>供应商</w:t>
            </w:r>
            <w:r>
              <w:rPr>
                <w:rFonts w:hint="eastAsia" w:ascii="微软雅黑" w:hAnsi="微软雅黑" w:eastAsia="微软雅黑" w:cs="微软雅黑"/>
                <w:color w:val="auto"/>
                <w:spacing w:val="-2"/>
                <w:szCs w:val="21"/>
                <w:highlight w:val="none"/>
              </w:rPr>
              <w:t>，如在“信用中国”网站（https://www.creditchina.gov.cn/）</w:t>
            </w:r>
            <w:r>
              <w:rPr>
                <w:rFonts w:hint="eastAsia" w:ascii="微软雅黑" w:hAnsi="微软雅黑" w:eastAsia="微软雅黑" w:cs="微软雅黑"/>
                <w:color w:val="auto"/>
                <w:spacing w:val="-2"/>
                <w:szCs w:val="21"/>
                <w:highlight w:val="none"/>
                <w:lang w:eastAsia="zh-CN"/>
              </w:rPr>
              <w:t>被列入严重失信主体名单、重大税收违法失信主体名单（首页-信用公示-严重失信主体名单查询/重大税收违法失信主体名单-搜索栏输入单位全称）</w:t>
            </w:r>
            <w:r>
              <w:rPr>
                <w:rFonts w:hint="eastAsia" w:ascii="微软雅黑" w:hAnsi="微软雅黑" w:eastAsia="微软雅黑" w:cs="微软雅黑"/>
                <w:color w:val="auto"/>
                <w:spacing w:val="-2"/>
                <w:szCs w:val="21"/>
                <w:highlight w:val="none"/>
              </w:rPr>
              <w:t>、中国政府采购网（https://www.ccgp.gov.cn/search/cr/）严重违法失信行为信息记录名单（尚在处罚期内的），将拒绝其参加本次招标活动（以代理机构或采购人查询为准）；</w:t>
            </w:r>
          </w:p>
        </w:tc>
        <w:tc>
          <w:tcPr>
            <w:tcW w:w="851" w:type="dxa"/>
          </w:tcPr>
          <w:p w14:paraId="37FD50DD">
            <w:pPr>
              <w:spacing w:line="320" w:lineRule="exact"/>
              <w:rPr>
                <w:rFonts w:hint="eastAsia" w:ascii="微软雅黑" w:hAnsi="微软雅黑" w:eastAsia="微软雅黑" w:cs="微软雅黑"/>
                <w:color w:val="auto"/>
                <w:sz w:val="22"/>
                <w:szCs w:val="22"/>
                <w:highlight w:val="none"/>
              </w:rPr>
            </w:pPr>
          </w:p>
        </w:tc>
        <w:tc>
          <w:tcPr>
            <w:tcW w:w="706" w:type="dxa"/>
          </w:tcPr>
          <w:p w14:paraId="25D3BD44">
            <w:pPr>
              <w:spacing w:line="320" w:lineRule="exact"/>
              <w:rPr>
                <w:rFonts w:hint="eastAsia" w:ascii="微软雅黑" w:hAnsi="微软雅黑" w:eastAsia="微软雅黑" w:cs="微软雅黑"/>
                <w:color w:val="auto"/>
                <w:sz w:val="22"/>
                <w:szCs w:val="22"/>
                <w:highlight w:val="none"/>
              </w:rPr>
            </w:pPr>
          </w:p>
        </w:tc>
        <w:tc>
          <w:tcPr>
            <w:tcW w:w="722" w:type="dxa"/>
          </w:tcPr>
          <w:p w14:paraId="575FBE4B">
            <w:pPr>
              <w:spacing w:line="320" w:lineRule="exact"/>
              <w:rPr>
                <w:rFonts w:hint="eastAsia" w:ascii="微软雅黑" w:hAnsi="微软雅黑" w:eastAsia="微软雅黑" w:cs="微软雅黑"/>
                <w:color w:val="auto"/>
                <w:sz w:val="22"/>
                <w:szCs w:val="22"/>
                <w:highlight w:val="none"/>
              </w:rPr>
            </w:pPr>
          </w:p>
        </w:tc>
      </w:tr>
      <w:tr w14:paraId="39A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7" w:type="dxa"/>
            <w:shd w:val="clear" w:color="auto" w:fill="auto"/>
            <w:vAlign w:val="center"/>
          </w:tcPr>
          <w:p w14:paraId="1E8D64C2">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486" w:type="dxa"/>
            <w:shd w:val="clear" w:color="auto" w:fill="auto"/>
            <w:vAlign w:val="center"/>
          </w:tcPr>
          <w:p w14:paraId="31D48DD7">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提供参加政府采购活动前3年内在经营活动中没有重大违法记录的书面声明函；</w:t>
            </w:r>
          </w:p>
        </w:tc>
        <w:tc>
          <w:tcPr>
            <w:tcW w:w="851" w:type="dxa"/>
          </w:tcPr>
          <w:p w14:paraId="67D9073F">
            <w:pPr>
              <w:spacing w:line="320" w:lineRule="exact"/>
              <w:rPr>
                <w:rFonts w:hint="eastAsia" w:ascii="微软雅黑" w:hAnsi="微软雅黑" w:eastAsia="微软雅黑" w:cs="微软雅黑"/>
                <w:color w:val="auto"/>
                <w:sz w:val="22"/>
                <w:szCs w:val="22"/>
                <w:highlight w:val="none"/>
              </w:rPr>
            </w:pPr>
          </w:p>
        </w:tc>
        <w:tc>
          <w:tcPr>
            <w:tcW w:w="706" w:type="dxa"/>
          </w:tcPr>
          <w:p w14:paraId="7C1F9F0D">
            <w:pPr>
              <w:spacing w:line="320" w:lineRule="exact"/>
              <w:rPr>
                <w:rFonts w:hint="eastAsia" w:ascii="微软雅黑" w:hAnsi="微软雅黑" w:eastAsia="微软雅黑" w:cs="微软雅黑"/>
                <w:color w:val="auto"/>
                <w:sz w:val="22"/>
                <w:szCs w:val="22"/>
                <w:highlight w:val="none"/>
              </w:rPr>
            </w:pPr>
          </w:p>
        </w:tc>
        <w:tc>
          <w:tcPr>
            <w:tcW w:w="722" w:type="dxa"/>
          </w:tcPr>
          <w:p w14:paraId="5E75332E">
            <w:pPr>
              <w:spacing w:line="320" w:lineRule="exact"/>
              <w:rPr>
                <w:rFonts w:hint="eastAsia" w:ascii="微软雅黑" w:hAnsi="微软雅黑" w:eastAsia="微软雅黑" w:cs="微软雅黑"/>
                <w:color w:val="auto"/>
                <w:sz w:val="22"/>
                <w:szCs w:val="22"/>
                <w:highlight w:val="none"/>
              </w:rPr>
            </w:pPr>
          </w:p>
        </w:tc>
      </w:tr>
      <w:tr w14:paraId="67A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7" w:type="dxa"/>
            <w:shd w:val="clear" w:color="auto" w:fill="auto"/>
            <w:vAlign w:val="center"/>
          </w:tcPr>
          <w:p w14:paraId="27D64BEA">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486" w:type="dxa"/>
            <w:shd w:val="clear" w:color="auto" w:fill="auto"/>
            <w:vAlign w:val="center"/>
          </w:tcPr>
          <w:p w14:paraId="5B43AE2A">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提供缴纳投标保证金有效凭证。</w:t>
            </w:r>
          </w:p>
        </w:tc>
        <w:tc>
          <w:tcPr>
            <w:tcW w:w="851" w:type="dxa"/>
          </w:tcPr>
          <w:p w14:paraId="609F9C56">
            <w:pPr>
              <w:spacing w:line="320" w:lineRule="exact"/>
              <w:rPr>
                <w:rFonts w:hint="eastAsia" w:ascii="微软雅黑" w:hAnsi="微软雅黑" w:eastAsia="微软雅黑" w:cs="微软雅黑"/>
                <w:color w:val="auto"/>
                <w:sz w:val="22"/>
                <w:szCs w:val="22"/>
                <w:highlight w:val="none"/>
              </w:rPr>
            </w:pPr>
          </w:p>
        </w:tc>
        <w:tc>
          <w:tcPr>
            <w:tcW w:w="706" w:type="dxa"/>
          </w:tcPr>
          <w:p w14:paraId="2B7246F5">
            <w:pPr>
              <w:spacing w:line="320" w:lineRule="exact"/>
              <w:rPr>
                <w:rFonts w:hint="eastAsia" w:ascii="微软雅黑" w:hAnsi="微软雅黑" w:eastAsia="微软雅黑" w:cs="微软雅黑"/>
                <w:color w:val="auto"/>
                <w:sz w:val="22"/>
                <w:szCs w:val="22"/>
                <w:highlight w:val="none"/>
              </w:rPr>
            </w:pPr>
          </w:p>
        </w:tc>
        <w:tc>
          <w:tcPr>
            <w:tcW w:w="722" w:type="dxa"/>
          </w:tcPr>
          <w:p w14:paraId="729B2B22">
            <w:pPr>
              <w:spacing w:line="320" w:lineRule="exact"/>
              <w:rPr>
                <w:rFonts w:hint="eastAsia" w:ascii="微软雅黑" w:hAnsi="微软雅黑" w:eastAsia="微软雅黑" w:cs="微软雅黑"/>
                <w:color w:val="auto"/>
                <w:sz w:val="22"/>
                <w:szCs w:val="22"/>
                <w:highlight w:val="none"/>
              </w:rPr>
            </w:pPr>
          </w:p>
        </w:tc>
      </w:tr>
      <w:tr w14:paraId="6B20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53" w:type="dxa"/>
            <w:gridSpan w:val="2"/>
            <w:shd w:val="clear" w:color="auto" w:fill="auto"/>
            <w:vAlign w:val="center"/>
          </w:tcPr>
          <w:p w14:paraId="7CC55BEE">
            <w:pPr>
              <w:spacing w:line="32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结论</w:t>
            </w:r>
          </w:p>
        </w:tc>
        <w:tc>
          <w:tcPr>
            <w:tcW w:w="851" w:type="dxa"/>
          </w:tcPr>
          <w:p w14:paraId="3F50FADD">
            <w:pPr>
              <w:spacing w:line="320" w:lineRule="exact"/>
              <w:rPr>
                <w:rFonts w:hint="eastAsia" w:ascii="微软雅黑" w:hAnsi="微软雅黑" w:eastAsia="微软雅黑" w:cs="微软雅黑"/>
                <w:color w:val="auto"/>
                <w:sz w:val="22"/>
                <w:szCs w:val="22"/>
                <w:highlight w:val="none"/>
              </w:rPr>
            </w:pPr>
          </w:p>
        </w:tc>
        <w:tc>
          <w:tcPr>
            <w:tcW w:w="706" w:type="dxa"/>
          </w:tcPr>
          <w:p w14:paraId="2A103F95">
            <w:pPr>
              <w:spacing w:line="320" w:lineRule="exact"/>
              <w:rPr>
                <w:rFonts w:hint="eastAsia" w:ascii="微软雅黑" w:hAnsi="微软雅黑" w:eastAsia="微软雅黑" w:cs="微软雅黑"/>
                <w:color w:val="auto"/>
                <w:sz w:val="22"/>
                <w:szCs w:val="22"/>
                <w:highlight w:val="none"/>
              </w:rPr>
            </w:pPr>
          </w:p>
        </w:tc>
        <w:tc>
          <w:tcPr>
            <w:tcW w:w="722" w:type="dxa"/>
          </w:tcPr>
          <w:p w14:paraId="2275A6C6">
            <w:pPr>
              <w:spacing w:line="320" w:lineRule="exact"/>
              <w:rPr>
                <w:rFonts w:hint="eastAsia" w:ascii="微软雅黑" w:hAnsi="微软雅黑" w:eastAsia="微软雅黑" w:cs="微软雅黑"/>
                <w:color w:val="auto"/>
                <w:sz w:val="22"/>
                <w:szCs w:val="22"/>
                <w:highlight w:val="none"/>
              </w:rPr>
            </w:pPr>
          </w:p>
        </w:tc>
      </w:tr>
    </w:tbl>
    <w:p w14:paraId="1FD6E68E">
      <w:pPr>
        <w:spacing w:line="36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未通过资格审查的供应商不进入评标；通过资格审查的供应商不足三家的，不得评标。</w:t>
      </w:r>
    </w:p>
    <w:p w14:paraId="7504F0AC">
      <w:pPr>
        <w:pStyle w:val="8"/>
        <w:rPr>
          <w:rFonts w:hint="eastAsia" w:ascii="微软雅黑" w:hAnsi="微软雅黑" w:eastAsia="微软雅黑" w:cs="微软雅黑"/>
          <w:b/>
          <w:bCs/>
          <w:color w:val="auto"/>
          <w:szCs w:val="21"/>
          <w:highlight w:val="none"/>
        </w:rPr>
      </w:pPr>
    </w:p>
    <w:p w14:paraId="5C6D2052">
      <w:pPr>
        <w:rPr>
          <w:rFonts w:hint="eastAsia" w:ascii="微软雅黑" w:hAnsi="微软雅黑" w:eastAsia="微软雅黑" w:cs="微软雅黑"/>
          <w:b/>
          <w:bCs/>
          <w:color w:val="auto"/>
          <w:szCs w:val="21"/>
          <w:highlight w:val="none"/>
        </w:rPr>
      </w:pPr>
    </w:p>
    <w:p w14:paraId="7C23E18E">
      <w:pPr>
        <w:pStyle w:val="14"/>
        <w:ind w:firstLine="480"/>
        <w:rPr>
          <w:rFonts w:hint="eastAsia" w:ascii="微软雅黑" w:hAnsi="微软雅黑" w:eastAsia="微软雅黑" w:cs="微软雅黑"/>
          <w:b/>
          <w:bCs/>
          <w:color w:val="auto"/>
          <w:szCs w:val="21"/>
          <w:highlight w:val="none"/>
        </w:rPr>
      </w:pPr>
    </w:p>
    <w:p w14:paraId="1A96371E">
      <w:pPr>
        <w:pStyle w:val="7"/>
        <w:rPr>
          <w:rFonts w:hint="eastAsia" w:ascii="微软雅黑" w:hAnsi="微软雅黑" w:eastAsia="微软雅黑" w:cs="微软雅黑"/>
          <w:color w:val="auto"/>
          <w:highlight w:val="none"/>
        </w:rPr>
      </w:pPr>
    </w:p>
    <w:p w14:paraId="5AB045CC">
      <w:pPr>
        <w:pStyle w:val="8"/>
        <w:rPr>
          <w:rFonts w:hint="eastAsia" w:ascii="微软雅黑" w:hAnsi="微软雅黑" w:eastAsia="微软雅黑" w:cs="微软雅黑"/>
          <w:color w:val="auto"/>
          <w:highlight w:val="none"/>
        </w:rPr>
      </w:pPr>
    </w:p>
    <w:p w14:paraId="520D6A56">
      <w:pPr>
        <w:rPr>
          <w:rFonts w:hint="eastAsia" w:ascii="微软雅黑" w:hAnsi="微软雅黑" w:eastAsia="微软雅黑" w:cs="微软雅黑"/>
          <w:color w:val="auto"/>
          <w:highlight w:val="none"/>
        </w:rPr>
      </w:pPr>
    </w:p>
    <w:p w14:paraId="000BBE42">
      <w:pPr>
        <w:pStyle w:val="29"/>
        <w:rPr>
          <w:rFonts w:hint="eastAsia" w:ascii="微软雅黑" w:hAnsi="微软雅黑" w:eastAsia="微软雅黑" w:cs="微软雅黑"/>
          <w:color w:val="auto"/>
          <w:highlight w:val="none"/>
        </w:rPr>
      </w:pPr>
    </w:p>
    <w:p w14:paraId="46CB9D18">
      <w:pPr>
        <w:pStyle w:val="29"/>
        <w:rPr>
          <w:rFonts w:hint="eastAsia" w:ascii="微软雅黑" w:hAnsi="微软雅黑" w:eastAsia="微软雅黑" w:cs="微软雅黑"/>
          <w:color w:val="auto"/>
          <w:highlight w:val="none"/>
        </w:rPr>
      </w:pPr>
    </w:p>
    <w:p w14:paraId="29EFCDCB">
      <w:pPr>
        <w:pStyle w:val="29"/>
        <w:rPr>
          <w:rFonts w:hint="eastAsia" w:ascii="微软雅黑" w:hAnsi="微软雅黑" w:eastAsia="微软雅黑" w:cs="微软雅黑"/>
          <w:color w:val="auto"/>
          <w:highlight w:val="none"/>
        </w:rPr>
      </w:pPr>
    </w:p>
    <w:p w14:paraId="5EF8E10F">
      <w:pPr>
        <w:pStyle w:val="29"/>
        <w:rPr>
          <w:rFonts w:hint="eastAsia" w:ascii="微软雅黑" w:hAnsi="微软雅黑" w:eastAsia="微软雅黑" w:cs="微软雅黑"/>
          <w:color w:val="auto"/>
          <w:highlight w:val="none"/>
        </w:rPr>
      </w:pPr>
    </w:p>
    <w:p w14:paraId="1E7459E6">
      <w:pPr>
        <w:pStyle w:val="29"/>
        <w:rPr>
          <w:rFonts w:hint="eastAsia" w:ascii="微软雅黑" w:hAnsi="微软雅黑" w:eastAsia="微软雅黑" w:cs="微软雅黑"/>
          <w:color w:val="auto"/>
          <w:highlight w:val="none"/>
        </w:rPr>
      </w:pPr>
    </w:p>
    <w:p w14:paraId="516DF3FC">
      <w:pPr>
        <w:pStyle w:val="29"/>
        <w:rPr>
          <w:rFonts w:hint="eastAsia" w:ascii="微软雅黑" w:hAnsi="微软雅黑" w:eastAsia="微软雅黑" w:cs="微软雅黑"/>
          <w:color w:val="auto"/>
          <w:highlight w:val="none"/>
        </w:rPr>
      </w:pPr>
    </w:p>
    <w:p w14:paraId="74AC6926">
      <w:pPr>
        <w:pStyle w:val="29"/>
        <w:rPr>
          <w:rFonts w:hint="eastAsia" w:ascii="微软雅黑" w:hAnsi="微软雅黑" w:eastAsia="微软雅黑" w:cs="微软雅黑"/>
          <w:color w:val="auto"/>
          <w:highlight w:val="none"/>
        </w:rPr>
      </w:pPr>
    </w:p>
    <w:p w14:paraId="11789ED2">
      <w:pPr>
        <w:rPr>
          <w:rFonts w:hint="eastAsia" w:ascii="微软雅黑" w:hAnsi="微软雅黑" w:eastAsia="微软雅黑" w:cs="微软雅黑"/>
          <w:color w:val="auto"/>
          <w:highlight w:val="none"/>
        </w:rPr>
      </w:pPr>
      <w:bookmarkStart w:id="2268" w:name="_Toc28858"/>
      <w:bookmarkStart w:id="2269" w:name="_Toc273"/>
      <w:bookmarkStart w:id="2270" w:name="_Toc16022"/>
      <w:bookmarkStart w:id="2271" w:name="_Toc14007"/>
      <w:bookmarkStart w:id="2272" w:name="_Toc26642"/>
      <w:bookmarkStart w:id="2273" w:name="_Toc8382"/>
      <w:bookmarkStart w:id="2274" w:name="_Toc30395"/>
      <w:bookmarkStart w:id="2275" w:name="_Toc1474"/>
      <w:bookmarkStart w:id="2276" w:name="_Toc3927"/>
      <w:bookmarkStart w:id="2277" w:name="_Toc18094"/>
      <w:bookmarkStart w:id="2278" w:name="_Toc13854"/>
      <w:bookmarkStart w:id="2279" w:name="_Toc27246"/>
      <w:bookmarkStart w:id="2280" w:name="_Toc10492"/>
      <w:bookmarkStart w:id="2281" w:name="_Toc25052"/>
      <w:bookmarkStart w:id="2282" w:name="_Toc12108"/>
      <w:bookmarkStart w:id="2283" w:name="_Toc21850"/>
      <w:bookmarkStart w:id="2284" w:name="_Toc31983"/>
      <w:bookmarkStart w:id="2285" w:name="_Toc3062"/>
      <w:bookmarkStart w:id="2286" w:name="_Toc8255"/>
      <w:r>
        <w:rPr>
          <w:rFonts w:hint="eastAsia" w:ascii="微软雅黑" w:hAnsi="微软雅黑" w:eastAsia="微软雅黑" w:cs="微软雅黑"/>
          <w:color w:val="auto"/>
          <w:highlight w:val="none"/>
        </w:rPr>
        <w:br w:type="page"/>
      </w:r>
    </w:p>
    <w:p w14:paraId="411BAA6F">
      <w:pPr>
        <w:pStyle w:val="3"/>
        <w:rPr>
          <w:rFonts w:hint="eastAsia" w:ascii="微软雅黑" w:hAnsi="微软雅黑" w:eastAsia="微软雅黑" w:cs="微软雅黑"/>
          <w:color w:val="auto"/>
          <w:highlight w:val="none"/>
        </w:rPr>
      </w:pPr>
      <w:bookmarkStart w:id="2287" w:name="_Toc8809"/>
      <w:r>
        <w:rPr>
          <w:rFonts w:hint="eastAsia" w:ascii="微软雅黑" w:hAnsi="微软雅黑" w:eastAsia="微软雅黑" w:cs="微软雅黑"/>
          <w:color w:val="auto"/>
          <w:highlight w:val="none"/>
        </w:rPr>
        <w:t>初步评审—符合性审查表</w:t>
      </w: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tbl>
      <w:tblPr>
        <w:tblStyle w:val="36"/>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96"/>
        <w:gridCol w:w="1421"/>
      </w:tblGrid>
      <w:tr w14:paraId="44F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51" w:type="dxa"/>
            <w:gridSpan w:val="2"/>
            <w:vAlign w:val="center"/>
          </w:tcPr>
          <w:p w14:paraId="6F44CB27">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评审内容</w:t>
            </w:r>
          </w:p>
        </w:tc>
        <w:tc>
          <w:tcPr>
            <w:tcW w:w="1421" w:type="dxa"/>
            <w:vAlign w:val="center"/>
          </w:tcPr>
          <w:p w14:paraId="56B6C12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评审意见</w:t>
            </w:r>
          </w:p>
        </w:tc>
      </w:tr>
      <w:tr w14:paraId="4FC5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EFE4D1B">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序号</w:t>
            </w:r>
          </w:p>
        </w:tc>
        <w:tc>
          <w:tcPr>
            <w:tcW w:w="7596" w:type="dxa"/>
            <w:vAlign w:val="center"/>
          </w:tcPr>
          <w:p w14:paraId="40052AFB">
            <w:pPr>
              <w:spacing w:line="320" w:lineRule="exact"/>
              <w:jc w:val="center"/>
              <w:rPr>
                <w:rFonts w:hint="eastAsia" w:ascii="微软雅黑" w:hAnsi="微软雅黑" w:eastAsia="微软雅黑" w:cs="微软雅黑"/>
                <w:b/>
                <w:bCs/>
                <w:color w:val="auto"/>
                <w:sz w:val="24"/>
                <w:highlight w:val="none"/>
              </w:rPr>
            </w:pPr>
          </w:p>
        </w:tc>
        <w:tc>
          <w:tcPr>
            <w:tcW w:w="1421" w:type="dxa"/>
            <w:vAlign w:val="center"/>
          </w:tcPr>
          <w:p w14:paraId="23725F79">
            <w:pPr>
              <w:spacing w:line="320" w:lineRule="exact"/>
              <w:jc w:val="cente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是否合格</w:t>
            </w:r>
          </w:p>
        </w:tc>
      </w:tr>
      <w:tr w14:paraId="05E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271CB68E">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596" w:type="dxa"/>
            <w:vAlign w:val="center"/>
          </w:tcPr>
          <w:p w14:paraId="17D25F4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各供应商投标报价未高于预算金额；</w:t>
            </w:r>
          </w:p>
        </w:tc>
        <w:tc>
          <w:tcPr>
            <w:tcW w:w="1421" w:type="dxa"/>
            <w:vAlign w:val="center"/>
          </w:tcPr>
          <w:p w14:paraId="549F2863">
            <w:pPr>
              <w:spacing w:line="400" w:lineRule="exact"/>
              <w:rPr>
                <w:rFonts w:hint="eastAsia" w:ascii="微软雅黑" w:hAnsi="微软雅黑" w:eastAsia="微软雅黑" w:cs="微软雅黑"/>
                <w:color w:val="auto"/>
                <w:spacing w:val="-2"/>
                <w:szCs w:val="21"/>
                <w:highlight w:val="none"/>
              </w:rPr>
            </w:pPr>
          </w:p>
        </w:tc>
      </w:tr>
      <w:tr w14:paraId="1F42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4736FA70">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596" w:type="dxa"/>
            <w:vAlign w:val="center"/>
          </w:tcPr>
          <w:p w14:paraId="33352DD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评标委员会认为供应商的报价无明显低于其他通过符合性审查供应商的报价的，供应商的报价不存在异常一致并成规律性的，其报价合理；</w:t>
            </w:r>
          </w:p>
        </w:tc>
        <w:tc>
          <w:tcPr>
            <w:tcW w:w="1421" w:type="dxa"/>
            <w:vAlign w:val="center"/>
          </w:tcPr>
          <w:p w14:paraId="56774E8A">
            <w:pPr>
              <w:spacing w:line="400" w:lineRule="exact"/>
              <w:rPr>
                <w:rFonts w:hint="eastAsia" w:ascii="微软雅黑" w:hAnsi="微软雅黑" w:eastAsia="微软雅黑" w:cs="微软雅黑"/>
                <w:color w:val="auto"/>
                <w:spacing w:val="-2"/>
                <w:szCs w:val="21"/>
                <w:highlight w:val="none"/>
              </w:rPr>
            </w:pPr>
          </w:p>
        </w:tc>
      </w:tr>
      <w:tr w14:paraId="5BE2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6301926">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596" w:type="dxa"/>
            <w:vAlign w:val="center"/>
          </w:tcPr>
          <w:p w14:paraId="31F9BE1B">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投标文件按照招标文件的规定编制、标记及签署盖章的，法定代表人或其委托代理人签/章；</w:t>
            </w:r>
          </w:p>
        </w:tc>
        <w:tc>
          <w:tcPr>
            <w:tcW w:w="1421" w:type="dxa"/>
            <w:vAlign w:val="center"/>
          </w:tcPr>
          <w:p w14:paraId="20697B5B">
            <w:pPr>
              <w:spacing w:line="400" w:lineRule="exact"/>
              <w:rPr>
                <w:rFonts w:hint="eastAsia" w:ascii="微软雅黑" w:hAnsi="微软雅黑" w:eastAsia="微软雅黑" w:cs="微软雅黑"/>
                <w:color w:val="auto"/>
                <w:szCs w:val="21"/>
                <w:highlight w:val="none"/>
              </w:rPr>
            </w:pPr>
          </w:p>
        </w:tc>
      </w:tr>
      <w:tr w14:paraId="190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14:paraId="605A7D61">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4</w:t>
            </w:r>
          </w:p>
        </w:tc>
        <w:tc>
          <w:tcPr>
            <w:tcW w:w="7596" w:type="dxa"/>
            <w:vAlign w:val="center"/>
          </w:tcPr>
          <w:p w14:paraId="513AB1D2">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完全符合本项目招标文件规定的的实质性要求；</w:t>
            </w:r>
            <w:r>
              <w:rPr>
                <w:rFonts w:hint="eastAsia" w:ascii="微软雅黑" w:hAnsi="微软雅黑" w:eastAsia="微软雅黑" w:cs="微软雅黑"/>
                <w:b/>
                <w:bCs/>
                <w:color w:val="auto"/>
                <w:spacing w:val="-2"/>
                <w:szCs w:val="21"/>
                <w:highlight w:val="none"/>
              </w:rPr>
              <w:t>（交货期、质保期等）</w:t>
            </w:r>
          </w:p>
        </w:tc>
        <w:tc>
          <w:tcPr>
            <w:tcW w:w="1421" w:type="dxa"/>
            <w:vAlign w:val="center"/>
          </w:tcPr>
          <w:p w14:paraId="7BAD83CF">
            <w:pPr>
              <w:spacing w:line="400" w:lineRule="exact"/>
              <w:rPr>
                <w:rFonts w:hint="eastAsia" w:ascii="微软雅黑" w:hAnsi="微软雅黑" w:eastAsia="微软雅黑" w:cs="微软雅黑"/>
                <w:color w:val="auto"/>
                <w:spacing w:val="-2"/>
                <w:szCs w:val="21"/>
                <w:highlight w:val="none"/>
              </w:rPr>
            </w:pPr>
          </w:p>
        </w:tc>
      </w:tr>
      <w:tr w14:paraId="57E6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55" w:type="dxa"/>
            <w:vAlign w:val="center"/>
          </w:tcPr>
          <w:p w14:paraId="48914DB4">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5</w:t>
            </w:r>
          </w:p>
        </w:tc>
        <w:tc>
          <w:tcPr>
            <w:tcW w:w="7596" w:type="dxa"/>
            <w:vAlign w:val="center"/>
          </w:tcPr>
          <w:p w14:paraId="475FDD85">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所投产品的设备及数量满足招标文件要求的；</w:t>
            </w:r>
          </w:p>
        </w:tc>
        <w:tc>
          <w:tcPr>
            <w:tcW w:w="1421" w:type="dxa"/>
            <w:vAlign w:val="center"/>
          </w:tcPr>
          <w:p w14:paraId="50EF333C">
            <w:pPr>
              <w:spacing w:line="400" w:lineRule="exact"/>
              <w:rPr>
                <w:rFonts w:hint="eastAsia" w:ascii="微软雅黑" w:hAnsi="微软雅黑" w:eastAsia="微软雅黑" w:cs="微软雅黑"/>
                <w:color w:val="auto"/>
                <w:spacing w:val="-2"/>
                <w:szCs w:val="21"/>
                <w:highlight w:val="none"/>
              </w:rPr>
            </w:pPr>
          </w:p>
        </w:tc>
      </w:tr>
      <w:tr w14:paraId="69DD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347309DA">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6</w:t>
            </w:r>
          </w:p>
        </w:tc>
        <w:tc>
          <w:tcPr>
            <w:tcW w:w="7596" w:type="dxa"/>
            <w:vAlign w:val="center"/>
          </w:tcPr>
          <w:p w14:paraId="129E3D84">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按招标文件规定的格式填写，内容全面；</w:t>
            </w:r>
          </w:p>
        </w:tc>
        <w:tc>
          <w:tcPr>
            <w:tcW w:w="1421" w:type="dxa"/>
            <w:vAlign w:val="center"/>
          </w:tcPr>
          <w:p w14:paraId="7FB41E2A">
            <w:pPr>
              <w:spacing w:line="400" w:lineRule="exact"/>
              <w:rPr>
                <w:rFonts w:hint="eastAsia" w:ascii="微软雅黑" w:hAnsi="微软雅黑" w:eastAsia="微软雅黑" w:cs="微软雅黑"/>
                <w:color w:val="auto"/>
                <w:spacing w:val="-2"/>
                <w:szCs w:val="21"/>
                <w:highlight w:val="none"/>
              </w:rPr>
            </w:pPr>
          </w:p>
        </w:tc>
      </w:tr>
      <w:tr w14:paraId="68E4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32702E4D">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7</w:t>
            </w:r>
          </w:p>
        </w:tc>
        <w:tc>
          <w:tcPr>
            <w:tcW w:w="7596" w:type="dxa"/>
            <w:vAlign w:val="center"/>
          </w:tcPr>
          <w:p w14:paraId="6E93540E">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没有采购人不能接受的附加条件的；</w:t>
            </w:r>
          </w:p>
        </w:tc>
        <w:tc>
          <w:tcPr>
            <w:tcW w:w="1421" w:type="dxa"/>
            <w:vAlign w:val="center"/>
          </w:tcPr>
          <w:p w14:paraId="193AC7AC">
            <w:pPr>
              <w:spacing w:line="400" w:lineRule="exact"/>
              <w:rPr>
                <w:rFonts w:hint="eastAsia" w:ascii="微软雅黑" w:hAnsi="微软雅黑" w:eastAsia="微软雅黑" w:cs="微软雅黑"/>
                <w:color w:val="auto"/>
                <w:spacing w:val="-2"/>
                <w:szCs w:val="21"/>
                <w:highlight w:val="none"/>
              </w:rPr>
            </w:pPr>
          </w:p>
        </w:tc>
      </w:tr>
      <w:tr w14:paraId="23C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5" w:type="dxa"/>
            <w:vAlign w:val="center"/>
          </w:tcPr>
          <w:p w14:paraId="0C6D0AD5">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8</w:t>
            </w:r>
          </w:p>
        </w:tc>
        <w:tc>
          <w:tcPr>
            <w:tcW w:w="7596" w:type="dxa"/>
            <w:vAlign w:val="center"/>
          </w:tcPr>
          <w:p w14:paraId="25756710">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不同供应商的投标文件没有错漏一致的情况；</w:t>
            </w:r>
          </w:p>
        </w:tc>
        <w:tc>
          <w:tcPr>
            <w:tcW w:w="1421" w:type="dxa"/>
            <w:vAlign w:val="center"/>
          </w:tcPr>
          <w:p w14:paraId="135567CE">
            <w:pPr>
              <w:spacing w:line="400" w:lineRule="exact"/>
              <w:rPr>
                <w:rFonts w:hint="eastAsia" w:ascii="微软雅黑" w:hAnsi="微软雅黑" w:eastAsia="微软雅黑" w:cs="微软雅黑"/>
                <w:color w:val="auto"/>
                <w:spacing w:val="-2"/>
                <w:szCs w:val="21"/>
                <w:highlight w:val="none"/>
              </w:rPr>
            </w:pPr>
          </w:p>
        </w:tc>
      </w:tr>
      <w:tr w14:paraId="40C2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14:paraId="1504219D">
            <w:pPr>
              <w:spacing w:line="320" w:lineRule="exact"/>
              <w:jc w:val="center"/>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lang w:val="en-US" w:eastAsia="zh-CN"/>
              </w:rPr>
              <w:t>9</w:t>
            </w:r>
          </w:p>
        </w:tc>
        <w:tc>
          <w:tcPr>
            <w:tcW w:w="7596" w:type="dxa"/>
            <w:vAlign w:val="center"/>
          </w:tcPr>
          <w:p w14:paraId="5AF6E0B6">
            <w:pPr>
              <w:spacing w:line="320" w:lineRule="exact"/>
              <w:jc w:val="left"/>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未出现法律、法规和招标文件规定的其他无效情形。</w:t>
            </w:r>
          </w:p>
        </w:tc>
        <w:tc>
          <w:tcPr>
            <w:tcW w:w="1421" w:type="dxa"/>
            <w:vAlign w:val="center"/>
          </w:tcPr>
          <w:p w14:paraId="1F1B9072">
            <w:pPr>
              <w:spacing w:line="400" w:lineRule="exact"/>
              <w:rPr>
                <w:rFonts w:hint="eastAsia" w:ascii="微软雅黑" w:hAnsi="微软雅黑" w:eastAsia="微软雅黑" w:cs="微软雅黑"/>
                <w:color w:val="auto"/>
                <w:spacing w:val="-2"/>
                <w:szCs w:val="21"/>
                <w:highlight w:val="none"/>
              </w:rPr>
            </w:pPr>
          </w:p>
        </w:tc>
      </w:tr>
      <w:tr w14:paraId="36E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14:paraId="7A26B7A4">
            <w:pPr>
              <w:spacing w:line="400" w:lineRule="exact"/>
              <w:ind w:firstLine="370" w:firstLineChars="180"/>
              <w:rPr>
                <w:rFonts w:hint="eastAsia"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Cs w:val="21"/>
                <w:highlight w:val="none"/>
              </w:rPr>
              <w:t>结论：通过评审打“√”，未通过评审打“×”</w:t>
            </w:r>
          </w:p>
        </w:tc>
        <w:tc>
          <w:tcPr>
            <w:tcW w:w="1421" w:type="dxa"/>
            <w:vAlign w:val="center"/>
          </w:tcPr>
          <w:p w14:paraId="57E66E7D">
            <w:pPr>
              <w:spacing w:line="400" w:lineRule="exact"/>
              <w:ind w:firstLine="370" w:firstLineChars="180"/>
              <w:rPr>
                <w:rFonts w:hint="eastAsia" w:ascii="微软雅黑" w:hAnsi="微软雅黑" w:eastAsia="微软雅黑" w:cs="微软雅黑"/>
                <w:color w:val="auto"/>
                <w:spacing w:val="-2"/>
                <w:szCs w:val="21"/>
                <w:highlight w:val="none"/>
              </w:rPr>
            </w:pPr>
          </w:p>
        </w:tc>
      </w:tr>
    </w:tbl>
    <w:p w14:paraId="00FCC84D">
      <w:pPr>
        <w:spacing w:line="400" w:lineRule="exact"/>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14:paraId="3B997E76">
      <w:pPr>
        <w:spacing w:line="400" w:lineRule="exact"/>
        <w:ind w:left="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14:paraId="650EA52B">
      <w:pPr>
        <w:spacing w:line="400" w:lineRule="exact"/>
        <w:ind w:left="689" w:leftChars="28" w:hanging="630" w:hangingChars="3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14:paraId="633AD387">
      <w:pPr>
        <w:pStyle w:val="7"/>
        <w:spacing w:line="400" w:lineRule="exact"/>
        <w:ind w:firstLine="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3178078A">
      <w:pPr>
        <w:spacing w:line="40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未通过资格审查的供应商不进入评标；通过资格审查的供应商不足三家的，不得评标。</w:t>
      </w:r>
    </w:p>
    <w:p w14:paraId="6FC041AF">
      <w:pPr>
        <w:pStyle w:val="8"/>
        <w:ind w:firstLine="0"/>
        <w:rPr>
          <w:rFonts w:hint="eastAsia" w:ascii="微软雅黑" w:hAnsi="微软雅黑" w:eastAsia="微软雅黑" w:cs="微软雅黑"/>
          <w:color w:val="auto"/>
          <w:highlight w:val="none"/>
        </w:rPr>
      </w:pPr>
    </w:p>
    <w:p w14:paraId="5B306663">
      <w:pPr>
        <w:rPr>
          <w:rFonts w:hint="eastAsia" w:ascii="微软雅黑" w:hAnsi="微软雅黑" w:eastAsia="微软雅黑" w:cs="微软雅黑"/>
          <w:color w:val="auto"/>
          <w:highlight w:val="none"/>
        </w:rPr>
      </w:pPr>
    </w:p>
    <w:p w14:paraId="5F84F872">
      <w:pPr>
        <w:pStyle w:val="14"/>
        <w:ind w:firstLine="480"/>
        <w:rPr>
          <w:rFonts w:hint="eastAsia" w:ascii="微软雅黑" w:hAnsi="微软雅黑" w:eastAsia="微软雅黑" w:cs="微软雅黑"/>
          <w:color w:val="auto"/>
          <w:highlight w:val="none"/>
        </w:rPr>
      </w:pPr>
    </w:p>
    <w:p w14:paraId="3B46D084">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5C1CFA64">
      <w:pPr>
        <w:spacing w:line="300" w:lineRule="auto"/>
        <w:jc w:val="center"/>
        <w:outlineLvl w:val="1"/>
        <w:rPr>
          <w:rFonts w:hint="eastAsia" w:ascii="微软雅黑" w:hAnsi="微软雅黑" w:eastAsia="微软雅黑" w:cs="微软雅黑"/>
          <w:b/>
          <w:bCs/>
          <w:color w:val="auto"/>
          <w:sz w:val="30"/>
          <w:szCs w:val="30"/>
          <w:highlight w:val="none"/>
          <w:lang w:eastAsia="zh-CN"/>
        </w:rPr>
      </w:pPr>
      <w:bookmarkStart w:id="2288" w:name="_Toc15133"/>
      <w:r>
        <w:rPr>
          <w:rFonts w:hint="eastAsia" w:ascii="微软雅黑" w:hAnsi="微软雅黑" w:eastAsia="微软雅黑" w:cs="微软雅黑"/>
          <w:b/>
          <w:bCs/>
          <w:color w:val="auto"/>
          <w:sz w:val="30"/>
          <w:szCs w:val="30"/>
          <w:highlight w:val="none"/>
          <w:lang w:eastAsia="zh-CN"/>
        </w:rPr>
        <w:t>综合评分表（第五标段）</w:t>
      </w:r>
      <w:bookmarkEnd w:id="2288"/>
    </w:p>
    <w:tbl>
      <w:tblPr>
        <w:tblStyle w:val="36"/>
        <w:tblW w:w="9773"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29"/>
        <w:gridCol w:w="659"/>
        <w:gridCol w:w="6424"/>
        <w:gridCol w:w="1064"/>
      </w:tblGrid>
      <w:tr w14:paraId="4A23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noWrap w:val="0"/>
            <w:vAlign w:val="center"/>
          </w:tcPr>
          <w:p w14:paraId="3C2541E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序号</w:t>
            </w:r>
          </w:p>
        </w:tc>
        <w:tc>
          <w:tcPr>
            <w:tcW w:w="829" w:type="dxa"/>
            <w:noWrap w:val="0"/>
            <w:vAlign w:val="center"/>
          </w:tcPr>
          <w:p w14:paraId="57237990">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评标标准</w:t>
            </w:r>
          </w:p>
        </w:tc>
        <w:tc>
          <w:tcPr>
            <w:tcW w:w="659" w:type="dxa"/>
            <w:noWrap w:val="0"/>
            <w:vAlign w:val="center"/>
          </w:tcPr>
          <w:p w14:paraId="6FA56A1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分值</w:t>
            </w:r>
          </w:p>
        </w:tc>
        <w:tc>
          <w:tcPr>
            <w:tcW w:w="6424" w:type="dxa"/>
            <w:noWrap w:val="0"/>
            <w:vAlign w:val="center"/>
          </w:tcPr>
          <w:p w14:paraId="218A450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评分内容</w:t>
            </w:r>
          </w:p>
          <w:p w14:paraId="1C4E0C1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b/>
                <w:color w:val="auto"/>
                <w:szCs w:val="21"/>
                <w:highlight w:val="none"/>
                <w:lang w:eastAsia="zh-CN"/>
              </w:rPr>
            </w:pPr>
            <w:r>
              <w:rPr>
                <w:rFonts w:hint="eastAsia" w:ascii="微软雅黑" w:hAnsi="微软雅黑" w:eastAsia="微软雅黑" w:cs="微软雅黑"/>
                <w:b/>
                <w:color w:val="auto"/>
                <w:szCs w:val="21"/>
                <w:highlight w:val="none"/>
                <w:lang w:eastAsia="zh-CN"/>
              </w:rPr>
              <w:t>价格：</w:t>
            </w:r>
            <w:r>
              <w:rPr>
                <w:rFonts w:hint="eastAsia" w:ascii="微软雅黑" w:hAnsi="微软雅黑" w:eastAsia="微软雅黑" w:cs="微软雅黑"/>
                <w:b/>
                <w:color w:val="auto"/>
                <w:szCs w:val="21"/>
                <w:highlight w:val="none"/>
                <w:lang w:val="en-US" w:eastAsia="zh-CN"/>
              </w:rPr>
              <w:t>3</w:t>
            </w:r>
            <w:r>
              <w:rPr>
                <w:rFonts w:hint="eastAsia" w:ascii="微软雅黑" w:hAnsi="微软雅黑" w:eastAsia="微软雅黑" w:cs="微软雅黑"/>
                <w:b/>
                <w:color w:val="auto"/>
                <w:szCs w:val="21"/>
                <w:highlight w:val="none"/>
                <w:lang w:eastAsia="zh-CN"/>
              </w:rPr>
              <w:t>0分</w:t>
            </w:r>
            <w:r>
              <w:rPr>
                <w:rFonts w:hint="eastAsia" w:ascii="微软雅黑" w:hAnsi="微软雅黑" w:eastAsia="微软雅黑" w:cs="微软雅黑"/>
                <w:b/>
                <w:color w:val="auto"/>
                <w:szCs w:val="21"/>
                <w:highlight w:val="none"/>
                <w:lang w:val="en-US" w:eastAsia="zh-CN"/>
              </w:rPr>
              <w:t xml:space="preserve">   </w:t>
            </w:r>
            <w:r>
              <w:rPr>
                <w:rFonts w:hint="eastAsia" w:ascii="微软雅黑" w:hAnsi="微软雅黑" w:eastAsia="微软雅黑" w:cs="微软雅黑"/>
                <w:b/>
                <w:color w:val="auto"/>
                <w:szCs w:val="21"/>
                <w:highlight w:val="none"/>
                <w:lang w:eastAsia="zh-CN"/>
              </w:rPr>
              <w:t>商务：</w:t>
            </w:r>
            <w:r>
              <w:rPr>
                <w:rFonts w:hint="eastAsia" w:ascii="微软雅黑" w:hAnsi="微软雅黑" w:eastAsia="微软雅黑" w:cs="微软雅黑"/>
                <w:b/>
                <w:color w:val="auto"/>
                <w:szCs w:val="21"/>
                <w:highlight w:val="none"/>
                <w:lang w:val="en-US" w:eastAsia="zh-CN"/>
              </w:rPr>
              <w:t>7</w:t>
            </w:r>
            <w:r>
              <w:rPr>
                <w:rFonts w:hint="eastAsia" w:ascii="微软雅黑" w:hAnsi="微软雅黑" w:eastAsia="微软雅黑" w:cs="微软雅黑"/>
                <w:b/>
                <w:color w:val="auto"/>
                <w:szCs w:val="21"/>
                <w:highlight w:val="none"/>
                <w:lang w:eastAsia="zh-CN"/>
              </w:rPr>
              <w:t>分</w:t>
            </w:r>
            <w:r>
              <w:rPr>
                <w:rFonts w:hint="eastAsia" w:ascii="微软雅黑" w:hAnsi="微软雅黑" w:eastAsia="微软雅黑" w:cs="微软雅黑"/>
                <w:b/>
                <w:color w:val="auto"/>
                <w:szCs w:val="21"/>
                <w:highlight w:val="none"/>
                <w:lang w:val="en-US" w:eastAsia="zh-CN"/>
              </w:rPr>
              <w:t xml:space="preserve">  </w:t>
            </w:r>
            <w:r>
              <w:rPr>
                <w:rFonts w:hint="eastAsia" w:ascii="微软雅黑" w:hAnsi="微软雅黑" w:eastAsia="微软雅黑" w:cs="微软雅黑"/>
                <w:b/>
                <w:color w:val="auto"/>
                <w:szCs w:val="21"/>
                <w:highlight w:val="none"/>
                <w:lang w:eastAsia="zh-CN"/>
              </w:rPr>
              <w:t>技术：</w:t>
            </w:r>
            <w:r>
              <w:rPr>
                <w:rFonts w:hint="eastAsia" w:ascii="微软雅黑" w:hAnsi="微软雅黑" w:eastAsia="微软雅黑" w:cs="微软雅黑"/>
                <w:b/>
                <w:color w:val="auto"/>
                <w:szCs w:val="21"/>
                <w:highlight w:val="none"/>
                <w:lang w:val="en-US" w:eastAsia="zh-CN"/>
              </w:rPr>
              <w:t>63</w:t>
            </w:r>
            <w:r>
              <w:rPr>
                <w:rFonts w:hint="eastAsia" w:ascii="微软雅黑" w:hAnsi="微软雅黑" w:eastAsia="微软雅黑" w:cs="微软雅黑"/>
                <w:b/>
                <w:color w:val="auto"/>
                <w:szCs w:val="21"/>
                <w:highlight w:val="none"/>
                <w:lang w:eastAsia="zh-CN"/>
              </w:rPr>
              <w:t>分</w:t>
            </w:r>
          </w:p>
        </w:tc>
        <w:tc>
          <w:tcPr>
            <w:tcW w:w="1064" w:type="dxa"/>
            <w:noWrap w:val="0"/>
            <w:vAlign w:val="center"/>
          </w:tcPr>
          <w:p w14:paraId="6E41C140">
            <w:pPr>
              <w:pStyle w:val="56"/>
              <w:keepNext w:val="0"/>
              <w:keepLines w:val="0"/>
              <w:pageBreakBefore w:val="0"/>
              <w:widowControl w:val="0"/>
              <w:kinsoku/>
              <w:wordWrap w:val="0"/>
              <w:overflowPunct/>
              <w:topLinePunct w:val="0"/>
              <w:autoSpaceDE/>
              <w:autoSpaceDN/>
              <w:bidi w:val="0"/>
              <w:adjustRightInd w:val="0"/>
              <w:snapToGrid w:val="0"/>
              <w:spacing w:before="0" w:after="0" w:line="240" w:lineRule="auto"/>
              <w:ind w:firstLine="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 w:val="21"/>
                <w:szCs w:val="21"/>
                <w:highlight w:val="none"/>
              </w:rPr>
              <w:t>说明</w:t>
            </w:r>
          </w:p>
        </w:tc>
      </w:tr>
      <w:tr w14:paraId="18EC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noWrap w:val="0"/>
            <w:vAlign w:val="center"/>
          </w:tcPr>
          <w:p w14:paraId="11408ACB">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w:t>
            </w:r>
          </w:p>
        </w:tc>
        <w:tc>
          <w:tcPr>
            <w:tcW w:w="829" w:type="dxa"/>
            <w:noWrap w:val="0"/>
            <w:vAlign w:val="center"/>
          </w:tcPr>
          <w:p w14:paraId="45815580">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投标报价</w:t>
            </w:r>
          </w:p>
        </w:tc>
        <w:tc>
          <w:tcPr>
            <w:tcW w:w="659" w:type="dxa"/>
            <w:noWrap w:val="0"/>
            <w:vAlign w:val="center"/>
          </w:tcPr>
          <w:p w14:paraId="50E46466">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30</w:t>
            </w:r>
          </w:p>
        </w:tc>
        <w:tc>
          <w:tcPr>
            <w:tcW w:w="6424" w:type="dxa"/>
            <w:noWrap w:val="0"/>
            <w:vAlign w:val="top"/>
          </w:tcPr>
          <w:p w14:paraId="0DF72D04">
            <w:pPr>
              <w:pStyle w:val="45"/>
              <w:keepNext w:val="0"/>
              <w:keepLines w:val="0"/>
              <w:pageBreakBefore w:val="0"/>
              <w:widowControl w:val="0"/>
              <w:kinsoku/>
              <w:wordWrap/>
              <w:overflowPunct/>
              <w:topLinePunct w:val="0"/>
              <w:autoSpaceDE/>
              <w:autoSpaceDN/>
              <w:bidi w:val="0"/>
              <w:adjustRightInd w:val="0"/>
              <w:snapToGrid w:val="0"/>
              <w:spacing w:before="98" w:line="240" w:lineRule="auto"/>
              <w:ind w:right="102"/>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snapToGrid/>
                <w:color w:val="auto"/>
                <w:kern w:val="2"/>
                <w:sz w:val="21"/>
                <w:szCs w:val="21"/>
                <w:highlight w:val="none"/>
                <w:lang w:val="en-US" w:eastAsia="zh-CN" w:bidi="ar-SA"/>
              </w:rPr>
              <w:t>投标报价：</w:t>
            </w:r>
            <w:r>
              <w:rPr>
                <w:rFonts w:hint="eastAsia" w:ascii="微软雅黑" w:hAnsi="微软雅黑" w:eastAsia="微软雅黑" w:cs="微软雅黑"/>
                <w:color w:val="auto"/>
                <w:kern w:val="2"/>
                <w:sz w:val="21"/>
                <w:szCs w:val="21"/>
                <w:highlight w:val="none"/>
                <w:lang w:val="en-US" w:eastAsia="zh-CN" w:bidi="ar-SA"/>
              </w:rPr>
              <w:t>采用低价优先法计算，完全满足采购文件要求且投标价格最低的投标报价为评标基准价，价格分为满分。其他供应商的价格分统一按照下列公式计算：投标报价得分=(评标基准价／投标报价)×价格权重×100%</w:t>
            </w:r>
          </w:p>
        </w:tc>
        <w:tc>
          <w:tcPr>
            <w:tcW w:w="1064" w:type="dxa"/>
            <w:noWrap w:val="0"/>
            <w:vAlign w:val="center"/>
          </w:tcPr>
          <w:p w14:paraId="6E6D81B2">
            <w:pPr>
              <w:keepNext w:val="0"/>
              <w:keepLines w:val="0"/>
              <w:pageBreakBefore w:val="0"/>
              <w:widowControl w:val="0"/>
              <w:kinsoku/>
              <w:wordWrap w:val="0"/>
              <w:overflowPunct/>
              <w:topLinePunct w:val="0"/>
              <w:autoSpaceDE/>
              <w:autoSpaceDN/>
              <w:bidi w:val="0"/>
              <w:adjustRightInd w:val="0"/>
              <w:snapToGrid w:val="0"/>
              <w:spacing w:line="240" w:lineRule="auto"/>
              <w:ind w:firstLine="0"/>
              <w:jc w:val="lef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 w:val="21"/>
                <w:szCs w:val="21"/>
                <w:highlight w:val="none"/>
              </w:rPr>
              <w:t>投标报价超过采购预算价的按废标处理</w:t>
            </w:r>
          </w:p>
        </w:tc>
      </w:tr>
      <w:tr w14:paraId="7B69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restart"/>
            <w:noWrap w:val="0"/>
            <w:vAlign w:val="center"/>
          </w:tcPr>
          <w:p w14:paraId="4278A89D">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2</w:t>
            </w:r>
          </w:p>
        </w:tc>
        <w:tc>
          <w:tcPr>
            <w:tcW w:w="829" w:type="dxa"/>
            <w:vMerge w:val="restart"/>
            <w:noWrap w:val="0"/>
            <w:vAlign w:val="center"/>
          </w:tcPr>
          <w:p w14:paraId="70FFE22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商务评分标准</w:t>
            </w:r>
          </w:p>
        </w:tc>
        <w:tc>
          <w:tcPr>
            <w:tcW w:w="659" w:type="dxa"/>
            <w:noWrap w:val="0"/>
            <w:vAlign w:val="center"/>
          </w:tcPr>
          <w:p w14:paraId="06780FF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lang w:val="en-US" w:eastAsia="zh-CN"/>
              </w:rPr>
              <w:t>4</w:t>
            </w:r>
          </w:p>
        </w:tc>
        <w:tc>
          <w:tcPr>
            <w:tcW w:w="6424" w:type="dxa"/>
            <w:noWrap w:val="0"/>
            <w:vAlign w:val="top"/>
          </w:tcPr>
          <w:p w14:paraId="5C021656">
            <w:pPr>
              <w:pageBreakBefore w:val="0"/>
              <w:kinsoku/>
              <w:wordWrap w:val="0"/>
              <w:overflowPunct/>
              <w:topLinePunct w:val="0"/>
              <w:bidi w:val="0"/>
              <w:spacing w:line="40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业绩：</w:t>
            </w:r>
            <w:r>
              <w:rPr>
                <w:rFonts w:hint="eastAsia" w:ascii="微软雅黑" w:hAnsi="微软雅黑" w:eastAsia="微软雅黑" w:cs="微软雅黑"/>
                <w:color w:val="auto"/>
                <w:szCs w:val="21"/>
                <w:highlight w:val="none"/>
              </w:rPr>
              <w:t>投标</w:t>
            </w:r>
            <w:r>
              <w:rPr>
                <w:rFonts w:hint="eastAsia" w:ascii="微软雅黑" w:hAnsi="微软雅黑" w:eastAsia="微软雅黑" w:cs="微软雅黑"/>
                <w:color w:val="auto"/>
                <w:szCs w:val="21"/>
                <w:highlight w:val="none"/>
                <w:lang w:val="en-US" w:eastAsia="zh-CN"/>
              </w:rPr>
              <w:t>供应商</w:t>
            </w:r>
            <w:r>
              <w:rPr>
                <w:rFonts w:hint="eastAsia" w:ascii="微软雅黑" w:hAnsi="微软雅黑" w:eastAsia="微软雅黑" w:cs="微软雅黑"/>
                <w:color w:val="auto"/>
                <w:szCs w:val="21"/>
                <w:highlight w:val="none"/>
              </w:rPr>
              <w:t>提供近三年内</w:t>
            </w:r>
            <w:r>
              <w:rPr>
                <w:rFonts w:hint="eastAsia" w:ascii="微软雅黑" w:hAnsi="微软雅黑" w:eastAsia="微软雅黑" w:cs="微软雅黑"/>
                <w:color w:val="auto"/>
                <w:szCs w:val="21"/>
                <w:highlight w:val="none"/>
                <w:lang w:eastAsia="zh-CN"/>
              </w:rPr>
              <w:t>（2023年</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lang w:eastAsia="zh-CN"/>
              </w:rPr>
              <w:t>月</w:t>
            </w:r>
            <w:r>
              <w:rPr>
                <w:rFonts w:hint="eastAsia" w:ascii="微软雅黑" w:hAnsi="微软雅黑" w:eastAsia="微软雅黑" w:cs="微软雅黑"/>
                <w:color w:val="auto"/>
                <w:szCs w:val="21"/>
                <w:highlight w:val="none"/>
                <w:lang w:val="en-US" w:eastAsia="zh-CN"/>
              </w:rPr>
              <w:t>1日</w:t>
            </w:r>
            <w:r>
              <w:rPr>
                <w:rFonts w:hint="eastAsia" w:ascii="微软雅黑" w:hAnsi="微软雅黑" w:eastAsia="微软雅黑" w:cs="微软雅黑"/>
                <w:color w:val="auto"/>
                <w:szCs w:val="21"/>
                <w:highlight w:val="none"/>
                <w:lang w:eastAsia="zh-CN"/>
              </w:rPr>
              <w:t>至今）</w:t>
            </w:r>
            <w:r>
              <w:rPr>
                <w:rFonts w:hint="eastAsia" w:ascii="微软雅黑" w:hAnsi="微软雅黑" w:eastAsia="微软雅黑" w:cs="微软雅黑"/>
                <w:color w:val="auto"/>
                <w:szCs w:val="21"/>
                <w:highlight w:val="none"/>
              </w:rPr>
              <w:t>相关类似业绩证明材料</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投标文件内附中标/成交通知书</w:t>
            </w:r>
            <w:r>
              <w:rPr>
                <w:rFonts w:hint="eastAsia" w:ascii="微软雅黑" w:hAnsi="微软雅黑" w:eastAsia="微软雅黑" w:cs="微软雅黑"/>
                <w:color w:val="auto"/>
                <w:szCs w:val="21"/>
                <w:highlight w:val="none"/>
                <w:lang w:eastAsia="zh-CN"/>
              </w:rPr>
              <w:t>、</w:t>
            </w:r>
            <w:r>
              <w:rPr>
                <w:rFonts w:hint="eastAsia" w:ascii="微软雅黑" w:hAnsi="微软雅黑" w:eastAsia="微软雅黑" w:cs="微软雅黑"/>
                <w:color w:val="auto"/>
                <w:szCs w:val="21"/>
                <w:highlight w:val="none"/>
              </w:rPr>
              <w:t>合同</w:t>
            </w:r>
            <w:r>
              <w:rPr>
                <w:rFonts w:hint="eastAsia" w:ascii="微软雅黑" w:hAnsi="微软雅黑" w:eastAsia="微软雅黑" w:cs="微软雅黑"/>
                <w:color w:val="auto"/>
                <w:szCs w:val="21"/>
                <w:highlight w:val="none"/>
                <w:lang w:val="en-US" w:eastAsia="zh-CN"/>
              </w:rPr>
              <w:t>及项目验收证明</w:t>
            </w:r>
            <w:r>
              <w:rPr>
                <w:rFonts w:hint="eastAsia" w:ascii="微软雅黑" w:hAnsi="微软雅黑" w:eastAsia="微软雅黑" w:cs="微软雅黑"/>
                <w:color w:val="auto"/>
                <w:szCs w:val="21"/>
                <w:highlight w:val="none"/>
              </w:rPr>
              <w:t>扫描件，每提供一个得</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分，最高得</w:t>
            </w:r>
            <w:r>
              <w:rPr>
                <w:rFonts w:hint="eastAsia" w:ascii="微软雅黑" w:hAnsi="微软雅黑" w:eastAsia="微软雅黑" w:cs="微软雅黑"/>
                <w:color w:val="auto"/>
                <w:szCs w:val="21"/>
                <w:highlight w:val="none"/>
                <w:lang w:val="en-US" w:eastAsia="zh-CN"/>
              </w:rPr>
              <w:t>4</w:t>
            </w:r>
            <w:r>
              <w:rPr>
                <w:rFonts w:hint="eastAsia" w:ascii="微软雅黑" w:hAnsi="微软雅黑" w:eastAsia="微软雅黑" w:cs="微软雅黑"/>
                <w:color w:val="auto"/>
                <w:szCs w:val="21"/>
                <w:highlight w:val="none"/>
              </w:rPr>
              <w:t>分。</w:t>
            </w:r>
          </w:p>
          <w:p w14:paraId="26916138">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注：①业绩证明材料模糊，无法辨识的，视为无效业绩</w:t>
            </w:r>
            <w:r>
              <w:rPr>
                <w:rFonts w:hint="eastAsia" w:ascii="微软雅黑" w:hAnsi="微软雅黑" w:eastAsia="微软雅黑" w:cs="微软雅黑"/>
                <w:b/>
                <w:bCs/>
                <w:color w:val="auto"/>
                <w:szCs w:val="21"/>
                <w:highlight w:val="none"/>
                <w:lang w:eastAsia="zh-CN"/>
              </w:rPr>
              <w:t>。②</w:t>
            </w:r>
            <w:r>
              <w:rPr>
                <w:rFonts w:hint="eastAsia" w:ascii="微软雅黑" w:hAnsi="微软雅黑" w:eastAsia="微软雅黑" w:cs="微软雅黑"/>
                <w:b/>
                <w:bCs/>
                <w:color w:val="auto"/>
                <w:szCs w:val="21"/>
                <w:highlight w:val="none"/>
              </w:rPr>
              <w:t>投标提供虚假</w:t>
            </w:r>
            <w:r>
              <w:rPr>
                <w:rFonts w:hint="eastAsia" w:ascii="微软雅黑" w:hAnsi="微软雅黑" w:eastAsia="微软雅黑" w:cs="微软雅黑"/>
                <w:b/>
                <w:bCs/>
                <w:color w:val="auto"/>
                <w:szCs w:val="21"/>
                <w:highlight w:val="none"/>
                <w:lang w:val="en-US" w:eastAsia="zh-CN"/>
              </w:rPr>
              <w:t>资料</w:t>
            </w:r>
            <w:r>
              <w:rPr>
                <w:rFonts w:hint="eastAsia" w:ascii="微软雅黑" w:hAnsi="微软雅黑" w:eastAsia="微软雅黑" w:cs="微软雅黑"/>
                <w:b/>
                <w:bCs/>
                <w:color w:val="auto"/>
                <w:szCs w:val="21"/>
                <w:highlight w:val="none"/>
              </w:rPr>
              <w:t>的，按</w:t>
            </w:r>
            <w:r>
              <w:rPr>
                <w:rFonts w:hint="eastAsia" w:ascii="微软雅黑" w:hAnsi="微软雅黑" w:eastAsia="微软雅黑" w:cs="微软雅黑"/>
                <w:b/>
                <w:bCs/>
                <w:color w:val="auto"/>
                <w:szCs w:val="21"/>
                <w:highlight w:val="none"/>
                <w:lang w:val="en-US" w:eastAsia="zh-CN"/>
              </w:rPr>
              <w:t>投标</w:t>
            </w:r>
            <w:r>
              <w:rPr>
                <w:rFonts w:hint="eastAsia" w:ascii="微软雅黑" w:hAnsi="微软雅黑" w:eastAsia="微软雅黑" w:cs="微软雅黑"/>
                <w:b/>
                <w:bCs/>
                <w:color w:val="auto"/>
                <w:szCs w:val="21"/>
                <w:highlight w:val="none"/>
              </w:rPr>
              <w:t>无效处理。③</w:t>
            </w:r>
            <w:r>
              <w:rPr>
                <w:rFonts w:hint="eastAsia" w:ascii="微软雅黑" w:hAnsi="微软雅黑" w:eastAsia="微软雅黑" w:cs="微软雅黑"/>
                <w:b/>
                <w:bCs/>
                <w:color w:val="auto"/>
                <w:szCs w:val="21"/>
                <w:highlight w:val="none"/>
                <w:lang w:val="en-US" w:eastAsia="zh-CN"/>
              </w:rPr>
              <w:t>合同内容：项目名称、</w:t>
            </w:r>
            <w:r>
              <w:rPr>
                <w:rFonts w:hint="eastAsia" w:ascii="微软雅黑" w:hAnsi="微软雅黑" w:eastAsia="微软雅黑" w:cs="微软雅黑"/>
                <w:b/>
                <w:bCs/>
                <w:color w:val="auto"/>
                <w:szCs w:val="21"/>
                <w:highlight w:val="none"/>
              </w:rPr>
              <w:t>货物内容信息、合同金额、</w:t>
            </w:r>
            <w:r>
              <w:rPr>
                <w:rFonts w:hint="eastAsia" w:ascii="微软雅黑" w:hAnsi="微软雅黑" w:eastAsia="微软雅黑" w:cs="微软雅黑"/>
                <w:b/>
                <w:bCs/>
                <w:color w:val="auto"/>
                <w:szCs w:val="21"/>
                <w:highlight w:val="none"/>
                <w:lang w:val="en-US" w:eastAsia="zh-CN"/>
              </w:rPr>
              <w:t>甲乙双方</w:t>
            </w:r>
            <w:r>
              <w:rPr>
                <w:rFonts w:hint="eastAsia" w:ascii="微软雅黑" w:hAnsi="微软雅黑" w:eastAsia="微软雅黑" w:cs="微软雅黑"/>
                <w:b/>
                <w:bCs/>
                <w:color w:val="auto"/>
                <w:szCs w:val="21"/>
                <w:highlight w:val="none"/>
              </w:rPr>
              <w:t>签字盖章</w:t>
            </w:r>
            <w:r>
              <w:rPr>
                <w:rFonts w:hint="eastAsia" w:ascii="微软雅黑" w:hAnsi="微软雅黑" w:eastAsia="微软雅黑" w:cs="微软雅黑"/>
                <w:b/>
                <w:bCs/>
                <w:color w:val="auto"/>
                <w:szCs w:val="21"/>
                <w:highlight w:val="none"/>
                <w:lang w:eastAsia="zh-CN"/>
              </w:rPr>
              <w:t>、</w:t>
            </w:r>
            <w:r>
              <w:rPr>
                <w:rFonts w:hint="eastAsia" w:ascii="微软雅黑" w:hAnsi="微软雅黑" w:eastAsia="微软雅黑" w:cs="微软雅黑"/>
                <w:b/>
                <w:bCs/>
                <w:color w:val="auto"/>
                <w:szCs w:val="21"/>
                <w:highlight w:val="none"/>
                <w:lang w:val="en-US" w:eastAsia="zh-CN"/>
              </w:rPr>
              <w:t>合同签订时间，若无以上内容，视为无效业绩</w:t>
            </w:r>
            <w:r>
              <w:rPr>
                <w:rFonts w:hint="eastAsia" w:ascii="微软雅黑" w:hAnsi="微软雅黑" w:eastAsia="微软雅黑" w:cs="微软雅黑"/>
                <w:b/>
                <w:bCs/>
                <w:color w:val="auto"/>
                <w:szCs w:val="21"/>
                <w:highlight w:val="none"/>
              </w:rPr>
              <w:t>。</w:t>
            </w:r>
          </w:p>
        </w:tc>
        <w:tc>
          <w:tcPr>
            <w:tcW w:w="1064" w:type="dxa"/>
            <w:vMerge w:val="restart"/>
            <w:noWrap w:val="0"/>
            <w:vAlign w:val="center"/>
          </w:tcPr>
          <w:p w14:paraId="07BEBB9A">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4FC8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97" w:type="dxa"/>
            <w:vMerge w:val="continue"/>
            <w:noWrap w:val="0"/>
            <w:vAlign w:val="center"/>
          </w:tcPr>
          <w:p w14:paraId="6A17F11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829" w:type="dxa"/>
            <w:vMerge w:val="continue"/>
            <w:noWrap w:val="0"/>
            <w:vAlign w:val="center"/>
          </w:tcPr>
          <w:p w14:paraId="170417EB">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174ACA9F">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6424" w:type="dxa"/>
            <w:noWrap w:val="0"/>
            <w:vAlign w:val="top"/>
          </w:tcPr>
          <w:p w14:paraId="0296213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质量</w:t>
            </w:r>
            <w:r>
              <w:rPr>
                <w:rFonts w:hint="eastAsia" w:ascii="微软雅黑" w:hAnsi="微软雅黑" w:eastAsia="微软雅黑" w:cs="微软雅黑"/>
                <w:b/>
                <w:bCs/>
                <w:color w:val="auto"/>
                <w:szCs w:val="21"/>
                <w:highlight w:val="none"/>
                <w:lang w:val="en-US" w:eastAsia="zh-CN"/>
              </w:rPr>
              <w:t>保障</w:t>
            </w:r>
            <w:r>
              <w:rPr>
                <w:rFonts w:hint="eastAsia" w:ascii="微软雅黑" w:hAnsi="微软雅黑" w:eastAsia="微软雅黑" w:cs="微软雅黑"/>
                <w:b/>
                <w:bCs/>
                <w:color w:val="auto"/>
                <w:szCs w:val="21"/>
                <w:highlight w:val="none"/>
              </w:rPr>
              <w:t>：</w:t>
            </w:r>
            <w:r>
              <w:rPr>
                <w:rFonts w:hint="eastAsia" w:ascii="微软雅黑" w:hAnsi="微软雅黑" w:eastAsia="微软雅黑" w:cs="微软雅黑"/>
                <w:color w:val="auto"/>
                <w:szCs w:val="21"/>
                <w:highlight w:val="none"/>
                <w:lang w:val="en-US" w:eastAsia="zh-CN"/>
              </w:rPr>
              <w:t>根据投标人提供的质量保证及售后服务承诺进行综合评分：</w:t>
            </w:r>
          </w:p>
          <w:p w14:paraId="611228F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①</w:t>
            </w:r>
            <w:r>
              <w:rPr>
                <w:rFonts w:hint="eastAsia" w:ascii="微软雅黑" w:hAnsi="微软雅黑" w:eastAsia="微软雅黑" w:cs="微软雅黑"/>
                <w:color w:val="auto"/>
                <w:szCs w:val="21"/>
                <w:highlight w:val="none"/>
              </w:rPr>
              <w:t>投标人承诺若非采购人原因造成合同无法履行，自愿承担相应违约责任的得</w:t>
            </w:r>
            <w:r>
              <w:rPr>
                <w:rFonts w:hint="eastAsia" w:ascii="微软雅黑" w:hAnsi="微软雅黑" w:eastAsia="微软雅黑" w:cs="微软雅黑"/>
                <w:color w:val="auto"/>
                <w:szCs w:val="21"/>
                <w:highlight w:val="none"/>
                <w:lang w:val="en-US" w:eastAsia="zh-CN"/>
              </w:rPr>
              <w:t>1</w:t>
            </w:r>
            <w:r>
              <w:rPr>
                <w:rFonts w:hint="eastAsia" w:ascii="微软雅黑" w:hAnsi="微软雅黑" w:eastAsia="微软雅黑" w:cs="微软雅黑"/>
                <w:color w:val="auto"/>
                <w:szCs w:val="21"/>
                <w:highlight w:val="none"/>
              </w:rPr>
              <w:t>分；</w:t>
            </w:r>
          </w:p>
          <w:p w14:paraId="3E12E82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②</w:t>
            </w:r>
            <w:r>
              <w:rPr>
                <w:rFonts w:hint="eastAsia" w:ascii="微软雅黑" w:hAnsi="微软雅黑" w:eastAsia="微软雅黑" w:cs="微软雅黑"/>
                <w:color w:val="auto"/>
                <w:szCs w:val="21"/>
                <w:highlight w:val="none"/>
              </w:rPr>
              <w:t>满足招标文件规定的基础质保期要求，在此基础上每延长1年质保期加1分，最多得</w:t>
            </w:r>
            <w:r>
              <w:rPr>
                <w:rFonts w:hint="eastAsia" w:ascii="微软雅黑" w:hAnsi="微软雅黑" w:eastAsia="微软雅黑" w:cs="微软雅黑"/>
                <w:color w:val="auto"/>
                <w:szCs w:val="21"/>
                <w:highlight w:val="none"/>
                <w:lang w:val="en-US" w:eastAsia="zh-CN"/>
              </w:rPr>
              <w:t>2</w:t>
            </w:r>
            <w:r>
              <w:rPr>
                <w:rFonts w:hint="eastAsia" w:ascii="微软雅黑" w:hAnsi="微软雅黑" w:eastAsia="微软雅黑" w:cs="微软雅黑"/>
                <w:color w:val="auto"/>
                <w:szCs w:val="21"/>
                <w:highlight w:val="none"/>
              </w:rPr>
              <w:t>分，未提供相关承诺的不得分。</w:t>
            </w:r>
          </w:p>
          <w:p w14:paraId="4E55217E">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szCs w:val="21"/>
                <w:highlight w:val="none"/>
                <w:lang w:val="en-US" w:eastAsia="zh-CN"/>
              </w:rPr>
              <w:t>注：上述承诺格式自拟，须加盖投标人公章。</w:t>
            </w:r>
          </w:p>
        </w:tc>
        <w:tc>
          <w:tcPr>
            <w:tcW w:w="1064" w:type="dxa"/>
            <w:vMerge w:val="continue"/>
            <w:noWrap w:val="0"/>
            <w:vAlign w:val="center"/>
          </w:tcPr>
          <w:p w14:paraId="4DA38414">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p>
        </w:tc>
      </w:tr>
      <w:tr w14:paraId="03D1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restart"/>
            <w:noWrap w:val="0"/>
            <w:vAlign w:val="center"/>
          </w:tcPr>
          <w:p w14:paraId="68CB4F90">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3</w:t>
            </w:r>
          </w:p>
        </w:tc>
        <w:tc>
          <w:tcPr>
            <w:tcW w:w="829" w:type="dxa"/>
            <w:vMerge w:val="restart"/>
            <w:noWrap w:val="0"/>
            <w:vAlign w:val="center"/>
          </w:tcPr>
          <w:p w14:paraId="09EB2B63">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技术评分标准</w:t>
            </w:r>
          </w:p>
        </w:tc>
        <w:tc>
          <w:tcPr>
            <w:tcW w:w="659" w:type="dxa"/>
            <w:noWrap w:val="0"/>
            <w:vAlign w:val="center"/>
          </w:tcPr>
          <w:p w14:paraId="1541549E">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35</w:t>
            </w:r>
          </w:p>
        </w:tc>
        <w:tc>
          <w:tcPr>
            <w:tcW w:w="6424" w:type="dxa"/>
            <w:noWrap w:val="0"/>
            <w:vAlign w:val="top"/>
          </w:tcPr>
          <w:p w14:paraId="677D338B">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Cs w:val="21"/>
                <w:highlight w:val="red"/>
                <w:lang w:val="en-US" w:eastAsia="zh-CN"/>
              </w:rPr>
            </w:pPr>
            <w:r>
              <w:rPr>
                <w:rFonts w:hint="eastAsia" w:ascii="微软雅黑" w:hAnsi="微软雅黑" w:eastAsia="微软雅黑" w:cs="微软雅黑"/>
                <w:b/>
                <w:bCs/>
                <w:color w:val="auto"/>
                <w:szCs w:val="21"/>
                <w:highlight w:val="red"/>
              </w:rPr>
              <w:t>技术参数：</w:t>
            </w:r>
            <w:r>
              <w:rPr>
                <w:rFonts w:hint="eastAsia" w:ascii="微软雅黑" w:hAnsi="微软雅黑" w:eastAsia="微软雅黑" w:cs="微软雅黑"/>
                <w:b w:val="0"/>
                <w:bCs w:val="0"/>
                <w:color w:val="auto"/>
                <w:szCs w:val="21"/>
                <w:highlight w:val="red"/>
              </w:rPr>
              <w:t>根据投标人所投产品的配置、性能、技术指标及参数响应情况进行评分：</w:t>
            </w:r>
            <w:r>
              <w:rPr>
                <w:rFonts w:hint="eastAsia" w:ascii="微软雅黑" w:hAnsi="微软雅黑" w:eastAsia="微软雅黑" w:cs="微软雅黑"/>
                <w:b w:val="0"/>
                <w:bCs w:val="0"/>
                <w:color w:val="auto"/>
                <w:kern w:val="0"/>
                <w:szCs w:val="21"/>
                <w:highlight w:val="red"/>
                <w:lang w:val="en-US" w:eastAsia="zh-CN"/>
              </w:rPr>
              <w:t>完全满足招标要求的得35分；“</w:t>
            </w:r>
            <w:r>
              <w:rPr>
                <w:rFonts w:hint="eastAsia" w:ascii="宋体" w:hAnsi="宋体" w:eastAsia="宋体" w:cs="宋体"/>
                <w:i w:val="0"/>
                <w:iCs w:val="0"/>
                <w:color w:val="auto"/>
                <w:kern w:val="0"/>
                <w:sz w:val="22"/>
                <w:szCs w:val="22"/>
                <w:highlight w:val="red"/>
                <w:u w:val="none"/>
                <w:lang w:val="en-US" w:eastAsia="zh-CN" w:bidi="ar"/>
              </w:rPr>
              <w:t>▲</w:t>
            </w:r>
            <w:r>
              <w:rPr>
                <w:rFonts w:hint="eastAsia" w:ascii="微软雅黑" w:hAnsi="微软雅黑" w:eastAsia="微软雅黑" w:cs="微软雅黑"/>
                <w:b w:val="0"/>
                <w:bCs w:val="0"/>
                <w:color w:val="auto"/>
                <w:kern w:val="0"/>
                <w:szCs w:val="21"/>
                <w:highlight w:val="red"/>
                <w:lang w:val="en-US" w:eastAsia="zh-CN"/>
              </w:rPr>
              <w:t>”为重要指标，负偏离扣2分，直至扣完为止；一般技术参数每有一项负偏离扣0.5分，直至扣完为止。</w:t>
            </w:r>
          </w:p>
          <w:p w14:paraId="3A26CE6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bCs/>
                <w:color w:val="auto"/>
                <w:szCs w:val="21"/>
                <w:highlight w:val="none"/>
                <w:lang w:val="en-US" w:eastAsia="zh-CN"/>
              </w:rPr>
              <w:t>注：评审以技术偏离表及采购需求为依据，①投标供应商需按标“▲”参数所列要求，提交相应证明材料予以佐证。②证明材料模糊，无法辨识的，视为无效资料。③证明材料：产品说明书或带有CMA或CNAS标识的第三方检测报告。④若未提供有效证明材料则该参数将被视为负偏离。供应商如提供虚假材料或虚假参数，一经查实，作废标处理；已中标的，取消其中标资格，并按相关规定处理。</w:t>
            </w:r>
          </w:p>
        </w:tc>
        <w:tc>
          <w:tcPr>
            <w:tcW w:w="1064" w:type="dxa"/>
            <w:noWrap w:val="0"/>
            <w:vAlign w:val="center"/>
          </w:tcPr>
          <w:p w14:paraId="02FE4564">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b/>
                <w:bCs/>
                <w:color w:val="auto"/>
                <w:szCs w:val="21"/>
                <w:highlight w:val="none"/>
              </w:rPr>
              <w:t>根据需求提供必要的证明资料</w:t>
            </w:r>
          </w:p>
        </w:tc>
      </w:tr>
      <w:tr w14:paraId="44BC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97" w:type="dxa"/>
            <w:vMerge w:val="continue"/>
            <w:noWrap w:val="0"/>
            <w:vAlign w:val="center"/>
          </w:tcPr>
          <w:p w14:paraId="2BD6CD9B">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05ADD10A">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35F11658">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13</w:t>
            </w:r>
          </w:p>
        </w:tc>
        <w:tc>
          <w:tcPr>
            <w:tcW w:w="6424" w:type="dxa"/>
            <w:noWrap w:val="0"/>
            <w:vAlign w:val="top"/>
          </w:tcPr>
          <w:p w14:paraId="3294858C">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功能演示：（13分）</w:t>
            </w:r>
          </w:p>
          <w:p w14:paraId="1F199B8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聚焦AI教学空间、未来教师赋能中心、数字资源制作中心三大空间的功能应用，展示课堂教学、教研实训、课程录制、在线互动、督导巡课、资源管理等核心业务场景，具体如下：</w:t>
            </w:r>
          </w:p>
          <w:p w14:paraId="5C218A92">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1.LED大屏/触控终端正常显示，课件投屏、多画面切换流畅无延迟，适配课堂教学需求，满足要求</w:t>
            </w:r>
            <w:r>
              <w:rPr>
                <w:rFonts w:hint="eastAsia" w:ascii="微软雅黑" w:hAnsi="微软雅黑" w:eastAsia="微软雅黑" w:cs="微软雅黑"/>
                <w:b w:val="0"/>
                <w:bCs w:val="0"/>
                <w:color w:val="auto"/>
                <w:kern w:val="0"/>
                <w:sz w:val="21"/>
                <w:szCs w:val="21"/>
                <w:highlight w:val="red"/>
                <w:lang w:val="en-US" w:eastAsia="zh-CN"/>
              </w:rPr>
              <w:t>得1.5分</w:t>
            </w:r>
            <w:r>
              <w:rPr>
                <w:rFonts w:hint="eastAsia"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6D9A51D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2.支持双机位自动录制，可实现教师/学生画面自动切换，录制音画同步、无卡顿、无杂音，满足要求得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1F7025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3.支持一键开播，推流稳定、画面清晰，可支持外部终端实时观看，</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543C0CC">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default" w:ascii="微软雅黑" w:hAnsi="微软雅黑" w:eastAsia="微软雅黑" w:cs="微软雅黑"/>
                <w:b w:val="0"/>
                <w:bCs w:val="0"/>
                <w:color w:val="auto"/>
                <w:kern w:val="0"/>
                <w:sz w:val="21"/>
                <w:szCs w:val="21"/>
                <w:highlight w:val="none"/>
                <w:lang w:val="en-US" w:eastAsia="zh-CN"/>
              </w:rPr>
            </w:pPr>
            <w:r>
              <w:rPr>
                <w:rFonts w:hint="default" w:ascii="微软雅黑" w:hAnsi="微软雅黑" w:eastAsia="微软雅黑" w:cs="微软雅黑"/>
                <w:b w:val="0"/>
                <w:bCs w:val="0"/>
                <w:color w:val="auto"/>
                <w:kern w:val="0"/>
                <w:sz w:val="21"/>
                <w:szCs w:val="21"/>
                <w:highlight w:val="none"/>
                <w:lang w:val="en-US" w:eastAsia="zh-CN"/>
              </w:rPr>
              <w:t>4.举手响应、实时答题、投屏互动、弹幕互动功能正常，响应及时，满足要求</w:t>
            </w:r>
            <w:r>
              <w:rPr>
                <w:rFonts w:hint="default" w:ascii="微软雅黑" w:hAnsi="微软雅黑" w:eastAsia="微软雅黑" w:cs="微软雅黑"/>
                <w:b w:val="0"/>
                <w:bCs w:val="0"/>
                <w:color w:val="auto"/>
                <w:kern w:val="0"/>
                <w:sz w:val="21"/>
                <w:szCs w:val="21"/>
                <w:highlight w:val="red"/>
                <w:lang w:val="en-US" w:eastAsia="zh-CN"/>
              </w:rPr>
              <w:t>得1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56DDFF61">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5.实时巡课、多画面监看、远程督导功能流畅可用，操作便捷，</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7A727C37">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6.支持语音转文字、课堂自动摘要、知识点提取、教学行为分析功能，满足要求得</w:t>
            </w:r>
            <w:r>
              <w:rPr>
                <w:rFonts w:hint="eastAsia" w:ascii="微软雅黑" w:hAnsi="微软雅黑" w:eastAsia="微软雅黑" w:cs="微软雅黑"/>
                <w:b w:val="0"/>
                <w:bCs w:val="0"/>
                <w:color w:val="auto"/>
                <w:kern w:val="0"/>
                <w:sz w:val="21"/>
                <w:szCs w:val="21"/>
                <w:highlight w:val="red"/>
                <w:lang w:val="en-US" w:eastAsia="zh-CN"/>
              </w:rPr>
              <w:t>1.5分</w:t>
            </w:r>
            <w:r>
              <w:rPr>
                <w:rFonts w:hint="eastAsia" w:ascii="微软雅黑" w:hAnsi="微软雅黑" w:eastAsia="微软雅黑" w:cs="微软雅黑"/>
                <w:b w:val="0"/>
                <w:bCs w:val="0"/>
                <w:color w:val="auto"/>
                <w:kern w:val="0"/>
                <w:sz w:val="21"/>
                <w:szCs w:val="21"/>
                <w:highlight w:val="none"/>
                <w:lang w:val="en-US" w:eastAsia="zh-CN"/>
              </w:rPr>
              <w:t>，演示内容一般得</w:t>
            </w:r>
            <w:r>
              <w:rPr>
                <w:rFonts w:hint="eastAsia" w:ascii="微软雅黑" w:hAnsi="微软雅黑" w:eastAsia="微软雅黑" w:cs="微软雅黑"/>
                <w:b w:val="0"/>
                <w:bCs w:val="0"/>
                <w:color w:val="auto"/>
                <w:kern w:val="0"/>
                <w:sz w:val="21"/>
                <w:szCs w:val="21"/>
                <w:highlight w:val="red"/>
                <w:lang w:val="en-US" w:eastAsia="zh-CN"/>
              </w:rPr>
              <w:t>1分</w:t>
            </w:r>
            <w:r>
              <w:rPr>
                <w:rFonts w:hint="eastAsia" w:ascii="微软雅黑" w:hAnsi="微软雅黑" w:eastAsia="微软雅黑" w:cs="微软雅黑"/>
                <w:b w:val="0"/>
                <w:bCs w:val="0"/>
                <w:color w:val="auto"/>
                <w:kern w:val="0"/>
                <w:sz w:val="21"/>
                <w:szCs w:val="21"/>
                <w:highlight w:val="none"/>
                <w:lang w:val="en-US" w:eastAsia="zh-CN"/>
              </w:rPr>
              <w:t>，不提供演示不得分。</w:t>
            </w:r>
          </w:p>
          <w:p w14:paraId="49EDDA89">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7.支持一键进入录制模式，灯光、音频、摄像机可自动就绪，</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0ADF927D">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8.支持绿幕抠像，可实现人像叠加PPT，画面无闪烁、无边缘毛刺，合成效果自然，</w:t>
            </w:r>
            <w:r>
              <w:rPr>
                <w:rFonts w:hint="default" w:ascii="微软雅黑" w:hAnsi="微软雅黑" w:eastAsia="微软雅黑" w:cs="微软雅黑"/>
                <w:b w:val="0"/>
                <w:bCs w:val="0"/>
                <w:color w:val="auto"/>
                <w:kern w:val="0"/>
                <w:sz w:val="21"/>
                <w:szCs w:val="21"/>
                <w:highlight w:val="none"/>
                <w:lang w:val="en-US" w:eastAsia="zh-CN"/>
              </w:rPr>
              <w:t>满足要求得</w:t>
            </w:r>
            <w:r>
              <w:rPr>
                <w:rFonts w:hint="default" w:ascii="微软雅黑" w:hAnsi="微软雅黑" w:eastAsia="微软雅黑" w:cs="微软雅黑"/>
                <w:b w:val="0"/>
                <w:bCs w:val="0"/>
                <w:color w:val="auto"/>
                <w:kern w:val="0"/>
                <w:sz w:val="21"/>
                <w:szCs w:val="21"/>
                <w:highlight w:val="red"/>
                <w:lang w:val="en-US" w:eastAsia="zh-CN"/>
              </w:rPr>
              <w:t>1</w:t>
            </w:r>
            <w:r>
              <w:rPr>
                <w:rFonts w:hint="eastAsia" w:ascii="微软雅黑" w:hAnsi="微软雅黑" w:eastAsia="微软雅黑" w:cs="微软雅黑"/>
                <w:b w:val="0"/>
                <w:bCs w:val="0"/>
                <w:color w:val="auto"/>
                <w:kern w:val="0"/>
                <w:sz w:val="21"/>
                <w:szCs w:val="21"/>
                <w:highlight w:val="red"/>
                <w:lang w:val="en-US" w:eastAsia="zh-CN"/>
              </w:rPr>
              <w:t>.5</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w:t>
            </w:r>
            <w:r>
              <w:rPr>
                <w:rFonts w:hint="eastAsia" w:ascii="微软雅黑" w:hAnsi="微软雅黑" w:eastAsia="微软雅黑" w:cs="微软雅黑"/>
                <w:b w:val="0"/>
                <w:bCs w:val="0"/>
                <w:color w:val="auto"/>
                <w:kern w:val="0"/>
                <w:sz w:val="21"/>
                <w:szCs w:val="21"/>
                <w:highlight w:val="red"/>
                <w:lang w:val="en-US" w:eastAsia="zh-CN"/>
              </w:rPr>
              <w:t>1</w:t>
            </w:r>
            <w:r>
              <w:rPr>
                <w:rFonts w:hint="default" w:ascii="微软雅黑" w:hAnsi="微软雅黑" w:eastAsia="微软雅黑" w:cs="微软雅黑"/>
                <w:b w:val="0"/>
                <w:bCs w:val="0"/>
                <w:color w:val="auto"/>
                <w:kern w:val="0"/>
                <w:sz w:val="21"/>
                <w:szCs w:val="21"/>
                <w:highlight w:val="red"/>
                <w:lang w:val="en-US" w:eastAsia="zh-CN"/>
              </w:rPr>
              <w:t>分</w:t>
            </w:r>
            <w:r>
              <w:rPr>
                <w:rFonts w:hint="default" w:ascii="微软雅黑" w:hAnsi="微软雅黑" w:eastAsia="微软雅黑" w:cs="微软雅黑"/>
                <w:b w:val="0"/>
                <w:bCs w:val="0"/>
                <w:color w:val="auto"/>
                <w:kern w:val="0"/>
                <w:sz w:val="21"/>
                <w:szCs w:val="21"/>
                <w:highlight w:val="none"/>
                <w:lang w:val="en-US" w:eastAsia="zh-CN"/>
              </w:rPr>
              <w:t>，不提供演示不得分。</w:t>
            </w:r>
          </w:p>
          <w:p w14:paraId="1E7AA263">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val="0"/>
                <w:bCs w:val="0"/>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9.支持自动合成、一键导出成片，导出速度合理、成片效果达标，</w:t>
            </w:r>
            <w:r>
              <w:rPr>
                <w:rFonts w:hint="default" w:ascii="微软雅黑" w:hAnsi="微软雅黑" w:eastAsia="微软雅黑" w:cs="微软雅黑"/>
                <w:b w:val="0"/>
                <w:bCs w:val="0"/>
                <w:color w:val="auto"/>
                <w:kern w:val="0"/>
                <w:sz w:val="21"/>
                <w:szCs w:val="21"/>
                <w:highlight w:val="none"/>
                <w:lang w:val="en-US" w:eastAsia="zh-CN"/>
              </w:rPr>
              <w:t>满足要求得1分，</w:t>
            </w:r>
            <w:r>
              <w:rPr>
                <w:rFonts w:hint="eastAsia" w:ascii="微软雅黑" w:hAnsi="微软雅黑" w:eastAsia="微软雅黑" w:cs="微软雅黑"/>
                <w:color w:val="auto"/>
                <w:sz w:val="21"/>
                <w:szCs w:val="21"/>
                <w:highlight w:val="none"/>
              </w:rPr>
              <w:t>演示内容略有瑕疵，但不影响产品的整体功能的使用</w:t>
            </w:r>
            <w:r>
              <w:rPr>
                <w:rFonts w:hint="default" w:ascii="微软雅黑" w:hAnsi="微软雅黑" w:eastAsia="微软雅黑" w:cs="微软雅黑"/>
                <w:b w:val="0"/>
                <w:bCs w:val="0"/>
                <w:color w:val="auto"/>
                <w:kern w:val="0"/>
                <w:sz w:val="21"/>
                <w:szCs w:val="21"/>
                <w:highlight w:val="none"/>
                <w:lang w:val="en-US" w:eastAsia="zh-CN"/>
              </w:rPr>
              <w:t>得0.5分，不提供演示不得分。</w:t>
            </w:r>
          </w:p>
          <w:p w14:paraId="005DE832">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注：①演示过程中评委进行提问，演示人员需要进行现场回答。每个投标人的演示时间不超过20分钟。</w:t>
            </w:r>
          </w:p>
          <w:p w14:paraId="5086F3F8">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②投标人需提前做好演示视频(政采云线上视频会议或者腾讯会议)的准备，自行考虑演示内容及设备，演示内容不成功或未按照演示要求进行演示或不符合招标文件要求的对应项不得分。</w:t>
            </w:r>
          </w:p>
          <w:p w14:paraId="70ABEC4C">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eastAsia" w:ascii="微软雅黑" w:hAnsi="微软雅黑" w:eastAsia="微软雅黑" w:cs="微软雅黑"/>
                <w:b/>
                <w:bCs/>
                <w:snapToGrid/>
                <w:color w:val="auto"/>
                <w:kern w:val="0"/>
                <w:sz w:val="21"/>
                <w:szCs w:val="21"/>
                <w:highlight w:val="none"/>
                <w:lang w:val="en-US" w:eastAsia="zh-CN" w:bidi="ar-SA"/>
              </w:rPr>
            </w:pPr>
            <w:r>
              <w:rPr>
                <w:rFonts w:hint="eastAsia" w:ascii="微软雅黑" w:hAnsi="微软雅黑" w:eastAsia="微软雅黑" w:cs="微软雅黑"/>
                <w:b/>
                <w:bCs/>
                <w:snapToGrid/>
                <w:color w:val="auto"/>
                <w:kern w:val="0"/>
                <w:sz w:val="21"/>
                <w:szCs w:val="21"/>
                <w:highlight w:val="none"/>
                <w:lang w:val="en-US" w:eastAsia="zh-CN" w:bidi="ar-SA"/>
              </w:rPr>
              <w:t>③在评标过程中投标人应保持联络畅通并作好随时进行演示的准备，超过5分钟未进入演示状态的取消演示资格。投标人应提前熟悉软件功能演示过程及熟练讲解，因自身原因造成超时的，后果由投标人自行承担。</w:t>
            </w:r>
          </w:p>
          <w:p w14:paraId="236F4CDE">
            <w:pPr>
              <w:pStyle w:val="121"/>
              <w:keepNext w:val="0"/>
              <w:keepLines w:val="0"/>
              <w:pageBreakBefore w:val="0"/>
              <w:widowControl/>
              <w:kinsoku/>
              <w:wordWrap/>
              <w:overflowPunct/>
              <w:topLinePunct w:val="0"/>
              <w:autoSpaceDE/>
              <w:autoSpaceDN/>
              <w:bidi w:val="0"/>
              <w:adjustRightInd w:val="0"/>
              <w:snapToGrid w:val="0"/>
              <w:spacing w:before="0" w:after="0" w:line="240" w:lineRule="auto"/>
              <w:jc w:val="left"/>
              <w:textAlignment w:val="baseline"/>
              <w:rPr>
                <w:rFonts w:hint="default"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snapToGrid/>
                <w:color w:val="auto"/>
                <w:kern w:val="0"/>
                <w:sz w:val="21"/>
                <w:szCs w:val="21"/>
                <w:highlight w:val="none"/>
                <w:lang w:val="en-US" w:eastAsia="zh-CN" w:bidi="ar-SA"/>
              </w:rPr>
              <w:t>④采用PPT方式、图片及DEMO演示无效。</w:t>
            </w:r>
          </w:p>
        </w:tc>
        <w:tc>
          <w:tcPr>
            <w:tcW w:w="1064" w:type="dxa"/>
            <w:noWrap w:val="0"/>
            <w:vAlign w:val="center"/>
          </w:tcPr>
          <w:p w14:paraId="0783E28A">
            <w:pPr>
              <w:keepNext w:val="0"/>
              <w:keepLines w:val="0"/>
              <w:pageBreakBefore w:val="0"/>
              <w:widowControl w:val="0"/>
              <w:kinsoku/>
              <w:wordWrap w:val="0"/>
              <w:overflowPunct/>
              <w:topLinePunct w:val="0"/>
              <w:autoSpaceDE/>
              <w:autoSpaceDN/>
              <w:bidi w:val="0"/>
              <w:adjustRightInd w:val="0"/>
              <w:snapToGrid w:val="0"/>
              <w:spacing w:line="240" w:lineRule="auto"/>
              <w:ind w:firstLine="0"/>
              <w:jc w:val="both"/>
              <w:textAlignment w:val="auto"/>
              <w:rPr>
                <w:rFonts w:hint="eastAsia" w:ascii="微软雅黑" w:hAnsi="微软雅黑" w:eastAsia="微软雅黑" w:cs="微软雅黑"/>
                <w:b/>
                <w:bCs/>
                <w:color w:val="auto"/>
                <w:szCs w:val="21"/>
                <w:highlight w:val="none"/>
              </w:rPr>
            </w:pPr>
          </w:p>
        </w:tc>
      </w:tr>
      <w:tr w14:paraId="15E4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797" w:type="dxa"/>
            <w:vMerge w:val="continue"/>
            <w:noWrap w:val="0"/>
            <w:vAlign w:val="center"/>
          </w:tcPr>
          <w:p w14:paraId="5375F2A3">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5FEB2AA3">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noWrap w:val="0"/>
            <w:vAlign w:val="center"/>
          </w:tcPr>
          <w:p w14:paraId="4526E5AE">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6</w:t>
            </w:r>
          </w:p>
        </w:tc>
        <w:tc>
          <w:tcPr>
            <w:tcW w:w="6424" w:type="dxa"/>
            <w:noWrap w:val="0"/>
            <w:vAlign w:val="top"/>
          </w:tcPr>
          <w:p w14:paraId="55BE41D7">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szCs w:val="21"/>
                <w:highlight w:val="none"/>
                <w:lang w:val="en-US" w:eastAsia="zh-CN"/>
              </w:rPr>
              <w:t>实施方案：</w:t>
            </w:r>
            <w:r>
              <w:rPr>
                <w:rFonts w:hint="eastAsia" w:ascii="微软雅黑" w:hAnsi="微软雅黑" w:eastAsia="微软雅黑" w:cs="微软雅黑"/>
                <w:b w:val="0"/>
                <w:bCs w:val="0"/>
                <w:color w:val="auto"/>
                <w:kern w:val="0"/>
                <w:szCs w:val="21"/>
                <w:highlight w:val="none"/>
                <w:lang w:val="en-US" w:eastAsia="zh-CN"/>
              </w:rPr>
              <w:t>根据投标人提供的组织实施方案进行综合评分，实施方案需紧密结合本项目采购需求，全面涵盖以下核心内容：</w:t>
            </w:r>
          </w:p>
          <w:p w14:paraId="767EED9D">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1.内容全面：</w:t>
            </w:r>
            <w:r>
              <w:rPr>
                <w:rFonts w:hint="eastAsia" w:ascii="微软雅黑" w:hAnsi="微软雅黑" w:eastAsia="微软雅黑" w:cs="微软雅黑"/>
                <w:b w:val="0"/>
                <w:bCs w:val="0"/>
                <w:color w:val="auto"/>
                <w:kern w:val="0"/>
                <w:szCs w:val="21"/>
                <w:highlight w:val="none"/>
                <w:lang w:val="en-US" w:eastAsia="zh-CN"/>
              </w:rPr>
              <w:t>明确数智化教室技术架构与性能，结合3间教室需求确定硬件、软件及系统集成方案，体现架构优势；明确存储资源配置，实现教学数据等高效存储管理；明确全功能部署方案，确保核心功能及本地化部署落地；覆盖全流程服务内容，明确责任主体，保障项目稳定运行。</w:t>
            </w:r>
          </w:p>
          <w:p w14:paraId="6A0A67B0">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2.范围明确：</w:t>
            </w:r>
            <w:r>
              <w:rPr>
                <w:rFonts w:hint="eastAsia" w:ascii="微软雅黑" w:hAnsi="微软雅黑" w:eastAsia="微软雅黑" w:cs="微软雅黑"/>
                <w:b w:val="0"/>
                <w:bCs w:val="0"/>
                <w:color w:val="auto"/>
                <w:kern w:val="0"/>
                <w:szCs w:val="21"/>
                <w:highlight w:val="none"/>
                <w:lang w:val="en-US" w:eastAsia="zh-CN"/>
              </w:rPr>
              <w:t>阐述3间教室建设范围、规格、步骤、流程及适配方案，明确后期扩容和升级预留空间，满足长期使用需求，契合核心诉求。</w:t>
            </w:r>
          </w:p>
          <w:p w14:paraId="535F80B6">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3.系统连续性：</w:t>
            </w:r>
            <w:r>
              <w:rPr>
                <w:rFonts w:hint="eastAsia" w:ascii="微软雅黑" w:hAnsi="微软雅黑" w:eastAsia="微软雅黑" w:cs="微软雅黑"/>
                <w:b w:val="0"/>
                <w:bCs w:val="0"/>
                <w:color w:val="auto"/>
                <w:kern w:val="0"/>
                <w:szCs w:val="21"/>
                <w:highlight w:val="none"/>
                <w:lang w:val="en-US" w:eastAsia="zh-CN"/>
              </w:rPr>
              <w:t>建立服务保障备份机制，针对核心场景制定应急处置方案，具备数据备份和故障恢复功能，确保教学等服务不中断，保障业务连续性。</w:t>
            </w:r>
          </w:p>
          <w:p w14:paraId="43EA4BBF">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4.功能落地：</w:t>
            </w:r>
            <w:r>
              <w:rPr>
                <w:rFonts w:hint="eastAsia" w:ascii="微软雅黑" w:hAnsi="微软雅黑" w:eastAsia="微软雅黑" w:cs="微软雅黑"/>
                <w:b w:val="0"/>
                <w:bCs w:val="0"/>
                <w:color w:val="auto"/>
                <w:kern w:val="0"/>
                <w:szCs w:val="21"/>
                <w:highlight w:val="none"/>
                <w:lang w:val="en-US" w:eastAsia="zh-CN"/>
              </w:rPr>
              <w:t>完成3间教室建设，实现多媒体教学等全功能落地，确保功能稳定、适配教学场景，支持多种教学模式，助力形成同步教学资源生态圈。</w:t>
            </w:r>
          </w:p>
          <w:p w14:paraId="476573A9">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5.安全合规：</w:t>
            </w:r>
            <w:r>
              <w:rPr>
                <w:rFonts w:hint="eastAsia" w:ascii="微软雅黑" w:hAnsi="微软雅黑" w:eastAsia="微软雅黑" w:cs="微软雅黑"/>
                <w:b w:val="0"/>
                <w:bCs w:val="0"/>
                <w:color w:val="auto"/>
                <w:kern w:val="0"/>
                <w:szCs w:val="21"/>
                <w:highlight w:val="none"/>
                <w:lang w:val="en-US" w:eastAsia="zh-CN"/>
              </w:rPr>
              <w:t>服务符合相关法规标准，明确核心数据安全操作规范和防控措施，符合网络安全等级保护要求，保障教室设备、教学数据及直播互动安全。</w:t>
            </w:r>
          </w:p>
          <w:p w14:paraId="77B18B70">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6.过程管控与持续改进：</w:t>
            </w:r>
            <w:r>
              <w:rPr>
                <w:rFonts w:hint="eastAsia" w:ascii="微软雅黑" w:hAnsi="微软雅黑" w:eastAsia="微软雅黑" w:cs="微软雅黑"/>
                <w:b w:val="0"/>
                <w:bCs w:val="0"/>
                <w:color w:val="auto"/>
                <w:kern w:val="0"/>
                <w:szCs w:val="21"/>
                <w:highlight w:val="none"/>
                <w:lang w:val="en-US" w:eastAsia="zh-CN"/>
              </w:rPr>
              <w:t>通过工具监控3间教室改造等环节执行情况，留存记录，确保可追溯核查；定期收集反馈，分析数据，形成改进方案并实施，优化使用体验，适配长期需求。</w:t>
            </w:r>
          </w:p>
          <w:p w14:paraId="109FC8BD">
            <w:pPr>
              <w:spacing w:line="360" w:lineRule="exact"/>
              <w:rPr>
                <w:rFonts w:hint="eastAsia" w:ascii="微软雅黑" w:hAnsi="微软雅黑" w:eastAsia="微软雅黑" w:cs="微软雅黑"/>
                <w:b w:val="0"/>
                <w:bCs w:val="0"/>
                <w:color w:val="auto"/>
                <w:kern w:val="0"/>
                <w:szCs w:val="21"/>
                <w:highlight w:val="none"/>
                <w:lang w:val="en-US" w:eastAsia="zh-CN"/>
              </w:rPr>
            </w:pPr>
            <w:r>
              <w:rPr>
                <w:rFonts w:hint="eastAsia" w:ascii="微软雅黑" w:hAnsi="微软雅黑" w:eastAsia="微软雅黑" w:cs="微软雅黑"/>
                <w:b w:val="0"/>
                <w:bCs w:val="0"/>
                <w:color w:val="auto"/>
                <w:kern w:val="0"/>
                <w:szCs w:val="21"/>
                <w:highlight w:val="none"/>
                <w:lang w:val="en-US" w:eastAsia="zh-CN"/>
              </w:rPr>
              <w:t>以上组织实施方案内容非常详细、保障措施完善可行且完全满足招标文件要求的得6分；</w:t>
            </w:r>
            <w:r>
              <w:rPr>
                <w:rFonts w:hint="eastAsia" w:ascii="微软雅黑" w:hAnsi="微软雅黑" w:eastAsia="微软雅黑" w:cs="微软雅黑"/>
                <w:b w:val="0"/>
                <w:bCs w:val="0"/>
                <w:color w:val="auto"/>
                <w:sz w:val="21"/>
                <w:szCs w:val="21"/>
                <w:highlight w:val="none"/>
                <w:lang w:val="en-US" w:eastAsia="zh-CN"/>
              </w:rPr>
              <w:t>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615FD13D">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
                <w:bCs/>
                <w:color w:val="auto"/>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注：内容存在缺陷是指：①该项内容描述前后不一致；②该项内容所述的项目信息与本项目实际信息不一致；③该项内容引用的规定、规范错误；④该项内容所述的方式方法明显不符合本项目实际情况；⑤其他不符情形。</w:t>
            </w:r>
          </w:p>
        </w:tc>
        <w:tc>
          <w:tcPr>
            <w:tcW w:w="1064" w:type="dxa"/>
            <w:noWrap w:val="0"/>
            <w:vAlign w:val="center"/>
          </w:tcPr>
          <w:p w14:paraId="13184515">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p>
        </w:tc>
      </w:tr>
      <w:tr w14:paraId="49D8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7" w:type="dxa"/>
            <w:vMerge w:val="continue"/>
            <w:noWrap w:val="0"/>
            <w:vAlign w:val="center"/>
          </w:tcPr>
          <w:p w14:paraId="1A330A3C">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1E77169A">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shd w:val="clear" w:color="auto" w:fill="auto"/>
            <w:noWrap w:val="0"/>
            <w:vAlign w:val="center"/>
          </w:tcPr>
          <w:p w14:paraId="23B155CB">
            <w:pPr>
              <w:spacing w:line="36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3</w:t>
            </w:r>
          </w:p>
        </w:tc>
        <w:tc>
          <w:tcPr>
            <w:tcW w:w="6424" w:type="dxa"/>
            <w:shd w:val="clear" w:color="auto" w:fill="auto"/>
            <w:noWrap w:val="0"/>
            <w:vAlign w:val="center"/>
          </w:tcPr>
          <w:p w14:paraId="28B77142">
            <w:pPr>
              <w:spacing w:line="3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培训方案：</w:t>
            </w:r>
            <w:r>
              <w:rPr>
                <w:rFonts w:hint="eastAsia" w:ascii="微软雅黑" w:hAnsi="微软雅黑" w:eastAsia="微软雅黑" w:cs="微软雅黑"/>
                <w:color w:val="auto"/>
                <w:kern w:val="0"/>
                <w:szCs w:val="21"/>
                <w:highlight w:val="none"/>
              </w:rPr>
              <w:t>评委根据投标人提供的培训方案，内容包括:</w:t>
            </w:r>
            <w:r>
              <w:rPr>
                <w:rFonts w:hint="eastAsia" w:ascii="微软雅黑" w:hAnsi="微软雅黑" w:eastAsia="微软雅黑" w:cs="微软雅黑"/>
                <w:b w:val="0"/>
                <w:bCs w:val="0"/>
                <w:color w:val="auto"/>
                <w:kern w:val="2"/>
                <w:sz w:val="21"/>
                <w:szCs w:val="21"/>
                <w:highlight w:val="none"/>
                <w:lang w:val="en-US" w:eastAsia="zh-CN" w:bidi="ar"/>
              </w:rPr>
              <w:t>供应商为采购人制定专业、完善、优质的培训方案</w:t>
            </w:r>
            <w:r>
              <w:rPr>
                <w:rFonts w:hint="eastAsia" w:ascii="微软雅黑" w:hAnsi="微软雅黑" w:eastAsia="微软雅黑" w:cs="微软雅黑"/>
                <w:color w:val="auto"/>
                <w:kern w:val="0"/>
                <w:szCs w:val="21"/>
                <w:highlight w:val="none"/>
              </w:rPr>
              <w:t>，包括:</w:t>
            </w:r>
            <w:r>
              <w:rPr>
                <w:rFonts w:hint="eastAsia" w:ascii="微软雅黑" w:hAnsi="微软雅黑" w:eastAsia="微软雅黑" w:cs="微软雅黑"/>
                <w:color w:val="auto"/>
                <w:kern w:val="0"/>
                <w:szCs w:val="21"/>
                <w:highlight w:val="none"/>
                <w:lang w:val="en-US" w:eastAsia="zh-CN"/>
              </w:rPr>
              <w:t>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培训内容(内容全面覆盖理论原理、硬件结构、提供线上培训或简单操作指导、故障诊断与排除、安全规范等)</w:t>
            </w:r>
            <w:r>
              <w:rPr>
                <w:rFonts w:hint="eastAsia" w:ascii="微软雅黑" w:hAnsi="微软雅黑" w:eastAsia="微软雅黑" w:cs="微软雅黑"/>
                <w:color w:val="auto"/>
                <w:kern w:val="0"/>
                <w:szCs w:val="21"/>
                <w:highlight w:val="none"/>
              </w:rPr>
              <w:t>等内容进行评分，</w:t>
            </w:r>
            <w:r>
              <w:rPr>
                <w:rFonts w:hint="eastAsia" w:ascii="微软雅黑" w:hAnsi="微软雅黑" w:eastAsia="微软雅黑" w:cs="微软雅黑"/>
                <w:color w:val="auto"/>
                <w:szCs w:val="21"/>
                <w:highlight w:val="none"/>
              </w:rPr>
              <w:t>以上</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项内容完整且完全满足项目要求得</w:t>
            </w:r>
            <w:r>
              <w:rPr>
                <w:rFonts w:hint="eastAsia" w:ascii="微软雅黑" w:hAnsi="微软雅黑" w:eastAsia="微软雅黑" w:cs="微软雅黑"/>
                <w:color w:val="auto"/>
                <w:szCs w:val="21"/>
                <w:highlight w:val="none"/>
                <w:lang w:val="en-US" w:eastAsia="zh-CN"/>
              </w:rPr>
              <w:t>3</w:t>
            </w:r>
            <w:r>
              <w:rPr>
                <w:rFonts w:hint="eastAsia" w:ascii="微软雅黑" w:hAnsi="微软雅黑" w:eastAsia="微软雅黑" w:cs="微软雅黑"/>
                <w:color w:val="auto"/>
                <w:szCs w:val="21"/>
                <w:highlight w:val="none"/>
              </w:rPr>
              <w:t>分，每缺失一项内容扣1分，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3D7E94D4">
            <w:pPr>
              <w:spacing w:line="360" w:lineRule="exac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b/>
                <w:bCs/>
                <w:color w:val="auto"/>
                <w:kern w:val="0"/>
                <w:szCs w:val="21"/>
                <w:highlight w:val="none"/>
              </w:rPr>
              <w:t>注：</w:t>
            </w:r>
            <w:r>
              <w:rPr>
                <w:rFonts w:ascii="微软雅黑" w:hAnsi="微软雅黑" w:eastAsia="微软雅黑" w:cs="微软雅黑"/>
                <w:b/>
                <w:bCs/>
                <w:color w:val="auto"/>
                <w:kern w:val="0"/>
                <w:szCs w:val="21"/>
                <w:highlight w:val="none"/>
              </w:rPr>
              <w:t>内容存在缺陷是指：①该项内容描述前后不一致；②该项内容所述的项目信息与本项目实际信息不一致；③该项内容引用的规定、规范错误；④该项内容所述的方式方法明显不符合本项目实际情况；</w:t>
            </w:r>
            <w:r>
              <w:rPr>
                <w:rFonts w:hint="eastAsia" w:ascii="微软雅黑" w:hAnsi="微软雅黑" w:eastAsia="微软雅黑" w:cs="微软雅黑"/>
                <w:b/>
                <w:bCs/>
                <w:color w:val="auto"/>
                <w:kern w:val="0"/>
                <w:szCs w:val="21"/>
                <w:highlight w:val="none"/>
              </w:rPr>
              <w:t>⑤</w:t>
            </w:r>
            <w:r>
              <w:rPr>
                <w:rFonts w:ascii="微软雅黑" w:hAnsi="微软雅黑" w:eastAsia="微软雅黑" w:cs="微软雅黑"/>
                <w:b/>
                <w:bCs/>
                <w:color w:val="auto"/>
                <w:kern w:val="0"/>
                <w:szCs w:val="21"/>
                <w:highlight w:val="none"/>
              </w:rPr>
              <w:t>其他不符情形。</w:t>
            </w:r>
          </w:p>
        </w:tc>
        <w:tc>
          <w:tcPr>
            <w:tcW w:w="1064" w:type="dxa"/>
            <w:noWrap w:val="0"/>
            <w:vAlign w:val="center"/>
          </w:tcPr>
          <w:p w14:paraId="41F7448A">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r w14:paraId="3C0E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97" w:type="dxa"/>
            <w:vMerge w:val="continue"/>
            <w:noWrap w:val="0"/>
            <w:vAlign w:val="center"/>
          </w:tcPr>
          <w:p w14:paraId="5EBEA4C2">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lang w:val="en-US" w:eastAsia="zh-CN"/>
              </w:rPr>
            </w:pPr>
          </w:p>
        </w:tc>
        <w:tc>
          <w:tcPr>
            <w:tcW w:w="829" w:type="dxa"/>
            <w:vMerge w:val="continue"/>
            <w:noWrap w:val="0"/>
            <w:vAlign w:val="center"/>
          </w:tcPr>
          <w:p w14:paraId="531291A6">
            <w:pPr>
              <w:keepNext w:val="0"/>
              <w:keepLines w:val="0"/>
              <w:pageBreakBefore w:val="0"/>
              <w:widowControl w:val="0"/>
              <w:kinsoku/>
              <w:wordWrap w:val="0"/>
              <w:overflowPunct/>
              <w:topLinePunct w:val="0"/>
              <w:autoSpaceDE/>
              <w:autoSpaceDN/>
              <w:bidi w:val="0"/>
              <w:adjustRightInd w:val="0"/>
              <w:snapToGrid w:val="0"/>
              <w:spacing w:line="240" w:lineRule="auto"/>
              <w:ind w:firstLine="0"/>
              <w:jc w:val="center"/>
              <w:textAlignment w:val="auto"/>
              <w:rPr>
                <w:rFonts w:hint="eastAsia" w:ascii="微软雅黑" w:hAnsi="微软雅黑" w:eastAsia="微软雅黑" w:cs="微软雅黑"/>
                <w:color w:val="auto"/>
                <w:szCs w:val="21"/>
                <w:highlight w:val="none"/>
              </w:rPr>
            </w:pPr>
          </w:p>
        </w:tc>
        <w:tc>
          <w:tcPr>
            <w:tcW w:w="659" w:type="dxa"/>
            <w:shd w:val="clear" w:color="auto" w:fill="auto"/>
            <w:noWrap w:val="0"/>
            <w:vAlign w:val="center"/>
          </w:tcPr>
          <w:p w14:paraId="1ADD9061">
            <w:pPr>
              <w:spacing w:line="360" w:lineRule="exact"/>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6</w:t>
            </w:r>
          </w:p>
        </w:tc>
        <w:tc>
          <w:tcPr>
            <w:tcW w:w="6424" w:type="dxa"/>
            <w:shd w:val="clear" w:color="auto" w:fill="auto"/>
            <w:noWrap w:val="0"/>
            <w:vAlign w:val="center"/>
          </w:tcPr>
          <w:p w14:paraId="3C90297B">
            <w:pPr>
              <w:spacing w:line="360" w:lineRule="exact"/>
              <w:rPr>
                <w:rFonts w:ascii="微软雅黑" w:hAnsi="微软雅黑" w:eastAsia="微软雅黑" w:cs="微软雅黑"/>
                <w:color w:val="auto"/>
                <w:kern w:val="0"/>
                <w:szCs w:val="21"/>
                <w:highlight w:val="none"/>
              </w:rPr>
            </w:pPr>
            <w:r>
              <w:rPr>
                <w:rFonts w:hint="eastAsia" w:ascii="微软雅黑" w:hAnsi="微软雅黑" w:eastAsia="微软雅黑" w:cs="微软雅黑"/>
                <w:b/>
                <w:bCs/>
                <w:color w:val="auto"/>
                <w:szCs w:val="21"/>
                <w:highlight w:val="none"/>
              </w:rPr>
              <w:t>售后服务：</w:t>
            </w:r>
            <w:r>
              <w:rPr>
                <w:rFonts w:hint="eastAsia" w:ascii="微软雅黑" w:hAnsi="微软雅黑" w:eastAsia="微软雅黑" w:cs="微软雅黑"/>
                <w:color w:val="auto"/>
                <w:kern w:val="0"/>
                <w:szCs w:val="21"/>
                <w:highlight w:val="none"/>
              </w:rPr>
              <w:t>评委根据供应商提供的售后服务方案，</w:t>
            </w:r>
            <w:r>
              <w:rPr>
                <w:rFonts w:hint="eastAsia" w:ascii="微软雅黑" w:hAnsi="微软雅黑" w:eastAsia="微软雅黑" w:cs="微软雅黑"/>
                <w:color w:val="auto"/>
                <w:szCs w:val="21"/>
                <w:highlight w:val="none"/>
              </w:rPr>
              <w:t>内容包括:</w:t>
            </w:r>
            <w:r>
              <w:rPr>
                <w:rFonts w:hint="eastAsia" w:ascii="微软雅黑" w:hAnsi="微软雅黑" w:eastAsia="微软雅黑" w:cs="微软雅黑"/>
                <w:color w:val="auto"/>
                <w:kern w:val="0"/>
                <w:szCs w:val="21"/>
                <w:highlight w:val="none"/>
                <w:lang w:val="en-US" w:eastAsia="zh-CN"/>
              </w:rPr>
              <w:t>①</w:t>
            </w:r>
            <w:r>
              <w:rPr>
                <w:rFonts w:hint="eastAsia" w:ascii="微软雅黑" w:hAnsi="微软雅黑" w:eastAsia="微软雅黑" w:cs="微软雅黑"/>
                <w:color w:val="auto"/>
                <w:kern w:val="0"/>
                <w:szCs w:val="21"/>
                <w:highlight w:val="none"/>
              </w:rPr>
              <w:t>售后服务体系(提供标准化的服务流程图及方案阐述)</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②</w:t>
            </w:r>
            <w:r>
              <w:rPr>
                <w:rFonts w:hint="eastAsia" w:ascii="微软雅黑" w:hAnsi="微软雅黑" w:eastAsia="微软雅黑" w:cs="微软雅黑"/>
                <w:color w:val="auto"/>
                <w:kern w:val="0"/>
                <w:szCs w:val="21"/>
                <w:highlight w:val="none"/>
              </w:rPr>
              <w:t>售后服务内容</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硬件维护、定期巡检、备件支持</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提供售后服务承诺书，制定定期回访计划，明确回访年限，定期巡检服务，确保设备正常运行</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③</w:t>
            </w:r>
            <w:r>
              <w:rPr>
                <w:rFonts w:hint="eastAsia" w:ascii="微软雅黑" w:hAnsi="微软雅黑" w:eastAsia="微软雅黑" w:cs="微软雅黑"/>
                <w:color w:val="auto"/>
                <w:kern w:val="0"/>
                <w:szCs w:val="21"/>
                <w:highlight w:val="none"/>
              </w:rPr>
              <w:t>设备维修维护内容</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设备清洁、机械部件检查、关键性能参数验证</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拥有备品备件库，在售后服务过程中能及时应对突发情况，需提供</w:t>
            </w:r>
            <w:r>
              <w:rPr>
                <w:rFonts w:hint="eastAsia" w:ascii="微软雅黑" w:hAnsi="微软雅黑" w:eastAsia="微软雅黑" w:cs="微软雅黑"/>
                <w:color w:val="auto"/>
                <w:kern w:val="0"/>
                <w:szCs w:val="21"/>
                <w:highlight w:val="none"/>
                <w:lang w:val="en-US" w:eastAsia="zh-CN"/>
              </w:rPr>
              <w:t>相关</w:t>
            </w:r>
            <w:r>
              <w:rPr>
                <w:rFonts w:hint="eastAsia" w:ascii="微软雅黑" w:hAnsi="微软雅黑" w:eastAsia="微软雅黑" w:cs="微软雅黑"/>
                <w:color w:val="auto"/>
                <w:kern w:val="0"/>
                <w:szCs w:val="21"/>
                <w:highlight w:val="none"/>
              </w:rPr>
              <w:t>证明材料。</w:t>
            </w:r>
            <w:r>
              <w:rPr>
                <w:rFonts w:hint="eastAsia" w:ascii="微软雅黑" w:hAnsi="微软雅黑" w:eastAsia="微软雅黑" w:cs="微软雅黑"/>
                <w:color w:val="auto"/>
                <w:kern w:val="0"/>
                <w:szCs w:val="21"/>
                <w:highlight w:val="none"/>
                <w:lang w:val="en-US" w:eastAsia="zh-CN"/>
              </w:rPr>
              <w:t>④</w:t>
            </w:r>
            <w:r>
              <w:rPr>
                <w:rFonts w:hint="eastAsia" w:ascii="微软雅黑" w:hAnsi="微软雅黑" w:eastAsia="微软雅黑" w:cs="微软雅黑"/>
                <w:color w:val="auto"/>
                <w:kern w:val="0"/>
                <w:szCs w:val="21"/>
                <w:highlight w:val="none"/>
              </w:rPr>
              <w:t>故障响应机制</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提供7x24小时自动化响应系统方案</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1个小时内响应的，得1分；2-24小时内响应的，得0.5分；24小时之外响应的，得0分。响应时间和现场上门服务支持能力(对不同紧急程度的故障进行分级)，并承诺对应的远程响应和现场到达时间等</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⑤</w:t>
            </w:r>
            <w:r>
              <w:rPr>
                <w:rFonts w:hint="eastAsia" w:ascii="微软雅黑" w:hAnsi="微软雅黑" w:eastAsia="微软雅黑" w:cs="微软雅黑"/>
                <w:color w:val="auto"/>
                <w:kern w:val="0"/>
                <w:szCs w:val="21"/>
                <w:highlight w:val="none"/>
              </w:rPr>
              <w:t>售后服务人员构成(售后服务专线联系人及联系电话，承诺7x24小时畅通)</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lang w:val="en-US" w:eastAsia="zh-CN"/>
              </w:rPr>
              <w:t>⑥</w:t>
            </w:r>
            <w:r>
              <w:rPr>
                <w:rFonts w:hint="eastAsia" w:ascii="微软雅黑" w:hAnsi="微软雅黑" w:eastAsia="微软雅黑" w:cs="微软雅黑"/>
                <w:color w:val="auto"/>
                <w:kern w:val="0"/>
                <w:szCs w:val="21"/>
                <w:highlight w:val="none"/>
              </w:rPr>
              <w:t>设备验收配合机制方案(供货完成在验收环节，出现与中标产品型号存在偏差或仪器损坏</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测试不通过等处理方案)</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质保期外的维修维护(日常仪器设备进行维护)</w:t>
            </w:r>
            <w:r>
              <w:rPr>
                <w:rFonts w:hint="eastAsia" w:ascii="微软雅黑" w:hAnsi="微软雅黑" w:eastAsia="微软雅黑" w:cs="微软雅黑"/>
                <w:color w:val="auto"/>
                <w:kern w:val="0"/>
                <w:szCs w:val="21"/>
                <w:highlight w:val="none"/>
                <w:lang w:eastAsia="zh-CN"/>
              </w:rPr>
              <w:t>；</w:t>
            </w:r>
            <w:r>
              <w:rPr>
                <w:rFonts w:hint="eastAsia" w:ascii="微软雅黑" w:hAnsi="微软雅黑" w:eastAsia="微软雅黑" w:cs="微软雅黑"/>
                <w:color w:val="auto"/>
                <w:kern w:val="0"/>
                <w:szCs w:val="21"/>
                <w:highlight w:val="none"/>
              </w:rPr>
              <w:t>等内容进行综合评分，</w:t>
            </w:r>
            <w:r>
              <w:rPr>
                <w:rFonts w:hint="eastAsia" w:ascii="微软雅黑" w:hAnsi="微软雅黑" w:eastAsia="微软雅黑" w:cs="微软雅黑"/>
                <w:color w:val="auto"/>
                <w:szCs w:val="21"/>
                <w:highlight w:val="none"/>
              </w:rPr>
              <w:t>以上售后服务方案非常详细，保障措施完善可行，满足招标文件要求的得</w:t>
            </w:r>
            <w:r>
              <w:rPr>
                <w:rFonts w:hint="eastAsia" w:ascii="微软雅黑" w:hAnsi="微软雅黑" w:eastAsia="微软雅黑" w:cs="微软雅黑"/>
                <w:color w:val="auto"/>
                <w:szCs w:val="21"/>
                <w:highlight w:val="none"/>
                <w:lang w:val="en-US" w:eastAsia="zh-CN"/>
              </w:rPr>
              <w:t>6</w:t>
            </w:r>
            <w:r>
              <w:rPr>
                <w:rFonts w:hint="eastAsia" w:ascii="微软雅黑" w:hAnsi="微软雅黑" w:eastAsia="微软雅黑" w:cs="微软雅黑"/>
                <w:color w:val="auto"/>
                <w:szCs w:val="21"/>
                <w:highlight w:val="none"/>
              </w:rPr>
              <w:t>分，每缺失一项内容扣1分，</w:t>
            </w:r>
            <w:r>
              <w:rPr>
                <w:rFonts w:hint="eastAsia" w:ascii="微软雅黑" w:hAnsi="微软雅黑" w:eastAsia="微软雅黑" w:cs="微软雅黑"/>
                <w:color w:val="auto"/>
                <w:kern w:val="0"/>
                <w:szCs w:val="21"/>
                <w:highlight w:val="none"/>
              </w:rPr>
              <w:t>每项内容中阐述错误缺陷、凭空编造描述不符合项目基本要求扣0.5分，扣完为止。</w:t>
            </w:r>
          </w:p>
          <w:p w14:paraId="009DE932">
            <w:pPr>
              <w:spacing w:line="360" w:lineRule="exac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b/>
                <w:bCs/>
                <w:color w:val="auto"/>
                <w:kern w:val="0"/>
                <w:szCs w:val="21"/>
                <w:highlight w:val="none"/>
              </w:rPr>
              <w:t>注：</w:t>
            </w:r>
            <w:r>
              <w:rPr>
                <w:rFonts w:ascii="微软雅黑" w:hAnsi="微软雅黑" w:eastAsia="微软雅黑" w:cs="微软雅黑"/>
                <w:b/>
                <w:bCs/>
                <w:color w:val="auto"/>
                <w:kern w:val="0"/>
                <w:szCs w:val="21"/>
                <w:highlight w:val="none"/>
              </w:rPr>
              <w:t>内容存在缺陷是指：①该项内容描述前后不一致；②该项内容所述的项目信息与本项目实际信息不一致；③该项内容引用的规定、规范错误；④该项内容所述的方式方法明显不符合本项目实际情况；</w:t>
            </w:r>
            <w:r>
              <w:rPr>
                <w:rFonts w:hint="eastAsia" w:ascii="微软雅黑" w:hAnsi="微软雅黑" w:eastAsia="微软雅黑" w:cs="微软雅黑"/>
                <w:b/>
                <w:bCs/>
                <w:color w:val="auto"/>
                <w:kern w:val="0"/>
                <w:szCs w:val="21"/>
                <w:highlight w:val="none"/>
              </w:rPr>
              <w:t>⑤</w:t>
            </w:r>
            <w:r>
              <w:rPr>
                <w:rFonts w:ascii="微软雅黑" w:hAnsi="微软雅黑" w:eastAsia="微软雅黑" w:cs="微软雅黑"/>
                <w:b/>
                <w:bCs/>
                <w:color w:val="auto"/>
                <w:kern w:val="0"/>
                <w:szCs w:val="21"/>
                <w:highlight w:val="none"/>
              </w:rPr>
              <w:t>其他不符情形。</w:t>
            </w:r>
          </w:p>
        </w:tc>
        <w:tc>
          <w:tcPr>
            <w:tcW w:w="1064" w:type="dxa"/>
            <w:noWrap w:val="0"/>
            <w:vAlign w:val="center"/>
          </w:tcPr>
          <w:p w14:paraId="2E84531C">
            <w:pPr>
              <w:keepNext w:val="0"/>
              <w:keepLines w:val="0"/>
              <w:pageBreakBefore w:val="0"/>
              <w:widowControl w:val="0"/>
              <w:kinsoku/>
              <w:wordWrap w:val="0"/>
              <w:overflowPunct/>
              <w:topLinePunct w:val="0"/>
              <w:autoSpaceDE/>
              <w:autoSpaceDN/>
              <w:bidi w:val="0"/>
              <w:adjustRightInd w:val="0"/>
              <w:snapToGrid w:val="0"/>
              <w:spacing w:line="240" w:lineRule="auto"/>
              <w:ind w:firstLine="0"/>
              <w:textAlignment w:val="auto"/>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根据需求提供必要的证明资料</w:t>
            </w:r>
          </w:p>
        </w:tc>
      </w:tr>
    </w:tbl>
    <w:p w14:paraId="105E8C4E">
      <w:pPr>
        <w:jc w:val="center"/>
        <w:rPr>
          <w:rFonts w:hint="eastAsia" w:ascii="微软雅黑" w:hAnsi="微软雅黑" w:eastAsia="微软雅黑" w:cs="微软雅黑"/>
          <w:b/>
          <w:color w:val="auto"/>
          <w:sz w:val="44"/>
          <w:szCs w:val="44"/>
          <w:highlight w:val="none"/>
        </w:rPr>
      </w:pPr>
    </w:p>
    <w:p w14:paraId="1449C6E8">
      <w:pPr>
        <w:jc w:val="center"/>
        <w:rPr>
          <w:rFonts w:hint="eastAsia" w:ascii="微软雅黑" w:hAnsi="微软雅黑" w:eastAsia="微软雅黑" w:cs="微软雅黑"/>
          <w:b/>
          <w:color w:val="auto"/>
          <w:sz w:val="44"/>
          <w:szCs w:val="44"/>
          <w:highlight w:val="none"/>
        </w:rPr>
      </w:pPr>
    </w:p>
    <w:p w14:paraId="2644148C">
      <w:pPr>
        <w:jc w:val="center"/>
        <w:rPr>
          <w:rFonts w:hint="eastAsia" w:ascii="微软雅黑" w:hAnsi="微软雅黑" w:eastAsia="微软雅黑" w:cs="微软雅黑"/>
          <w:b/>
          <w:color w:val="auto"/>
          <w:sz w:val="44"/>
          <w:szCs w:val="44"/>
          <w:highlight w:val="none"/>
        </w:rPr>
      </w:pPr>
    </w:p>
    <w:p w14:paraId="783A3C92">
      <w:pPr>
        <w:jc w:val="center"/>
        <w:rPr>
          <w:rFonts w:hint="eastAsia" w:ascii="微软雅黑" w:hAnsi="微软雅黑" w:eastAsia="微软雅黑" w:cs="微软雅黑"/>
          <w:b/>
          <w:color w:val="auto"/>
          <w:sz w:val="44"/>
          <w:szCs w:val="44"/>
          <w:highlight w:val="none"/>
        </w:rPr>
      </w:pPr>
    </w:p>
    <w:p w14:paraId="5FAB110D">
      <w:pPr>
        <w:jc w:val="center"/>
        <w:rPr>
          <w:rFonts w:hint="eastAsia" w:ascii="微软雅黑" w:hAnsi="微软雅黑" w:eastAsia="微软雅黑" w:cs="微软雅黑"/>
          <w:b/>
          <w:color w:val="auto"/>
          <w:sz w:val="44"/>
          <w:szCs w:val="44"/>
          <w:highlight w:val="none"/>
        </w:rPr>
      </w:pPr>
    </w:p>
    <w:p w14:paraId="2DFBA2AC">
      <w:pPr>
        <w:jc w:val="center"/>
        <w:rPr>
          <w:rFonts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招标文件</w:t>
      </w:r>
    </w:p>
    <w:p w14:paraId="41397498">
      <w:pPr>
        <w:spacing w:line="240" w:lineRule="atLeast"/>
        <w:jc w:val="center"/>
        <w:rPr>
          <w:rFonts w:ascii="微软雅黑" w:hAnsi="微软雅黑" w:eastAsia="微软雅黑" w:cs="微软雅黑"/>
          <w:b/>
          <w:color w:val="auto"/>
          <w:sz w:val="40"/>
          <w:szCs w:val="40"/>
          <w:highlight w:val="none"/>
        </w:rPr>
      </w:pPr>
    </w:p>
    <w:p w14:paraId="4B8B05CE">
      <w:pPr>
        <w:spacing w:line="240" w:lineRule="atLeast"/>
        <w:jc w:val="center"/>
        <w:rPr>
          <w:rFonts w:hint="default" w:ascii="微软雅黑" w:hAnsi="微软雅黑" w:eastAsia="微软雅黑" w:cs="微软雅黑"/>
          <w:b/>
          <w:color w:val="auto"/>
          <w:sz w:val="40"/>
          <w:szCs w:val="40"/>
          <w:highlight w:val="none"/>
          <w:lang w:val="en-US" w:eastAsia="zh-CN"/>
        </w:rPr>
      </w:pPr>
      <w:bookmarkStart w:id="2289" w:name="_Toc13284_WPSOffice_Level2"/>
      <w:r>
        <w:rPr>
          <w:rFonts w:hint="eastAsia" w:ascii="微软雅黑" w:hAnsi="微软雅黑" w:eastAsia="微软雅黑" w:cs="微软雅黑"/>
          <w:b/>
          <w:color w:val="auto"/>
          <w:sz w:val="40"/>
          <w:szCs w:val="40"/>
          <w:highlight w:val="none"/>
        </w:rPr>
        <w:t>项目编号：</w:t>
      </w:r>
      <w:bookmarkEnd w:id="2289"/>
      <w:r>
        <w:rPr>
          <w:rFonts w:hint="eastAsia" w:ascii="微软雅黑" w:hAnsi="微软雅黑" w:eastAsia="微软雅黑" w:cs="微软雅黑"/>
          <w:b/>
          <w:color w:val="auto"/>
          <w:sz w:val="40"/>
          <w:szCs w:val="40"/>
          <w:highlight w:val="none"/>
          <w:lang w:eastAsia="zh-CN"/>
        </w:rPr>
        <w:t>26GJ-(GK)0</w:t>
      </w:r>
      <w:r>
        <w:rPr>
          <w:rFonts w:hint="eastAsia" w:ascii="微软雅黑" w:hAnsi="微软雅黑" w:eastAsia="微软雅黑" w:cs="微软雅黑"/>
          <w:b/>
          <w:color w:val="auto"/>
          <w:sz w:val="40"/>
          <w:szCs w:val="40"/>
          <w:highlight w:val="none"/>
          <w:lang w:val="en-US" w:eastAsia="zh-CN"/>
        </w:rPr>
        <w:t>21</w:t>
      </w:r>
    </w:p>
    <w:p w14:paraId="2DA26D5F">
      <w:pPr>
        <w:pStyle w:val="14"/>
        <w:ind w:firstLine="480"/>
        <w:rPr>
          <w:rFonts w:ascii="微软雅黑" w:hAnsi="微软雅黑" w:eastAsia="微软雅黑" w:cs="微软雅黑"/>
          <w:color w:val="auto"/>
          <w:highlight w:val="none"/>
        </w:rPr>
      </w:pPr>
    </w:p>
    <w:p w14:paraId="0AC9E06E">
      <w:pPr>
        <w:spacing w:line="240" w:lineRule="atLeast"/>
        <w:jc w:val="center"/>
        <w:rPr>
          <w:rFonts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第三册</w:t>
      </w:r>
    </w:p>
    <w:p w14:paraId="14D93BFE">
      <w:pPr>
        <w:rPr>
          <w:rFonts w:hint="eastAsia" w:ascii="微软雅黑" w:hAnsi="微软雅黑" w:eastAsia="微软雅黑" w:cs="微软雅黑"/>
          <w:b/>
          <w:bCs/>
          <w:color w:val="auto"/>
          <w:szCs w:val="32"/>
          <w:highlight w:val="none"/>
        </w:rPr>
      </w:pPr>
      <w:r>
        <w:rPr>
          <w:rFonts w:hint="eastAsia" w:ascii="微软雅黑" w:hAnsi="微软雅黑" w:eastAsia="微软雅黑" w:cs="微软雅黑"/>
          <w:b/>
          <w:bCs/>
          <w:color w:val="auto"/>
          <w:szCs w:val="32"/>
          <w:highlight w:val="none"/>
        </w:rPr>
        <w:br w:type="page"/>
      </w:r>
    </w:p>
    <w:p w14:paraId="42E28D19">
      <w:pPr>
        <w:pStyle w:val="2"/>
        <w:tabs>
          <w:tab w:val="left" w:pos="0"/>
        </w:tabs>
        <w:spacing w:before="0" w:after="0" w:line="240" w:lineRule="atLeast"/>
        <w:ind w:left="-15"/>
        <w:rPr>
          <w:rFonts w:hint="eastAsia" w:ascii="微软雅黑" w:hAnsi="微软雅黑" w:eastAsia="微软雅黑" w:cs="微软雅黑"/>
          <w:color w:val="auto"/>
          <w:szCs w:val="32"/>
          <w:highlight w:val="none"/>
        </w:rPr>
      </w:pPr>
      <w:bookmarkStart w:id="2290" w:name="_Toc22155"/>
      <w:r>
        <w:rPr>
          <w:rFonts w:hint="eastAsia" w:ascii="微软雅黑" w:hAnsi="微软雅黑" w:eastAsia="微软雅黑" w:cs="微软雅黑"/>
          <w:b/>
          <w:bCs/>
          <w:color w:val="auto"/>
          <w:szCs w:val="32"/>
          <w:highlight w:val="none"/>
        </w:rPr>
        <w:t>第7章政府采购合同</w:t>
      </w:r>
      <w:bookmarkEnd w:id="2290"/>
      <w:bookmarkStart w:id="2291" w:name="_Toc487900382"/>
      <w:bookmarkEnd w:id="2291"/>
      <w:bookmarkStart w:id="2292" w:name="_Toc216513788"/>
      <w:bookmarkEnd w:id="2292"/>
      <w:bookmarkStart w:id="2293" w:name="_Hlt487972895"/>
      <w:bookmarkEnd w:id="2293"/>
    </w:p>
    <w:p w14:paraId="159E6A9B">
      <w:pPr>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合同编号：</w:t>
      </w:r>
    </w:p>
    <w:p w14:paraId="401E40AC">
      <w:pPr>
        <w:rPr>
          <w:rFonts w:hint="eastAsia" w:ascii="微软雅黑" w:hAnsi="微软雅黑" w:eastAsia="微软雅黑" w:cs="微软雅黑"/>
          <w:color w:val="auto"/>
          <w:szCs w:val="21"/>
          <w:highlight w:val="none"/>
        </w:rPr>
      </w:pPr>
    </w:p>
    <w:p w14:paraId="1F7A229E">
      <w:pP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政府采购合同-参考范本</w:t>
      </w:r>
    </w:p>
    <w:p w14:paraId="6A654E62">
      <w:pP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（货物类）</w:t>
      </w:r>
    </w:p>
    <w:p w14:paraId="35D5D509">
      <w:pPr>
        <w:rPr>
          <w:rFonts w:hint="eastAsia" w:ascii="微软雅黑" w:hAnsi="微软雅黑" w:eastAsia="微软雅黑" w:cs="微软雅黑"/>
          <w:color w:val="auto"/>
          <w:szCs w:val="21"/>
          <w:highlight w:val="none"/>
        </w:rPr>
      </w:pPr>
    </w:p>
    <w:p w14:paraId="098D2F05">
      <w:pPr>
        <w:rPr>
          <w:rFonts w:hint="eastAsia" w:ascii="微软雅黑" w:hAnsi="微软雅黑" w:eastAsia="微软雅黑" w:cs="微软雅黑"/>
          <w:color w:val="auto"/>
          <w:szCs w:val="21"/>
          <w:highlight w:val="none"/>
        </w:rPr>
      </w:pPr>
    </w:p>
    <w:p w14:paraId="06D46034">
      <w:pPr>
        <w:pStyle w:val="72"/>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第一部分合同书</w:t>
      </w:r>
    </w:p>
    <w:p w14:paraId="3C414AA3">
      <w:pPr>
        <w:rPr>
          <w:rFonts w:hint="eastAsia" w:ascii="微软雅黑" w:hAnsi="微软雅黑" w:eastAsia="微软雅黑" w:cs="微软雅黑"/>
          <w:color w:val="auto"/>
          <w:szCs w:val="21"/>
          <w:highlight w:val="none"/>
        </w:rPr>
      </w:pPr>
    </w:p>
    <w:p w14:paraId="6728378D">
      <w:pPr>
        <w:spacing w:before="120" w:line="360" w:lineRule="exact"/>
        <w:ind w:left="960"/>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项目名称：</w:t>
      </w:r>
    </w:p>
    <w:p w14:paraId="553E5996">
      <w:pPr>
        <w:pStyle w:val="73"/>
        <w:spacing w:before="120" w:line="360" w:lineRule="exact"/>
        <w:rPr>
          <w:rFonts w:hint="eastAsia" w:ascii="微软雅黑" w:hAnsi="微软雅黑" w:eastAsia="微软雅黑" w:cs="微软雅黑"/>
          <w:color w:val="auto"/>
          <w:sz w:val="21"/>
          <w:szCs w:val="21"/>
          <w:highlight w:val="none"/>
        </w:rPr>
      </w:pPr>
    </w:p>
    <w:p w14:paraId="7039BB2A">
      <w:pPr>
        <w:pStyle w:val="73"/>
        <w:spacing w:before="120" w:line="360" w:lineRule="exact"/>
        <w:rPr>
          <w:rFonts w:hint="eastAsia" w:ascii="微软雅黑" w:hAnsi="微软雅黑" w:eastAsia="微软雅黑" w:cs="微软雅黑"/>
          <w:color w:val="auto"/>
          <w:sz w:val="21"/>
          <w:szCs w:val="21"/>
          <w:highlight w:val="none"/>
        </w:rPr>
      </w:pPr>
    </w:p>
    <w:p w14:paraId="61040887">
      <w:pPr>
        <w:spacing w:line="360" w:lineRule="exact"/>
        <w:rPr>
          <w:rFonts w:hint="eastAsia" w:ascii="微软雅黑" w:hAnsi="微软雅黑" w:eastAsia="微软雅黑" w:cs="微软雅黑"/>
          <w:color w:val="auto"/>
          <w:szCs w:val="21"/>
          <w:highlight w:val="none"/>
        </w:rPr>
      </w:pPr>
    </w:p>
    <w:p w14:paraId="416773FA">
      <w:pPr>
        <w:spacing w:before="120" w:line="360" w:lineRule="exact"/>
        <w:ind w:left="96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甲方：</w:t>
      </w:r>
    </w:p>
    <w:p w14:paraId="5FBB7F49">
      <w:pPr>
        <w:spacing w:before="120" w:line="360" w:lineRule="exact"/>
        <w:rPr>
          <w:rFonts w:hint="eastAsia" w:ascii="微软雅黑" w:hAnsi="微软雅黑" w:eastAsia="微软雅黑" w:cs="微软雅黑"/>
          <w:color w:val="auto"/>
          <w:szCs w:val="21"/>
          <w:highlight w:val="none"/>
        </w:rPr>
      </w:pPr>
    </w:p>
    <w:p w14:paraId="0D68CCE4">
      <w:pPr>
        <w:spacing w:before="120" w:line="360" w:lineRule="exact"/>
        <w:ind w:left="96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乙方：</w:t>
      </w:r>
    </w:p>
    <w:p w14:paraId="56564B4C">
      <w:pPr>
        <w:spacing w:before="120" w:line="360" w:lineRule="exact"/>
        <w:rPr>
          <w:rFonts w:hint="eastAsia" w:ascii="微软雅黑" w:hAnsi="微软雅黑" w:eastAsia="微软雅黑" w:cs="微软雅黑"/>
          <w:color w:val="auto"/>
          <w:szCs w:val="21"/>
          <w:highlight w:val="none"/>
        </w:rPr>
      </w:pPr>
    </w:p>
    <w:p w14:paraId="0A9989F1">
      <w:pPr>
        <w:spacing w:before="120" w:line="360" w:lineRule="exact"/>
        <w:ind w:firstLine="840" w:firstLineChars="400"/>
        <w:rPr>
          <w:rFonts w:hint="eastAsia" w:ascii="微软雅黑" w:hAnsi="微软雅黑" w:eastAsia="微软雅黑" w:cs="微软雅黑"/>
          <w:color w:val="auto"/>
          <w:szCs w:val="21"/>
          <w:highlight w:val="none"/>
          <w:u w:val="single"/>
          <w:lang w:eastAsia="zh-CN"/>
        </w:rPr>
      </w:pPr>
      <w:r>
        <w:rPr>
          <w:rFonts w:hint="eastAsia" w:ascii="微软雅黑" w:hAnsi="微软雅黑" w:eastAsia="微软雅黑" w:cs="微软雅黑"/>
          <w:color w:val="auto"/>
          <w:szCs w:val="21"/>
          <w:highlight w:val="none"/>
        </w:rPr>
        <w:t>签订地：</w:t>
      </w:r>
    </w:p>
    <w:p w14:paraId="4FD647F9">
      <w:pPr>
        <w:spacing w:before="120" w:line="360" w:lineRule="exact"/>
        <w:rPr>
          <w:rFonts w:hint="eastAsia" w:ascii="微软雅黑" w:hAnsi="微软雅黑" w:eastAsia="微软雅黑" w:cs="微软雅黑"/>
          <w:color w:val="auto"/>
          <w:szCs w:val="21"/>
          <w:highlight w:val="none"/>
        </w:rPr>
      </w:pPr>
    </w:p>
    <w:p w14:paraId="528456BD">
      <w:pP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签订日期：年月日</w:t>
      </w:r>
    </w:p>
    <w:p w14:paraId="2EEE98EB">
      <w:pPr>
        <w:autoSpaceDE w:val="0"/>
        <w:autoSpaceDN w:val="0"/>
        <w:adjustRightInd w:val="0"/>
        <w:spacing w:line="360" w:lineRule="exact"/>
        <w:ind w:firstLine="640"/>
        <w:jc w:val="center"/>
        <w:rPr>
          <w:rFonts w:hint="eastAsia" w:ascii="微软雅黑" w:hAnsi="微软雅黑" w:eastAsia="微软雅黑" w:cs="微软雅黑"/>
          <w:color w:val="auto"/>
          <w:szCs w:val="21"/>
          <w:highlight w:val="none"/>
        </w:rPr>
        <w:sectPr>
          <w:headerReference r:id="rId7" w:type="default"/>
          <w:pgSz w:w="11907" w:h="16840"/>
          <w:pgMar w:top="1474" w:right="1814" w:bottom="1474" w:left="1814" w:header="851" w:footer="851" w:gutter="0"/>
          <w:cols w:space="720" w:num="1"/>
          <w:docGrid w:linePitch="462" w:charSpace="0"/>
        </w:sectPr>
      </w:pPr>
    </w:p>
    <w:p w14:paraId="25E763D2">
      <w:pPr>
        <w:spacing w:line="360" w:lineRule="exact"/>
        <w:ind w:firstLine="420" w:firstLineChars="200"/>
        <w:rPr>
          <w:rFonts w:hint="eastAsia" w:ascii="微软雅黑" w:hAnsi="微软雅黑" w:eastAsia="微软雅黑" w:cs="微软雅黑"/>
          <w:color w:val="auto"/>
          <w:szCs w:val="21"/>
          <w:highlight w:val="none"/>
        </w:rPr>
      </w:pPr>
      <w:bookmarkStart w:id="2294" w:name="_Toc3029"/>
      <w:bookmarkStart w:id="2295" w:name="_Toc1846"/>
      <w:bookmarkStart w:id="2296" w:name="_Toc2232"/>
      <w:bookmarkStart w:id="2297" w:name="_Toc26721"/>
      <w:bookmarkStart w:id="2298" w:name="_Toc24059"/>
      <w:bookmarkStart w:id="2299" w:name="_Toc2659"/>
      <w:r>
        <w:rPr>
          <w:rFonts w:hint="eastAsia" w:ascii="微软雅黑" w:hAnsi="微软雅黑" w:eastAsia="微软雅黑" w:cs="微软雅黑"/>
          <w:color w:val="auto"/>
          <w:szCs w:val="21"/>
          <w:highlight w:val="none"/>
          <w:lang w:val="zh-CN"/>
        </w:rPr>
        <w:t>年月日</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（采购人名称）</w:t>
      </w:r>
      <w:r>
        <w:rPr>
          <w:rFonts w:hint="eastAsia" w:ascii="微软雅黑" w:hAnsi="微软雅黑" w:eastAsia="微软雅黑" w:cs="微软雅黑"/>
          <w:color w:val="auto"/>
          <w:szCs w:val="21"/>
          <w:highlight w:val="none"/>
        </w:rPr>
        <w:t>以</w:t>
      </w:r>
      <w:r>
        <w:rPr>
          <w:rFonts w:hint="eastAsia" w:ascii="微软雅黑" w:hAnsi="微软雅黑" w:eastAsia="微软雅黑" w:cs="微软雅黑"/>
          <w:color w:val="auto"/>
          <w:szCs w:val="21"/>
          <w:highlight w:val="none"/>
          <w:u w:val="single"/>
        </w:rPr>
        <w:t>（政府采购方式）</w:t>
      </w:r>
      <w:r>
        <w:rPr>
          <w:rFonts w:hint="eastAsia" w:ascii="微软雅黑" w:hAnsi="微软雅黑" w:eastAsia="微软雅黑" w:cs="微软雅黑"/>
          <w:color w:val="auto"/>
          <w:szCs w:val="21"/>
          <w:highlight w:val="none"/>
        </w:rPr>
        <w:t>对</w:t>
      </w:r>
      <w:r>
        <w:rPr>
          <w:rFonts w:hint="eastAsia" w:ascii="微软雅黑" w:hAnsi="微软雅黑" w:eastAsia="微软雅黑" w:cs="微软雅黑"/>
          <w:color w:val="auto"/>
          <w:szCs w:val="21"/>
          <w:highlight w:val="none"/>
          <w:u w:val="single"/>
        </w:rPr>
        <w:t>（同前页项目名称）</w:t>
      </w:r>
      <w:r>
        <w:rPr>
          <w:rFonts w:hint="eastAsia" w:ascii="微软雅黑" w:hAnsi="微软雅黑" w:eastAsia="微软雅黑" w:cs="微软雅黑"/>
          <w:color w:val="auto"/>
          <w:szCs w:val="21"/>
          <w:highlight w:val="none"/>
        </w:rPr>
        <w:t>项目进行了采购。经</w:t>
      </w:r>
      <w:r>
        <w:rPr>
          <w:rFonts w:hint="eastAsia" w:ascii="微软雅黑" w:hAnsi="微软雅黑" w:eastAsia="微软雅黑" w:cs="微软雅黑"/>
          <w:color w:val="auto"/>
          <w:szCs w:val="21"/>
          <w:highlight w:val="none"/>
          <w:u w:val="single"/>
        </w:rPr>
        <w:t>（相关评定主体名称）</w:t>
      </w:r>
      <w:r>
        <w:rPr>
          <w:rFonts w:hint="eastAsia" w:ascii="微软雅黑" w:hAnsi="微软雅黑" w:eastAsia="微软雅黑" w:cs="微软雅黑"/>
          <w:color w:val="auto"/>
          <w:szCs w:val="21"/>
          <w:highlight w:val="none"/>
        </w:rPr>
        <w:t>评定，</w:t>
      </w:r>
      <w:r>
        <w:rPr>
          <w:rFonts w:hint="eastAsia" w:ascii="微软雅黑" w:hAnsi="微软雅黑" w:eastAsia="微软雅黑" w:cs="微软雅黑"/>
          <w:color w:val="auto"/>
          <w:szCs w:val="21"/>
          <w:highlight w:val="none"/>
          <w:u w:val="single"/>
        </w:rPr>
        <w:t>（中标供应商名称）</w:t>
      </w:r>
      <w:r>
        <w:rPr>
          <w:rFonts w:hint="eastAsia" w:ascii="微软雅黑" w:hAnsi="微软雅黑" w:eastAsia="微软雅黑" w:cs="微软雅黑"/>
          <w:color w:val="auto"/>
          <w:szCs w:val="21"/>
          <w:highlight w:val="none"/>
        </w:rPr>
        <w:t>为该项目中标供应商。现于中标通知书发出之日起三十日内，按照采购文件确定的事项签订本合同。</w:t>
      </w:r>
    </w:p>
    <w:p w14:paraId="66CE9BD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根据《中华人民共和国</w:t>
      </w:r>
      <w:r>
        <w:rPr>
          <w:rFonts w:hint="eastAsia" w:ascii="微软雅黑" w:hAnsi="微软雅黑" w:eastAsia="微软雅黑" w:cs="微软雅黑"/>
          <w:color w:val="auto"/>
          <w:szCs w:val="21"/>
          <w:highlight w:val="none"/>
        </w:rPr>
        <w:t>民法典</w:t>
      </w:r>
      <w:r>
        <w:rPr>
          <w:rFonts w:hint="eastAsia" w:ascii="微软雅黑" w:hAnsi="微软雅黑" w:eastAsia="微软雅黑" w:cs="微软雅黑"/>
          <w:color w:val="auto"/>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Cs w:val="21"/>
          <w:highlight w:val="none"/>
          <w:u w:val="single"/>
        </w:rPr>
        <w:t>（采购人名称）</w:t>
      </w:r>
      <w:r>
        <w:rPr>
          <w:rFonts w:hint="eastAsia" w:ascii="微软雅黑" w:hAnsi="微软雅黑" w:eastAsia="微软雅黑" w:cs="微软雅黑"/>
          <w:color w:val="auto"/>
          <w:szCs w:val="21"/>
          <w:highlight w:val="none"/>
          <w:lang w:val="zh-CN"/>
        </w:rPr>
        <w:t>(以下简称：甲方)和</w:t>
      </w:r>
      <w:r>
        <w:rPr>
          <w:rFonts w:hint="eastAsia" w:ascii="微软雅黑" w:hAnsi="微软雅黑" w:eastAsia="微软雅黑" w:cs="微软雅黑"/>
          <w:color w:val="auto"/>
          <w:szCs w:val="21"/>
          <w:highlight w:val="none"/>
          <w:u w:val="single"/>
        </w:rPr>
        <w:t>（中标供应商名称）</w:t>
      </w:r>
      <w:r>
        <w:rPr>
          <w:rFonts w:hint="eastAsia" w:ascii="微软雅黑" w:hAnsi="微软雅黑" w:eastAsia="微软雅黑" w:cs="微软雅黑"/>
          <w:color w:val="auto"/>
          <w:szCs w:val="21"/>
          <w:highlight w:val="none"/>
          <w:lang w:val="zh-CN"/>
        </w:rPr>
        <w:t>(以下简称：乙方)协商一致，约定以下合同</w:t>
      </w:r>
      <w:r>
        <w:rPr>
          <w:rFonts w:hint="eastAsia" w:ascii="微软雅黑" w:hAnsi="微软雅黑" w:eastAsia="微软雅黑" w:cs="微软雅黑"/>
          <w:color w:val="auto"/>
          <w:szCs w:val="21"/>
          <w:highlight w:val="none"/>
        </w:rPr>
        <w:t>条款，以兹共同遵守、全面履行。</w:t>
      </w:r>
    </w:p>
    <w:bookmarkEnd w:id="2294"/>
    <w:bookmarkEnd w:id="2295"/>
    <w:bookmarkEnd w:id="2296"/>
    <w:bookmarkEnd w:id="2297"/>
    <w:bookmarkEnd w:id="2298"/>
    <w:bookmarkEnd w:id="2299"/>
    <w:p w14:paraId="00D26C85">
      <w:pPr>
        <w:spacing w:line="360" w:lineRule="exact"/>
        <w:ind w:firstLine="420" w:firstLineChars="200"/>
        <w:rPr>
          <w:rFonts w:hint="eastAsia" w:ascii="微软雅黑" w:hAnsi="微软雅黑" w:eastAsia="微软雅黑" w:cs="微软雅黑"/>
          <w:b/>
          <w:color w:val="auto"/>
          <w:szCs w:val="21"/>
          <w:highlight w:val="none"/>
        </w:rPr>
      </w:pPr>
      <w:bookmarkStart w:id="2300" w:name="_Toc21091"/>
      <w:bookmarkStart w:id="2301" w:name="_Toc30797"/>
      <w:bookmarkStart w:id="2302" w:name="_Toc24186"/>
      <w:bookmarkStart w:id="2303" w:name="_Toc22490"/>
      <w:bookmarkStart w:id="2304" w:name="_Toc13510"/>
      <w:bookmarkStart w:id="2305" w:name="_Toc937"/>
      <w:bookmarkStart w:id="2306" w:name="_Toc4498"/>
      <w:bookmarkStart w:id="2307" w:name="_Toc21329"/>
      <w:bookmarkStart w:id="2308" w:name="_Toc29751"/>
      <w:bookmarkStart w:id="2309" w:name="_Toc13002"/>
      <w:bookmarkStart w:id="2310" w:name="_Toc24689"/>
      <w:bookmarkStart w:id="2311" w:name="_Toc15183"/>
      <w:bookmarkStart w:id="2312" w:name="_Toc16592"/>
      <w:bookmarkStart w:id="2313" w:name="_Toc22288"/>
      <w:bookmarkStart w:id="2314" w:name="_Toc9595"/>
      <w:bookmarkStart w:id="2315" w:name="_Toc29499"/>
      <w:bookmarkStart w:id="2316" w:name="_Toc101"/>
      <w:bookmarkStart w:id="2317" w:name="_Toc31919"/>
      <w:bookmarkStart w:id="2318" w:name="_Toc4751"/>
      <w:bookmarkStart w:id="2319" w:name="_Toc14766"/>
      <w:bookmarkStart w:id="2320" w:name="_Toc18247"/>
      <w:bookmarkStart w:id="2321" w:name="_Toc12771"/>
      <w:bookmarkStart w:id="2322" w:name="_Toc25352"/>
      <w:bookmarkStart w:id="2323" w:name="_Toc31749"/>
      <w:bookmarkStart w:id="2324" w:name="_Toc18344"/>
      <w:bookmarkStart w:id="2325" w:name="_Toc7702"/>
      <w:bookmarkStart w:id="2326" w:name="_Toc22584"/>
      <w:bookmarkStart w:id="2327" w:name="_Toc20877"/>
      <w:bookmarkStart w:id="2328" w:name="_Toc299"/>
      <w:bookmarkStart w:id="2329" w:name="_Toc4279"/>
      <w:bookmarkStart w:id="2330" w:name="_Toc6038"/>
      <w:bookmarkStart w:id="2331" w:name="_Toc30575"/>
      <w:bookmarkStart w:id="2332" w:name="_Toc14426"/>
      <w:bookmarkStart w:id="2333" w:name="_Toc13018"/>
      <w:bookmarkStart w:id="2334" w:name="_Toc4274"/>
      <w:bookmarkStart w:id="2335" w:name="_Toc5179"/>
      <w:bookmarkStart w:id="2336" w:name="_Toc2302"/>
      <w:bookmarkStart w:id="2337" w:name="_Toc21386"/>
      <w:bookmarkStart w:id="2338" w:name="_Toc31317"/>
      <w:bookmarkStart w:id="2339" w:name="_Toc28090"/>
      <w:r>
        <w:rPr>
          <w:rFonts w:hint="eastAsia" w:ascii="微软雅黑" w:hAnsi="微软雅黑" w:eastAsia="微软雅黑" w:cs="微软雅黑"/>
          <w:b/>
          <w:color w:val="auto"/>
          <w:szCs w:val="21"/>
          <w:highlight w:val="none"/>
        </w:rPr>
        <w:t>1.1合同组成部分</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5C6B551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2AC00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1.1.1本合同及其补充合同、变更协议；</w:t>
      </w:r>
    </w:p>
    <w:p w14:paraId="1EA43BB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1.1.2中标通知书；</w:t>
      </w:r>
    </w:p>
    <w:p w14:paraId="59076E1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1.1.3投标文件（含澄清或者说明文件）；</w:t>
      </w:r>
    </w:p>
    <w:p w14:paraId="3A23872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1.1.4招标文件（含澄清或者修改文件）；</w:t>
      </w:r>
    </w:p>
    <w:p w14:paraId="351E435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1.1.5其他相关采购文件。</w:t>
      </w:r>
    </w:p>
    <w:p w14:paraId="47C322F4">
      <w:pPr>
        <w:spacing w:line="360" w:lineRule="exact"/>
        <w:ind w:firstLine="420" w:firstLineChars="200"/>
        <w:rPr>
          <w:rFonts w:hint="eastAsia" w:ascii="微软雅黑" w:hAnsi="微软雅黑" w:eastAsia="微软雅黑" w:cs="微软雅黑"/>
          <w:b/>
          <w:color w:val="auto"/>
          <w:szCs w:val="21"/>
          <w:highlight w:val="none"/>
        </w:rPr>
      </w:pPr>
      <w:bookmarkStart w:id="2340" w:name="_Toc30189"/>
      <w:bookmarkStart w:id="2341" w:name="_Toc15345"/>
      <w:bookmarkStart w:id="2342" w:name="_Toc16086"/>
      <w:bookmarkStart w:id="2343" w:name="_Toc30099"/>
      <w:bookmarkStart w:id="2344" w:name="_Toc8631"/>
      <w:bookmarkStart w:id="2345" w:name="_Toc19377"/>
      <w:bookmarkStart w:id="2346" w:name="_Toc4935"/>
      <w:bookmarkStart w:id="2347" w:name="_Toc12726"/>
      <w:bookmarkStart w:id="2348" w:name="_Toc5906"/>
      <w:bookmarkStart w:id="2349" w:name="_Toc19336"/>
      <w:bookmarkStart w:id="2350" w:name="_Toc193"/>
      <w:bookmarkStart w:id="2351" w:name="_Toc28577"/>
      <w:bookmarkStart w:id="2352" w:name="_Toc4735"/>
      <w:bookmarkStart w:id="2353" w:name="_Toc923"/>
      <w:bookmarkStart w:id="2354" w:name="_Toc30626"/>
      <w:bookmarkStart w:id="2355" w:name="_Toc7977"/>
      <w:bookmarkStart w:id="2356" w:name="_Toc21093"/>
      <w:bookmarkStart w:id="2357" w:name="_Toc14235"/>
      <w:bookmarkStart w:id="2358" w:name="_Toc27126"/>
      <w:bookmarkStart w:id="2359" w:name="_Toc25402"/>
      <w:bookmarkStart w:id="2360" w:name="_Toc27318"/>
      <w:bookmarkStart w:id="2361" w:name="_Toc24680"/>
      <w:bookmarkStart w:id="2362" w:name="_Toc7862"/>
      <w:bookmarkStart w:id="2363" w:name="_Toc1557"/>
      <w:bookmarkStart w:id="2364" w:name="_Toc4957"/>
      <w:bookmarkStart w:id="2365" w:name="_Toc21295"/>
      <w:bookmarkStart w:id="2366" w:name="_Toc21446"/>
      <w:bookmarkStart w:id="2367" w:name="_Toc13138"/>
      <w:bookmarkStart w:id="2368" w:name="_Toc21217"/>
      <w:bookmarkStart w:id="2369" w:name="_Toc2828"/>
      <w:bookmarkStart w:id="2370" w:name="_Toc16866"/>
      <w:bookmarkStart w:id="2371" w:name="_Toc10561"/>
      <w:bookmarkStart w:id="2372" w:name="_Toc14189"/>
      <w:bookmarkStart w:id="2373" w:name="_Toc23778"/>
      <w:bookmarkStart w:id="2374" w:name="_Toc9161"/>
      <w:bookmarkStart w:id="2375" w:name="_Toc8278"/>
      <w:bookmarkStart w:id="2376" w:name="_Toc24300"/>
      <w:bookmarkStart w:id="2377" w:name="_Toc8057"/>
      <w:bookmarkStart w:id="2378" w:name="_Toc9006"/>
      <w:bookmarkStart w:id="2379" w:name="_Toc1446"/>
      <w:bookmarkStart w:id="2380" w:name="_Toc19432"/>
      <w:bookmarkStart w:id="2381" w:name="_Toc26166"/>
      <w:bookmarkStart w:id="2382" w:name="_Toc13372"/>
      <w:bookmarkStart w:id="2383" w:name="_Toc25735"/>
      <w:bookmarkStart w:id="2384" w:name="_Toc20245"/>
      <w:bookmarkStart w:id="2385" w:name="_Toc31638"/>
      <w:bookmarkStart w:id="2386" w:name="_Toc13259"/>
      <w:r>
        <w:rPr>
          <w:rFonts w:hint="eastAsia" w:ascii="微软雅黑" w:hAnsi="微软雅黑" w:eastAsia="微软雅黑" w:cs="微软雅黑"/>
          <w:b/>
          <w:color w:val="auto"/>
          <w:szCs w:val="21"/>
          <w:highlight w:val="none"/>
        </w:rPr>
        <w:t>1.2货物</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55C30600">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1.2.1货物名称：；</w:t>
      </w:r>
    </w:p>
    <w:p w14:paraId="590F5148">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1.2.2货物数量：；</w:t>
      </w:r>
    </w:p>
    <w:p w14:paraId="459FFAA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1.2.3货物质量：</w:t>
      </w:r>
      <w:r>
        <w:rPr>
          <w:rFonts w:hint="eastAsia" w:ascii="微软雅黑" w:hAnsi="微软雅黑" w:eastAsia="微软雅黑" w:cs="微软雅黑"/>
          <w:color w:val="auto"/>
          <w:szCs w:val="21"/>
          <w:highlight w:val="none"/>
          <w:u w:val="single"/>
        </w:rPr>
        <w:t>　　　　　　　　　　</w:t>
      </w:r>
      <w:r>
        <w:rPr>
          <w:rFonts w:hint="eastAsia" w:ascii="微软雅黑" w:hAnsi="微软雅黑" w:eastAsia="微软雅黑" w:cs="微软雅黑"/>
          <w:color w:val="auto"/>
          <w:szCs w:val="21"/>
          <w:highlight w:val="none"/>
        </w:rPr>
        <w:t>。</w:t>
      </w:r>
    </w:p>
    <w:p w14:paraId="01DFE3CE">
      <w:pPr>
        <w:spacing w:line="360" w:lineRule="exact"/>
        <w:ind w:firstLine="420" w:firstLineChars="200"/>
        <w:rPr>
          <w:rFonts w:hint="eastAsia" w:ascii="微软雅黑" w:hAnsi="微软雅黑" w:eastAsia="微软雅黑" w:cs="微软雅黑"/>
          <w:b/>
          <w:color w:val="auto"/>
          <w:szCs w:val="21"/>
          <w:highlight w:val="none"/>
        </w:rPr>
      </w:pPr>
      <w:bookmarkStart w:id="2387" w:name="_Toc20842"/>
      <w:bookmarkStart w:id="2388" w:name="_Toc633"/>
      <w:bookmarkStart w:id="2389" w:name="_Toc20800"/>
      <w:bookmarkStart w:id="2390" w:name="_Toc17236"/>
      <w:bookmarkStart w:id="2391" w:name="_Toc1528"/>
      <w:bookmarkStart w:id="2392" w:name="_Toc18854"/>
      <w:bookmarkStart w:id="2393" w:name="_Toc21631"/>
      <w:bookmarkStart w:id="2394" w:name="_Toc19128"/>
      <w:bookmarkStart w:id="2395" w:name="_Toc6402"/>
      <w:bookmarkStart w:id="2396" w:name="_Toc8386"/>
      <w:bookmarkStart w:id="2397" w:name="_Toc28204"/>
      <w:bookmarkStart w:id="2398" w:name="_Toc21201"/>
      <w:bookmarkStart w:id="2399" w:name="_Toc21040"/>
      <w:bookmarkStart w:id="2400" w:name="_Toc23112"/>
      <w:bookmarkStart w:id="2401" w:name="_Toc12266"/>
      <w:bookmarkStart w:id="2402" w:name="_Toc31503"/>
      <w:bookmarkStart w:id="2403" w:name="_Toc25196"/>
      <w:bookmarkStart w:id="2404" w:name="_Toc23693"/>
      <w:bookmarkStart w:id="2405" w:name="_Toc23292"/>
      <w:bookmarkStart w:id="2406" w:name="_Toc29895"/>
      <w:bookmarkStart w:id="2407" w:name="_Toc27433"/>
      <w:bookmarkStart w:id="2408" w:name="_Toc21551"/>
      <w:bookmarkStart w:id="2409" w:name="_Toc3428"/>
      <w:bookmarkStart w:id="2410" w:name="_Toc13898"/>
      <w:bookmarkStart w:id="2411" w:name="_Toc25368"/>
      <w:bookmarkStart w:id="2412" w:name="_Toc14240"/>
      <w:bookmarkStart w:id="2413" w:name="_Toc30755"/>
      <w:bookmarkStart w:id="2414" w:name="_Toc14520"/>
      <w:bookmarkStart w:id="2415" w:name="_Toc23316"/>
      <w:bookmarkStart w:id="2416" w:name="_Toc27576"/>
      <w:bookmarkStart w:id="2417" w:name="_Toc16"/>
      <w:bookmarkStart w:id="2418" w:name="_Toc29984"/>
      <w:bookmarkStart w:id="2419" w:name="_Toc15214"/>
      <w:bookmarkStart w:id="2420" w:name="_Toc14112"/>
      <w:bookmarkStart w:id="2421" w:name="_Toc4513"/>
      <w:bookmarkStart w:id="2422" w:name="_Toc9364"/>
      <w:bookmarkStart w:id="2423" w:name="_Toc3113"/>
      <w:bookmarkStart w:id="2424" w:name="_Toc22546"/>
      <w:bookmarkStart w:id="2425" w:name="_Toc19682"/>
      <w:bookmarkStart w:id="2426" w:name="_Toc30667"/>
      <w:bookmarkStart w:id="2427" w:name="_Toc23461"/>
      <w:bookmarkStart w:id="2428" w:name="_Toc10942"/>
      <w:bookmarkStart w:id="2429" w:name="_Toc1267"/>
      <w:bookmarkStart w:id="2430" w:name="_Toc11045"/>
      <w:bookmarkStart w:id="2431" w:name="_Toc32341"/>
      <w:bookmarkStart w:id="2432" w:name="_Toc27282"/>
      <w:r>
        <w:rPr>
          <w:rFonts w:hint="eastAsia" w:ascii="微软雅黑" w:hAnsi="微软雅黑" w:eastAsia="微软雅黑" w:cs="微软雅黑"/>
          <w:b/>
          <w:color w:val="auto"/>
          <w:szCs w:val="21"/>
          <w:highlight w:val="none"/>
        </w:rPr>
        <w:t>1.3价款</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380613A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本合同总价为：￥元（大写：元人民币）。</w:t>
      </w:r>
    </w:p>
    <w:p w14:paraId="4FAC3522">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分项价格：</w:t>
      </w:r>
    </w:p>
    <w:tbl>
      <w:tblPr>
        <w:tblStyle w:val="3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45FD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3ED3D3E">
            <w:pPr>
              <w:pStyle w:val="74"/>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序号</w:t>
            </w:r>
          </w:p>
        </w:tc>
        <w:tc>
          <w:tcPr>
            <w:tcW w:w="3738" w:type="dxa"/>
            <w:vAlign w:val="center"/>
          </w:tcPr>
          <w:p w14:paraId="6D93B61B">
            <w:pPr>
              <w:pStyle w:val="74"/>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分项名称</w:t>
            </w:r>
          </w:p>
        </w:tc>
        <w:tc>
          <w:tcPr>
            <w:tcW w:w="2803" w:type="dxa"/>
            <w:vAlign w:val="center"/>
          </w:tcPr>
          <w:p w14:paraId="6532D365">
            <w:pPr>
              <w:pStyle w:val="74"/>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分项价格</w:t>
            </w:r>
          </w:p>
        </w:tc>
      </w:tr>
      <w:tr w14:paraId="4CD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585E0806">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14:paraId="4730E940">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14:paraId="32468389">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r w14:paraId="6A0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14:paraId="1D53743E">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14:paraId="78C03978">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14:paraId="727F9E9D">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r w14:paraId="51D3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14:paraId="7B105BDA">
            <w:pPr>
              <w:pStyle w:val="74"/>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总价</w:t>
            </w:r>
          </w:p>
        </w:tc>
        <w:tc>
          <w:tcPr>
            <w:tcW w:w="2803" w:type="dxa"/>
            <w:vAlign w:val="center"/>
          </w:tcPr>
          <w:p w14:paraId="3EAD582F">
            <w:pPr>
              <w:pStyle w:val="74"/>
              <w:spacing w:line="360" w:lineRule="exact"/>
              <w:ind w:firstLine="200"/>
              <w:jc w:val="center"/>
              <w:rPr>
                <w:rFonts w:hint="eastAsia" w:ascii="微软雅黑" w:hAnsi="微软雅黑" w:eastAsia="微软雅黑" w:cs="微软雅黑"/>
                <w:color w:val="auto"/>
                <w:kern w:val="2"/>
                <w:sz w:val="21"/>
                <w:szCs w:val="21"/>
                <w:highlight w:val="none"/>
              </w:rPr>
            </w:pPr>
          </w:p>
        </w:tc>
      </w:tr>
    </w:tbl>
    <w:p w14:paraId="6DF3BA71">
      <w:pPr>
        <w:spacing w:line="360" w:lineRule="exact"/>
        <w:ind w:firstLine="420" w:firstLineChars="200"/>
        <w:rPr>
          <w:rFonts w:hint="eastAsia" w:ascii="微软雅黑" w:hAnsi="微软雅黑" w:eastAsia="微软雅黑" w:cs="微软雅黑"/>
          <w:b/>
          <w:color w:val="auto"/>
          <w:szCs w:val="21"/>
          <w:highlight w:val="none"/>
        </w:rPr>
      </w:pPr>
      <w:bookmarkStart w:id="2433" w:name="_Toc31049"/>
      <w:bookmarkStart w:id="2434" w:name="_Toc24781"/>
      <w:bookmarkStart w:id="2435" w:name="_Toc9108"/>
      <w:bookmarkStart w:id="2436" w:name="_Toc30814"/>
      <w:bookmarkStart w:id="2437" w:name="_Toc23594"/>
      <w:bookmarkStart w:id="2438" w:name="_Toc7895"/>
      <w:bookmarkStart w:id="2439" w:name="_Toc5736"/>
      <w:bookmarkStart w:id="2440" w:name="_Toc7458"/>
      <w:bookmarkStart w:id="2441" w:name="_Toc13856"/>
      <w:bookmarkStart w:id="2442" w:name="_Toc25678"/>
      <w:bookmarkStart w:id="2443" w:name="_Toc31015"/>
      <w:bookmarkStart w:id="2444" w:name="_Toc10340"/>
      <w:bookmarkStart w:id="2445" w:name="_Toc8496"/>
      <w:bookmarkStart w:id="2446" w:name="_Toc4084"/>
      <w:bookmarkStart w:id="2447" w:name="_Toc27817"/>
      <w:bookmarkStart w:id="2448" w:name="_Toc28773"/>
      <w:bookmarkStart w:id="2449" w:name="_Toc26470"/>
      <w:bookmarkStart w:id="2450" w:name="_Toc14128"/>
      <w:bookmarkStart w:id="2451" w:name="_Toc12094"/>
      <w:bookmarkStart w:id="2452" w:name="_Toc25818"/>
      <w:bookmarkStart w:id="2453" w:name="_Toc12160"/>
      <w:bookmarkStart w:id="2454" w:name="_Toc7110"/>
      <w:bookmarkStart w:id="2455" w:name="_Toc20763"/>
      <w:bookmarkStart w:id="2456" w:name="_Toc27654"/>
      <w:bookmarkStart w:id="2457" w:name="_Toc9279"/>
      <w:bookmarkStart w:id="2458" w:name="_Toc14667"/>
      <w:bookmarkStart w:id="2459" w:name="_Toc8402"/>
      <w:bookmarkStart w:id="2460" w:name="_Toc26112"/>
      <w:bookmarkStart w:id="2461" w:name="_Toc21349"/>
      <w:bookmarkStart w:id="2462" w:name="_Toc26523"/>
      <w:bookmarkStart w:id="2463" w:name="_Toc30643"/>
      <w:bookmarkStart w:id="2464" w:name="_Toc23422"/>
      <w:bookmarkStart w:id="2465" w:name="_Toc4585"/>
      <w:bookmarkStart w:id="2466" w:name="_Toc15573"/>
      <w:bookmarkStart w:id="2467" w:name="_Toc1949"/>
      <w:bookmarkStart w:id="2468" w:name="_Toc22618"/>
      <w:bookmarkStart w:id="2469" w:name="_Toc20850"/>
      <w:bookmarkStart w:id="2470" w:name="_Toc26784"/>
      <w:bookmarkStart w:id="2471" w:name="_Toc1493"/>
      <w:bookmarkStart w:id="2472" w:name="_Toc30297"/>
      <w:bookmarkStart w:id="2473" w:name="_Toc10086"/>
      <w:bookmarkStart w:id="2474" w:name="_Toc4330"/>
      <w:bookmarkStart w:id="2475" w:name="_Toc7313"/>
      <w:bookmarkStart w:id="2476" w:name="_Toc1814"/>
      <w:bookmarkStart w:id="2477" w:name="_Toc7801"/>
      <w:r>
        <w:rPr>
          <w:rFonts w:hint="eastAsia" w:ascii="微软雅黑" w:hAnsi="微软雅黑" w:eastAsia="微软雅黑" w:cs="微软雅黑"/>
          <w:b/>
          <w:color w:val="auto"/>
          <w:szCs w:val="21"/>
          <w:highlight w:val="none"/>
        </w:rPr>
        <w:t>1.4付款方式和发票开具方式</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p>
    <w:p w14:paraId="6130D14C">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1.4.1付款方式：；</w:t>
      </w:r>
    </w:p>
    <w:p w14:paraId="29159C0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1.4.2发票开具方式：。</w:t>
      </w:r>
    </w:p>
    <w:p w14:paraId="4EE13377">
      <w:pPr>
        <w:spacing w:line="360" w:lineRule="exact"/>
        <w:ind w:firstLine="420" w:firstLineChars="200"/>
        <w:rPr>
          <w:rFonts w:hint="eastAsia" w:ascii="微软雅黑" w:hAnsi="微软雅黑" w:eastAsia="微软雅黑" w:cs="微软雅黑"/>
          <w:b/>
          <w:color w:val="auto"/>
          <w:szCs w:val="21"/>
          <w:highlight w:val="none"/>
        </w:rPr>
      </w:pPr>
      <w:bookmarkStart w:id="2478" w:name="_Toc2846"/>
      <w:bookmarkStart w:id="2479" w:name="_Toc9475"/>
      <w:bookmarkStart w:id="2480" w:name="_Toc4353"/>
      <w:bookmarkStart w:id="2481" w:name="_Toc22270"/>
      <w:bookmarkStart w:id="2482" w:name="_Toc7357"/>
      <w:bookmarkStart w:id="2483" w:name="_Toc28943"/>
      <w:bookmarkStart w:id="2484" w:name="_Toc2631"/>
      <w:bookmarkStart w:id="2485" w:name="_Toc16823"/>
      <w:bookmarkStart w:id="2486" w:name="_Toc4501"/>
      <w:bookmarkStart w:id="2487" w:name="_Toc25427"/>
      <w:bookmarkStart w:id="2488" w:name="_Toc22903"/>
      <w:bookmarkStart w:id="2489" w:name="_Toc32717"/>
      <w:bookmarkStart w:id="2490" w:name="_Toc26095"/>
      <w:bookmarkStart w:id="2491" w:name="_Toc26187"/>
      <w:bookmarkStart w:id="2492" w:name="_Toc30563"/>
      <w:bookmarkStart w:id="2493" w:name="_Toc30447"/>
      <w:bookmarkStart w:id="2494" w:name="_Toc23735"/>
      <w:bookmarkStart w:id="2495" w:name="_Toc16341"/>
      <w:bookmarkStart w:id="2496" w:name="_Toc30364"/>
      <w:bookmarkStart w:id="2497" w:name="_Toc3578"/>
      <w:bookmarkStart w:id="2498" w:name="_Toc10276"/>
      <w:bookmarkStart w:id="2499" w:name="_Toc5397"/>
      <w:bookmarkStart w:id="2500" w:name="_Toc27020"/>
      <w:bookmarkStart w:id="2501" w:name="_Toc8476"/>
      <w:bookmarkStart w:id="2502" w:name="_Toc2852"/>
      <w:bookmarkStart w:id="2503" w:name="_Toc32071"/>
      <w:bookmarkStart w:id="2504" w:name="_Toc9478"/>
      <w:bookmarkStart w:id="2505" w:name="_Toc2083"/>
      <w:bookmarkStart w:id="2506" w:name="_Toc6393"/>
      <w:bookmarkStart w:id="2507" w:name="_Toc19304"/>
      <w:bookmarkStart w:id="2508" w:name="_Toc32098"/>
      <w:bookmarkStart w:id="2509" w:name="_Toc25417"/>
      <w:bookmarkStart w:id="2510" w:name="_Toc14649"/>
      <w:bookmarkStart w:id="2511" w:name="_Toc22920"/>
      <w:bookmarkStart w:id="2512" w:name="_Toc22861"/>
      <w:bookmarkStart w:id="2513" w:name="_Toc4292"/>
      <w:bookmarkStart w:id="2514" w:name="_Toc2048"/>
      <w:bookmarkStart w:id="2515" w:name="_Toc17179"/>
      <w:bookmarkStart w:id="2516" w:name="_Toc25844"/>
      <w:bookmarkStart w:id="2517" w:name="_Toc24174"/>
      <w:bookmarkStart w:id="2518" w:name="_Toc25278"/>
      <w:bookmarkStart w:id="2519" w:name="_Toc17448"/>
      <w:bookmarkStart w:id="2520" w:name="_Toc7017"/>
      <w:bookmarkStart w:id="2521" w:name="_Toc24799"/>
      <w:bookmarkStart w:id="2522" w:name="_Toc14194"/>
      <w:bookmarkStart w:id="2523" w:name="_Toc17246"/>
      <w:r>
        <w:rPr>
          <w:rFonts w:hint="eastAsia" w:ascii="微软雅黑" w:hAnsi="微软雅黑" w:eastAsia="微软雅黑" w:cs="微软雅黑"/>
          <w:b/>
          <w:color w:val="auto"/>
          <w:szCs w:val="21"/>
          <w:highlight w:val="none"/>
        </w:rPr>
        <w:t>1.5货物交付期限、地点和方式</w:t>
      </w:r>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26418207">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1.5.1交付期限：；</w:t>
      </w:r>
    </w:p>
    <w:p w14:paraId="66F4FFD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1.5.2交付地点：；</w:t>
      </w:r>
    </w:p>
    <w:p w14:paraId="0D91EB5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1.5.3交付方式：</w:t>
      </w:r>
      <w:r>
        <w:rPr>
          <w:rFonts w:hint="eastAsia" w:ascii="微软雅黑" w:hAnsi="微软雅黑" w:eastAsia="微软雅黑" w:cs="微软雅黑"/>
          <w:color w:val="auto"/>
          <w:szCs w:val="21"/>
          <w:highlight w:val="none"/>
          <w:u w:val="single"/>
        </w:rPr>
        <w:t>　　　　　　　　　　</w:t>
      </w:r>
      <w:r>
        <w:rPr>
          <w:rFonts w:hint="eastAsia" w:ascii="微软雅黑" w:hAnsi="微软雅黑" w:eastAsia="微软雅黑" w:cs="微软雅黑"/>
          <w:color w:val="auto"/>
          <w:szCs w:val="21"/>
          <w:highlight w:val="none"/>
        </w:rPr>
        <w:t>。</w:t>
      </w:r>
    </w:p>
    <w:p w14:paraId="631D7379">
      <w:pPr>
        <w:spacing w:line="360" w:lineRule="exact"/>
        <w:ind w:firstLine="420" w:firstLineChars="200"/>
        <w:rPr>
          <w:rFonts w:hint="eastAsia" w:ascii="微软雅黑" w:hAnsi="微软雅黑" w:eastAsia="微软雅黑" w:cs="微软雅黑"/>
          <w:b/>
          <w:color w:val="auto"/>
          <w:szCs w:val="21"/>
          <w:highlight w:val="none"/>
        </w:rPr>
      </w:pPr>
      <w:bookmarkStart w:id="2524" w:name="_Toc11279"/>
      <w:bookmarkStart w:id="2525" w:name="_Toc15865"/>
      <w:bookmarkStart w:id="2526" w:name="_Toc20173"/>
      <w:bookmarkStart w:id="2527" w:name="_Toc11026"/>
      <w:bookmarkStart w:id="2528" w:name="_Toc26856"/>
      <w:bookmarkStart w:id="2529" w:name="_Toc5183"/>
      <w:bookmarkStart w:id="2530" w:name="_Toc32353"/>
      <w:bookmarkStart w:id="2531" w:name="_Toc12629"/>
      <w:bookmarkStart w:id="2532" w:name="_Toc21406"/>
      <w:bookmarkStart w:id="2533" w:name="_Toc16816"/>
      <w:bookmarkStart w:id="2534" w:name="_Toc19554"/>
      <w:bookmarkStart w:id="2535" w:name="_Toc28130"/>
      <w:bookmarkStart w:id="2536" w:name="_Toc21423"/>
      <w:bookmarkStart w:id="2537" w:name="_Toc15394"/>
      <w:bookmarkStart w:id="2538" w:name="_Toc8541"/>
      <w:bookmarkStart w:id="2539" w:name="_Toc12495"/>
      <w:bookmarkStart w:id="2540" w:name="_Toc4190"/>
      <w:bookmarkStart w:id="2541" w:name="_Toc22088"/>
      <w:bookmarkStart w:id="2542" w:name="_Toc16478"/>
      <w:bookmarkStart w:id="2543" w:name="_Toc1143"/>
      <w:bookmarkStart w:id="2544" w:name="_Toc14181"/>
      <w:bookmarkStart w:id="2545" w:name="_Toc3339"/>
      <w:bookmarkStart w:id="2546" w:name="_Toc1835"/>
      <w:bookmarkStart w:id="2547" w:name="_Toc8754"/>
      <w:bookmarkStart w:id="2548" w:name="_Toc18652"/>
      <w:bookmarkStart w:id="2549" w:name="_Toc362"/>
      <w:bookmarkStart w:id="2550" w:name="_Toc12753"/>
      <w:bookmarkStart w:id="2551" w:name="_Toc32088"/>
      <w:bookmarkStart w:id="2552" w:name="_Toc27247"/>
      <w:bookmarkStart w:id="2553" w:name="_Toc29769"/>
      <w:bookmarkStart w:id="2554" w:name="_Toc11237"/>
      <w:bookmarkStart w:id="2555" w:name="_Toc24355"/>
      <w:bookmarkStart w:id="2556" w:name="_Toc13970"/>
      <w:bookmarkStart w:id="2557" w:name="_Toc25591"/>
      <w:bookmarkStart w:id="2558" w:name="_Toc295"/>
      <w:bookmarkStart w:id="2559" w:name="_Toc31437"/>
      <w:bookmarkStart w:id="2560" w:name="_Toc30256"/>
      <w:bookmarkStart w:id="2561" w:name="_Toc6841"/>
      <w:bookmarkStart w:id="2562" w:name="_Toc21261"/>
      <w:bookmarkStart w:id="2563" w:name="_Toc12402"/>
      <w:bookmarkStart w:id="2564" w:name="_Toc27250"/>
      <w:bookmarkStart w:id="2565" w:name="_Toc26850"/>
      <w:bookmarkStart w:id="2566" w:name="_Toc12988"/>
      <w:bookmarkStart w:id="2567" w:name="_Toc13569"/>
      <w:bookmarkStart w:id="2568" w:name="_Toc1881"/>
      <w:r>
        <w:rPr>
          <w:rFonts w:hint="eastAsia" w:ascii="微软雅黑" w:hAnsi="微软雅黑" w:eastAsia="微软雅黑" w:cs="微软雅黑"/>
          <w:b/>
          <w:color w:val="auto"/>
          <w:szCs w:val="21"/>
          <w:highlight w:val="none"/>
        </w:rPr>
        <w:t>1.6违约责任</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3661759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1.6.1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14:paraId="5977B84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6A17DCF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F382C3">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A1E1D5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E7F7D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3DE5A1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1.6.7货物或者在途货物或者交付给第一承运人后的货物毁损、灭失的风险负担（建议增加由乙方承担）。</w:t>
      </w:r>
    </w:p>
    <w:p w14:paraId="5704E718">
      <w:pPr>
        <w:spacing w:line="360" w:lineRule="exact"/>
        <w:ind w:firstLine="420" w:firstLineChars="200"/>
        <w:rPr>
          <w:rFonts w:hint="eastAsia" w:ascii="微软雅黑" w:hAnsi="微软雅黑" w:eastAsia="微软雅黑" w:cs="微软雅黑"/>
          <w:b/>
          <w:color w:val="auto"/>
          <w:szCs w:val="21"/>
          <w:highlight w:val="none"/>
        </w:rPr>
      </w:pPr>
      <w:bookmarkStart w:id="2569" w:name="_Toc6344"/>
      <w:bookmarkStart w:id="2570" w:name="_Toc10702"/>
      <w:bookmarkStart w:id="2571" w:name="_Toc14832"/>
      <w:bookmarkStart w:id="2572" w:name="_Toc8037"/>
      <w:bookmarkStart w:id="2573" w:name="_Toc15583"/>
      <w:bookmarkStart w:id="2574" w:name="_Toc28775"/>
      <w:bookmarkStart w:id="2575" w:name="_Toc2338"/>
      <w:bookmarkStart w:id="2576" w:name="_Toc11381"/>
      <w:bookmarkStart w:id="2577" w:name="_Toc28375"/>
      <w:bookmarkStart w:id="2578" w:name="_Toc25915"/>
      <w:bookmarkStart w:id="2579" w:name="_Toc17013"/>
      <w:bookmarkStart w:id="2580" w:name="_Toc27927"/>
      <w:bookmarkStart w:id="2581" w:name="_Toc23654"/>
      <w:bookmarkStart w:id="2582" w:name="_Toc2627"/>
      <w:bookmarkStart w:id="2583" w:name="_Toc22094"/>
      <w:bookmarkStart w:id="2584" w:name="_Toc16021"/>
      <w:bookmarkStart w:id="2585" w:name="_Toc8054"/>
      <w:bookmarkStart w:id="2586" w:name="_Toc20610"/>
      <w:bookmarkStart w:id="2587" w:name="_Toc29338"/>
      <w:bookmarkStart w:id="2588" w:name="_Toc565"/>
      <w:bookmarkStart w:id="2589" w:name="_Toc9202"/>
      <w:bookmarkStart w:id="2590" w:name="_Toc11007"/>
      <w:bookmarkStart w:id="2591" w:name="_Toc25793"/>
      <w:bookmarkStart w:id="2592" w:name="_Toc13447"/>
      <w:bookmarkStart w:id="2593" w:name="_Toc27762"/>
      <w:bookmarkStart w:id="2594" w:name="_Toc24393"/>
      <w:bookmarkStart w:id="2595" w:name="_Toc17407"/>
      <w:bookmarkStart w:id="2596" w:name="_Toc19011"/>
      <w:bookmarkStart w:id="2597" w:name="_Toc29802"/>
      <w:bookmarkStart w:id="2598" w:name="_Toc3403"/>
      <w:bookmarkStart w:id="2599" w:name="_Toc31080"/>
      <w:bookmarkStart w:id="2600" w:name="_Toc5482"/>
      <w:bookmarkStart w:id="2601" w:name="_Toc29432"/>
      <w:bookmarkStart w:id="2602" w:name="_Toc7297"/>
      <w:bookmarkStart w:id="2603" w:name="_Toc7216"/>
      <w:bookmarkStart w:id="2604" w:name="_Toc6448"/>
      <w:bookmarkStart w:id="2605" w:name="_Toc20238"/>
      <w:bookmarkStart w:id="2606" w:name="_Toc6660"/>
      <w:bookmarkStart w:id="2607" w:name="_Toc9253"/>
      <w:bookmarkStart w:id="2608" w:name="_Toc32517"/>
      <w:bookmarkStart w:id="2609" w:name="_Toc11167"/>
      <w:bookmarkStart w:id="2610" w:name="_Toc7647"/>
      <w:bookmarkStart w:id="2611" w:name="_Toc5877"/>
      <w:bookmarkStart w:id="2612" w:name="_Toc21810"/>
      <w:bookmarkStart w:id="2613" w:name="_Toc20902"/>
      <w:bookmarkStart w:id="2614" w:name="_Toc8914"/>
      <w:r>
        <w:rPr>
          <w:rFonts w:hint="eastAsia" w:ascii="微软雅黑" w:hAnsi="微软雅黑" w:eastAsia="微软雅黑" w:cs="微软雅黑"/>
          <w:b/>
          <w:color w:val="auto"/>
          <w:szCs w:val="21"/>
          <w:highlight w:val="none"/>
        </w:rPr>
        <w:t>1.7合同争议的解决</w:t>
      </w:r>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p>
    <w:p w14:paraId="62D7356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本合同履行过程中发生的任何争议，双方当事人均可通过和解或者调解解决；不愿和解、调解或者和解、调解不成的，可以选择下列第种方式解决：</w:t>
      </w:r>
    </w:p>
    <w:p w14:paraId="7FF81E2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1.7.1将争议提交仲裁委员会依申请仲裁时其现行有效的仲裁规则裁决；</w:t>
      </w:r>
    </w:p>
    <w:p w14:paraId="5B012E5C">
      <w:pP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1.7.2向</w:t>
      </w:r>
      <w:r>
        <w:rPr>
          <w:rFonts w:hint="eastAsia" w:ascii="微软雅黑" w:hAnsi="微软雅黑" w:eastAsia="微软雅黑" w:cs="微软雅黑"/>
          <w:color w:val="auto"/>
          <w:szCs w:val="21"/>
          <w:highlight w:val="none"/>
          <w:u w:val="single"/>
        </w:rPr>
        <w:t>（被告住所地、合同履行地、合同签订地、原告住所地、标的物所在地等与争议有实际联系的地点中选出的人民法院名称）</w:t>
      </w:r>
      <w:r>
        <w:rPr>
          <w:rFonts w:hint="eastAsia" w:ascii="微软雅黑" w:hAnsi="微软雅黑" w:eastAsia="微软雅黑" w:cs="微软雅黑"/>
          <w:color w:val="auto"/>
          <w:szCs w:val="21"/>
          <w:highlight w:val="none"/>
        </w:rPr>
        <w:t>在采购方所在地的人民法院起诉。</w:t>
      </w:r>
    </w:p>
    <w:p w14:paraId="726B062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17.3乙方应当先行履行合同，待供货检验合格后，甲方方可进行支付货款，若供应商资质或者供应货物不符合参数要求，甲方有权随时解除合同，并有权依法追究违约责任。</w:t>
      </w:r>
    </w:p>
    <w:p w14:paraId="245D2EBD">
      <w:pPr>
        <w:spacing w:line="360" w:lineRule="exact"/>
        <w:ind w:firstLine="420" w:firstLineChars="200"/>
        <w:rPr>
          <w:rFonts w:hint="eastAsia" w:ascii="微软雅黑" w:hAnsi="微软雅黑" w:eastAsia="微软雅黑" w:cs="微软雅黑"/>
          <w:b/>
          <w:color w:val="auto"/>
          <w:szCs w:val="21"/>
          <w:highlight w:val="none"/>
        </w:rPr>
      </w:pPr>
      <w:bookmarkStart w:id="2615" w:name="_Toc10255"/>
      <w:bookmarkStart w:id="2616" w:name="_Toc15322"/>
      <w:bookmarkStart w:id="2617" w:name="_Toc9191"/>
      <w:bookmarkStart w:id="2618" w:name="_Toc2901"/>
      <w:bookmarkStart w:id="2619" w:name="_Toc6411"/>
      <w:bookmarkStart w:id="2620" w:name="_Toc28584"/>
      <w:bookmarkStart w:id="2621" w:name="_Toc10429"/>
      <w:bookmarkStart w:id="2622" w:name="_Toc27565"/>
      <w:bookmarkStart w:id="2623" w:name="_Toc20822"/>
      <w:bookmarkStart w:id="2624" w:name="_Toc24759"/>
      <w:bookmarkStart w:id="2625" w:name="_Toc6001"/>
      <w:bookmarkStart w:id="2626" w:name="_Toc20905"/>
      <w:bookmarkStart w:id="2627" w:name="_Toc20282"/>
      <w:bookmarkStart w:id="2628" w:name="_Toc11882"/>
      <w:bookmarkStart w:id="2629" w:name="_Toc10362"/>
      <w:bookmarkStart w:id="2630" w:name="_Toc13065"/>
      <w:bookmarkStart w:id="2631" w:name="_Toc880"/>
      <w:bookmarkStart w:id="2632" w:name="_Toc30260"/>
      <w:bookmarkStart w:id="2633" w:name="_Toc11173"/>
      <w:bookmarkStart w:id="2634" w:name="_Toc17113"/>
      <w:bookmarkStart w:id="2635" w:name="_Toc25452"/>
      <w:bookmarkStart w:id="2636" w:name="_Toc9329"/>
      <w:bookmarkStart w:id="2637" w:name="_Toc29560"/>
      <w:bookmarkStart w:id="2638" w:name="_Toc13718"/>
      <w:bookmarkStart w:id="2639" w:name="_Toc22385"/>
      <w:bookmarkStart w:id="2640" w:name="_Toc26897"/>
      <w:bookmarkStart w:id="2641" w:name="_Toc6721"/>
      <w:bookmarkStart w:id="2642" w:name="_Toc27626"/>
      <w:bookmarkStart w:id="2643" w:name="_Toc9582"/>
      <w:bookmarkStart w:id="2644" w:name="_Toc518"/>
      <w:bookmarkStart w:id="2645" w:name="_Toc27430"/>
      <w:bookmarkStart w:id="2646" w:name="_Toc10043"/>
      <w:bookmarkStart w:id="2647" w:name="_Toc30006"/>
      <w:bookmarkStart w:id="2648" w:name="_Toc27461"/>
      <w:bookmarkStart w:id="2649" w:name="_Toc20305"/>
      <w:bookmarkStart w:id="2650" w:name="_Toc12859"/>
      <w:bookmarkStart w:id="2651" w:name="_Toc16410"/>
      <w:bookmarkStart w:id="2652" w:name="_Toc21152"/>
      <w:bookmarkStart w:id="2653" w:name="_Toc2894"/>
      <w:bookmarkStart w:id="2654" w:name="_Toc24003"/>
      <w:bookmarkStart w:id="2655" w:name="_Toc1647"/>
      <w:bookmarkStart w:id="2656" w:name="_Toc5403"/>
      <w:bookmarkStart w:id="2657" w:name="_Toc23061"/>
      <w:bookmarkStart w:id="2658" w:name="_Toc7245"/>
      <w:bookmarkStart w:id="2659" w:name="_Toc19180"/>
      <w:r>
        <w:rPr>
          <w:rFonts w:hint="eastAsia" w:ascii="微软雅黑" w:hAnsi="微软雅黑" w:eastAsia="微软雅黑" w:cs="微软雅黑"/>
          <w:b/>
          <w:color w:val="auto"/>
          <w:szCs w:val="21"/>
          <w:highlight w:val="none"/>
        </w:rPr>
        <w:t>1.8合同生效</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38CC6A3A">
      <w:pP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本合同自双方当事人盖章或者签字时生效。</w:t>
      </w:r>
    </w:p>
    <w:p w14:paraId="389CA9CC">
      <w:pPr>
        <w:autoSpaceDE w:val="0"/>
        <w:autoSpaceDN w:val="0"/>
        <w:adjustRightInd w:val="0"/>
        <w:spacing w:line="360" w:lineRule="exact"/>
        <w:rPr>
          <w:rFonts w:hint="eastAsia" w:ascii="微软雅黑" w:hAnsi="微软雅黑" w:eastAsia="微软雅黑" w:cs="微软雅黑"/>
          <w:color w:val="auto"/>
          <w:szCs w:val="21"/>
          <w:highlight w:val="none"/>
          <w:lang w:val="zh-CN"/>
        </w:rPr>
      </w:pPr>
    </w:p>
    <w:p w14:paraId="5BBF1F0D">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b/>
          <w:color w:val="auto"/>
          <w:szCs w:val="21"/>
          <w:highlight w:val="none"/>
          <w:lang w:val="zh-CN"/>
        </w:rPr>
        <w:t>甲方</w:t>
      </w:r>
      <w:r>
        <w:rPr>
          <w:rFonts w:hint="eastAsia" w:ascii="微软雅黑" w:hAnsi="微软雅黑" w:eastAsia="微软雅黑" w:cs="微软雅黑"/>
          <w:color w:val="auto"/>
          <w:szCs w:val="21"/>
          <w:highlight w:val="none"/>
          <w:lang w:val="zh-CN"/>
        </w:rPr>
        <w:t>：</w:t>
      </w:r>
      <w:r>
        <w:rPr>
          <w:rFonts w:hint="eastAsia" w:ascii="微软雅黑" w:hAnsi="微软雅黑" w:eastAsia="微软雅黑" w:cs="微软雅黑"/>
          <w:b/>
          <w:color w:val="auto"/>
          <w:szCs w:val="21"/>
          <w:highlight w:val="none"/>
          <w:lang w:val="zh-CN"/>
        </w:rPr>
        <w:t>乙方</w:t>
      </w:r>
      <w:r>
        <w:rPr>
          <w:rFonts w:hint="eastAsia" w:ascii="微软雅黑" w:hAnsi="微软雅黑" w:eastAsia="微软雅黑" w:cs="微软雅黑"/>
          <w:color w:val="auto"/>
          <w:szCs w:val="21"/>
          <w:highlight w:val="none"/>
          <w:lang w:val="zh-CN"/>
        </w:rPr>
        <w:t>：</w:t>
      </w:r>
    </w:p>
    <w:p w14:paraId="4BCAFA77">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统一社会信用代码：统一社会信用代码或身份证号码：</w:t>
      </w:r>
    </w:p>
    <w:p w14:paraId="2C89DF7B">
      <w:pPr>
        <w:autoSpaceDE w:val="0"/>
        <w:autoSpaceDN w:val="0"/>
        <w:adjustRightInd w:val="0"/>
        <w:spacing w:line="360" w:lineRule="exact"/>
        <w:rPr>
          <w:rFonts w:hint="eastAsia" w:ascii="微软雅黑" w:hAnsi="微软雅黑" w:eastAsia="微软雅黑" w:cs="微软雅黑"/>
          <w:color w:val="auto"/>
          <w:szCs w:val="21"/>
          <w:highlight w:val="none"/>
          <w:lang w:val="zh-CN"/>
        </w:rPr>
      </w:pPr>
    </w:p>
    <w:p w14:paraId="2F8813E3">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住所：住所：</w:t>
      </w:r>
    </w:p>
    <w:p w14:paraId="1F89D0C3">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法定代表人或法定代表人</w:t>
      </w:r>
    </w:p>
    <w:p w14:paraId="3FD9D33F">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授权代表（签字）：或授权代表（签字）:</w:t>
      </w:r>
    </w:p>
    <w:p w14:paraId="4B6ACAD7">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联系人：联系人：</w:t>
      </w:r>
    </w:p>
    <w:p w14:paraId="0D3C607D">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约定送达地址：约定送达地址：</w:t>
      </w:r>
    </w:p>
    <w:p w14:paraId="30F59526">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邮政编码：邮政编码：</w:t>
      </w:r>
    </w:p>
    <w:p w14:paraId="4C640391">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电话:电话:</w:t>
      </w:r>
    </w:p>
    <w:p w14:paraId="7027FD90">
      <w:pP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传真:传真:</w:t>
      </w:r>
    </w:p>
    <w:p w14:paraId="57B3B914">
      <w:pP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电子邮箱：电子邮箱：</w:t>
      </w:r>
    </w:p>
    <w:p w14:paraId="316BEC5D">
      <w:pPr>
        <w:autoSpaceDE w:val="0"/>
        <w:autoSpaceDN w:val="0"/>
        <w:adjustRightInd w:val="0"/>
        <w:spacing w:line="360" w:lineRule="exact"/>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开户银行：开户银行：</w:t>
      </w:r>
    </w:p>
    <w:p w14:paraId="0FC6A0F0">
      <w:pPr>
        <w:autoSpaceDE w:val="0"/>
        <w:autoSpaceDN w:val="0"/>
        <w:adjustRightInd w:val="0"/>
        <w:spacing w:line="360" w:lineRule="exact"/>
        <w:rPr>
          <w:rFonts w:hint="eastAsia" w:ascii="微软雅黑" w:hAnsi="微软雅黑" w:eastAsia="微软雅黑" w:cs="微软雅黑"/>
          <w:color w:val="auto"/>
          <w:szCs w:val="21"/>
          <w:highlight w:val="none"/>
          <w:lang w:eastAsia="zh-CN"/>
        </w:rPr>
      </w:pPr>
      <w:r>
        <w:rPr>
          <w:rFonts w:hint="eastAsia" w:ascii="微软雅黑" w:hAnsi="微软雅黑" w:eastAsia="微软雅黑" w:cs="微软雅黑"/>
          <w:color w:val="auto"/>
          <w:szCs w:val="21"/>
          <w:highlight w:val="none"/>
        </w:rPr>
        <w:t>开户名称：开户名称：</w:t>
      </w:r>
    </w:p>
    <w:p w14:paraId="1BDB38A1">
      <w:pP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开户账号：开户账号：</w:t>
      </w:r>
    </w:p>
    <w:p w14:paraId="40F4E928">
      <w:pPr>
        <w:widowControl/>
        <w:spacing w:line="360" w:lineRule="exact"/>
        <w:jc w:val="left"/>
        <w:rPr>
          <w:rFonts w:hint="eastAsia" w:ascii="微软雅黑" w:hAnsi="微软雅黑" w:eastAsia="微软雅黑" w:cs="微软雅黑"/>
          <w:b/>
          <w:color w:val="auto"/>
          <w:szCs w:val="21"/>
          <w:highlight w:val="none"/>
        </w:rPr>
      </w:pPr>
      <w:bookmarkStart w:id="2660" w:name="_Toc331685783"/>
    </w:p>
    <w:p w14:paraId="6584B3C3">
      <w:pPr>
        <w:widowControl/>
        <w:spacing w:line="360" w:lineRule="exact"/>
        <w:jc w:val="left"/>
        <w:rPr>
          <w:rFonts w:hint="eastAsia" w:ascii="微软雅黑" w:hAnsi="微软雅黑" w:eastAsia="微软雅黑" w:cs="微软雅黑"/>
          <w:b/>
          <w:color w:val="auto"/>
          <w:szCs w:val="21"/>
          <w:highlight w:val="none"/>
        </w:rPr>
      </w:pPr>
    </w:p>
    <w:p w14:paraId="42D20FB3">
      <w:pPr>
        <w:pStyle w:val="72"/>
        <w:spacing w:line="360" w:lineRule="exact"/>
        <w:ind w:firstLine="20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第二部分合同一般条款</w:t>
      </w:r>
      <w:bookmarkEnd w:id="2660"/>
    </w:p>
    <w:p w14:paraId="1006236B">
      <w:pPr>
        <w:spacing w:line="360" w:lineRule="exact"/>
        <w:ind w:firstLine="420" w:firstLineChars="200"/>
        <w:rPr>
          <w:rFonts w:hint="eastAsia" w:ascii="微软雅黑" w:hAnsi="微软雅黑" w:eastAsia="微软雅黑" w:cs="微软雅黑"/>
          <w:b/>
          <w:color w:val="auto"/>
          <w:szCs w:val="21"/>
          <w:highlight w:val="none"/>
        </w:rPr>
      </w:pPr>
      <w:bookmarkStart w:id="2661" w:name="_Toc477"/>
      <w:bookmarkStart w:id="2662" w:name="_Toc17718"/>
      <w:bookmarkStart w:id="2663" w:name="_Toc115"/>
      <w:bookmarkStart w:id="2664" w:name="_Toc5579"/>
      <w:bookmarkStart w:id="2665" w:name="_Toc259093669"/>
      <w:bookmarkStart w:id="2666" w:name="_Toc17722"/>
      <w:bookmarkStart w:id="2667" w:name="_Toc28113"/>
      <w:bookmarkStart w:id="2668" w:name="_Ref467379195"/>
      <w:bookmarkStart w:id="2669" w:name="_Toc16917"/>
      <w:bookmarkStart w:id="2670" w:name="_Toc20709"/>
      <w:bookmarkStart w:id="2671" w:name="_Toc28992"/>
      <w:bookmarkStart w:id="2672" w:name="_Toc19259"/>
      <w:bookmarkStart w:id="2673" w:name="_Toc26936"/>
      <w:bookmarkStart w:id="2674" w:name="_Toc19166"/>
      <w:bookmarkStart w:id="2675" w:name="_Toc12683"/>
      <w:bookmarkStart w:id="2676" w:name="_Toc14186"/>
      <w:bookmarkStart w:id="2677" w:name="_Toc279701240"/>
      <w:bookmarkStart w:id="2678" w:name="_Toc9404"/>
      <w:bookmarkStart w:id="2679" w:name="_Toc18744"/>
      <w:bookmarkStart w:id="2680" w:name="_Toc1241"/>
      <w:bookmarkStart w:id="2681" w:name="_Toc19614"/>
      <w:bookmarkStart w:id="2682" w:name="_Toc12488"/>
      <w:bookmarkStart w:id="2683" w:name="_Toc27133"/>
      <w:bookmarkStart w:id="2684" w:name="_Toc25554"/>
      <w:bookmarkStart w:id="2685" w:name="_Toc15647"/>
      <w:bookmarkStart w:id="2686" w:name="_Toc2034"/>
      <w:bookmarkStart w:id="2687" w:name="_Toc26822"/>
      <w:bookmarkStart w:id="2688" w:name="_Ref467378463"/>
      <w:bookmarkStart w:id="2689" w:name="_Toc510"/>
      <w:bookmarkStart w:id="2690" w:name="_Toc487900349"/>
      <w:bookmarkStart w:id="2691" w:name="_Ref467378499"/>
      <w:bookmarkStart w:id="2692" w:name="_Toc16593"/>
      <w:bookmarkStart w:id="2693" w:name="_Toc1596"/>
      <w:bookmarkStart w:id="2694" w:name="_Ref467378404"/>
      <w:bookmarkStart w:id="2695" w:name="_Toc29659"/>
      <w:bookmarkStart w:id="2696" w:name="_Toc14827"/>
      <w:bookmarkStart w:id="2697" w:name="_Toc2417"/>
      <w:bookmarkStart w:id="2698" w:name="_Toc16687"/>
      <w:bookmarkStart w:id="2699" w:name="_Toc26415"/>
      <w:bookmarkStart w:id="2700" w:name="_Toc28763"/>
      <w:bookmarkStart w:id="2701" w:name="_Ref467379225"/>
      <w:bookmarkStart w:id="2702" w:name="_Toc8206"/>
      <w:bookmarkStart w:id="2703" w:name="_Toc6280"/>
      <w:bookmarkStart w:id="2704" w:name="_Toc4459"/>
      <w:bookmarkStart w:id="2705" w:name="_Toc11627"/>
      <w:bookmarkStart w:id="2706" w:name="_Ref467379205"/>
      <w:bookmarkStart w:id="2707" w:name="_Toc28547"/>
      <w:bookmarkStart w:id="2708" w:name="_Toc14065"/>
      <w:bookmarkStart w:id="2709" w:name="_Toc2485"/>
      <w:bookmarkStart w:id="2710" w:name="_Toc3983"/>
      <w:bookmarkStart w:id="2711" w:name="_Toc3091"/>
      <w:bookmarkStart w:id="2712" w:name="_Ref467379094"/>
      <w:bookmarkStart w:id="2713" w:name="_Toc32624"/>
      <w:bookmarkStart w:id="2714" w:name="_Toc31417"/>
      <w:bookmarkStart w:id="2715" w:name="_Toc24786"/>
      <w:bookmarkStart w:id="2716" w:name="_Toc18165"/>
      <w:bookmarkStart w:id="2717" w:name="_Ref467379214"/>
      <w:bookmarkStart w:id="2718" w:name="_Toc23655"/>
      <w:bookmarkStart w:id="2719" w:name="_Ref467379101"/>
      <w:bookmarkStart w:id="2720" w:name="_Ref467379109"/>
      <w:r>
        <w:rPr>
          <w:rFonts w:hint="eastAsia" w:ascii="微软雅黑" w:hAnsi="微软雅黑" w:eastAsia="微软雅黑" w:cs="微软雅黑"/>
          <w:b/>
          <w:color w:val="auto"/>
          <w:szCs w:val="21"/>
          <w:highlight w:val="none"/>
        </w:rPr>
        <w:t>2.1定义</w:t>
      </w:r>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16F9E3B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本合同中的下列词语应按以下内容进行解释：</w:t>
      </w:r>
    </w:p>
    <w:p w14:paraId="2C901D2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2.1.1“合同”系指采购人和中标供应商签订的载明双方当事人所达成的协议，并包括所有的附件、附录和构成合同的其他文件。</w:t>
      </w:r>
    </w:p>
    <w:p w14:paraId="4A8C9E4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2.1.2“合同价”系指根据合同约定，中标供应商在完全履行合同义务后，采购人应支付给中标供应商的价格。</w:t>
      </w:r>
    </w:p>
    <w:p w14:paraId="6951A4B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2.1.3“货物”系指中标供应商根据合同约定应向采购人交付的一切各种形态和种类的物品，包括原材料、燃料、设备、机械、仪表、备件、计算机软件、产品等，并包括工具、手册等其他相关资料。</w:t>
      </w:r>
    </w:p>
    <w:p w14:paraId="2C6AB1F7">
      <w:pPr>
        <w:spacing w:line="360" w:lineRule="exact"/>
        <w:ind w:firstLine="420" w:firstLineChars="200"/>
        <w:rPr>
          <w:rFonts w:hint="eastAsia" w:ascii="微软雅黑" w:hAnsi="微软雅黑" w:eastAsia="微软雅黑" w:cs="微软雅黑"/>
          <w:color w:val="auto"/>
          <w:szCs w:val="21"/>
          <w:highlight w:val="none"/>
        </w:rPr>
      </w:pPr>
      <w:bookmarkStart w:id="2721" w:name="_Ref467378840"/>
      <w:r>
        <w:rPr>
          <w:rFonts w:hint="eastAsia" w:ascii="微软雅黑" w:hAnsi="微软雅黑" w:eastAsia="微软雅黑" w:cs="微软雅黑"/>
          <w:color w:val="auto"/>
          <w:szCs w:val="21"/>
          <w:highlight w:val="none"/>
        </w:rPr>
        <w:t>2.1.4“甲方”系指与中标供应商签署合同的采购人</w:t>
      </w:r>
      <w:bookmarkEnd w:id="2721"/>
      <w:r>
        <w:rPr>
          <w:rFonts w:hint="eastAsia" w:ascii="微软雅黑" w:hAnsi="微软雅黑" w:eastAsia="微软雅黑" w:cs="微软雅黑"/>
          <w:color w:val="auto"/>
          <w:szCs w:val="21"/>
          <w:highlight w:val="none"/>
        </w:rPr>
        <w:t>；采购人委托采购代理机构代表其与乙方签订合同的，采购人的授权委托书作为合同附件。</w:t>
      </w:r>
    </w:p>
    <w:p w14:paraId="36CA25CF">
      <w:pPr>
        <w:spacing w:line="360" w:lineRule="exact"/>
        <w:ind w:firstLine="420" w:firstLineChars="200"/>
        <w:rPr>
          <w:rFonts w:hint="eastAsia" w:ascii="微软雅黑" w:hAnsi="微软雅黑" w:eastAsia="微软雅黑" w:cs="微软雅黑"/>
          <w:color w:val="auto"/>
          <w:szCs w:val="21"/>
          <w:highlight w:val="none"/>
        </w:rPr>
      </w:pPr>
      <w:bookmarkStart w:id="2722" w:name="_Ref467379400"/>
      <w:r>
        <w:rPr>
          <w:rFonts w:hint="eastAsia" w:ascii="微软雅黑" w:hAnsi="微软雅黑" w:eastAsia="微软雅黑" w:cs="微软雅黑"/>
          <w:color w:val="auto"/>
          <w:szCs w:val="21"/>
          <w:highlight w:val="none"/>
        </w:rPr>
        <w:t>2.1.5“乙方”系指根据合同约定交付货物的中标供应商</w:t>
      </w:r>
      <w:bookmarkEnd w:id="2722"/>
      <w:r>
        <w:rPr>
          <w:rFonts w:hint="eastAsia" w:ascii="微软雅黑" w:hAnsi="微软雅黑" w:eastAsia="微软雅黑" w:cs="微软雅黑"/>
          <w:color w:val="auto"/>
          <w:szCs w:val="21"/>
          <w:highlight w:val="none"/>
        </w:rPr>
        <w:t>；两个以上的自然人、法定代表人或者其他组织组成一个联合体，以一个供应商的身份共同参加政府采购的，联合体各方均应为乙方或者与乙方相同地位的合同当事人，并就合同约定的事项对甲方承担连带责任。</w:t>
      </w:r>
    </w:p>
    <w:p w14:paraId="6FDFF438">
      <w:pPr>
        <w:spacing w:line="360" w:lineRule="exact"/>
        <w:ind w:firstLine="420" w:firstLineChars="200"/>
        <w:rPr>
          <w:rFonts w:hint="eastAsia" w:ascii="微软雅黑" w:hAnsi="微软雅黑" w:eastAsia="微软雅黑" w:cs="微软雅黑"/>
          <w:color w:val="auto"/>
          <w:szCs w:val="21"/>
          <w:highlight w:val="none"/>
        </w:rPr>
      </w:pPr>
      <w:bookmarkStart w:id="2723" w:name="_Ref467379436"/>
      <w:r>
        <w:rPr>
          <w:rFonts w:hint="eastAsia" w:ascii="微软雅黑" w:hAnsi="微软雅黑" w:eastAsia="微软雅黑" w:cs="微软雅黑"/>
          <w:color w:val="auto"/>
          <w:szCs w:val="21"/>
          <w:highlight w:val="none"/>
        </w:rPr>
        <w:t>2.1.6“现场”系指合同约定货物将要运至或者安装的地点。</w:t>
      </w:r>
      <w:bookmarkEnd w:id="2723"/>
    </w:p>
    <w:p w14:paraId="56F4683B">
      <w:pPr>
        <w:spacing w:line="360" w:lineRule="exact"/>
        <w:ind w:firstLine="420" w:firstLineChars="200"/>
        <w:rPr>
          <w:rFonts w:hint="eastAsia" w:ascii="微软雅黑" w:hAnsi="微软雅黑" w:eastAsia="微软雅黑" w:cs="微软雅黑"/>
          <w:b/>
          <w:color w:val="auto"/>
          <w:szCs w:val="21"/>
          <w:highlight w:val="none"/>
        </w:rPr>
      </w:pPr>
      <w:bookmarkStart w:id="2724" w:name="_Toc14975"/>
      <w:bookmarkStart w:id="2725" w:name="_Toc10514"/>
      <w:bookmarkStart w:id="2726" w:name="_Toc16045"/>
      <w:bookmarkStart w:id="2727" w:name="_Toc15922"/>
      <w:bookmarkStart w:id="2728" w:name="_Toc8815"/>
      <w:bookmarkStart w:id="2729" w:name="_Toc22122"/>
      <w:bookmarkStart w:id="2730" w:name="_Toc24523"/>
      <w:bookmarkStart w:id="2731" w:name="_Toc1221"/>
      <w:bookmarkStart w:id="2732" w:name="_Toc1447"/>
      <w:bookmarkStart w:id="2733" w:name="_Toc16564"/>
      <w:bookmarkStart w:id="2734" w:name="_Toc20046"/>
      <w:bookmarkStart w:id="2735" w:name="_Toc259093670"/>
      <w:bookmarkStart w:id="2736" w:name="_Toc20726"/>
      <w:bookmarkStart w:id="2737" w:name="_Toc24448"/>
      <w:bookmarkStart w:id="2738" w:name="_Toc32504"/>
      <w:bookmarkStart w:id="2739" w:name="_Toc9621"/>
      <w:bookmarkStart w:id="2740" w:name="_Toc15848"/>
      <w:bookmarkStart w:id="2741" w:name="_Toc11142"/>
      <w:bookmarkStart w:id="2742" w:name="_Toc4183"/>
      <w:bookmarkStart w:id="2743" w:name="_Toc24792"/>
      <w:bookmarkStart w:id="2744" w:name="_Toc8315"/>
      <w:bookmarkStart w:id="2745" w:name="_Toc13336"/>
      <w:bookmarkStart w:id="2746" w:name="_Toc7024"/>
      <w:bookmarkStart w:id="2747" w:name="_Toc27952"/>
      <w:bookmarkStart w:id="2748" w:name="_Toc10183"/>
      <w:bookmarkStart w:id="2749" w:name="_Toc1352"/>
      <w:bookmarkStart w:id="2750" w:name="_Toc25266"/>
      <w:bookmarkStart w:id="2751" w:name="_Toc11122"/>
      <w:bookmarkStart w:id="2752" w:name="_Toc22104"/>
      <w:bookmarkStart w:id="2753" w:name="_Toc29311"/>
      <w:bookmarkStart w:id="2754" w:name="_Toc3860"/>
      <w:bookmarkStart w:id="2755" w:name="_Toc17151"/>
      <w:bookmarkStart w:id="2756" w:name="_Toc7130"/>
      <w:bookmarkStart w:id="2757" w:name="_Toc13024"/>
      <w:bookmarkStart w:id="2758" w:name="_Toc769"/>
      <w:bookmarkStart w:id="2759" w:name="_Toc21145"/>
      <w:bookmarkStart w:id="2760" w:name="_Toc14999"/>
      <w:bookmarkStart w:id="2761" w:name="_Toc23227"/>
      <w:bookmarkStart w:id="2762" w:name="_Toc23689"/>
      <w:bookmarkStart w:id="2763" w:name="_Toc5592"/>
      <w:bookmarkStart w:id="2764" w:name="_Toc1183"/>
      <w:bookmarkStart w:id="2765" w:name="_Toc487900350"/>
      <w:bookmarkStart w:id="2766" w:name="_Toc10855"/>
      <w:bookmarkStart w:id="2767" w:name="_Toc6897"/>
      <w:bookmarkStart w:id="2768" w:name="_Toc3949"/>
      <w:bookmarkStart w:id="2769" w:name="_Toc279701241"/>
      <w:bookmarkStart w:id="2770" w:name="_Toc27635"/>
      <w:bookmarkStart w:id="2771" w:name="_Toc7416"/>
      <w:bookmarkStart w:id="2772" w:name="_Toc8248"/>
      <w:bookmarkStart w:id="2773" w:name="_Toc829"/>
      <w:r>
        <w:rPr>
          <w:rFonts w:hint="eastAsia" w:ascii="微软雅黑" w:hAnsi="微软雅黑" w:eastAsia="微软雅黑" w:cs="微软雅黑"/>
          <w:b/>
          <w:color w:val="auto"/>
          <w:szCs w:val="21"/>
          <w:highlight w:val="none"/>
        </w:rPr>
        <w:t>2.2技术规范</w:t>
      </w:r>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31EBCE8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39E8A9C">
      <w:pPr>
        <w:spacing w:line="360" w:lineRule="exact"/>
        <w:ind w:firstLine="420" w:firstLineChars="200"/>
        <w:rPr>
          <w:rFonts w:hint="eastAsia" w:ascii="微软雅黑" w:hAnsi="微软雅黑" w:eastAsia="微软雅黑" w:cs="微软雅黑"/>
          <w:b/>
          <w:color w:val="auto"/>
          <w:szCs w:val="21"/>
          <w:highlight w:val="none"/>
        </w:rPr>
      </w:pPr>
      <w:bookmarkStart w:id="2774" w:name="_Toc994"/>
      <w:bookmarkStart w:id="2775" w:name="_Toc24085"/>
      <w:bookmarkStart w:id="2776" w:name="_Toc30552"/>
      <w:bookmarkStart w:id="2777" w:name="_Toc487900351"/>
      <w:bookmarkStart w:id="2778" w:name="_Toc4916"/>
      <w:bookmarkStart w:id="2779" w:name="_Toc5708"/>
      <w:bookmarkStart w:id="2780" w:name="_Toc10720"/>
      <w:bookmarkStart w:id="2781" w:name="_Toc259093671"/>
      <w:bookmarkStart w:id="2782" w:name="_Toc3854"/>
      <w:bookmarkStart w:id="2783" w:name="_Toc3480"/>
      <w:bookmarkStart w:id="2784" w:name="_Toc16609"/>
      <w:bookmarkStart w:id="2785" w:name="_Toc27435"/>
      <w:bookmarkStart w:id="2786" w:name="_Toc279701242"/>
      <w:bookmarkStart w:id="2787" w:name="_Toc27279"/>
      <w:bookmarkStart w:id="2788" w:name="_Toc9829"/>
      <w:bookmarkStart w:id="2789" w:name="_Toc7722"/>
      <w:bookmarkStart w:id="2790" w:name="_Toc15733"/>
      <w:bookmarkStart w:id="2791" w:name="_Toc19084"/>
      <w:bookmarkStart w:id="2792" w:name="_Toc23791"/>
      <w:bookmarkStart w:id="2793" w:name="_Toc14019"/>
      <w:bookmarkStart w:id="2794" w:name="_Toc24568"/>
      <w:bookmarkStart w:id="2795" w:name="_Toc10532"/>
      <w:bookmarkStart w:id="2796" w:name="_Toc31634"/>
      <w:bookmarkStart w:id="2797" w:name="_Toc18952"/>
      <w:bookmarkStart w:id="2798" w:name="_Toc27853"/>
      <w:bookmarkStart w:id="2799" w:name="_Toc14978"/>
      <w:bookmarkStart w:id="2800" w:name="_Toc25750"/>
      <w:bookmarkStart w:id="2801" w:name="_Toc20130"/>
      <w:bookmarkStart w:id="2802" w:name="_Toc23649"/>
      <w:bookmarkStart w:id="2803" w:name="_Toc30527"/>
      <w:bookmarkStart w:id="2804" w:name="_Toc24537"/>
      <w:bookmarkStart w:id="2805" w:name="_Toc11802"/>
      <w:bookmarkStart w:id="2806" w:name="_Toc16556"/>
      <w:bookmarkStart w:id="2807" w:name="_Toc27983"/>
      <w:bookmarkStart w:id="2808" w:name="_Toc14632"/>
      <w:bookmarkStart w:id="2809" w:name="_Toc6121"/>
      <w:bookmarkStart w:id="2810" w:name="_Toc14437"/>
      <w:bookmarkStart w:id="2811" w:name="_Toc30700"/>
      <w:bookmarkStart w:id="2812" w:name="_Toc10732"/>
      <w:bookmarkStart w:id="2813" w:name="_Toc4029"/>
      <w:bookmarkStart w:id="2814" w:name="_Toc8172"/>
      <w:bookmarkStart w:id="2815" w:name="_Toc22649"/>
      <w:bookmarkStart w:id="2816" w:name="_Toc6403"/>
      <w:bookmarkStart w:id="2817" w:name="_Toc8932"/>
      <w:bookmarkStart w:id="2818" w:name="_Toc6581"/>
      <w:bookmarkStart w:id="2819" w:name="_Toc13699"/>
      <w:bookmarkStart w:id="2820" w:name="_Toc24940"/>
      <w:bookmarkStart w:id="2821" w:name="_Toc30287"/>
      <w:bookmarkStart w:id="2822" w:name="_Toc975"/>
      <w:bookmarkStart w:id="2823" w:name="_Toc32048"/>
      <w:r>
        <w:rPr>
          <w:rFonts w:hint="eastAsia" w:ascii="微软雅黑" w:hAnsi="微软雅黑" w:eastAsia="微软雅黑" w:cs="微软雅黑"/>
          <w:b/>
          <w:color w:val="auto"/>
          <w:szCs w:val="21"/>
          <w:highlight w:val="none"/>
        </w:rPr>
        <w:t>2.3知识产权</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p>
    <w:p w14:paraId="3963FB8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DB0A0D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2.3.2具有知识产权的计算机软件等货物的知识产权归属，详见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770C6628">
      <w:pPr>
        <w:spacing w:line="360" w:lineRule="exact"/>
        <w:ind w:firstLine="420" w:firstLineChars="200"/>
        <w:rPr>
          <w:rFonts w:hint="eastAsia" w:ascii="微软雅黑" w:hAnsi="微软雅黑" w:eastAsia="微软雅黑" w:cs="微软雅黑"/>
          <w:b/>
          <w:color w:val="auto"/>
          <w:szCs w:val="21"/>
          <w:highlight w:val="none"/>
        </w:rPr>
      </w:pPr>
      <w:bookmarkStart w:id="2824" w:name="_Toc11932"/>
      <w:bookmarkStart w:id="2825" w:name="_Toc9470"/>
      <w:bookmarkStart w:id="2826" w:name="_Toc13048"/>
      <w:bookmarkStart w:id="2827" w:name="_Toc16949"/>
      <w:bookmarkStart w:id="2828" w:name="_Toc10970"/>
      <w:bookmarkStart w:id="2829" w:name="_Toc20378"/>
      <w:bookmarkStart w:id="2830" w:name="_Toc12105"/>
      <w:bookmarkStart w:id="2831" w:name="_Toc12"/>
      <w:bookmarkStart w:id="2832" w:name="_Toc8260"/>
      <w:bookmarkStart w:id="2833" w:name="_Toc17661"/>
      <w:bookmarkStart w:id="2834" w:name="_Toc27737"/>
      <w:bookmarkStart w:id="2835" w:name="_Toc4194"/>
      <w:bookmarkStart w:id="2836" w:name="_Toc64"/>
      <w:bookmarkStart w:id="2837" w:name="_Toc26810"/>
      <w:bookmarkStart w:id="2838" w:name="_Toc30060"/>
      <w:bookmarkStart w:id="2839" w:name="_Toc25767"/>
      <w:bookmarkStart w:id="2840" w:name="_Toc26296"/>
      <w:bookmarkStart w:id="2841" w:name="_Toc22932"/>
      <w:bookmarkStart w:id="2842" w:name="_Toc19638"/>
      <w:bookmarkStart w:id="2843" w:name="_Toc26731"/>
      <w:bookmarkStart w:id="2844" w:name="_Toc6781"/>
      <w:bookmarkStart w:id="2845" w:name="_Toc13736"/>
      <w:bookmarkStart w:id="2846" w:name="_Toc17080"/>
      <w:bookmarkStart w:id="2847" w:name="_Toc23105"/>
      <w:bookmarkStart w:id="2848" w:name="_Toc20620"/>
      <w:bookmarkStart w:id="2849" w:name="_Toc28714"/>
      <w:bookmarkStart w:id="2850" w:name="_Toc3486"/>
      <w:bookmarkStart w:id="2851" w:name="_Toc7771"/>
      <w:bookmarkStart w:id="2852" w:name="_Toc12219"/>
      <w:bookmarkStart w:id="2853" w:name="_Toc29291"/>
      <w:bookmarkStart w:id="2854" w:name="_Toc10546"/>
      <w:bookmarkStart w:id="2855" w:name="_Toc28684"/>
      <w:bookmarkStart w:id="2856" w:name="_Toc17680"/>
      <w:bookmarkStart w:id="2857" w:name="_Toc7613"/>
      <w:bookmarkStart w:id="2858" w:name="_Toc18554"/>
      <w:bookmarkStart w:id="2859" w:name="_Toc18110"/>
      <w:bookmarkStart w:id="2860" w:name="_Toc12736"/>
      <w:bookmarkStart w:id="2861" w:name="_Toc5819"/>
      <w:bookmarkStart w:id="2862" w:name="_Toc11241"/>
      <w:bookmarkStart w:id="2863" w:name="_Toc15691"/>
      <w:bookmarkStart w:id="2864" w:name="_Toc7492"/>
      <w:bookmarkStart w:id="2865" w:name="_Toc29149"/>
      <w:bookmarkStart w:id="2866" w:name="_Toc391"/>
      <w:bookmarkStart w:id="2867" w:name="_Toc15241"/>
      <w:bookmarkStart w:id="2868" w:name="_Toc16163"/>
      <w:bookmarkStart w:id="2869" w:name="_Toc5395"/>
      <w:bookmarkStart w:id="2870" w:name="_Toc16844"/>
      <w:r>
        <w:rPr>
          <w:rFonts w:hint="eastAsia" w:ascii="微软雅黑" w:hAnsi="微软雅黑" w:eastAsia="微软雅黑" w:cs="微软雅黑"/>
          <w:b/>
          <w:color w:val="auto"/>
          <w:szCs w:val="21"/>
          <w:highlight w:val="none"/>
        </w:rPr>
        <w:t>2.4包装和装运</w:t>
      </w:r>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p>
    <w:p w14:paraId="28CDC42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2.4.1除</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2E4F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2.4.2装运货物的要求和通知，详见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69314609">
      <w:pPr>
        <w:spacing w:line="360" w:lineRule="exact"/>
        <w:ind w:firstLine="420" w:firstLineChars="200"/>
        <w:rPr>
          <w:rFonts w:hint="eastAsia" w:ascii="微软雅黑" w:hAnsi="微软雅黑" w:eastAsia="微软雅黑" w:cs="微软雅黑"/>
          <w:b/>
          <w:color w:val="auto"/>
          <w:szCs w:val="21"/>
          <w:highlight w:val="none"/>
        </w:rPr>
      </w:pPr>
      <w:bookmarkStart w:id="2871" w:name="_Toc259093674"/>
      <w:bookmarkStart w:id="2872" w:name="_Ref467378541"/>
      <w:bookmarkStart w:id="2873" w:name="_Toc279701245"/>
      <w:bookmarkStart w:id="2874" w:name="_Ref467379542"/>
      <w:bookmarkStart w:id="2875" w:name="_Ref467379536"/>
      <w:bookmarkStart w:id="2876" w:name="_Toc487900354"/>
      <w:bookmarkStart w:id="2877" w:name="_Ref467379527"/>
      <w:bookmarkStart w:id="2878" w:name="_Ref467378591"/>
      <w:bookmarkStart w:id="2879" w:name="_Toc5746"/>
      <w:bookmarkStart w:id="2880" w:name="_Toc18834"/>
      <w:bookmarkStart w:id="2881" w:name="_Toc27993"/>
      <w:bookmarkStart w:id="2882" w:name="_Toc18515"/>
      <w:bookmarkStart w:id="2883" w:name="_Toc21970"/>
      <w:bookmarkStart w:id="2884" w:name="_Toc4831"/>
      <w:bookmarkStart w:id="2885" w:name="_Toc5656"/>
      <w:bookmarkStart w:id="2886" w:name="_Toc2815"/>
      <w:bookmarkStart w:id="2887" w:name="_Toc27792"/>
      <w:bookmarkStart w:id="2888" w:name="_Toc30516"/>
      <w:bookmarkStart w:id="2889" w:name="_Toc19074"/>
      <w:bookmarkStart w:id="2890" w:name="_Toc1565"/>
      <w:bookmarkStart w:id="2891" w:name="_Toc31445"/>
      <w:bookmarkStart w:id="2892" w:name="_Toc443"/>
      <w:bookmarkStart w:id="2893" w:name="_Toc7299"/>
      <w:bookmarkStart w:id="2894" w:name="_Toc31350"/>
      <w:bookmarkStart w:id="2895" w:name="_Toc2752"/>
      <w:bookmarkStart w:id="2896" w:name="_Toc27540"/>
      <w:bookmarkStart w:id="2897" w:name="_Toc13458"/>
      <w:bookmarkStart w:id="2898" w:name="_Toc28937"/>
      <w:bookmarkStart w:id="2899" w:name="_Toc28324"/>
      <w:bookmarkStart w:id="2900" w:name="_Toc12428"/>
      <w:bookmarkStart w:id="2901" w:name="_Toc26182"/>
      <w:bookmarkStart w:id="2902" w:name="_Toc18162"/>
      <w:bookmarkStart w:id="2903" w:name="_Toc14904"/>
      <w:bookmarkStart w:id="2904" w:name="_Toc21198"/>
      <w:bookmarkStart w:id="2905" w:name="_Toc28303"/>
      <w:bookmarkStart w:id="2906" w:name="_Toc15512"/>
      <w:bookmarkStart w:id="2907" w:name="_Toc1336"/>
      <w:bookmarkStart w:id="2908" w:name="_Toc24935"/>
      <w:bookmarkStart w:id="2909" w:name="_Toc22648"/>
      <w:bookmarkStart w:id="2910" w:name="_Toc8711"/>
      <w:bookmarkStart w:id="2911" w:name="_Toc3427"/>
      <w:bookmarkStart w:id="2912" w:name="_Toc6948"/>
      <w:bookmarkStart w:id="2913" w:name="_Toc18307"/>
      <w:bookmarkStart w:id="2914" w:name="_Toc7292"/>
      <w:bookmarkStart w:id="2915" w:name="_Toc14284"/>
      <w:bookmarkStart w:id="2916" w:name="_Toc2628"/>
      <w:bookmarkStart w:id="2917" w:name="_Toc24158"/>
      <w:bookmarkStart w:id="2918" w:name="_Toc25149"/>
      <w:bookmarkStart w:id="2919" w:name="_Toc21410"/>
      <w:bookmarkStart w:id="2920" w:name="_Toc24299"/>
      <w:bookmarkStart w:id="2921" w:name="_Toc5927"/>
      <w:bookmarkStart w:id="2922" w:name="_Toc16398"/>
      <w:bookmarkStart w:id="2923" w:name="_Toc30272"/>
      <w:bookmarkStart w:id="2924" w:name="_Toc13671"/>
      <w:r>
        <w:rPr>
          <w:rFonts w:hint="eastAsia" w:ascii="微软雅黑" w:hAnsi="微软雅黑" w:eastAsia="微软雅黑" w:cs="微软雅黑"/>
          <w:b/>
          <w:color w:val="auto"/>
          <w:szCs w:val="21"/>
          <w:highlight w:val="none"/>
        </w:rPr>
        <w:t>2.</w:t>
      </w:r>
      <w:bookmarkEnd w:id="2871"/>
      <w:bookmarkEnd w:id="2872"/>
      <w:bookmarkEnd w:id="2873"/>
      <w:bookmarkEnd w:id="2874"/>
      <w:bookmarkEnd w:id="2875"/>
      <w:bookmarkEnd w:id="2876"/>
      <w:bookmarkEnd w:id="2877"/>
      <w:bookmarkEnd w:id="2878"/>
      <w:r>
        <w:rPr>
          <w:rFonts w:hint="eastAsia" w:ascii="微软雅黑" w:hAnsi="微软雅黑" w:eastAsia="微软雅黑" w:cs="微软雅黑"/>
          <w:b/>
          <w:color w:val="auto"/>
          <w:szCs w:val="21"/>
          <w:highlight w:val="none"/>
        </w:rPr>
        <w:t>5履约检查和问题反馈</w:t>
      </w:r>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p>
    <w:p w14:paraId="51B5F443">
      <w:pPr>
        <w:spacing w:line="360" w:lineRule="exact"/>
        <w:ind w:firstLine="420" w:firstLineChars="200"/>
        <w:rPr>
          <w:rFonts w:hint="eastAsia" w:ascii="微软雅黑" w:hAnsi="微软雅黑" w:eastAsia="微软雅黑" w:cs="微软雅黑"/>
          <w:color w:val="auto"/>
          <w:szCs w:val="21"/>
          <w:highlight w:val="none"/>
        </w:rPr>
      </w:pPr>
      <w:bookmarkStart w:id="2925" w:name="_Ref467379657"/>
      <w:r>
        <w:rPr>
          <w:rFonts w:hint="eastAsia" w:ascii="微软雅黑" w:hAnsi="微软雅黑" w:eastAsia="微软雅黑" w:cs="微软雅黑"/>
          <w:color w:val="auto"/>
          <w:szCs w:val="21"/>
          <w:highlight w:val="none"/>
        </w:rPr>
        <w:t>2.5.1</w:t>
      </w:r>
      <w:bookmarkEnd w:id="2925"/>
      <w:bookmarkStart w:id="2926" w:name="_Toc186431854"/>
      <w:bookmarkStart w:id="2927" w:name="_Ref467379807"/>
      <w:bookmarkStart w:id="2928" w:name="_Toc487900357"/>
      <w:bookmarkStart w:id="2929" w:name="_Ref467379793"/>
      <w:bookmarkStart w:id="2930" w:name="_Toc279701247"/>
      <w:bookmarkStart w:id="2931" w:name="_Toc259093676"/>
      <w:r>
        <w:rPr>
          <w:rFonts w:hint="eastAsia" w:ascii="微软雅黑" w:hAnsi="微软雅黑" w:eastAsia="微软雅黑" w:cs="微软雅黑"/>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742BAC8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2.5.2合同履行期间，甲方有权将履行过程中出现的问题反馈给乙方，双方当事人应以书面形式约定需要完善和改进的内容</w:t>
      </w:r>
      <w:bookmarkEnd w:id="2926"/>
      <w:bookmarkStart w:id="2932" w:name="_Toc186431855"/>
      <w:r>
        <w:rPr>
          <w:rFonts w:hint="eastAsia" w:ascii="微软雅黑" w:hAnsi="微软雅黑" w:eastAsia="微软雅黑" w:cs="微软雅黑"/>
          <w:color w:val="auto"/>
          <w:szCs w:val="21"/>
          <w:highlight w:val="none"/>
        </w:rPr>
        <w:t>。</w:t>
      </w:r>
    </w:p>
    <w:bookmarkEnd w:id="2932"/>
    <w:p w14:paraId="32A88DE4">
      <w:pPr>
        <w:spacing w:line="360" w:lineRule="exact"/>
        <w:ind w:firstLine="420" w:firstLineChars="200"/>
        <w:rPr>
          <w:rFonts w:hint="eastAsia" w:ascii="微软雅黑" w:hAnsi="微软雅黑" w:eastAsia="微软雅黑" w:cs="微软雅黑"/>
          <w:b/>
          <w:color w:val="auto"/>
          <w:szCs w:val="21"/>
          <w:highlight w:val="none"/>
        </w:rPr>
      </w:pPr>
      <w:bookmarkStart w:id="2933" w:name="_Toc12360"/>
      <w:bookmarkStart w:id="2934" w:name="_Toc11270"/>
      <w:bookmarkStart w:id="2935" w:name="_Toc24376"/>
      <w:bookmarkStart w:id="2936" w:name="_Toc17060"/>
      <w:bookmarkStart w:id="2937" w:name="_Toc25739"/>
      <w:bookmarkStart w:id="2938" w:name="_Toc31520"/>
      <w:bookmarkStart w:id="2939" w:name="_Toc12377"/>
      <w:bookmarkStart w:id="2940" w:name="_Toc19219"/>
      <w:bookmarkStart w:id="2941" w:name="_Toc24060"/>
      <w:bookmarkStart w:id="2942" w:name="_Toc567"/>
      <w:bookmarkStart w:id="2943" w:name="_Toc23553"/>
      <w:bookmarkStart w:id="2944" w:name="_Toc5533"/>
      <w:bookmarkStart w:id="2945" w:name="_Toc31002"/>
      <w:bookmarkStart w:id="2946" w:name="_Toc23408"/>
      <w:bookmarkStart w:id="2947" w:name="_Toc31711"/>
      <w:bookmarkStart w:id="2948" w:name="_Toc11522"/>
      <w:bookmarkStart w:id="2949" w:name="_Toc28710"/>
      <w:bookmarkStart w:id="2950" w:name="_Toc16383"/>
      <w:bookmarkStart w:id="2951" w:name="_Toc26298"/>
      <w:bookmarkStart w:id="2952" w:name="_Toc7836"/>
      <w:bookmarkStart w:id="2953" w:name="_Toc16352"/>
      <w:bookmarkStart w:id="2954" w:name="_Toc17283"/>
      <w:bookmarkStart w:id="2955" w:name="_Toc234"/>
      <w:bookmarkStart w:id="2956" w:name="_Toc8304"/>
      <w:bookmarkStart w:id="2957" w:name="_Toc14567"/>
      <w:bookmarkStart w:id="2958" w:name="_Toc23261"/>
      <w:bookmarkStart w:id="2959" w:name="_Toc31014"/>
      <w:bookmarkStart w:id="2960" w:name="_Toc4239"/>
      <w:bookmarkStart w:id="2961" w:name="_Toc13227"/>
      <w:bookmarkStart w:id="2962" w:name="_Toc24251"/>
      <w:bookmarkStart w:id="2963" w:name="_Toc5304"/>
      <w:bookmarkStart w:id="2964" w:name="_Toc25745"/>
      <w:bookmarkStart w:id="2965" w:name="_Toc2067"/>
      <w:bookmarkStart w:id="2966" w:name="_Toc21935"/>
      <w:bookmarkStart w:id="2967" w:name="_Toc6603"/>
      <w:bookmarkStart w:id="2968" w:name="_Toc10980"/>
      <w:bookmarkStart w:id="2969" w:name="_Toc7023"/>
      <w:bookmarkStart w:id="2970" w:name="_Toc17898"/>
      <w:bookmarkStart w:id="2971" w:name="_Toc9092"/>
      <w:bookmarkStart w:id="2972" w:name="_Toc5782"/>
      <w:bookmarkStart w:id="2973" w:name="_Toc26232"/>
      <w:bookmarkStart w:id="2974" w:name="_Toc8517"/>
      <w:bookmarkStart w:id="2975" w:name="_Toc10112"/>
      <w:bookmarkStart w:id="2976" w:name="_Toc32592"/>
      <w:bookmarkStart w:id="2977" w:name="_Toc582"/>
      <w:r>
        <w:rPr>
          <w:rFonts w:hint="eastAsia" w:ascii="微软雅黑" w:hAnsi="微软雅黑" w:eastAsia="微软雅黑" w:cs="微软雅黑"/>
          <w:b/>
          <w:color w:val="auto"/>
          <w:szCs w:val="21"/>
          <w:highlight w:val="none"/>
        </w:rPr>
        <w:t>2.6结算方式和付款条件</w:t>
      </w:r>
      <w:bookmarkEnd w:id="2927"/>
      <w:bookmarkEnd w:id="2928"/>
      <w:bookmarkEnd w:id="2929"/>
      <w:bookmarkEnd w:id="2930"/>
      <w:bookmarkEnd w:id="2931"/>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p>
    <w:p w14:paraId="2839771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6429A9B2">
      <w:pPr>
        <w:spacing w:line="360" w:lineRule="exact"/>
        <w:ind w:firstLine="420" w:firstLineChars="200"/>
        <w:rPr>
          <w:rFonts w:hint="eastAsia" w:ascii="微软雅黑" w:hAnsi="微软雅黑" w:eastAsia="微软雅黑" w:cs="微软雅黑"/>
          <w:b/>
          <w:color w:val="auto"/>
          <w:szCs w:val="21"/>
          <w:highlight w:val="none"/>
        </w:rPr>
      </w:pPr>
      <w:bookmarkStart w:id="2978" w:name="_Toc487900358"/>
      <w:bookmarkStart w:id="2979" w:name="_Ref467379923"/>
      <w:bookmarkStart w:id="2980" w:name="_Ref467379863"/>
      <w:bookmarkStart w:id="2981" w:name="_Toc279701248"/>
      <w:bookmarkStart w:id="2982" w:name="_Ref467379852"/>
      <w:bookmarkStart w:id="2983" w:name="_Toc259093677"/>
      <w:bookmarkStart w:id="2984" w:name="_Toc17607"/>
      <w:bookmarkStart w:id="2985" w:name="_Toc5979"/>
      <w:bookmarkStart w:id="2986" w:name="_Toc27454"/>
      <w:bookmarkStart w:id="2987" w:name="_Toc13711"/>
      <w:bookmarkStart w:id="2988" w:name="_Toc26143"/>
      <w:bookmarkStart w:id="2989" w:name="_Toc6277"/>
      <w:bookmarkStart w:id="2990" w:name="_Toc10114"/>
      <w:bookmarkStart w:id="2991" w:name="_Toc17630"/>
      <w:bookmarkStart w:id="2992" w:name="_Toc29030"/>
      <w:bookmarkStart w:id="2993" w:name="_Toc28658"/>
      <w:bookmarkStart w:id="2994" w:name="_Toc20683"/>
      <w:bookmarkStart w:id="2995" w:name="_Toc31971"/>
      <w:bookmarkStart w:id="2996" w:name="_Toc4066"/>
      <w:bookmarkStart w:id="2997" w:name="_Toc12169"/>
      <w:bookmarkStart w:id="2998" w:name="_Toc28781"/>
      <w:bookmarkStart w:id="2999" w:name="_Toc29616"/>
      <w:bookmarkStart w:id="3000" w:name="_Toc30137"/>
      <w:bookmarkStart w:id="3001" w:name="_Toc21436"/>
      <w:bookmarkStart w:id="3002" w:name="_Toc2277"/>
      <w:bookmarkStart w:id="3003" w:name="_Toc28470"/>
      <w:bookmarkStart w:id="3004" w:name="_Toc9845"/>
      <w:bookmarkStart w:id="3005" w:name="_Toc11615"/>
      <w:bookmarkStart w:id="3006" w:name="_Toc774"/>
      <w:bookmarkStart w:id="3007" w:name="_Toc21585"/>
      <w:bookmarkStart w:id="3008" w:name="_Toc1200"/>
      <w:bookmarkStart w:id="3009" w:name="_Toc30098"/>
      <w:bookmarkStart w:id="3010" w:name="_Toc6329"/>
      <w:bookmarkStart w:id="3011" w:name="_Toc25085"/>
      <w:bookmarkStart w:id="3012" w:name="_Toc16110"/>
      <w:bookmarkStart w:id="3013" w:name="_Toc27982"/>
      <w:bookmarkStart w:id="3014" w:name="_Toc8995"/>
      <w:bookmarkStart w:id="3015" w:name="_Toc17136"/>
      <w:bookmarkStart w:id="3016" w:name="_Toc22305"/>
      <w:bookmarkStart w:id="3017" w:name="_Toc31305"/>
      <w:bookmarkStart w:id="3018" w:name="_Toc31058"/>
      <w:bookmarkStart w:id="3019" w:name="_Toc11236"/>
      <w:bookmarkStart w:id="3020" w:name="_Toc30860"/>
      <w:bookmarkStart w:id="3021" w:name="_Toc13023"/>
      <w:bookmarkStart w:id="3022" w:name="_Toc9035"/>
      <w:bookmarkStart w:id="3023" w:name="_Toc10595"/>
      <w:bookmarkStart w:id="3024" w:name="_Toc14762"/>
      <w:bookmarkStart w:id="3025" w:name="_Toc26874"/>
      <w:bookmarkStart w:id="3026" w:name="_Toc17051"/>
      <w:bookmarkStart w:id="3027" w:name="_Toc21848"/>
      <w:bookmarkStart w:id="3028" w:name="_Toc29885"/>
      <w:bookmarkStart w:id="3029" w:name="_Toc14491"/>
      <w:bookmarkStart w:id="3030" w:name="_Toc3225"/>
      <w:r>
        <w:rPr>
          <w:rFonts w:hint="eastAsia" w:ascii="微软雅黑" w:hAnsi="微软雅黑" w:eastAsia="微软雅黑" w:cs="微软雅黑"/>
          <w:b/>
          <w:color w:val="auto"/>
          <w:szCs w:val="21"/>
          <w:highlight w:val="none"/>
        </w:rPr>
        <w:t>2.7技术资料</w:t>
      </w:r>
      <w:bookmarkEnd w:id="2978"/>
      <w:bookmarkEnd w:id="2979"/>
      <w:bookmarkEnd w:id="2980"/>
      <w:bookmarkEnd w:id="2981"/>
      <w:bookmarkEnd w:id="2982"/>
      <w:bookmarkEnd w:id="2983"/>
      <w:r>
        <w:rPr>
          <w:rFonts w:hint="eastAsia" w:ascii="微软雅黑" w:hAnsi="微软雅黑" w:eastAsia="微软雅黑" w:cs="微软雅黑"/>
          <w:b/>
          <w:color w:val="auto"/>
          <w:szCs w:val="21"/>
          <w:highlight w:val="none"/>
        </w:rPr>
        <w:t>和保密义务</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14:paraId="30CC8F5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2.7.1乙方有权依据合同约定和项目需要，向甲方了解有关情况，调阅有关资料等，甲方应予积极配合；</w:t>
      </w:r>
    </w:p>
    <w:p w14:paraId="64BF00D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2.7.2乙方有义务妥善保管和保护由甲方提供的前款信息和资料等；</w:t>
      </w:r>
    </w:p>
    <w:p w14:paraId="5F137EB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CFD2A6B">
      <w:pPr>
        <w:spacing w:line="360" w:lineRule="exact"/>
        <w:ind w:firstLine="420" w:firstLineChars="200"/>
        <w:rPr>
          <w:rFonts w:hint="eastAsia" w:ascii="微软雅黑" w:hAnsi="微软雅黑" w:eastAsia="微软雅黑" w:cs="微软雅黑"/>
          <w:b/>
          <w:color w:val="auto"/>
          <w:szCs w:val="21"/>
          <w:highlight w:val="none"/>
        </w:rPr>
      </w:pPr>
      <w:bookmarkStart w:id="3031" w:name="_Toc17875"/>
      <w:bookmarkStart w:id="3032" w:name="_Toc11328"/>
      <w:bookmarkStart w:id="3033" w:name="_Toc25567"/>
      <w:bookmarkStart w:id="3034" w:name="_Toc18231"/>
      <w:bookmarkStart w:id="3035" w:name="_Toc27962"/>
      <w:bookmarkStart w:id="3036" w:name="_Toc30324"/>
      <w:bookmarkStart w:id="3037" w:name="_Toc18745"/>
      <w:bookmarkStart w:id="3038" w:name="_Toc4587"/>
      <w:bookmarkStart w:id="3039" w:name="_Toc30167"/>
      <w:bookmarkStart w:id="3040" w:name="_Toc15155"/>
      <w:bookmarkStart w:id="3041" w:name="_Toc21267"/>
      <w:bookmarkStart w:id="3042" w:name="_Toc5658"/>
      <w:bookmarkStart w:id="3043" w:name="_Toc17357"/>
      <w:bookmarkStart w:id="3044" w:name="_Toc53"/>
      <w:bookmarkStart w:id="3045" w:name="_Toc11530"/>
      <w:bookmarkStart w:id="3046" w:name="_Toc30477"/>
      <w:bookmarkStart w:id="3047" w:name="_Toc9375"/>
      <w:bookmarkStart w:id="3048" w:name="_Toc14935"/>
      <w:bookmarkStart w:id="3049" w:name="_Toc18551"/>
      <w:bookmarkStart w:id="3050" w:name="_Toc30503"/>
      <w:bookmarkStart w:id="3051" w:name="_Toc23081"/>
      <w:bookmarkStart w:id="3052" w:name="_Toc9224"/>
      <w:bookmarkStart w:id="3053" w:name="_Toc2535"/>
      <w:bookmarkStart w:id="3054" w:name="_Toc14349"/>
      <w:bookmarkStart w:id="3055" w:name="_Toc27453"/>
      <w:bookmarkStart w:id="3056" w:name="_Toc3156"/>
      <w:bookmarkStart w:id="3057" w:name="_Toc10326"/>
      <w:bookmarkStart w:id="3058" w:name="_Toc22329"/>
      <w:bookmarkStart w:id="3059" w:name="_Toc26262"/>
      <w:bookmarkStart w:id="3060" w:name="_Toc5321"/>
      <w:bookmarkStart w:id="3061" w:name="_Toc24921"/>
      <w:bookmarkStart w:id="3062" w:name="_Toc19865"/>
      <w:bookmarkStart w:id="3063" w:name="_Toc7328"/>
      <w:bookmarkStart w:id="3064" w:name="_Toc7860"/>
      <w:bookmarkStart w:id="3065" w:name="_Toc16190"/>
      <w:bookmarkStart w:id="3066" w:name="_Toc8187"/>
      <w:bookmarkStart w:id="3067" w:name="_Toc5200"/>
      <w:bookmarkStart w:id="3068" w:name="_Toc16677"/>
      <w:bookmarkStart w:id="3069" w:name="_Toc25408"/>
      <w:bookmarkStart w:id="3070" w:name="_Toc7374"/>
      <w:bookmarkStart w:id="3071" w:name="_Toc8288"/>
      <w:bookmarkStart w:id="3072" w:name="_Toc19122"/>
      <w:bookmarkStart w:id="3073" w:name="_Toc22969"/>
      <w:bookmarkStart w:id="3074" w:name="_Toc4354"/>
      <w:r>
        <w:rPr>
          <w:rFonts w:hint="eastAsia" w:ascii="微软雅黑" w:hAnsi="微软雅黑" w:eastAsia="微软雅黑" w:cs="微软雅黑"/>
          <w:b/>
          <w:color w:val="auto"/>
          <w:szCs w:val="21"/>
          <w:highlight w:val="none"/>
        </w:rPr>
        <w:t>2.8质量保证</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p>
    <w:p w14:paraId="016D939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2.8.1乙方应建立和完善履行合同的内部质量保证体系，并提供相关内部规章制度给甲方，以便甲方进行监督检查；</w:t>
      </w:r>
    </w:p>
    <w:p w14:paraId="5CB9A6E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2.8.2乙方应保证履行合同的人员数量和素质、软件和硬件设备的配置、场地、环境和设施等满足全面履行合同的要求，并应接受甲方的监督检查。</w:t>
      </w:r>
    </w:p>
    <w:p w14:paraId="7D726EA7">
      <w:pPr>
        <w:spacing w:line="360" w:lineRule="exact"/>
        <w:ind w:firstLine="420" w:firstLineChars="200"/>
        <w:rPr>
          <w:rFonts w:hint="eastAsia" w:ascii="微软雅黑" w:hAnsi="微软雅黑" w:eastAsia="微软雅黑" w:cs="微软雅黑"/>
          <w:b/>
          <w:color w:val="auto"/>
          <w:szCs w:val="21"/>
          <w:highlight w:val="none"/>
        </w:rPr>
      </w:pPr>
      <w:bookmarkStart w:id="3075" w:name="_Toc28497"/>
      <w:bookmarkStart w:id="3076" w:name="_Toc14596"/>
      <w:bookmarkStart w:id="3077" w:name="_Toc7598"/>
      <w:bookmarkStart w:id="3078" w:name="_Toc19904"/>
      <w:bookmarkStart w:id="3079" w:name="_Toc18817"/>
      <w:bookmarkStart w:id="3080" w:name="_Toc12966"/>
      <w:bookmarkStart w:id="3081" w:name="_Toc25529"/>
      <w:bookmarkStart w:id="3082" w:name="_Toc615"/>
      <w:bookmarkStart w:id="3083" w:name="_Toc30950"/>
      <w:bookmarkStart w:id="3084" w:name="_Toc25549"/>
      <w:bookmarkStart w:id="3085" w:name="_Toc30757"/>
      <w:bookmarkStart w:id="3086" w:name="_Toc14489"/>
      <w:bookmarkStart w:id="3087" w:name="_Toc14920"/>
      <w:bookmarkStart w:id="3088" w:name="_Toc812"/>
      <w:bookmarkStart w:id="3089" w:name="_Toc12010"/>
      <w:bookmarkStart w:id="3090" w:name="_Toc17244"/>
      <w:bookmarkStart w:id="3091" w:name="_Toc23417"/>
      <w:bookmarkStart w:id="3092" w:name="_Toc17030"/>
      <w:bookmarkStart w:id="3093" w:name="_Toc7046"/>
      <w:bookmarkStart w:id="3094" w:name="_Toc22016"/>
      <w:bookmarkStart w:id="3095" w:name="_Toc17032"/>
      <w:bookmarkStart w:id="3096" w:name="_Toc17497"/>
      <w:bookmarkStart w:id="3097" w:name="_Toc27420"/>
      <w:bookmarkStart w:id="3098" w:name="_Toc23810"/>
      <w:bookmarkStart w:id="3099" w:name="_Toc1735"/>
      <w:bookmarkStart w:id="3100" w:name="_Toc27732"/>
      <w:bookmarkStart w:id="3101" w:name="_Toc23172"/>
      <w:bookmarkStart w:id="3102" w:name="_Toc31920"/>
      <w:bookmarkStart w:id="3103" w:name="_Toc27234"/>
      <w:bookmarkStart w:id="3104" w:name="_Toc22464"/>
      <w:bookmarkStart w:id="3105" w:name="_Toc6284"/>
      <w:bookmarkStart w:id="3106" w:name="_Toc16901"/>
      <w:bookmarkStart w:id="3107" w:name="_Toc27238"/>
      <w:bookmarkStart w:id="3108" w:name="_Toc31811"/>
      <w:bookmarkStart w:id="3109" w:name="_Toc26555"/>
      <w:bookmarkStart w:id="3110" w:name="_Toc13812"/>
      <w:bookmarkStart w:id="3111" w:name="_Toc27207"/>
      <w:bookmarkStart w:id="3112" w:name="_Toc14663"/>
      <w:bookmarkStart w:id="3113" w:name="_Toc18105"/>
      <w:bookmarkStart w:id="3114" w:name="_Toc7146"/>
      <w:bookmarkStart w:id="3115" w:name="_Toc1729"/>
      <w:bookmarkStart w:id="3116" w:name="_Toc2473"/>
      <w:bookmarkStart w:id="3117" w:name="_Toc12174"/>
      <w:bookmarkStart w:id="3118" w:name="_Toc22330"/>
      <w:bookmarkStart w:id="3119" w:name="_Toc259093681"/>
      <w:bookmarkStart w:id="3120" w:name="_Toc279701252"/>
      <w:bookmarkStart w:id="3121" w:name="_Toc487900362"/>
      <w:r>
        <w:rPr>
          <w:rFonts w:hint="eastAsia" w:ascii="微软雅黑" w:hAnsi="微软雅黑" w:eastAsia="微软雅黑" w:cs="微软雅黑"/>
          <w:b/>
          <w:color w:val="auto"/>
          <w:szCs w:val="21"/>
          <w:highlight w:val="none"/>
        </w:rPr>
        <w:t>2.9货物的风险负担</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383C591D">
      <w:pP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货物或者在途货物或者交付给第一承运人后的货物毁损、灭失的风险负担详见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14:paraId="524F099D">
      <w:pPr>
        <w:spacing w:line="360" w:lineRule="exact"/>
        <w:ind w:firstLine="420" w:firstLineChars="200"/>
        <w:rPr>
          <w:rFonts w:hint="eastAsia" w:ascii="微软雅黑" w:hAnsi="微软雅黑" w:eastAsia="微软雅黑" w:cs="微软雅黑"/>
          <w:b/>
          <w:color w:val="auto"/>
          <w:szCs w:val="21"/>
          <w:highlight w:val="none"/>
        </w:rPr>
      </w:pPr>
      <w:bookmarkStart w:id="3122" w:name="_Toc30533"/>
      <w:bookmarkStart w:id="3123" w:name="_Toc22674"/>
      <w:bookmarkStart w:id="3124" w:name="_Toc29192"/>
      <w:bookmarkStart w:id="3125" w:name="_Toc22377"/>
      <w:bookmarkStart w:id="3126" w:name="_Toc11963"/>
      <w:bookmarkStart w:id="3127" w:name="_Toc19684"/>
      <w:bookmarkStart w:id="3128" w:name="_Toc6602"/>
      <w:bookmarkStart w:id="3129" w:name="_Toc5196"/>
      <w:bookmarkStart w:id="3130" w:name="_Toc26567"/>
      <w:bookmarkStart w:id="3131" w:name="_Toc15972"/>
      <w:bookmarkStart w:id="3132" w:name="_Toc14055"/>
      <w:bookmarkStart w:id="3133" w:name="_Toc15465"/>
      <w:bookmarkStart w:id="3134" w:name="_Toc9067"/>
      <w:bookmarkStart w:id="3135" w:name="_Toc25663"/>
      <w:bookmarkStart w:id="3136" w:name="_Toc2791"/>
      <w:bookmarkStart w:id="3137" w:name="_Toc29837"/>
      <w:bookmarkStart w:id="3138" w:name="_Toc2"/>
      <w:bookmarkStart w:id="3139" w:name="_Toc7986"/>
      <w:bookmarkStart w:id="3140" w:name="_Toc8328"/>
      <w:bookmarkStart w:id="3141" w:name="_Toc14698"/>
      <w:bookmarkStart w:id="3142" w:name="_Toc16633"/>
      <w:bookmarkStart w:id="3143" w:name="_Toc15150"/>
      <w:bookmarkStart w:id="3144" w:name="_Toc17180"/>
      <w:bookmarkStart w:id="3145" w:name="_Toc30775"/>
      <w:bookmarkStart w:id="3146" w:name="_Toc13218"/>
      <w:bookmarkStart w:id="3147" w:name="_Toc10328"/>
      <w:bookmarkStart w:id="3148" w:name="_Toc26376"/>
      <w:bookmarkStart w:id="3149" w:name="_Toc6706"/>
      <w:bookmarkStart w:id="3150" w:name="_Toc552"/>
      <w:bookmarkStart w:id="3151" w:name="_Toc21739"/>
      <w:bookmarkStart w:id="3152" w:name="_Toc10027"/>
      <w:bookmarkStart w:id="3153" w:name="_Toc22559"/>
      <w:bookmarkStart w:id="3154" w:name="_Toc7128"/>
      <w:bookmarkStart w:id="3155" w:name="_Toc14096"/>
      <w:bookmarkStart w:id="3156" w:name="_Toc6894"/>
      <w:bookmarkStart w:id="3157" w:name="_Toc1364"/>
      <w:bookmarkStart w:id="3158" w:name="_Toc31819"/>
      <w:bookmarkStart w:id="3159" w:name="_Toc4386"/>
      <w:bookmarkStart w:id="3160" w:name="_Toc22347"/>
      <w:bookmarkStart w:id="3161" w:name="_Toc4835"/>
      <w:bookmarkStart w:id="3162" w:name="_Toc1742"/>
      <w:bookmarkStart w:id="3163" w:name="_Toc14015"/>
      <w:bookmarkStart w:id="3164" w:name="_Toc1164"/>
      <w:bookmarkStart w:id="3165" w:name="_Toc25703"/>
      <w:r>
        <w:rPr>
          <w:rFonts w:hint="eastAsia" w:ascii="微软雅黑" w:hAnsi="微软雅黑" w:eastAsia="微软雅黑" w:cs="微软雅黑"/>
          <w:b/>
          <w:color w:val="auto"/>
          <w:szCs w:val="21"/>
          <w:highlight w:val="none"/>
        </w:rPr>
        <w:t>2.10延迟</w:t>
      </w:r>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r>
        <w:rPr>
          <w:rFonts w:hint="eastAsia" w:ascii="微软雅黑" w:hAnsi="微软雅黑" w:eastAsia="微软雅黑" w:cs="微软雅黑"/>
          <w:b/>
          <w:color w:val="auto"/>
          <w:szCs w:val="21"/>
          <w:highlight w:val="none"/>
        </w:rPr>
        <w:t>供货</w:t>
      </w:r>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01A2122E">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供货的具体时间。</w:t>
      </w:r>
    </w:p>
    <w:p w14:paraId="7D9E5AA9">
      <w:pPr>
        <w:spacing w:line="360" w:lineRule="exact"/>
        <w:ind w:firstLine="420" w:firstLineChars="200"/>
        <w:rPr>
          <w:rFonts w:hint="eastAsia" w:ascii="微软雅黑" w:hAnsi="微软雅黑" w:eastAsia="微软雅黑" w:cs="微软雅黑"/>
          <w:b/>
          <w:color w:val="auto"/>
          <w:szCs w:val="21"/>
          <w:highlight w:val="none"/>
        </w:rPr>
      </w:pPr>
      <w:bookmarkStart w:id="3166" w:name="_Toc15877"/>
      <w:bookmarkStart w:id="3167" w:name="_Toc1612"/>
      <w:bookmarkStart w:id="3168" w:name="_Toc10296"/>
      <w:bookmarkStart w:id="3169" w:name="_Toc18704"/>
      <w:bookmarkStart w:id="3170" w:name="_Toc20553"/>
      <w:bookmarkStart w:id="3171" w:name="_Toc28031"/>
      <w:bookmarkStart w:id="3172" w:name="_Toc7851"/>
      <w:bookmarkStart w:id="3173" w:name="_Toc10685"/>
      <w:bookmarkStart w:id="3174" w:name="_Toc7444"/>
      <w:bookmarkStart w:id="3175" w:name="_Toc7502"/>
      <w:bookmarkStart w:id="3176" w:name="_Toc1184"/>
      <w:bookmarkStart w:id="3177" w:name="_Toc3064"/>
      <w:bookmarkStart w:id="3178" w:name="_Toc19778"/>
      <w:bookmarkStart w:id="3179" w:name="_Toc6293"/>
      <w:bookmarkStart w:id="3180" w:name="_Toc27518"/>
      <w:bookmarkStart w:id="3181" w:name="_Toc31403"/>
      <w:bookmarkStart w:id="3182" w:name="_Toc8441"/>
      <w:bookmarkStart w:id="3183" w:name="_Toc15931"/>
      <w:bookmarkStart w:id="3184" w:name="_Toc17237"/>
      <w:bookmarkStart w:id="3185" w:name="_Toc23170"/>
      <w:bookmarkStart w:id="3186" w:name="_Toc22300"/>
      <w:bookmarkStart w:id="3187" w:name="_Toc3856"/>
      <w:bookmarkStart w:id="3188" w:name="_Toc4897"/>
      <w:bookmarkStart w:id="3189" w:name="_Toc7890"/>
      <w:bookmarkStart w:id="3190" w:name="_Toc25717"/>
      <w:bookmarkStart w:id="3191" w:name="_Toc16528"/>
      <w:bookmarkStart w:id="3192" w:name="_Toc507"/>
      <w:bookmarkStart w:id="3193" w:name="_Toc10995"/>
      <w:bookmarkStart w:id="3194" w:name="_Toc29961"/>
      <w:bookmarkStart w:id="3195" w:name="_Toc15208"/>
      <w:bookmarkStart w:id="3196" w:name="_Toc29608"/>
      <w:bookmarkStart w:id="3197" w:name="_Toc2858"/>
      <w:bookmarkStart w:id="3198" w:name="_Toc14851"/>
      <w:bookmarkStart w:id="3199" w:name="_Toc32387"/>
      <w:bookmarkStart w:id="3200" w:name="_Toc1280"/>
      <w:bookmarkStart w:id="3201" w:name="_Toc4586"/>
      <w:bookmarkStart w:id="3202" w:name="_Toc12175"/>
      <w:bookmarkStart w:id="3203" w:name="_Toc10956"/>
      <w:bookmarkStart w:id="3204" w:name="_Toc16810"/>
      <w:bookmarkStart w:id="3205" w:name="_Toc9117"/>
      <w:bookmarkStart w:id="3206" w:name="_Toc31857"/>
      <w:bookmarkStart w:id="3207" w:name="_Toc25023"/>
      <w:bookmarkStart w:id="3208" w:name="_Toc15143"/>
      <w:bookmarkStart w:id="3209" w:name="_Toc26155"/>
      <w:bookmarkStart w:id="3210" w:name="_Toc13512"/>
      <w:bookmarkStart w:id="3211" w:name="_Ref467378121"/>
      <w:bookmarkStart w:id="3212" w:name="_Toc259093683"/>
      <w:bookmarkStart w:id="3213" w:name="_Toc279701254"/>
      <w:bookmarkStart w:id="3214" w:name="_Toc487900364"/>
      <w:r>
        <w:rPr>
          <w:rFonts w:hint="eastAsia" w:ascii="微软雅黑" w:hAnsi="微软雅黑" w:eastAsia="微软雅黑" w:cs="微软雅黑"/>
          <w:b/>
          <w:color w:val="auto"/>
          <w:szCs w:val="21"/>
          <w:highlight w:val="none"/>
        </w:rPr>
        <w:t>2.11合同变更</w:t>
      </w:r>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p>
    <w:p w14:paraId="2055C903">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663CF479">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2.11.2合同继续履行将损害国家利益和社会公共利益的，双方当事人应当以书面形式变更合同。有过错的一方应当承担赔偿责任，双方当事人都有过错的，各自承担相应的责任。</w:t>
      </w:r>
      <w:bookmarkStart w:id="3215" w:name="_Toc259093688"/>
      <w:bookmarkStart w:id="3216" w:name="_Toc487900369"/>
      <w:bookmarkStart w:id="3217" w:name="_Toc279701259"/>
    </w:p>
    <w:p w14:paraId="08559966">
      <w:pPr>
        <w:spacing w:line="360" w:lineRule="exact"/>
        <w:ind w:firstLine="420" w:firstLineChars="200"/>
        <w:rPr>
          <w:rFonts w:hint="eastAsia" w:ascii="微软雅黑" w:hAnsi="微软雅黑" w:eastAsia="微软雅黑" w:cs="微软雅黑"/>
          <w:b/>
          <w:color w:val="auto"/>
          <w:szCs w:val="21"/>
          <w:highlight w:val="none"/>
        </w:rPr>
      </w:pPr>
      <w:bookmarkStart w:id="3218" w:name="_Toc15237"/>
      <w:bookmarkStart w:id="3219" w:name="_Toc8431"/>
      <w:bookmarkStart w:id="3220" w:name="_Toc11573"/>
      <w:bookmarkStart w:id="3221" w:name="_Toc3931"/>
      <w:bookmarkStart w:id="3222" w:name="_Toc21146"/>
      <w:bookmarkStart w:id="3223" w:name="_Toc18494"/>
      <w:bookmarkStart w:id="3224" w:name="_Toc4389"/>
      <w:bookmarkStart w:id="3225" w:name="_Toc26575"/>
      <w:bookmarkStart w:id="3226" w:name="_Toc6988"/>
      <w:bookmarkStart w:id="3227" w:name="_Toc9984"/>
      <w:bookmarkStart w:id="3228" w:name="_Toc26864"/>
      <w:bookmarkStart w:id="3229" w:name="_Toc5898"/>
      <w:bookmarkStart w:id="3230" w:name="_Toc31619"/>
      <w:bookmarkStart w:id="3231" w:name="_Toc11757"/>
      <w:bookmarkStart w:id="3232" w:name="_Toc13446"/>
      <w:bookmarkStart w:id="3233" w:name="_Toc23079"/>
      <w:bookmarkStart w:id="3234" w:name="_Toc24511"/>
      <w:bookmarkStart w:id="3235" w:name="_Toc26224"/>
      <w:bookmarkStart w:id="3236" w:name="_Toc10366"/>
      <w:bookmarkStart w:id="3237" w:name="_Toc29865"/>
      <w:bookmarkStart w:id="3238" w:name="_Toc27531"/>
      <w:bookmarkStart w:id="3239" w:name="_Toc2223"/>
      <w:bookmarkStart w:id="3240" w:name="_Toc25294"/>
      <w:bookmarkStart w:id="3241" w:name="_Toc21525"/>
      <w:bookmarkStart w:id="3242" w:name="_Toc22955"/>
      <w:bookmarkStart w:id="3243" w:name="_Toc3928"/>
      <w:bookmarkStart w:id="3244" w:name="_Toc11626"/>
      <w:bookmarkStart w:id="3245" w:name="_Toc25555"/>
      <w:bookmarkStart w:id="3246" w:name="_Toc7026"/>
      <w:bookmarkStart w:id="3247" w:name="_Toc10537"/>
      <w:bookmarkStart w:id="3248" w:name="_Toc2579"/>
      <w:bookmarkStart w:id="3249" w:name="_Toc19380"/>
      <w:bookmarkStart w:id="3250" w:name="_Toc2157"/>
      <w:bookmarkStart w:id="3251" w:name="_Toc3825"/>
      <w:bookmarkStart w:id="3252" w:name="_Toc19381"/>
      <w:bookmarkStart w:id="3253" w:name="_Toc29703"/>
      <w:bookmarkStart w:id="3254" w:name="_Toc19406"/>
      <w:bookmarkStart w:id="3255" w:name="_Toc8289"/>
      <w:bookmarkStart w:id="3256" w:name="_Toc30763"/>
      <w:bookmarkStart w:id="3257" w:name="_Toc6677"/>
      <w:bookmarkStart w:id="3258" w:name="_Toc9110"/>
      <w:bookmarkStart w:id="3259" w:name="_Toc24275"/>
      <w:bookmarkStart w:id="3260" w:name="_Toc9031"/>
      <w:bookmarkStart w:id="3261" w:name="_Toc14895"/>
      <w:r>
        <w:rPr>
          <w:rFonts w:hint="eastAsia" w:ascii="微软雅黑" w:hAnsi="微软雅黑" w:eastAsia="微软雅黑" w:cs="微软雅黑"/>
          <w:b/>
          <w:color w:val="auto"/>
          <w:szCs w:val="21"/>
          <w:highlight w:val="none"/>
        </w:rPr>
        <w:t>2.12合同转让</w:t>
      </w:r>
      <w:bookmarkEnd w:id="3215"/>
      <w:bookmarkEnd w:id="3216"/>
      <w:bookmarkEnd w:id="3217"/>
      <w:r>
        <w:rPr>
          <w:rFonts w:hint="eastAsia" w:ascii="微软雅黑" w:hAnsi="微软雅黑" w:eastAsia="微软雅黑" w:cs="微软雅黑"/>
          <w:b/>
          <w:color w:val="auto"/>
          <w:szCs w:val="21"/>
          <w:highlight w:val="none"/>
        </w:rPr>
        <w:t>和分包</w:t>
      </w:r>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p>
    <w:p w14:paraId="4C8D386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AB141E">
      <w:pPr>
        <w:spacing w:line="360" w:lineRule="exact"/>
        <w:ind w:firstLine="420" w:firstLineChars="200"/>
        <w:rPr>
          <w:rFonts w:hint="eastAsia" w:ascii="微软雅黑" w:hAnsi="微软雅黑" w:eastAsia="微软雅黑" w:cs="微软雅黑"/>
          <w:b/>
          <w:color w:val="auto"/>
          <w:szCs w:val="21"/>
          <w:highlight w:val="none"/>
        </w:rPr>
      </w:pPr>
      <w:bookmarkStart w:id="3262" w:name="_Toc32515"/>
      <w:bookmarkStart w:id="3263" w:name="_Toc27864"/>
      <w:bookmarkStart w:id="3264" w:name="_Toc16893"/>
      <w:bookmarkStart w:id="3265" w:name="_Toc18376"/>
      <w:bookmarkStart w:id="3266" w:name="_Toc2507"/>
      <w:bookmarkStart w:id="3267" w:name="_Toc635"/>
      <w:bookmarkStart w:id="3268" w:name="_Toc8114"/>
      <w:bookmarkStart w:id="3269" w:name="_Toc32704"/>
      <w:bookmarkStart w:id="3270" w:name="_Toc16508"/>
      <w:bookmarkStart w:id="3271" w:name="_Toc2540"/>
      <w:bookmarkStart w:id="3272" w:name="_Toc2586"/>
      <w:bookmarkStart w:id="3273" w:name="_Toc29195"/>
      <w:bookmarkStart w:id="3274" w:name="_Toc27813"/>
      <w:bookmarkStart w:id="3275" w:name="_Toc20380"/>
      <w:bookmarkStart w:id="3276" w:name="_Toc584"/>
      <w:bookmarkStart w:id="3277" w:name="_Toc24741"/>
      <w:bookmarkStart w:id="3278" w:name="_Toc5484"/>
      <w:bookmarkStart w:id="3279" w:name="_Toc14752"/>
      <w:bookmarkStart w:id="3280" w:name="_Toc15741"/>
      <w:bookmarkStart w:id="3281" w:name="_Toc12809"/>
      <w:bookmarkStart w:id="3282" w:name="_Toc13557"/>
      <w:bookmarkStart w:id="3283" w:name="_Toc11104"/>
      <w:bookmarkStart w:id="3284" w:name="_Toc13570"/>
      <w:bookmarkStart w:id="3285" w:name="_Toc31101"/>
      <w:bookmarkStart w:id="3286" w:name="_Toc32109"/>
      <w:bookmarkStart w:id="3287" w:name="_Toc14066"/>
      <w:bookmarkStart w:id="3288" w:name="_Toc4540"/>
      <w:bookmarkStart w:id="3289" w:name="_Toc19610"/>
      <w:bookmarkStart w:id="3290" w:name="_Toc2908"/>
      <w:bookmarkStart w:id="3291" w:name="_Toc9125"/>
      <w:bookmarkStart w:id="3292" w:name="_Toc4954"/>
      <w:bookmarkStart w:id="3293" w:name="_Toc11432"/>
      <w:bookmarkStart w:id="3294" w:name="_Toc6918"/>
      <w:bookmarkStart w:id="3295" w:name="_Toc26793"/>
      <w:bookmarkStart w:id="3296" w:name="_Toc29037"/>
      <w:bookmarkStart w:id="3297" w:name="_Toc17643"/>
      <w:bookmarkStart w:id="3298" w:name="_Toc8480"/>
      <w:bookmarkStart w:id="3299" w:name="_Toc17819"/>
      <w:bookmarkStart w:id="3300" w:name="_Toc1070"/>
      <w:bookmarkStart w:id="3301" w:name="_Toc1138"/>
      <w:bookmarkStart w:id="3302" w:name="_Toc17498"/>
      <w:bookmarkStart w:id="3303" w:name="_Toc11767"/>
      <w:bookmarkStart w:id="3304" w:name="_Toc14458"/>
      <w:bookmarkStart w:id="3305" w:name="_Toc15411"/>
      <w:bookmarkStart w:id="3306" w:name="_Toc3533"/>
      <w:r>
        <w:rPr>
          <w:rFonts w:hint="eastAsia" w:ascii="微软雅黑" w:hAnsi="微软雅黑" w:eastAsia="微软雅黑" w:cs="微软雅黑"/>
          <w:b/>
          <w:color w:val="auto"/>
          <w:szCs w:val="21"/>
          <w:highlight w:val="none"/>
        </w:rPr>
        <w:t>2.13不可抗力</w:t>
      </w:r>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p>
    <w:p w14:paraId="35CC07F5">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2.13.1如果任何一方遭遇法律规定的不可抗力，致使合同履行受阻时，履行合同的期限应予延长，延长的期限应相当于不可抗力所影响的时间；</w:t>
      </w:r>
    </w:p>
    <w:p w14:paraId="3580E61B">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2.13.2因不可抗力致使不能实现合同目的的，当事人可以解除合同；</w:t>
      </w:r>
    </w:p>
    <w:p w14:paraId="394DDA1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2.13.3因不可抗力致使合同有变更必要的，双方当事人应在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约定时间内以书面形式变更合同；</w:t>
      </w:r>
    </w:p>
    <w:p w14:paraId="7FF808A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2.13.4受不可抗力影响的一方在不可抗力发生后，应在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约定时间内以书面形式通知对方当事人，并在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约定时间内，将有关部门出具的证明文件送达对方当事人。</w:t>
      </w:r>
    </w:p>
    <w:p w14:paraId="56F03D8F">
      <w:pPr>
        <w:pStyle w:val="7"/>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2.13.5如遇到像新冠疫情等情势变更的情形，请参照2.13</w:t>
      </w:r>
      <w:r>
        <w:rPr>
          <w:rFonts w:hint="eastAsia" w:ascii="微软雅黑" w:hAnsi="微软雅黑" w:eastAsia="微软雅黑" w:cs="微软雅黑"/>
          <w:b/>
          <w:color w:val="auto"/>
          <w:sz w:val="21"/>
          <w:szCs w:val="21"/>
          <w:highlight w:val="none"/>
        </w:rPr>
        <w:t>不可抗力的条款。</w:t>
      </w:r>
    </w:p>
    <w:p w14:paraId="27FC5FD4">
      <w:pPr>
        <w:spacing w:line="360" w:lineRule="exact"/>
        <w:ind w:firstLine="420" w:firstLineChars="200"/>
        <w:rPr>
          <w:rFonts w:hint="eastAsia" w:ascii="微软雅黑" w:hAnsi="微软雅黑" w:eastAsia="微软雅黑" w:cs="微软雅黑"/>
          <w:b/>
          <w:color w:val="auto"/>
          <w:szCs w:val="21"/>
          <w:highlight w:val="none"/>
        </w:rPr>
      </w:pPr>
      <w:bookmarkStart w:id="3307" w:name="_Toc23578"/>
      <w:bookmarkStart w:id="3308" w:name="_Toc279701255"/>
      <w:bookmarkStart w:id="3309" w:name="_Toc19306"/>
      <w:bookmarkStart w:id="3310" w:name="_Toc4007"/>
      <w:bookmarkStart w:id="3311" w:name="_Toc29330"/>
      <w:bookmarkStart w:id="3312" w:name="_Toc98"/>
      <w:bookmarkStart w:id="3313" w:name="_Toc10528"/>
      <w:bookmarkStart w:id="3314" w:name="_Toc6676"/>
      <w:bookmarkStart w:id="3315" w:name="_Toc14974"/>
      <w:bookmarkStart w:id="3316" w:name="_Toc16532"/>
      <w:bookmarkStart w:id="3317" w:name="_Toc6047"/>
      <w:bookmarkStart w:id="3318" w:name="_Toc6141"/>
      <w:bookmarkStart w:id="3319" w:name="_Toc6224"/>
      <w:bookmarkStart w:id="3320" w:name="_Toc487900365"/>
      <w:bookmarkStart w:id="3321" w:name="_Toc28117"/>
      <w:bookmarkStart w:id="3322" w:name="_Toc6288"/>
      <w:bookmarkStart w:id="3323" w:name="_Toc26981"/>
      <w:bookmarkStart w:id="3324" w:name="_Toc4510"/>
      <w:bookmarkStart w:id="3325" w:name="_Toc13910"/>
      <w:bookmarkStart w:id="3326" w:name="_Toc6243"/>
      <w:bookmarkStart w:id="3327" w:name="_Toc19677"/>
      <w:bookmarkStart w:id="3328" w:name="_Toc22930"/>
      <w:bookmarkStart w:id="3329" w:name="_Toc29744"/>
      <w:bookmarkStart w:id="3330" w:name="_Toc7145"/>
      <w:bookmarkStart w:id="3331" w:name="_Toc32179"/>
      <w:bookmarkStart w:id="3332" w:name="_Toc6969"/>
      <w:bookmarkStart w:id="3333" w:name="_Toc11876"/>
      <w:bookmarkStart w:id="3334" w:name="_Toc24514"/>
      <w:bookmarkStart w:id="3335" w:name="_Toc11423"/>
      <w:bookmarkStart w:id="3336" w:name="_Toc16229"/>
      <w:bookmarkStart w:id="3337" w:name="_Toc689"/>
      <w:bookmarkStart w:id="3338" w:name="_Toc10324"/>
      <w:bookmarkStart w:id="3339" w:name="_Toc1584"/>
      <w:bookmarkStart w:id="3340" w:name="_Toc26085"/>
      <w:bookmarkStart w:id="3341" w:name="_Toc4006"/>
      <w:bookmarkStart w:id="3342" w:name="_Toc19556"/>
      <w:bookmarkStart w:id="3343" w:name="_Toc31597"/>
      <w:bookmarkStart w:id="3344" w:name="_Toc27499"/>
      <w:bookmarkStart w:id="3345" w:name="_Toc14798"/>
      <w:bookmarkStart w:id="3346" w:name="_Toc17878"/>
      <w:bookmarkStart w:id="3347" w:name="_Toc29649"/>
      <w:bookmarkStart w:id="3348" w:name="_Toc14646"/>
      <w:bookmarkStart w:id="3349" w:name="_Toc2996"/>
      <w:bookmarkStart w:id="3350" w:name="_Toc11263"/>
      <w:bookmarkStart w:id="3351" w:name="_Toc32551"/>
      <w:bookmarkStart w:id="3352" w:name="_Toc25783"/>
      <w:bookmarkStart w:id="3353" w:name="_Toc259093684"/>
      <w:bookmarkStart w:id="3354" w:name="_Toc30676"/>
      <w:bookmarkStart w:id="3355" w:name="_Toc17152"/>
      <w:bookmarkStart w:id="3356" w:name="_Toc15258"/>
      <w:r>
        <w:rPr>
          <w:rFonts w:hint="eastAsia" w:ascii="微软雅黑" w:hAnsi="微软雅黑" w:eastAsia="微软雅黑" w:cs="微软雅黑"/>
          <w:b/>
          <w:color w:val="auto"/>
          <w:szCs w:val="21"/>
          <w:highlight w:val="none"/>
        </w:rPr>
        <w:t>2.14税费</w:t>
      </w:r>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14:paraId="602A35D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与合同有关的一切税费，均按照中华人民共和国法律的相关规定。</w:t>
      </w:r>
    </w:p>
    <w:p w14:paraId="5D7C152F">
      <w:pPr>
        <w:spacing w:line="360" w:lineRule="exact"/>
        <w:ind w:firstLine="420" w:firstLineChars="200"/>
        <w:rPr>
          <w:rFonts w:hint="eastAsia" w:ascii="微软雅黑" w:hAnsi="微软雅黑" w:eastAsia="微软雅黑" w:cs="微软雅黑"/>
          <w:b/>
          <w:color w:val="auto"/>
          <w:szCs w:val="21"/>
          <w:highlight w:val="none"/>
        </w:rPr>
      </w:pPr>
      <w:bookmarkStart w:id="3357" w:name="_Toc30768"/>
      <w:bookmarkStart w:id="3358" w:name="_Toc32686"/>
      <w:bookmarkStart w:id="3359" w:name="_Toc11308"/>
      <w:bookmarkStart w:id="3360" w:name="_Toc28905"/>
      <w:bookmarkStart w:id="3361" w:name="_Toc15854"/>
      <w:bookmarkStart w:id="3362" w:name="_Toc13460"/>
      <w:bookmarkStart w:id="3363" w:name="_Toc21570"/>
      <w:bookmarkStart w:id="3364" w:name="_Toc4792"/>
      <w:bookmarkStart w:id="3365" w:name="_Toc17217"/>
      <w:bookmarkStart w:id="3366" w:name="_Toc23266"/>
      <w:bookmarkStart w:id="3367" w:name="_Toc13343"/>
      <w:bookmarkStart w:id="3368" w:name="_Toc8934"/>
      <w:bookmarkStart w:id="3369" w:name="_Toc15720"/>
      <w:bookmarkStart w:id="3370" w:name="_Toc12141"/>
      <w:bookmarkStart w:id="3371" w:name="_Toc6688"/>
      <w:bookmarkStart w:id="3372" w:name="_Toc7102"/>
      <w:bookmarkStart w:id="3373" w:name="_Toc16959"/>
      <w:bookmarkStart w:id="3374" w:name="_Toc15485"/>
      <w:bookmarkStart w:id="3375" w:name="_Toc4260"/>
      <w:bookmarkStart w:id="3376" w:name="_Toc8298"/>
      <w:bookmarkStart w:id="3377" w:name="_Toc21290"/>
      <w:bookmarkStart w:id="3378" w:name="_Toc259093687"/>
      <w:bookmarkStart w:id="3379" w:name="_Toc15818"/>
      <w:bookmarkStart w:id="3380" w:name="_Toc279701258"/>
      <w:bookmarkStart w:id="3381" w:name="_Toc20594"/>
      <w:bookmarkStart w:id="3382" w:name="_Toc25303"/>
      <w:bookmarkStart w:id="3383" w:name="_Toc29993"/>
      <w:bookmarkStart w:id="3384" w:name="_Toc32560"/>
      <w:bookmarkStart w:id="3385" w:name="_Toc23415"/>
      <w:bookmarkStart w:id="3386" w:name="_Toc22071"/>
      <w:bookmarkStart w:id="3387" w:name="_Toc6037"/>
      <w:bookmarkStart w:id="3388" w:name="_Toc25654"/>
      <w:bookmarkStart w:id="3389" w:name="_Toc7117"/>
      <w:bookmarkStart w:id="3390" w:name="_Toc13012"/>
      <w:bookmarkStart w:id="3391" w:name="_Toc4749"/>
      <w:bookmarkStart w:id="3392" w:name="_Toc14403"/>
      <w:bookmarkStart w:id="3393" w:name="_Toc4812"/>
      <w:bookmarkStart w:id="3394" w:name="_Toc31088"/>
      <w:bookmarkStart w:id="3395" w:name="_Toc9300"/>
      <w:bookmarkStart w:id="3396" w:name="_Toc6733"/>
      <w:bookmarkStart w:id="3397" w:name="_Toc14348"/>
      <w:bookmarkStart w:id="3398" w:name="_Toc12594"/>
      <w:bookmarkStart w:id="3399" w:name="_Toc13626"/>
      <w:bookmarkStart w:id="3400" w:name="_Toc15722"/>
      <w:bookmarkStart w:id="3401" w:name="_Toc22239"/>
      <w:bookmarkStart w:id="3402" w:name="_Toc3354"/>
      <w:bookmarkStart w:id="3403" w:name="_Toc25260"/>
      <w:bookmarkStart w:id="3404" w:name="_Toc515"/>
      <w:bookmarkStart w:id="3405" w:name="_Toc29869"/>
      <w:bookmarkStart w:id="3406" w:name="_Toc487900368"/>
      <w:r>
        <w:rPr>
          <w:rFonts w:hint="eastAsia" w:ascii="微软雅黑" w:hAnsi="微软雅黑" w:eastAsia="微软雅黑" w:cs="微软雅黑"/>
          <w:b/>
          <w:color w:val="auto"/>
          <w:szCs w:val="21"/>
          <w:highlight w:val="none"/>
        </w:rPr>
        <w:t>2.15乙方破产</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p>
    <w:p w14:paraId="54E13411">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A2DA544">
      <w:pPr>
        <w:spacing w:line="360" w:lineRule="exact"/>
        <w:ind w:firstLine="420" w:firstLineChars="200"/>
        <w:rPr>
          <w:rFonts w:hint="eastAsia" w:ascii="微软雅黑" w:hAnsi="微软雅黑" w:eastAsia="微软雅黑" w:cs="微软雅黑"/>
          <w:b/>
          <w:color w:val="auto"/>
          <w:szCs w:val="21"/>
          <w:highlight w:val="none"/>
        </w:rPr>
      </w:pPr>
      <w:bookmarkStart w:id="3407" w:name="_Toc2211"/>
      <w:bookmarkStart w:id="3408" w:name="_Toc10302"/>
      <w:bookmarkStart w:id="3409" w:name="_Toc13500"/>
      <w:bookmarkStart w:id="3410" w:name="_Toc26246"/>
      <w:bookmarkStart w:id="3411" w:name="_Toc27106"/>
      <w:bookmarkStart w:id="3412" w:name="_Toc12606"/>
      <w:bookmarkStart w:id="3413" w:name="_Toc32508"/>
      <w:bookmarkStart w:id="3414" w:name="_Toc1303"/>
      <w:bookmarkStart w:id="3415" w:name="_Toc31639"/>
      <w:bookmarkStart w:id="3416" w:name="_Toc15445"/>
      <w:bookmarkStart w:id="3417" w:name="_Toc818"/>
      <w:bookmarkStart w:id="3418" w:name="_Toc1542"/>
      <w:bookmarkStart w:id="3419" w:name="_Toc2374"/>
      <w:bookmarkStart w:id="3420" w:name="_Toc12868"/>
      <w:bookmarkStart w:id="3421" w:name="_Toc15605"/>
      <w:bookmarkStart w:id="3422" w:name="_Toc248"/>
      <w:bookmarkStart w:id="3423" w:name="_Toc14797"/>
      <w:bookmarkStart w:id="3424" w:name="_Toc24868"/>
      <w:bookmarkStart w:id="3425" w:name="_Toc29764"/>
      <w:bookmarkStart w:id="3426" w:name="_Toc5182"/>
      <w:bookmarkStart w:id="3427" w:name="_Toc6134"/>
      <w:bookmarkStart w:id="3428" w:name="_Toc15387"/>
      <w:bookmarkStart w:id="3429" w:name="_Toc302"/>
      <w:bookmarkStart w:id="3430" w:name="_Toc24867"/>
      <w:bookmarkStart w:id="3431" w:name="_Toc7369"/>
      <w:bookmarkStart w:id="3432" w:name="_Toc20974"/>
      <w:bookmarkStart w:id="3433" w:name="_Toc27366"/>
      <w:bookmarkStart w:id="3434" w:name="_Toc7197"/>
      <w:bookmarkStart w:id="3435" w:name="_Toc9318"/>
      <w:bookmarkStart w:id="3436" w:name="_Toc22975"/>
      <w:bookmarkStart w:id="3437" w:name="_Toc6641"/>
      <w:bookmarkStart w:id="3438" w:name="_Toc23073"/>
      <w:bookmarkStart w:id="3439" w:name="_Toc29333"/>
      <w:bookmarkStart w:id="3440" w:name="_Toc8131"/>
      <w:bookmarkStart w:id="3441" w:name="_Toc4227"/>
      <w:bookmarkStart w:id="3442" w:name="_Toc8188"/>
      <w:bookmarkStart w:id="3443" w:name="_Toc24976"/>
      <w:bookmarkStart w:id="3444" w:name="_Toc22724"/>
      <w:bookmarkStart w:id="3445" w:name="_Toc20409"/>
      <w:bookmarkStart w:id="3446" w:name="_Toc6085"/>
      <w:bookmarkStart w:id="3447" w:name="_Toc32330"/>
      <w:bookmarkStart w:id="3448" w:name="_Toc26255"/>
      <w:bookmarkStart w:id="3449" w:name="_Toc2967"/>
      <w:bookmarkStart w:id="3450" w:name="_Toc24066"/>
      <w:bookmarkStart w:id="3451" w:name="_Toc24866"/>
      <w:bookmarkStart w:id="3452" w:name="_Toc9957"/>
      <w:r>
        <w:rPr>
          <w:rFonts w:hint="eastAsia" w:ascii="微软雅黑" w:hAnsi="微软雅黑" w:eastAsia="微软雅黑" w:cs="微软雅黑"/>
          <w:b/>
          <w:color w:val="auto"/>
          <w:szCs w:val="21"/>
          <w:highlight w:val="none"/>
        </w:rPr>
        <w:t>2.16合同中止、终止</w:t>
      </w:r>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38A9181A">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2.16.1双方当事人不得擅自中止或者终止合同；</w:t>
      </w:r>
    </w:p>
    <w:p w14:paraId="67996547">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14:paraId="4B13AC23">
      <w:pPr>
        <w:spacing w:line="360" w:lineRule="exact"/>
        <w:ind w:firstLine="420" w:firstLineChars="200"/>
        <w:rPr>
          <w:rFonts w:hint="eastAsia" w:ascii="微软雅黑" w:hAnsi="微软雅黑" w:eastAsia="微软雅黑" w:cs="微软雅黑"/>
          <w:b/>
          <w:color w:val="auto"/>
          <w:szCs w:val="21"/>
          <w:highlight w:val="none"/>
        </w:rPr>
      </w:pPr>
      <w:bookmarkStart w:id="3453" w:name="_Toc14563"/>
      <w:bookmarkStart w:id="3454" w:name="_Toc11658"/>
      <w:bookmarkStart w:id="3455" w:name="_Toc27227"/>
      <w:bookmarkStart w:id="3456" w:name="_Toc22561"/>
      <w:bookmarkStart w:id="3457" w:name="_Toc7142"/>
      <w:bookmarkStart w:id="3458" w:name="_Toc25710"/>
      <w:bookmarkStart w:id="3459" w:name="_Toc30958"/>
      <w:bookmarkStart w:id="3460" w:name="_Toc30133"/>
      <w:bookmarkStart w:id="3461" w:name="_Toc24731"/>
      <w:bookmarkStart w:id="3462" w:name="_Toc7005"/>
      <w:bookmarkStart w:id="3463" w:name="_Toc30476"/>
      <w:bookmarkStart w:id="3464" w:name="_Toc21425"/>
      <w:bookmarkStart w:id="3465" w:name="_Toc13904"/>
      <w:bookmarkStart w:id="3466" w:name="_Toc207"/>
      <w:bookmarkStart w:id="3467" w:name="_Toc32580"/>
      <w:bookmarkStart w:id="3468" w:name="_Toc28757"/>
      <w:bookmarkStart w:id="3469" w:name="_Toc19328"/>
      <w:bookmarkStart w:id="3470" w:name="_Toc28047"/>
      <w:bookmarkStart w:id="3471" w:name="_Toc29829"/>
      <w:bookmarkStart w:id="3472" w:name="_Toc19755"/>
      <w:bookmarkStart w:id="3473" w:name="_Toc18602"/>
      <w:bookmarkStart w:id="3474" w:name="_Toc22455"/>
      <w:bookmarkStart w:id="3475" w:name="_Toc14890"/>
      <w:bookmarkStart w:id="3476" w:name="_Toc18411"/>
      <w:bookmarkStart w:id="3477" w:name="_Toc4111"/>
      <w:bookmarkStart w:id="3478" w:name="_Toc1125"/>
      <w:bookmarkStart w:id="3479" w:name="_Toc25358"/>
      <w:bookmarkStart w:id="3480" w:name="_Toc12401"/>
      <w:bookmarkStart w:id="3481" w:name="_Toc4865"/>
      <w:bookmarkStart w:id="3482" w:name="_Toc25836"/>
      <w:bookmarkStart w:id="3483" w:name="_Toc2741"/>
      <w:bookmarkStart w:id="3484" w:name="_Toc13150"/>
      <w:bookmarkStart w:id="3485" w:name="_Toc31069"/>
      <w:bookmarkStart w:id="3486" w:name="_Toc19779"/>
      <w:bookmarkStart w:id="3487" w:name="_Toc11060"/>
      <w:bookmarkStart w:id="3488" w:name="_Toc23303"/>
      <w:bookmarkStart w:id="3489" w:name="_Toc6596"/>
      <w:bookmarkStart w:id="3490" w:name="_Toc6920"/>
      <w:bookmarkStart w:id="3491" w:name="_Toc16623"/>
      <w:bookmarkStart w:id="3492" w:name="_Toc22451"/>
      <w:bookmarkStart w:id="3493" w:name="_Toc32090"/>
      <w:bookmarkStart w:id="3494" w:name="_Toc21636"/>
      <w:bookmarkStart w:id="3495" w:name="_Toc27954"/>
      <w:bookmarkStart w:id="3496" w:name="_Toc13756"/>
      <w:bookmarkStart w:id="3497" w:name="_Toc20145"/>
      <w:bookmarkStart w:id="3498" w:name="_Toc19324"/>
      <w:r>
        <w:rPr>
          <w:rFonts w:hint="eastAsia" w:ascii="微软雅黑" w:hAnsi="微软雅黑" w:eastAsia="微软雅黑" w:cs="微软雅黑"/>
          <w:b/>
          <w:color w:val="auto"/>
          <w:szCs w:val="21"/>
          <w:highlight w:val="none"/>
        </w:rPr>
        <w:t>2.17检验和验收</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p w14:paraId="13263EF3">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约定时间内组织验收，并可依法邀请相关方参加，验收应出具验收书。</w:t>
      </w:r>
    </w:p>
    <w:p w14:paraId="10BFE4B1">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895CECF">
      <w:pP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2.17.3检验和验收标准、程序等具体内容以及前述验收书的效力详见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i/>
          <w:color w:val="auto"/>
          <w:szCs w:val="21"/>
          <w:highlight w:val="none"/>
        </w:rPr>
        <w:t>。</w:t>
      </w:r>
    </w:p>
    <w:bookmarkEnd w:id="3211"/>
    <w:bookmarkEnd w:id="3212"/>
    <w:bookmarkEnd w:id="3213"/>
    <w:bookmarkEnd w:id="3214"/>
    <w:p w14:paraId="55783445">
      <w:pPr>
        <w:spacing w:line="360" w:lineRule="exact"/>
        <w:ind w:firstLine="420" w:firstLineChars="200"/>
        <w:rPr>
          <w:rFonts w:hint="eastAsia" w:ascii="微软雅黑" w:hAnsi="微软雅黑" w:eastAsia="微软雅黑" w:cs="微软雅黑"/>
          <w:b/>
          <w:color w:val="auto"/>
          <w:szCs w:val="21"/>
          <w:highlight w:val="none"/>
        </w:rPr>
      </w:pPr>
      <w:bookmarkStart w:id="3499" w:name="_Toc259093690"/>
      <w:bookmarkStart w:id="3500" w:name="_Toc279701261"/>
      <w:bookmarkStart w:id="3501" w:name="_Toc487900371"/>
      <w:bookmarkStart w:id="3502" w:name="_Toc19604"/>
      <w:bookmarkStart w:id="3503" w:name="_Toc725"/>
      <w:bookmarkStart w:id="3504" w:name="_Toc29229"/>
      <w:bookmarkStart w:id="3505" w:name="_Toc19636"/>
      <w:bookmarkStart w:id="3506" w:name="_Toc9266"/>
      <w:bookmarkStart w:id="3507" w:name="_Toc27621"/>
      <w:bookmarkStart w:id="3508" w:name="_Toc11885"/>
      <w:bookmarkStart w:id="3509" w:name="_Toc17270"/>
      <w:bookmarkStart w:id="3510" w:name="_Toc29842"/>
      <w:bookmarkStart w:id="3511" w:name="_Toc19091"/>
      <w:bookmarkStart w:id="3512" w:name="_Toc15285"/>
      <w:bookmarkStart w:id="3513" w:name="_Toc17313"/>
      <w:bookmarkStart w:id="3514" w:name="_Toc2040"/>
      <w:bookmarkStart w:id="3515" w:name="_Toc13357"/>
      <w:bookmarkStart w:id="3516" w:name="_Toc26892"/>
      <w:bookmarkStart w:id="3517" w:name="_Toc7489"/>
      <w:bookmarkStart w:id="3518" w:name="_Toc22439"/>
      <w:bookmarkStart w:id="3519" w:name="_Toc29995"/>
      <w:bookmarkStart w:id="3520" w:name="_Toc28697"/>
      <w:bookmarkStart w:id="3521" w:name="_Toc25315"/>
      <w:bookmarkStart w:id="3522" w:name="_Toc25182"/>
      <w:bookmarkStart w:id="3523" w:name="_Toc8096"/>
      <w:bookmarkStart w:id="3524" w:name="_Toc14242"/>
      <w:bookmarkStart w:id="3525" w:name="_Toc29075"/>
      <w:bookmarkStart w:id="3526" w:name="_Toc11852"/>
      <w:bookmarkStart w:id="3527" w:name="_Toc24171"/>
      <w:bookmarkStart w:id="3528" w:name="_Toc20259"/>
      <w:bookmarkStart w:id="3529" w:name="_Toc1829"/>
      <w:bookmarkStart w:id="3530" w:name="_Toc8941"/>
      <w:bookmarkStart w:id="3531" w:name="_Toc22123"/>
      <w:bookmarkStart w:id="3532" w:name="_Toc15037"/>
      <w:bookmarkStart w:id="3533" w:name="_Toc4983"/>
      <w:bookmarkStart w:id="3534" w:name="_Toc11284"/>
      <w:bookmarkStart w:id="3535" w:name="_Toc27772"/>
      <w:bookmarkStart w:id="3536" w:name="_Toc24642"/>
      <w:bookmarkStart w:id="3537" w:name="_Toc8866"/>
      <w:bookmarkStart w:id="3538" w:name="_Toc11065"/>
      <w:bookmarkStart w:id="3539" w:name="_Toc13220"/>
      <w:bookmarkStart w:id="3540" w:name="_Toc9340"/>
      <w:bookmarkStart w:id="3541" w:name="_Toc10130"/>
      <w:bookmarkStart w:id="3542" w:name="_Toc12493"/>
      <w:bookmarkStart w:id="3543" w:name="_Toc21849"/>
      <w:bookmarkStart w:id="3544" w:name="_Toc26823"/>
      <w:bookmarkStart w:id="3545" w:name="_Toc2435"/>
      <w:r>
        <w:rPr>
          <w:rFonts w:hint="eastAsia" w:ascii="微软雅黑" w:hAnsi="微软雅黑" w:eastAsia="微软雅黑" w:cs="微软雅黑"/>
          <w:b/>
          <w:color w:val="auto"/>
          <w:szCs w:val="21"/>
          <w:highlight w:val="none"/>
        </w:rPr>
        <w:t>2.18通知</w:t>
      </w:r>
      <w:bookmarkEnd w:id="3499"/>
      <w:bookmarkEnd w:id="3500"/>
      <w:bookmarkEnd w:id="3501"/>
      <w:r>
        <w:rPr>
          <w:rFonts w:hint="eastAsia" w:ascii="微软雅黑" w:hAnsi="微软雅黑" w:eastAsia="微软雅黑" w:cs="微软雅黑"/>
          <w:b/>
          <w:color w:val="auto"/>
          <w:szCs w:val="21"/>
          <w:highlight w:val="none"/>
        </w:rPr>
        <w:t>和送达</w:t>
      </w:r>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p w14:paraId="595154F7">
      <w:pPr>
        <w:spacing w:line="360" w:lineRule="exact"/>
        <w:ind w:firstLine="420" w:firstLineChars="200"/>
        <w:rPr>
          <w:rFonts w:hint="eastAsia" w:ascii="微软雅黑" w:hAnsi="微软雅黑" w:eastAsia="微软雅黑" w:cs="微软雅黑"/>
          <w:color w:val="auto"/>
          <w:szCs w:val="21"/>
          <w:highlight w:val="none"/>
        </w:rPr>
      </w:pPr>
      <w:bookmarkStart w:id="3546" w:name="_Toc6698"/>
      <w:bookmarkStart w:id="3547" w:name="_Toc3135"/>
      <w:bookmarkStart w:id="3548" w:name="_Toc487900372"/>
      <w:bookmarkStart w:id="3549" w:name="_Toc259093691"/>
      <w:bookmarkStart w:id="3550" w:name="_Toc279701262"/>
      <w:r>
        <w:rPr>
          <w:rFonts w:hint="eastAsia" w:ascii="微软雅黑" w:hAnsi="微软雅黑" w:eastAsia="微软雅黑" w:cs="微软雅黑"/>
          <w:color w:val="auto"/>
          <w:szCs w:val="21"/>
          <w:highlight w:val="none"/>
        </w:rPr>
        <w:t>2.18.1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546"/>
      <w:bookmarkEnd w:id="3547"/>
    </w:p>
    <w:p w14:paraId="7DD75FFB">
      <w:pPr>
        <w:spacing w:line="360" w:lineRule="exact"/>
        <w:ind w:firstLine="420" w:firstLineChars="200"/>
        <w:rPr>
          <w:rFonts w:hint="eastAsia" w:ascii="微软雅黑" w:hAnsi="微软雅黑" w:eastAsia="微软雅黑" w:cs="微软雅黑"/>
          <w:color w:val="auto"/>
          <w:szCs w:val="21"/>
          <w:highlight w:val="none"/>
        </w:rPr>
      </w:pPr>
      <w:bookmarkStart w:id="3551" w:name="_Toc23128"/>
      <w:bookmarkStart w:id="3552" w:name="_Toc23294"/>
      <w:r>
        <w:rPr>
          <w:rFonts w:hint="eastAsia" w:ascii="微软雅黑" w:hAnsi="微软雅黑" w:eastAsia="微软雅黑" w:cs="微软雅黑"/>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51"/>
      <w:bookmarkEnd w:id="3552"/>
    </w:p>
    <w:p w14:paraId="46266717">
      <w:pPr>
        <w:spacing w:line="360" w:lineRule="exact"/>
        <w:ind w:firstLine="420" w:firstLineChars="200"/>
        <w:rPr>
          <w:rFonts w:hint="eastAsia" w:ascii="微软雅黑" w:hAnsi="微软雅黑" w:eastAsia="微软雅黑" w:cs="微软雅黑"/>
          <w:b/>
          <w:color w:val="auto"/>
          <w:szCs w:val="21"/>
          <w:highlight w:val="none"/>
        </w:rPr>
      </w:pPr>
      <w:bookmarkStart w:id="3553" w:name="_Toc9456"/>
      <w:bookmarkStart w:id="3554" w:name="_Toc31861"/>
      <w:bookmarkStart w:id="3555" w:name="_Toc28855"/>
      <w:bookmarkStart w:id="3556" w:name="_Toc12147"/>
      <w:bookmarkStart w:id="3557" w:name="_Toc30599"/>
      <w:bookmarkStart w:id="3558" w:name="_Toc29766"/>
      <w:bookmarkStart w:id="3559" w:name="_Toc12721"/>
      <w:bookmarkStart w:id="3560" w:name="_Toc22532"/>
      <w:bookmarkStart w:id="3561" w:name="_Toc4747"/>
      <w:bookmarkStart w:id="3562" w:name="_Toc5312"/>
      <w:bookmarkStart w:id="3563" w:name="_Toc29578"/>
      <w:bookmarkStart w:id="3564" w:name="_Toc21923"/>
      <w:bookmarkStart w:id="3565" w:name="_Toc24725"/>
      <w:bookmarkStart w:id="3566" w:name="_Toc23931"/>
      <w:bookmarkStart w:id="3567" w:name="_Toc1492"/>
      <w:bookmarkStart w:id="3568" w:name="_Toc20914"/>
      <w:bookmarkStart w:id="3569" w:name="_Toc19314"/>
      <w:bookmarkStart w:id="3570" w:name="_Toc11585"/>
      <w:bookmarkStart w:id="3571" w:name="_Toc2623"/>
      <w:bookmarkStart w:id="3572" w:name="_Toc16010"/>
      <w:bookmarkStart w:id="3573" w:name="_Toc21245"/>
      <w:bookmarkStart w:id="3574" w:name="_Toc1444"/>
      <w:bookmarkStart w:id="3575" w:name="_Toc30497"/>
      <w:bookmarkStart w:id="3576" w:name="_Toc22858"/>
      <w:bookmarkStart w:id="3577" w:name="_Toc29312"/>
      <w:bookmarkStart w:id="3578" w:name="_Toc20309"/>
      <w:bookmarkStart w:id="3579" w:name="_Toc1121"/>
      <w:bookmarkStart w:id="3580" w:name="_Toc10932"/>
      <w:bookmarkStart w:id="3581" w:name="_Toc10896"/>
      <w:bookmarkStart w:id="3582" w:name="_Toc22798"/>
      <w:bookmarkStart w:id="3583" w:name="_Toc20989"/>
      <w:bookmarkStart w:id="3584" w:name="_Toc19958"/>
      <w:bookmarkStart w:id="3585" w:name="_Toc15958"/>
      <w:bookmarkStart w:id="3586" w:name="_Toc14810"/>
      <w:bookmarkStart w:id="3587" w:name="_Toc25198"/>
      <w:bookmarkStart w:id="3588" w:name="_Toc27038"/>
      <w:bookmarkStart w:id="3589" w:name="_Toc21011"/>
      <w:bookmarkStart w:id="3590" w:name="_Toc4241"/>
      <w:bookmarkStart w:id="3591" w:name="_Toc11892"/>
      <w:bookmarkStart w:id="3592" w:name="_Toc9371"/>
      <w:bookmarkStart w:id="3593" w:name="_Toc14430"/>
      <w:bookmarkStart w:id="3594" w:name="_Toc513"/>
      <w:bookmarkStart w:id="3595" w:name="_Toc5411"/>
      <w:bookmarkStart w:id="3596" w:name="_Toc18540"/>
      <w:bookmarkStart w:id="3597" w:name="_Toc21671"/>
      <w:bookmarkStart w:id="3598" w:name="_Toc4355"/>
      <w:bookmarkStart w:id="3599" w:name="_Toc30197"/>
      <w:r>
        <w:rPr>
          <w:rFonts w:hint="eastAsia" w:ascii="微软雅黑" w:hAnsi="微软雅黑" w:eastAsia="微软雅黑" w:cs="微软雅黑"/>
          <w:b/>
          <w:color w:val="auto"/>
          <w:szCs w:val="21"/>
          <w:highlight w:val="none"/>
        </w:rPr>
        <w:t>2.19计量单位</w:t>
      </w:r>
      <w:bookmarkEnd w:id="3548"/>
      <w:bookmarkEnd w:id="3549"/>
      <w:bookmarkEnd w:id="3550"/>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p>
    <w:p w14:paraId="6B282D86">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除技术规范中另有规定外,合同的计量单位均使用国家法定计量单位。</w:t>
      </w:r>
    </w:p>
    <w:p w14:paraId="1F18BF64">
      <w:pPr>
        <w:spacing w:line="360" w:lineRule="exact"/>
        <w:ind w:firstLine="420" w:firstLineChars="200"/>
        <w:rPr>
          <w:rFonts w:hint="eastAsia" w:ascii="微软雅黑" w:hAnsi="微软雅黑" w:eastAsia="微软雅黑" w:cs="微软雅黑"/>
          <w:b/>
          <w:color w:val="auto"/>
          <w:szCs w:val="21"/>
          <w:highlight w:val="none"/>
        </w:rPr>
      </w:pPr>
      <w:bookmarkStart w:id="3600" w:name="_Toc27589"/>
      <w:bookmarkStart w:id="3601" w:name="_Toc3417"/>
      <w:bookmarkStart w:id="3602" w:name="_Toc15868"/>
      <w:bookmarkStart w:id="3603" w:name="_Toc29617"/>
      <w:bookmarkStart w:id="3604" w:name="_Toc11130"/>
      <w:bookmarkStart w:id="3605" w:name="_Toc13131"/>
      <w:bookmarkStart w:id="3606" w:name="_Toc28357"/>
      <w:bookmarkStart w:id="3607" w:name="_Toc23148"/>
      <w:bookmarkStart w:id="3608" w:name="_Toc18634"/>
      <w:bookmarkStart w:id="3609" w:name="_Toc12547"/>
      <w:bookmarkStart w:id="3610" w:name="_Toc25148"/>
      <w:bookmarkStart w:id="3611" w:name="_Toc8816"/>
      <w:bookmarkStart w:id="3612" w:name="_Toc5796"/>
      <w:bookmarkStart w:id="3613" w:name="_Toc24115"/>
      <w:bookmarkStart w:id="3614" w:name="_Toc279701263"/>
      <w:bookmarkStart w:id="3615" w:name="_Toc15271"/>
      <w:bookmarkStart w:id="3616" w:name="_Toc20624"/>
      <w:bookmarkStart w:id="3617" w:name="_Toc18567"/>
      <w:bookmarkStart w:id="3618" w:name="_Toc10330"/>
      <w:bookmarkStart w:id="3619" w:name="_Toc24231"/>
      <w:bookmarkStart w:id="3620" w:name="_Toc10830"/>
      <w:bookmarkStart w:id="3621" w:name="_Toc15428"/>
      <w:bookmarkStart w:id="3622" w:name="_Toc9331"/>
      <w:bookmarkStart w:id="3623" w:name="_Toc32583"/>
      <w:bookmarkStart w:id="3624" w:name="_Toc6343"/>
      <w:bookmarkStart w:id="3625" w:name="_Toc7172"/>
      <w:bookmarkStart w:id="3626" w:name="_Toc12773"/>
      <w:bookmarkStart w:id="3627" w:name="_Toc23641"/>
      <w:bookmarkStart w:id="3628" w:name="_Toc16880"/>
      <w:bookmarkStart w:id="3629" w:name="_Toc28784"/>
      <w:bookmarkStart w:id="3630" w:name="_Toc19154"/>
      <w:bookmarkStart w:id="3631" w:name="_Toc9819"/>
      <w:bookmarkStart w:id="3632" w:name="_Toc487900373"/>
      <w:bookmarkStart w:id="3633" w:name="_Toc24843"/>
      <w:bookmarkStart w:id="3634" w:name="_Toc26340"/>
      <w:bookmarkStart w:id="3635" w:name="_Toc1736"/>
      <w:bookmarkStart w:id="3636" w:name="_Toc7567"/>
      <w:bookmarkStart w:id="3637" w:name="_Toc259093692"/>
      <w:bookmarkStart w:id="3638" w:name="_Toc28469"/>
      <w:bookmarkStart w:id="3639" w:name="_Toc21177"/>
      <w:bookmarkStart w:id="3640" w:name="_Toc17517"/>
      <w:bookmarkStart w:id="3641" w:name="_Toc2161"/>
      <w:bookmarkStart w:id="3642" w:name="_Toc31474"/>
      <w:bookmarkStart w:id="3643" w:name="_Toc31531"/>
      <w:bookmarkStart w:id="3644" w:name="_Toc10585"/>
      <w:bookmarkStart w:id="3645" w:name="_Toc18716"/>
      <w:bookmarkStart w:id="3646" w:name="_Toc12781"/>
      <w:r>
        <w:rPr>
          <w:rFonts w:hint="eastAsia" w:ascii="微软雅黑" w:hAnsi="微软雅黑" w:eastAsia="微软雅黑" w:cs="微软雅黑"/>
          <w:b/>
          <w:color w:val="auto"/>
          <w:szCs w:val="21"/>
          <w:highlight w:val="none"/>
        </w:rPr>
        <w:t>2.20合同使用的文字和适用的法律</w:t>
      </w:r>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p>
    <w:p w14:paraId="1E42B3CF">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2.20.1合同使用汉语书就、变更和解释；</w:t>
      </w:r>
    </w:p>
    <w:p w14:paraId="78D41CA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2.20.2合同适用中华人民共和国法律。</w:t>
      </w:r>
    </w:p>
    <w:p w14:paraId="71FE67C5">
      <w:pPr>
        <w:spacing w:line="360" w:lineRule="exact"/>
        <w:ind w:firstLine="420" w:firstLineChars="200"/>
        <w:rPr>
          <w:rFonts w:hint="eastAsia" w:ascii="微软雅黑" w:hAnsi="微软雅黑" w:eastAsia="微软雅黑" w:cs="微软雅黑"/>
          <w:b/>
          <w:color w:val="auto"/>
          <w:szCs w:val="21"/>
          <w:highlight w:val="none"/>
        </w:rPr>
      </w:pPr>
      <w:bookmarkStart w:id="3647" w:name="_Toc32497"/>
      <w:bookmarkStart w:id="3648" w:name="_Toc28946"/>
      <w:bookmarkStart w:id="3649" w:name="_Toc19409"/>
      <w:bookmarkStart w:id="3650" w:name="_Toc25910"/>
      <w:bookmarkStart w:id="3651" w:name="_Toc31569"/>
      <w:bookmarkStart w:id="3652" w:name="_Toc15872"/>
      <w:bookmarkStart w:id="3653" w:name="_Toc23464"/>
      <w:bookmarkStart w:id="3654" w:name="_Toc31790"/>
      <w:bookmarkStart w:id="3655" w:name="_Toc14308"/>
      <w:bookmarkStart w:id="3656" w:name="_Toc29493"/>
      <w:bookmarkStart w:id="3657" w:name="_Toc15744"/>
      <w:bookmarkStart w:id="3658" w:name="_Toc13924"/>
      <w:bookmarkStart w:id="3659" w:name="_Toc638"/>
      <w:bookmarkStart w:id="3660" w:name="_Toc279701264"/>
      <w:bookmarkStart w:id="3661" w:name="_Toc1670"/>
      <w:bookmarkStart w:id="3662" w:name="_Toc14964"/>
      <w:bookmarkStart w:id="3663" w:name="_Toc12945"/>
      <w:bookmarkStart w:id="3664" w:name="_Toc12004"/>
      <w:bookmarkStart w:id="3665" w:name="_Toc9880"/>
      <w:bookmarkStart w:id="3666" w:name="_Toc3165"/>
      <w:bookmarkStart w:id="3667" w:name="_Toc5000"/>
      <w:bookmarkStart w:id="3668" w:name="_Toc16658"/>
      <w:bookmarkStart w:id="3669" w:name="_Toc29073"/>
      <w:bookmarkStart w:id="3670" w:name="_Toc18838"/>
      <w:bookmarkStart w:id="3671" w:name="_Toc1396"/>
      <w:bookmarkStart w:id="3672" w:name="_Toc18281"/>
      <w:bookmarkStart w:id="3673" w:name="_Toc12066"/>
      <w:bookmarkStart w:id="3674" w:name="_Toc9653"/>
      <w:bookmarkStart w:id="3675" w:name="_Toc16673"/>
      <w:bookmarkStart w:id="3676" w:name="_Toc22384"/>
      <w:bookmarkStart w:id="3677" w:name="_Toc30511"/>
      <w:bookmarkStart w:id="3678" w:name="_Toc25518"/>
      <w:bookmarkStart w:id="3679" w:name="_Toc9280"/>
      <w:bookmarkStart w:id="3680" w:name="_Toc3148"/>
      <w:bookmarkStart w:id="3681" w:name="_Toc25551"/>
      <w:bookmarkStart w:id="3682" w:name="_Toc18845"/>
      <w:bookmarkStart w:id="3683" w:name="_Toc32767"/>
      <w:bookmarkStart w:id="3684" w:name="_Toc11628"/>
      <w:bookmarkStart w:id="3685" w:name="_Toc27703"/>
      <w:bookmarkStart w:id="3686" w:name="_Toc259093693"/>
      <w:bookmarkStart w:id="3687" w:name="_Toc17743"/>
      <w:bookmarkStart w:id="3688" w:name="_Toc17759"/>
      <w:bookmarkStart w:id="3689" w:name="_Toc11176"/>
      <w:bookmarkStart w:id="3690" w:name="_Toc26372"/>
      <w:bookmarkStart w:id="3691" w:name="_Toc23015"/>
      <w:bookmarkStart w:id="3692" w:name="_Toc15434"/>
      <w:bookmarkStart w:id="3693" w:name="_Toc21915"/>
      <w:bookmarkStart w:id="3694" w:name="_Toc8602"/>
      <w:bookmarkStart w:id="3695" w:name="_Toc29921"/>
      <w:bookmarkStart w:id="3696" w:name="_Toc487900374"/>
      <w:r>
        <w:rPr>
          <w:rFonts w:hint="eastAsia" w:ascii="微软雅黑" w:hAnsi="微软雅黑" w:eastAsia="微软雅黑" w:cs="微软雅黑"/>
          <w:b/>
          <w:color w:val="auto"/>
          <w:szCs w:val="21"/>
          <w:highlight w:val="none"/>
        </w:rPr>
        <w:t>2.21履约保证金</w:t>
      </w:r>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p>
    <w:p w14:paraId="5FD03560">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2.21.1采购文件要求乙方提交履约保证金的，乙方应按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约定的方式，以支票、汇票、本票或者金融机构、担保机构出具的保函等非现金形式，提交不超过合同价10%的履约保证金；</w:t>
      </w:r>
    </w:p>
    <w:p w14:paraId="687C8218">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2.21.2履约保证金在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约定期间内或者货物质量保证期内不予退还或者应完全有效，前述约定期间届满或者货物质量保证期届满之日起个工作日内，甲方应将履约保证金退还乙方；</w:t>
      </w:r>
    </w:p>
    <w:p w14:paraId="5AC957E4">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696"/>
    <w:p w14:paraId="21D2EB9E">
      <w:pPr>
        <w:spacing w:line="360" w:lineRule="exact"/>
        <w:ind w:firstLine="420" w:firstLineChars="200"/>
        <w:rPr>
          <w:rFonts w:hint="eastAsia" w:ascii="微软雅黑" w:hAnsi="微软雅黑" w:eastAsia="微软雅黑" w:cs="微软雅黑"/>
          <w:b/>
          <w:color w:val="auto"/>
          <w:szCs w:val="21"/>
          <w:highlight w:val="none"/>
        </w:rPr>
      </w:pPr>
      <w:bookmarkStart w:id="3697" w:name="_Toc32408"/>
      <w:bookmarkStart w:id="3698" w:name="_Toc31760"/>
      <w:bookmarkStart w:id="3699" w:name="_Toc3020"/>
      <w:bookmarkStart w:id="3700" w:name="_Toc2916"/>
      <w:bookmarkStart w:id="3701" w:name="_Toc31950"/>
      <w:bookmarkStart w:id="3702" w:name="_Toc21759"/>
      <w:bookmarkStart w:id="3703" w:name="_Toc19890"/>
      <w:bookmarkStart w:id="3704" w:name="_Toc21930"/>
      <w:bookmarkStart w:id="3705" w:name="_Toc12607"/>
      <w:bookmarkStart w:id="3706" w:name="_Toc6885"/>
      <w:bookmarkStart w:id="3707" w:name="_Toc10801"/>
      <w:bookmarkStart w:id="3708" w:name="_Toc25712"/>
      <w:bookmarkStart w:id="3709" w:name="_Toc468"/>
      <w:bookmarkStart w:id="3710" w:name="_Toc6787"/>
      <w:bookmarkStart w:id="3711" w:name="_Toc17342"/>
      <w:bookmarkStart w:id="3712" w:name="_Toc27561"/>
      <w:bookmarkStart w:id="3713" w:name="_Toc29936"/>
      <w:bookmarkStart w:id="3714" w:name="_Toc24006"/>
      <w:bookmarkStart w:id="3715" w:name="_Toc28671"/>
      <w:bookmarkStart w:id="3716" w:name="_Toc26471"/>
      <w:bookmarkStart w:id="3717" w:name="_Toc13582"/>
      <w:bookmarkStart w:id="3718" w:name="_Toc30847"/>
      <w:bookmarkStart w:id="3719" w:name="_Toc369"/>
      <w:bookmarkStart w:id="3720" w:name="_Toc26940"/>
      <w:bookmarkStart w:id="3721" w:name="_Toc26017"/>
      <w:bookmarkStart w:id="3722" w:name="_Toc20802"/>
      <w:bookmarkStart w:id="3723" w:name="_Toc19282"/>
      <w:bookmarkStart w:id="3724" w:name="_Toc27563"/>
      <w:bookmarkStart w:id="3725" w:name="_Toc2720"/>
      <w:bookmarkStart w:id="3726" w:name="_Toc8495"/>
      <w:bookmarkStart w:id="3727" w:name="_Toc12034"/>
      <w:bookmarkStart w:id="3728" w:name="_Toc25691"/>
      <w:bookmarkStart w:id="3729" w:name="_Toc11103"/>
      <w:bookmarkStart w:id="3730" w:name="_Toc30496"/>
      <w:bookmarkStart w:id="3731" w:name="_Toc17004"/>
      <w:bookmarkStart w:id="3732" w:name="_Toc22821"/>
      <w:bookmarkStart w:id="3733" w:name="_Toc10736"/>
      <w:bookmarkStart w:id="3734" w:name="_Toc31089"/>
      <w:bookmarkStart w:id="3735" w:name="_Toc936"/>
      <w:bookmarkStart w:id="3736" w:name="_Toc10477"/>
      <w:bookmarkStart w:id="3737" w:name="_Toc32243"/>
      <w:bookmarkStart w:id="3738" w:name="_Toc11644"/>
      <w:bookmarkStart w:id="3739" w:name="_Toc2442"/>
      <w:bookmarkStart w:id="3740" w:name="_Toc14001"/>
      <w:bookmarkStart w:id="3741" w:name="_Toc8867"/>
      <w:bookmarkStart w:id="3742" w:name="_Toc22496"/>
      <w:bookmarkStart w:id="3743" w:name="_Toc10796"/>
      <w:r>
        <w:rPr>
          <w:rFonts w:hint="eastAsia" w:ascii="微软雅黑" w:hAnsi="微软雅黑" w:eastAsia="微软雅黑" w:cs="微软雅黑"/>
          <w:b/>
          <w:color w:val="auto"/>
          <w:szCs w:val="21"/>
          <w:highlight w:val="none"/>
        </w:rPr>
        <w:t>2.22合同份数</w:t>
      </w:r>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p>
    <w:p w14:paraId="7A6D15AD">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合同份数按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规定，每份均具有同等法律效力。</w:t>
      </w:r>
    </w:p>
    <w:p w14:paraId="2A6AD45B">
      <w:pPr>
        <w:rPr>
          <w:rFonts w:hint="eastAsia" w:ascii="微软雅黑" w:hAnsi="微软雅黑" w:eastAsia="微软雅黑" w:cs="微软雅黑"/>
          <w:b/>
          <w:color w:val="auto"/>
          <w:szCs w:val="21"/>
          <w:highlight w:val="none"/>
        </w:rPr>
      </w:pPr>
      <w:bookmarkStart w:id="3744" w:name="_Toc331685784"/>
      <w:r>
        <w:rPr>
          <w:rFonts w:hint="eastAsia" w:ascii="微软雅黑" w:hAnsi="微软雅黑" w:eastAsia="微软雅黑" w:cs="微软雅黑"/>
          <w:b/>
          <w:color w:val="auto"/>
          <w:szCs w:val="21"/>
          <w:highlight w:val="none"/>
        </w:rPr>
        <w:br w:type="page"/>
      </w:r>
    </w:p>
    <w:p w14:paraId="66C60B60">
      <w:pPr>
        <w:pStyle w:val="72"/>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第三部分合同专用条款</w:t>
      </w:r>
      <w:bookmarkEnd w:id="3744"/>
    </w:p>
    <w:p w14:paraId="6A529A82">
      <w:pP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F9F0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516B9A1">
            <w:pP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条款号</w:t>
            </w:r>
          </w:p>
        </w:tc>
        <w:tc>
          <w:tcPr>
            <w:tcW w:w="7633" w:type="dxa"/>
            <w:vAlign w:val="center"/>
          </w:tcPr>
          <w:p w14:paraId="2EC56476">
            <w:pP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约定内容</w:t>
            </w:r>
          </w:p>
        </w:tc>
      </w:tr>
      <w:tr w14:paraId="5C62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7C1E1053">
            <w:pPr>
              <w:spacing w:line="360" w:lineRule="exact"/>
              <w:rPr>
                <w:rFonts w:hint="eastAsia" w:ascii="微软雅黑" w:hAnsi="微软雅黑" w:eastAsia="微软雅黑" w:cs="微软雅黑"/>
                <w:color w:val="auto"/>
                <w:szCs w:val="21"/>
                <w:highlight w:val="none"/>
              </w:rPr>
            </w:pPr>
          </w:p>
        </w:tc>
        <w:tc>
          <w:tcPr>
            <w:tcW w:w="7633" w:type="dxa"/>
            <w:vAlign w:val="center"/>
          </w:tcPr>
          <w:p w14:paraId="3CD724CC">
            <w:pPr>
              <w:spacing w:line="360" w:lineRule="exact"/>
              <w:rPr>
                <w:rFonts w:hint="eastAsia" w:ascii="微软雅黑" w:hAnsi="微软雅黑" w:eastAsia="微软雅黑" w:cs="微软雅黑"/>
                <w:color w:val="auto"/>
                <w:szCs w:val="21"/>
                <w:highlight w:val="none"/>
              </w:rPr>
            </w:pPr>
          </w:p>
        </w:tc>
      </w:tr>
      <w:tr w14:paraId="14DB8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339F9418">
            <w:pPr>
              <w:spacing w:line="360" w:lineRule="exact"/>
              <w:rPr>
                <w:rFonts w:hint="eastAsia" w:ascii="微软雅黑" w:hAnsi="微软雅黑" w:eastAsia="微软雅黑" w:cs="微软雅黑"/>
                <w:color w:val="auto"/>
                <w:szCs w:val="21"/>
                <w:highlight w:val="none"/>
              </w:rPr>
            </w:pPr>
          </w:p>
        </w:tc>
        <w:tc>
          <w:tcPr>
            <w:tcW w:w="7633" w:type="dxa"/>
            <w:vAlign w:val="center"/>
          </w:tcPr>
          <w:p w14:paraId="79EA3376">
            <w:pPr>
              <w:spacing w:line="360" w:lineRule="exact"/>
              <w:rPr>
                <w:rFonts w:hint="eastAsia" w:ascii="微软雅黑" w:hAnsi="微软雅黑" w:eastAsia="微软雅黑" w:cs="微软雅黑"/>
                <w:color w:val="auto"/>
                <w:szCs w:val="21"/>
                <w:highlight w:val="none"/>
              </w:rPr>
            </w:pPr>
          </w:p>
        </w:tc>
      </w:tr>
      <w:tr w14:paraId="6A47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286D972F">
            <w:pPr>
              <w:spacing w:line="360" w:lineRule="exact"/>
              <w:rPr>
                <w:rFonts w:hint="eastAsia" w:ascii="微软雅黑" w:hAnsi="微软雅黑" w:eastAsia="微软雅黑" w:cs="微软雅黑"/>
                <w:color w:val="auto"/>
                <w:szCs w:val="21"/>
                <w:highlight w:val="none"/>
              </w:rPr>
            </w:pPr>
          </w:p>
        </w:tc>
        <w:tc>
          <w:tcPr>
            <w:tcW w:w="7633" w:type="dxa"/>
            <w:vAlign w:val="center"/>
          </w:tcPr>
          <w:p w14:paraId="76E7D446">
            <w:pPr>
              <w:spacing w:line="360" w:lineRule="exact"/>
              <w:rPr>
                <w:rFonts w:hint="eastAsia" w:ascii="微软雅黑" w:hAnsi="微软雅黑" w:eastAsia="微软雅黑" w:cs="微软雅黑"/>
                <w:color w:val="auto"/>
                <w:szCs w:val="21"/>
                <w:highlight w:val="none"/>
              </w:rPr>
            </w:pPr>
          </w:p>
        </w:tc>
      </w:tr>
      <w:tr w14:paraId="2A6F5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D02CFAB">
            <w:pPr>
              <w:spacing w:line="360" w:lineRule="exact"/>
              <w:rPr>
                <w:rFonts w:hint="eastAsia" w:ascii="微软雅黑" w:hAnsi="微软雅黑" w:eastAsia="微软雅黑" w:cs="微软雅黑"/>
                <w:color w:val="auto"/>
                <w:szCs w:val="21"/>
                <w:highlight w:val="none"/>
              </w:rPr>
            </w:pPr>
          </w:p>
        </w:tc>
        <w:tc>
          <w:tcPr>
            <w:tcW w:w="7633" w:type="dxa"/>
            <w:vAlign w:val="center"/>
          </w:tcPr>
          <w:p w14:paraId="3F32CC6F">
            <w:pPr>
              <w:spacing w:line="360" w:lineRule="exact"/>
              <w:rPr>
                <w:rFonts w:hint="eastAsia" w:ascii="微软雅黑" w:hAnsi="微软雅黑" w:eastAsia="微软雅黑" w:cs="微软雅黑"/>
                <w:color w:val="auto"/>
                <w:szCs w:val="21"/>
                <w:highlight w:val="none"/>
              </w:rPr>
            </w:pPr>
          </w:p>
        </w:tc>
      </w:tr>
      <w:tr w14:paraId="3102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F855460">
            <w:pPr>
              <w:spacing w:line="360" w:lineRule="exact"/>
              <w:rPr>
                <w:rFonts w:hint="eastAsia" w:ascii="微软雅黑" w:hAnsi="微软雅黑" w:eastAsia="微软雅黑" w:cs="微软雅黑"/>
                <w:color w:val="auto"/>
                <w:szCs w:val="21"/>
                <w:highlight w:val="none"/>
              </w:rPr>
            </w:pPr>
          </w:p>
        </w:tc>
        <w:tc>
          <w:tcPr>
            <w:tcW w:w="7633" w:type="dxa"/>
            <w:vAlign w:val="center"/>
          </w:tcPr>
          <w:p w14:paraId="2B82EBBF">
            <w:pPr>
              <w:spacing w:line="360" w:lineRule="exact"/>
              <w:rPr>
                <w:rFonts w:hint="eastAsia" w:ascii="微软雅黑" w:hAnsi="微软雅黑" w:eastAsia="微软雅黑" w:cs="微软雅黑"/>
                <w:color w:val="auto"/>
                <w:szCs w:val="21"/>
                <w:highlight w:val="none"/>
                <w:u w:val="single"/>
              </w:rPr>
            </w:pPr>
          </w:p>
        </w:tc>
      </w:tr>
      <w:tr w14:paraId="6200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DEA1831">
            <w:pPr>
              <w:spacing w:line="360" w:lineRule="exact"/>
              <w:rPr>
                <w:rFonts w:hint="eastAsia" w:ascii="微软雅黑" w:hAnsi="微软雅黑" w:eastAsia="微软雅黑" w:cs="微软雅黑"/>
                <w:color w:val="auto"/>
                <w:szCs w:val="21"/>
                <w:highlight w:val="none"/>
              </w:rPr>
            </w:pPr>
          </w:p>
        </w:tc>
        <w:tc>
          <w:tcPr>
            <w:tcW w:w="7633" w:type="dxa"/>
            <w:vAlign w:val="center"/>
          </w:tcPr>
          <w:p w14:paraId="4E276511">
            <w:pPr>
              <w:spacing w:line="360" w:lineRule="exact"/>
              <w:rPr>
                <w:rFonts w:hint="eastAsia" w:ascii="微软雅黑" w:hAnsi="微软雅黑" w:eastAsia="微软雅黑" w:cs="微软雅黑"/>
                <w:color w:val="auto"/>
                <w:szCs w:val="21"/>
                <w:highlight w:val="none"/>
              </w:rPr>
            </w:pPr>
          </w:p>
        </w:tc>
      </w:tr>
      <w:tr w14:paraId="4386C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7B11812">
            <w:pPr>
              <w:spacing w:line="360" w:lineRule="exact"/>
              <w:rPr>
                <w:rFonts w:hint="eastAsia" w:ascii="微软雅黑" w:hAnsi="微软雅黑" w:eastAsia="微软雅黑" w:cs="微软雅黑"/>
                <w:color w:val="auto"/>
                <w:szCs w:val="21"/>
                <w:highlight w:val="none"/>
              </w:rPr>
            </w:pPr>
          </w:p>
        </w:tc>
        <w:tc>
          <w:tcPr>
            <w:tcW w:w="7633" w:type="dxa"/>
            <w:vAlign w:val="center"/>
          </w:tcPr>
          <w:p w14:paraId="2211D6FC">
            <w:pPr>
              <w:spacing w:line="360" w:lineRule="exact"/>
              <w:rPr>
                <w:rFonts w:hint="eastAsia" w:ascii="微软雅黑" w:hAnsi="微软雅黑" w:eastAsia="微软雅黑" w:cs="微软雅黑"/>
                <w:color w:val="auto"/>
                <w:szCs w:val="21"/>
                <w:highlight w:val="none"/>
                <w:u w:val="single"/>
              </w:rPr>
            </w:pPr>
          </w:p>
        </w:tc>
      </w:tr>
      <w:tr w14:paraId="2AC5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CA2F7D2">
            <w:pPr>
              <w:spacing w:line="360" w:lineRule="exact"/>
              <w:rPr>
                <w:rFonts w:hint="eastAsia" w:ascii="微软雅黑" w:hAnsi="微软雅黑" w:eastAsia="微软雅黑" w:cs="微软雅黑"/>
                <w:color w:val="auto"/>
                <w:szCs w:val="21"/>
                <w:highlight w:val="none"/>
              </w:rPr>
            </w:pPr>
          </w:p>
        </w:tc>
        <w:tc>
          <w:tcPr>
            <w:tcW w:w="7633" w:type="dxa"/>
            <w:vAlign w:val="center"/>
          </w:tcPr>
          <w:p w14:paraId="31A481BD">
            <w:pPr>
              <w:spacing w:line="360" w:lineRule="exact"/>
              <w:rPr>
                <w:rFonts w:hint="eastAsia" w:ascii="微软雅黑" w:hAnsi="微软雅黑" w:eastAsia="微软雅黑" w:cs="微软雅黑"/>
                <w:color w:val="auto"/>
                <w:szCs w:val="21"/>
                <w:highlight w:val="none"/>
              </w:rPr>
            </w:pPr>
          </w:p>
        </w:tc>
      </w:tr>
      <w:tr w14:paraId="0A5F8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B2C28A1">
            <w:pPr>
              <w:spacing w:line="360" w:lineRule="exact"/>
              <w:rPr>
                <w:rFonts w:hint="eastAsia" w:ascii="微软雅黑" w:hAnsi="微软雅黑" w:eastAsia="微软雅黑" w:cs="微软雅黑"/>
                <w:color w:val="auto"/>
                <w:szCs w:val="21"/>
                <w:highlight w:val="none"/>
              </w:rPr>
            </w:pPr>
          </w:p>
        </w:tc>
        <w:tc>
          <w:tcPr>
            <w:tcW w:w="7633" w:type="dxa"/>
            <w:vAlign w:val="center"/>
          </w:tcPr>
          <w:p w14:paraId="61200B17">
            <w:pPr>
              <w:spacing w:line="360" w:lineRule="exact"/>
              <w:rPr>
                <w:rFonts w:hint="eastAsia" w:ascii="微软雅黑" w:hAnsi="微软雅黑" w:eastAsia="微软雅黑" w:cs="微软雅黑"/>
                <w:color w:val="auto"/>
                <w:szCs w:val="21"/>
                <w:highlight w:val="none"/>
              </w:rPr>
            </w:pPr>
          </w:p>
        </w:tc>
      </w:tr>
    </w:tbl>
    <w:p w14:paraId="165A8926">
      <w:pPr>
        <w:rPr>
          <w:rFonts w:hint="eastAsia" w:ascii="微软雅黑" w:hAnsi="微软雅黑" w:eastAsia="微软雅黑" w:cs="微软雅黑"/>
          <w:color w:val="auto"/>
          <w:sz w:val="24"/>
          <w:highlight w:val="none"/>
        </w:rPr>
      </w:pPr>
    </w:p>
    <w:sectPr>
      <w:headerReference r:id="rId8" w:type="default"/>
      <w:footerReference r:id="rId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pingfang sc">
    <w:altName w:val="宋体"/>
    <w:panose1 w:val="000000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宋体;SimSu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3468">
    <w:pPr>
      <w:pStyle w:val="23"/>
      <w:tabs>
        <w:tab w:val="clear" w:pos="8306"/>
      </w:tabs>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2DC67">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72DC67">
                    <w:pPr>
                      <w:pStyle w:val="2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Add：喀什经济开发区深喀大道陕西大厦12楼1208室Tel：18209987338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3F55">
    <w:pPr>
      <w:pStyle w:val="23"/>
      <w:tabs>
        <w:tab w:val="clear" w:pos="8306"/>
      </w:tabs>
      <w:ind w:right="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7B3F9">
                          <w:pPr>
                            <w:pStyle w:val="2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57B3F9">
                    <w:pPr>
                      <w:pStyle w:val="23"/>
                    </w:pPr>
                    <w:r>
                      <w:fldChar w:fldCharType="begin"/>
                    </w:r>
                    <w:r>
                      <w:instrText xml:space="preserve"> PAGE  \* MERGEFORMAT </w:instrText>
                    </w:r>
                    <w:r>
                      <w:fldChar w:fldCharType="separate"/>
                    </w:r>
                    <w:r>
                      <w:t>134</w:t>
                    </w:r>
                    <w:r>
                      <w:fldChar w:fldCharType="end"/>
                    </w:r>
                  </w:p>
                </w:txbxContent>
              </v:textbox>
            </v:shape>
          </w:pict>
        </mc:Fallback>
      </mc:AlternateContent>
    </w:r>
    <w:r>
      <w:rPr>
        <w:rFonts w:hint="eastAsia"/>
        <w:color w:val="FF0000"/>
      </w:rPr>
      <w:t>Add：喀什经济开发区深喀大道陕西大厦12楼1208室Tel：18209987338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04DC">
    <w:pPr>
      <w:pStyle w:val="23"/>
      <w:ind w:right="360"/>
      <w:jc w:val="cente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3AA51">
                          <w:pPr>
                            <w:pStyle w:val="23"/>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323AA51">
                    <w:pPr>
                      <w:pStyle w:val="23"/>
                    </w:pPr>
                    <w:r>
                      <w:fldChar w:fldCharType="begin"/>
                    </w:r>
                    <w:r>
                      <w:instrText xml:space="preserve"> PAGE  \* MERGEFORMAT </w:instrText>
                    </w:r>
                    <w:r>
                      <w:fldChar w:fldCharType="separate"/>
                    </w:r>
                    <w:r>
                      <w:t>142</w:t>
                    </w:r>
                    <w:r>
                      <w:fldChar w:fldCharType="end"/>
                    </w:r>
                  </w:p>
                </w:txbxContent>
              </v:textbox>
            </v:shape>
          </w:pict>
        </mc:Fallback>
      </mc:AlternateContent>
    </w:r>
    <w:r>
      <w:rPr>
        <w:rFonts w:hint="eastAsia"/>
        <w:color w:val="FF0000"/>
      </w:rPr>
      <w:t>Add：喀什经济开发区深喀大道陕西大厦12楼1208室Tel：18209987338</w:t>
    </w:r>
  </w:p>
  <w:p w14:paraId="7A800159">
    <w:pPr>
      <w:pStyle w:val="2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9D8C">
    <w:pPr>
      <w:pStyle w:val="25"/>
      <w:pBdr>
        <w:bottom w:val="double" w:color="auto" w:sz="8" w:space="0"/>
      </w:pBdr>
      <w:jc w:val="left"/>
    </w:pPr>
    <w:r>
      <w:rPr>
        <w:rFonts w:hint="eastAsia"/>
      </w:rPr>
      <w:drawing>
        <wp:inline distT="0" distB="0" distL="0" distR="0">
          <wp:extent cx="2992755" cy="428625"/>
          <wp:effectExtent l="0" t="0" r="1905" b="5715"/>
          <wp:docPr id="3"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3"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0C92">
    <w:pPr>
      <w:pStyle w:val="25"/>
      <w:pBdr>
        <w:bottom w:val="double" w:color="auto" w:sz="8" w:space="0"/>
      </w:pBdr>
      <w:jc w:val="left"/>
    </w:pPr>
    <w:r>
      <w:rPr>
        <w:rFonts w:hint="eastAsia"/>
      </w:rPr>
      <w:drawing>
        <wp:inline distT="0" distB="0" distL="0" distR="0">
          <wp:extent cx="2992755" cy="428625"/>
          <wp:effectExtent l="0" t="0" r="9525" b="13334"/>
          <wp:docPr id="4097"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097" name="图片 2"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1C">
    <w:pPr>
      <w:pStyle w:val="25"/>
      <w:pBdr>
        <w:bottom w:val="double" w:color="auto" w:sz="8" w:space="0"/>
      </w:pBdr>
      <w:jc w:val="left"/>
    </w:pPr>
    <w:r>
      <w:rPr>
        <w:rFonts w:hint="eastAsia"/>
      </w:rPr>
      <w:drawing>
        <wp:inline distT="0" distB="0" distL="0" distR="0">
          <wp:extent cx="2992755" cy="428625"/>
          <wp:effectExtent l="0" t="0" r="7620" b="0"/>
          <wp:docPr id="4099" name="图片 9" descr="7fb26b890cf49d76afa2453ec3c9120"/>
          <wp:cNvGraphicFramePr/>
          <a:graphic xmlns:a="http://schemas.openxmlformats.org/drawingml/2006/main">
            <a:graphicData uri="http://schemas.openxmlformats.org/drawingml/2006/picture">
              <pic:pic xmlns:pic="http://schemas.openxmlformats.org/drawingml/2006/picture">
                <pic:nvPicPr>
                  <pic:cNvPr id="4099" name="图片 9"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B8B0">
    <w:pPr>
      <w:pStyle w:val="25"/>
      <w:pBdr>
        <w:bottom w:val="double" w:color="auto" w:sz="8" w:space="0"/>
      </w:pBdr>
      <w:jc w:val="left"/>
    </w:pPr>
    <w:r>
      <w:rPr>
        <w:rFonts w:hint="eastAsia"/>
      </w:rPr>
      <w:drawing>
        <wp:inline distT="0" distB="0" distL="0" distR="0">
          <wp:extent cx="2992755" cy="428625"/>
          <wp:effectExtent l="0" t="0" r="17145" b="8890"/>
          <wp:docPr id="4100" name="图片 4"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4" descr="7fb26b890cf49d76afa2453ec3c9120"/>
                  <pic:cNvPicPr/>
                </pic:nvPicPr>
                <pic:blipFill>
                  <a:blip r:embed="rId1" cstate="print"/>
                  <a:srcRect/>
                  <a:stretch>
                    <a:fillRect/>
                  </a:stretch>
                </pic:blipFill>
                <pic:spPr>
                  <a:xfrm>
                    <a:off x="0" y="0"/>
                    <a:ext cx="2992755" cy="428625"/>
                  </a:xfrm>
                  <a:prstGeom prst="rect">
                    <a:avLst/>
                  </a:prstGeom>
                  <a:ln>
                    <a:noFill/>
                  </a:ln>
                </pic:spPr>
              </pic:pic>
            </a:graphicData>
          </a:graphic>
        </wp:inline>
      </w:drawing>
    </w:r>
  </w:p>
  <w:p w14:paraId="22EB16AA">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D2053"/>
    <w:multiLevelType w:val="singleLevel"/>
    <w:tmpl w:val="859D2053"/>
    <w:lvl w:ilvl="0" w:tentative="0">
      <w:start w:val="1"/>
      <w:numFmt w:val="decimal"/>
      <w:suff w:val="nothing"/>
      <w:lvlText w:val="%1、"/>
      <w:lvlJc w:val="left"/>
    </w:lvl>
  </w:abstractNum>
  <w:abstractNum w:abstractNumId="1">
    <w:nsid w:val="B0CFFCD2"/>
    <w:multiLevelType w:val="singleLevel"/>
    <w:tmpl w:val="B0CFFCD2"/>
    <w:lvl w:ilvl="0" w:tentative="0">
      <w:start w:val="2"/>
      <w:numFmt w:val="decimal"/>
      <w:lvlText w:val="%1."/>
      <w:lvlJc w:val="left"/>
      <w:pPr>
        <w:tabs>
          <w:tab w:val="left" w:pos="312"/>
        </w:tabs>
      </w:pPr>
    </w:lvl>
  </w:abstractNum>
  <w:abstractNum w:abstractNumId="2">
    <w:nsid w:val="C32145B8"/>
    <w:multiLevelType w:val="singleLevel"/>
    <w:tmpl w:val="C32145B8"/>
    <w:lvl w:ilvl="0" w:tentative="0">
      <w:start w:val="1"/>
      <w:numFmt w:val="decimal"/>
      <w:lvlText w:val="%1."/>
      <w:lvlJc w:val="left"/>
      <w:pPr>
        <w:tabs>
          <w:tab w:val="left" w:pos="312"/>
        </w:tabs>
      </w:pPr>
    </w:lvl>
  </w:abstractNum>
  <w:abstractNum w:abstractNumId="3">
    <w:nsid w:val="E9196DBF"/>
    <w:multiLevelType w:val="singleLevel"/>
    <w:tmpl w:val="E9196DBF"/>
    <w:lvl w:ilvl="0" w:tentative="0">
      <w:start w:val="1"/>
      <w:numFmt w:val="chineseCounting"/>
      <w:suff w:val="nothing"/>
      <w:lvlText w:val="%1、"/>
      <w:lvlJc w:val="left"/>
      <w:rPr>
        <w:rFonts w:hint="eastAsia"/>
      </w:rPr>
    </w:lvl>
  </w:abstractNum>
  <w:abstractNum w:abstractNumId="4">
    <w:nsid w:val="00000001"/>
    <w:multiLevelType w:val="multilevel"/>
    <w:tmpl w:val="00000001"/>
    <w:lvl w:ilvl="0" w:tentative="0">
      <w:start w:val="1"/>
      <w:numFmt w:val="upperLetter"/>
      <w:pStyle w:val="50"/>
      <w:lvlText w:val="%1."/>
      <w:lvlJc w:val="left"/>
      <w:pPr>
        <w:tabs>
          <w:tab w:val="left" w:pos="752"/>
        </w:tabs>
        <w:ind w:left="752" w:hanging="468"/>
        <w:textAlignment w:val="baseline"/>
      </w:pPr>
    </w:lvl>
    <w:lvl w:ilvl="1" w:tentative="0">
      <w:start w:val="1"/>
      <w:numFmt w:val="decimal"/>
      <w:lvlText w:val="%1."/>
      <w:lvlJc w:val="left"/>
      <w:pPr>
        <w:tabs>
          <w:tab w:val="left" w:pos="1724"/>
        </w:tabs>
        <w:ind w:left="1724" w:hanging="360"/>
        <w:textAlignment w:val="baseline"/>
      </w:pPr>
    </w:lvl>
    <w:lvl w:ilvl="2" w:tentative="0">
      <w:start w:val="1"/>
      <w:numFmt w:val="decimal"/>
      <w:lvlText w:val="%1."/>
      <w:lvlJc w:val="left"/>
      <w:pPr>
        <w:tabs>
          <w:tab w:val="left" w:pos="644"/>
        </w:tabs>
        <w:ind w:left="644" w:hanging="360"/>
        <w:textAlignment w:val="baseline"/>
      </w:pPr>
    </w:lvl>
    <w:lvl w:ilvl="3" w:tentative="0">
      <w:start w:val="1"/>
      <w:numFmt w:val="decimal"/>
      <w:lvlText w:val="%1."/>
      <w:lvlJc w:val="left"/>
      <w:pPr>
        <w:tabs>
          <w:tab w:val="left" w:pos="3164"/>
        </w:tabs>
        <w:ind w:left="3164" w:hanging="360"/>
        <w:textAlignment w:val="baseline"/>
      </w:pPr>
    </w:lvl>
    <w:lvl w:ilvl="4" w:tentative="0">
      <w:start w:val="1"/>
      <w:numFmt w:val="decimal"/>
      <w:lvlText w:val="%1."/>
      <w:lvlJc w:val="left"/>
      <w:pPr>
        <w:tabs>
          <w:tab w:val="left" w:pos="3884"/>
        </w:tabs>
        <w:ind w:left="3884" w:hanging="360"/>
        <w:textAlignment w:val="baseline"/>
      </w:pPr>
    </w:lvl>
    <w:lvl w:ilvl="5" w:tentative="0">
      <w:start w:val="1"/>
      <w:numFmt w:val="decimal"/>
      <w:lvlText w:val="%1."/>
      <w:lvlJc w:val="left"/>
      <w:pPr>
        <w:tabs>
          <w:tab w:val="left" w:pos="4604"/>
        </w:tabs>
        <w:ind w:left="4604" w:hanging="360"/>
        <w:textAlignment w:val="baseline"/>
      </w:pPr>
    </w:lvl>
    <w:lvl w:ilvl="6" w:tentative="0">
      <w:start w:val="1"/>
      <w:numFmt w:val="decimal"/>
      <w:lvlText w:val="%1."/>
      <w:lvlJc w:val="left"/>
      <w:pPr>
        <w:tabs>
          <w:tab w:val="left" w:pos="5324"/>
        </w:tabs>
        <w:ind w:left="5324" w:hanging="360"/>
        <w:textAlignment w:val="baseline"/>
      </w:pPr>
    </w:lvl>
    <w:lvl w:ilvl="7" w:tentative="0">
      <w:start w:val="1"/>
      <w:numFmt w:val="decimal"/>
      <w:lvlText w:val="%1."/>
      <w:lvlJc w:val="left"/>
      <w:pPr>
        <w:tabs>
          <w:tab w:val="left" w:pos="6044"/>
        </w:tabs>
        <w:ind w:left="6044" w:hanging="360"/>
        <w:textAlignment w:val="baseline"/>
      </w:pPr>
    </w:lvl>
    <w:lvl w:ilvl="8" w:tentative="0">
      <w:start w:val="1"/>
      <w:numFmt w:val="decimal"/>
      <w:lvlText w:val="%1."/>
      <w:lvlJc w:val="left"/>
      <w:pPr>
        <w:tabs>
          <w:tab w:val="left" w:pos="6764"/>
        </w:tabs>
        <w:ind w:left="6764" w:hanging="360"/>
        <w:textAlignment w:val="baseline"/>
      </w:pPr>
    </w:lvl>
  </w:abstractNum>
  <w:abstractNum w:abstractNumId="5">
    <w:nsid w:val="00000002"/>
    <w:multiLevelType w:val="multilevel"/>
    <w:tmpl w:val="00000002"/>
    <w:lvl w:ilvl="0" w:tentative="0">
      <w:start w:val="1"/>
      <w:numFmt w:val="decimal"/>
      <w:lvlText w:val="%1"/>
      <w:lvlJc w:val="left"/>
      <w:pPr>
        <w:ind w:left="432" w:hanging="432"/>
      </w:pPr>
      <w:rPr>
        <w:rFonts w:hint="eastAsia"/>
      </w:rPr>
    </w:lvl>
    <w:lvl w:ilvl="1" w:tentative="0">
      <w:start w:val="1"/>
      <w:numFmt w:val="decimal"/>
      <w:pStyle w:val="9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00000004"/>
    <w:multiLevelType w:val="multilevel"/>
    <w:tmpl w:val="00000004"/>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9"/>
      <w:lvlText w:val="%1.%2.%3."/>
      <w:lvlJc w:val="left"/>
      <w:pPr>
        <w:tabs>
          <w:tab w:val="left" w:pos="720"/>
        </w:tabs>
        <w:ind w:left="720" w:hanging="720"/>
      </w:pPr>
      <w:rPr>
        <w:rFonts w:hint="default" w:ascii="Times New Roman" w:hAnsi="Times New Roman" w:eastAsia="黑体" w:cs="Times New Roman"/>
        <w:b/>
        <w:bCs/>
        <w:i w:val="0"/>
        <w:iCs w:val="0"/>
        <w:caps w:val="0"/>
        <w:smallCaps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0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7">
    <w:nsid w:val="00000005"/>
    <w:multiLevelType w:val="singleLevel"/>
    <w:tmpl w:val="00000005"/>
    <w:lvl w:ilvl="0" w:tentative="0">
      <w:start w:val="15"/>
      <w:numFmt w:val="decimal"/>
      <w:suff w:val="space"/>
      <w:lvlText w:val="%1."/>
      <w:lvlJc w:val="left"/>
    </w:lvl>
  </w:abstractNum>
  <w:abstractNum w:abstractNumId="8">
    <w:nsid w:val="5320440F"/>
    <w:multiLevelType w:val="multilevel"/>
    <w:tmpl w:val="5320440F"/>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4"/>
  </w:num>
  <w:num w:numId="2">
    <w:abstractNumId w:val="5"/>
  </w:num>
  <w:num w:numId="3">
    <w:abstractNumId w:val="6"/>
  </w:num>
  <w:num w:numId="4">
    <w:abstractNumId w:val="8"/>
  </w:num>
  <w:num w:numId="5">
    <w:abstractNumId w:val="7"/>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OGIzNzUxNDZkOWJmOTYxNDA5MTkxZTVhZjJkZjQifQ=="/>
  </w:docVars>
  <w:rsids>
    <w:rsidRoot w:val="00AC5E79"/>
    <w:rsid w:val="000257C5"/>
    <w:rsid w:val="00036A67"/>
    <w:rsid w:val="00042EE8"/>
    <w:rsid w:val="00050A82"/>
    <w:rsid w:val="00063852"/>
    <w:rsid w:val="000A1F28"/>
    <w:rsid w:val="001048E2"/>
    <w:rsid w:val="0010607A"/>
    <w:rsid w:val="0011714D"/>
    <w:rsid w:val="00120616"/>
    <w:rsid w:val="001269BA"/>
    <w:rsid w:val="00134527"/>
    <w:rsid w:val="0013517D"/>
    <w:rsid w:val="00137A68"/>
    <w:rsid w:val="00146407"/>
    <w:rsid w:val="001500B4"/>
    <w:rsid w:val="001633C9"/>
    <w:rsid w:val="00164243"/>
    <w:rsid w:val="001717A5"/>
    <w:rsid w:val="00194658"/>
    <w:rsid w:val="001E50E0"/>
    <w:rsid w:val="001F1F9E"/>
    <w:rsid w:val="0020737F"/>
    <w:rsid w:val="00211500"/>
    <w:rsid w:val="00211E4C"/>
    <w:rsid w:val="002508A6"/>
    <w:rsid w:val="00264A4E"/>
    <w:rsid w:val="00284313"/>
    <w:rsid w:val="00290CA6"/>
    <w:rsid w:val="00294DF1"/>
    <w:rsid w:val="002A4301"/>
    <w:rsid w:val="002D2B28"/>
    <w:rsid w:val="002D3BA0"/>
    <w:rsid w:val="002D41E4"/>
    <w:rsid w:val="002D5B37"/>
    <w:rsid w:val="00333525"/>
    <w:rsid w:val="003605E9"/>
    <w:rsid w:val="00377A3F"/>
    <w:rsid w:val="00397783"/>
    <w:rsid w:val="003A7162"/>
    <w:rsid w:val="003B09D2"/>
    <w:rsid w:val="003B4DEE"/>
    <w:rsid w:val="003D156D"/>
    <w:rsid w:val="003F20C8"/>
    <w:rsid w:val="003F446E"/>
    <w:rsid w:val="00411B28"/>
    <w:rsid w:val="00414DE4"/>
    <w:rsid w:val="00416D79"/>
    <w:rsid w:val="00432840"/>
    <w:rsid w:val="0043342C"/>
    <w:rsid w:val="004364B4"/>
    <w:rsid w:val="00440128"/>
    <w:rsid w:val="004418B8"/>
    <w:rsid w:val="00441D48"/>
    <w:rsid w:val="004549E1"/>
    <w:rsid w:val="00456163"/>
    <w:rsid w:val="0046550B"/>
    <w:rsid w:val="00471423"/>
    <w:rsid w:val="00492EC3"/>
    <w:rsid w:val="004A027F"/>
    <w:rsid w:val="004B4D97"/>
    <w:rsid w:val="004D0766"/>
    <w:rsid w:val="004E5C3C"/>
    <w:rsid w:val="0050097A"/>
    <w:rsid w:val="00516ED9"/>
    <w:rsid w:val="005212DA"/>
    <w:rsid w:val="005306B4"/>
    <w:rsid w:val="00537C28"/>
    <w:rsid w:val="00543751"/>
    <w:rsid w:val="00544B7A"/>
    <w:rsid w:val="00555A7C"/>
    <w:rsid w:val="0056368E"/>
    <w:rsid w:val="0057639D"/>
    <w:rsid w:val="00587671"/>
    <w:rsid w:val="00590816"/>
    <w:rsid w:val="005A3ACE"/>
    <w:rsid w:val="005A432A"/>
    <w:rsid w:val="005A5EAA"/>
    <w:rsid w:val="005A6540"/>
    <w:rsid w:val="005C596B"/>
    <w:rsid w:val="005D3251"/>
    <w:rsid w:val="005D640A"/>
    <w:rsid w:val="005D71EC"/>
    <w:rsid w:val="005E54CA"/>
    <w:rsid w:val="005F794E"/>
    <w:rsid w:val="00611C39"/>
    <w:rsid w:val="00622250"/>
    <w:rsid w:val="00636B08"/>
    <w:rsid w:val="006536EA"/>
    <w:rsid w:val="00661C15"/>
    <w:rsid w:val="00674044"/>
    <w:rsid w:val="006813B1"/>
    <w:rsid w:val="006B5419"/>
    <w:rsid w:val="006B5C5B"/>
    <w:rsid w:val="006C1F00"/>
    <w:rsid w:val="006D4ACF"/>
    <w:rsid w:val="006E2156"/>
    <w:rsid w:val="006F2CD0"/>
    <w:rsid w:val="006F76FE"/>
    <w:rsid w:val="00731A6C"/>
    <w:rsid w:val="00746695"/>
    <w:rsid w:val="007735A5"/>
    <w:rsid w:val="00776F7D"/>
    <w:rsid w:val="00793F35"/>
    <w:rsid w:val="007A00BF"/>
    <w:rsid w:val="007A768B"/>
    <w:rsid w:val="007B28EC"/>
    <w:rsid w:val="007F31CC"/>
    <w:rsid w:val="008066A3"/>
    <w:rsid w:val="00821526"/>
    <w:rsid w:val="00824572"/>
    <w:rsid w:val="00836EE7"/>
    <w:rsid w:val="00842658"/>
    <w:rsid w:val="008510BA"/>
    <w:rsid w:val="00861769"/>
    <w:rsid w:val="008862F8"/>
    <w:rsid w:val="008926BA"/>
    <w:rsid w:val="008B1803"/>
    <w:rsid w:val="008E2E92"/>
    <w:rsid w:val="008F233D"/>
    <w:rsid w:val="008F7963"/>
    <w:rsid w:val="009111BD"/>
    <w:rsid w:val="0092667C"/>
    <w:rsid w:val="009445B7"/>
    <w:rsid w:val="00950E2B"/>
    <w:rsid w:val="00970401"/>
    <w:rsid w:val="00984605"/>
    <w:rsid w:val="009905D4"/>
    <w:rsid w:val="00995D5B"/>
    <w:rsid w:val="00996038"/>
    <w:rsid w:val="00996BF7"/>
    <w:rsid w:val="009B02DA"/>
    <w:rsid w:val="009B5E43"/>
    <w:rsid w:val="009E74DC"/>
    <w:rsid w:val="00A223E8"/>
    <w:rsid w:val="00A3521F"/>
    <w:rsid w:val="00A36240"/>
    <w:rsid w:val="00A43B62"/>
    <w:rsid w:val="00A51DC4"/>
    <w:rsid w:val="00A61C9E"/>
    <w:rsid w:val="00A67AAA"/>
    <w:rsid w:val="00A773B5"/>
    <w:rsid w:val="00A77BA1"/>
    <w:rsid w:val="00A8289B"/>
    <w:rsid w:val="00AA0AB0"/>
    <w:rsid w:val="00AC5E79"/>
    <w:rsid w:val="00AC7939"/>
    <w:rsid w:val="00AD6CCA"/>
    <w:rsid w:val="00AF1735"/>
    <w:rsid w:val="00AF214B"/>
    <w:rsid w:val="00AF4AEC"/>
    <w:rsid w:val="00AF4C6F"/>
    <w:rsid w:val="00B15344"/>
    <w:rsid w:val="00B16560"/>
    <w:rsid w:val="00B21AD6"/>
    <w:rsid w:val="00B4298A"/>
    <w:rsid w:val="00B554FE"/>
    <w:rsid w:val="00B93968"/>
    <w:rsid w:val="00B955D5"/>
    <w:rsid w:val="00BA3BAB"/>
    <w:rsid w:val="00BA7C4A"/>
    <w:rsid w:val="00BD2240"/>
    <w:rsid w:val="00BD4C38"/>
    <w:rsid w:val="00BE28DD"/>
    <w:rsid w:val="00BF7364"/>
    <w:rsid w:val="00C142EF"/>
    <w:rsid w:val="00C802A1"/>
    <w:rsid w:val="00C83E59"/>
    <w:rsid w:val="00C90B75"/>
    <w:rsid w:val="00CB7E7F"/>
    <w:rsid w:val="00CD1821"/>
    <w:rsid w:val="00D104B8"/>
    <w:rsid w:val="00D138D8"/>
    <w:rsid w:val="00D1560C"/>
    <w:rsid w:val="00D177D9"/>
    <w:rsid w:val="00D47CFB"/>
    <w:rsid w:val="00D50CB6"/>
    <w:rsid w:val="00D558DD"/>
    <w:rsid w:val="00D729FD"/>
    <w:rsid w:val="00D74413"/>
    <w:rsid w:val="00D83DE7"/>
    <w:rsid w:val="00D94F71"/>
    <w:rsid w:val="00DA6E22"/>
    <w:rsid w:val="00DC2593"/>
    <w:rsid w:val="00DD659A"/>
    <w:rsid w:val="00E036D0"/>
    <w:rsid w:val="00E21F0B"/>
    <w:rsid w:val="00E26771"/>
    <w:rsid w:val="00E50793"/>
    <w:rsid w:val="00E62A12"/>
    <w:rsid w:val="00E710AB"/>
    <w:rsid w:val="00E90D94"/>
    <w:rsid w:val="00E92898"/>
    <w:rsid w:val="00ED334C"/>
    <w:rsid w:val="00EE4A05"/>
    <w:rsid w:val="00EE6DA3"/>
    <w:rsid w:val="00EF17EA"/>
    <w:rsid w:val="00EF7F1D"/>
    <w:rsid w:val="00F02CA6"/>
    <w:rsid w:val="00F1007D"/>
    <w:rsid w:val="00F36B46"/>
    <w:rsid w:val="00F635B1"/>
    <w:rsid w:val="00F6464E"/>
    <w:rsid w:val="00F70B30"/>
    <w:rsid w:val="00FA6EEC"/>
    <w:rsid w:val="00FB48EF"/>
    <w:rsid w:val="00FE04F9"/>
    <w:rsid w:val="00FF1ECB"/>
    <w:rsid w:val="00FF4703"/>
    <w:rsid w:val="01001B5E"/>
    <w:rsid w:val="014C6452"/>
    <w:rsid w:val="01635C49"/>
    <w:rsid w:val="01722330"/>
    <w:rsid w:val="017600E6"/>
    <w:rsid w:val="019B32C6"/>
    <w:rsid w:val="01C0309B"/>
    <w:rsid w:val="02040ADD"/>
    <w:rsid w:val="02110846"/>
    <w:rsid w:val="02305555"/>
    <w:rsid w:val="025D08EA"/>
    <w:rsid w:val="02660DCB"/>
    <w:rsid w:val="02A00FF1"/>
    <w:rsid w:val="02A4548F"/>
    <w:rsid w:val="02F520D1"/>
    <w:rsid w:val="031243ED"/>
    <w:rsid w:val="033116D9"/>
    <w:rsid w:val="03627FF7"/>
    <w:rsid w:val="03D446F6"/>
    <w:rsid w:val="03F03CD1"/>
    <w:rsid w:val="041705F5"/>
    <w:rsid w:val="046B19E4"/>
    <w:rsid w:val="046F1FFF"/>
    <w:rsid w:val="049F7A2D"/>
    <w:rsid w:val="04D31BAD"/>
    <w:rsid w:val="051554AC"/>
    <w:rsid w:val="05526FCB"/>
    <w:rsid w:val="056855C2"/>
    <w:rsid w:val="057E74F5"/>
    <w:rsid w:val="057F74F5"/>
    <w:rsid w:val="057F7803"/>
    <w:rsid w:val="05B56221"/>
    <w:rsid w:val="05E41A4E"/>
    <w:rsid w:val="05FA06DD"/>
    <w:rsid w:val="061334A5"/>
    <w:rsid w:val="0618289E"/>
    <w:rsid w:val="063A1078"/>
    <w:rsid w:val="069C5A07"/>
    <w:rsid w:val="06A62DD6"/>
    <w:rsid w:val="06D84BC3"/>
    <w:rsid w:val="06EB2DA0"/>
    <w:rsid w:val="06F13E37"/>
    <w:rsid w:val="071640F5"/>
    <w:rsid w:val="072B025C"/>
    <w:rsid w:val="073F2CB4"/>
    <w:rsid w:val="074A3B33"/>
    <w:rsid w:val="07B40D33"/>
    <w:rsid w:val="07DC2F6C"/>
    <w:rsid w:val="07E40458"/>
    <w:rsid w:val="080F5641"/>
    <w:rsid w:val="087D6F00"/>
    <w:rsid w:val="08E51639"/>
    <w:rsid w:val="0902043D"/>
    <w:rsid w:val="09230B8A"/>
    <w:rsid w:val="094815F9"/>
    <w:rsid w:val="0955056D"/>
    <w:rsid w:val="097074EF"/>
    <w:rsid w:val="097C1F9D"/>
    <w:rsid w:val="098F7F12"/>
    <w:rsid w:val="09B169AE"/>
    <w:rsid w:val="09D34DE1"/>
    <w:rsid w:val="09D851B5"/>
    <w:rsid w:val="09DF2368"/>
    <w:rsid w:val="09FC508F"/>
    <w:rsid w:val="0A1E1F17"/>
    <w:rsid w:val="0A2F484F"/>
    <w:rsid w:val="0A3B24F6"/>
    <w:rsid w:val="0A3D4581"/>
    <w:rsid w:val="0A3E1612"/>
    <w:rsid w:val="0B176700"/>
    <w:rsid w:val="0B177790"/>
    <w:rsid w:val="0B511D5B"/>
    <w:rsid w:val="0B564508"/>
    <w:rsid w:val="0B603134"/>
    <w:rsid w:val="0B7E28CF"/>
    <w:rsid w:val="0B8D6901"/>
    <w:rsid w:val="0BC16872"/>
    <w:rsid w:val="0BC22DE3"/>
    <w:rsid w:val="0C5742B7"/>
    <w:rsid w:val="0C935806"/>
    <w:rsid w:val="0CFA07B0"/>
    <w:rsid w:val="0D082CE2"/>
    <w:rsid w:val="0D1C170F"/>
    <w:rsid w:val="0D1D3133"/>
    <w:rsid w:val="0D507016"/>
    <w:rsid w:val="0D576FA9"/>
    <w:rsid w:val="0DA6583B"/>
    <w:rsid w:val="0DCA7784"/>
    <w:rsid w:val="0DF90DB1"/>
    <w:rsid w:val="0DFA2DD8"/>
    <w:rsid w:val="0E0117B5"/>
    <w:rsid w:val="0E172995"/>
    <w:rsid w:val="0E392479"/>
    <w:rsid w:val="0EEE7BDE"/>
    <w:rsid w:val="0EF81FFA"/>
    <w:rsid w:val="0EFB2DE2"/>
    <w:rsid w:val="0F0F5662"/>
    <w:rsid w:val="0F2931F0"/>
    <w:rsid w:val="0F503CB0"/>
    <w:rsid w:val="0F52015A"/>
    <w:rsid w:val="0F5512C6"/>
    <w:rsid w:val="0F8F242F"/>
    <w:rsid w:val="101855FB"/>
    <w:rsid w:val="107612A8"/>
    <w:rsid w:val="10987F54"/>
    <w:rsid w:val="10B71558"/>
    <w:rsid w:val="10CB08A4"/>
    <w:rsid w:val="10E14E69"/>
    <w:rsid w:val="10E85443"/>
    <w:rsid w:val="10F85803"/>
    <w:rsid w:val="113C14E9"/>
    <w:rsid w:val="117F087D"/>
    <w:rsid w:val="11F03A69"/>
    <w:rsid w:val="11FE2376"/>
    <w:rsid w:val="122B4561"/>
    <w:rsid w:val="12AA36D7"/>
    <w:rsid w:val="13054DB2"/>
    <w:rsid w:val="131743E7"/>
    <w:rsid w:val="13274D28"/>
    <w:rsid w:val="135B41B5"/>
    <w:rsid w:val="14154521"/>
    <w:rsid w:val="1438788B"/>
    <w:rsid w:val="143F5FC4"/>
    <w:rsid w:val="144162BD"/>
    <w:rsid w:val="146147C2"/>
    <w:rsid w:val="14B35F82"/>
    <w:rsid w:val="151A69BC"/>
    <w:rsid w:val="1525330E"/>
    <w:rsid w:val="156E02C7"/>
    <w:rsid w:val="15762B4F"/>
    <w:rsid w:val="157E0190"/>
    <w:rsid w:val="15A15D31"/>
    <w:rsid w:val="160F0BF5"/>
    <w:rsid w:val="16800E8A"/>
    <w:rsid w:val="173B424A"/>
    <w:rsid w:val="17585B5C"/>
    <w:rsid w:val="178F2FEA"/>
    <w:rsid w:val="178F445A"/>
    <w:rsid w:val="18951F6A"/>
    <w:rsid w:val="18BE612E"/>
    <w:rsid w:val="1939146D"/>
    <w:rsid w:val="19445F08"/>
    <w:rsid w:val="1990438D"/>
    <w:rsid w:val="19B65058"/>
    <w:rsid w:val="1A0C09AF"/>
    <w:rsid w:val="1A0E6ACF"/>
    <w:rsid w:val="1B142779"/>
    <w:rsid w:val="1B406739"/>
    <w:rsid w:val="1B4072CF"/>
    <w:rsid w:val="1B475EFF"/>
    <w:rsid w:val="1B546EAE"/>
    <w:rsid w:val="1B5A7C65"/>
    <w:rsid w:val="1B877235"/>
    <w:rsid w:val="1B9F3C67"/>
    <w:rsid w:val="1BB0068C"/>
    <w:rsid w:val="1C995405"/>
    <w:rsid w:val="1CAA0778"/>
    <w:rsid w:val="1CBB4733"/>
    <w:rsid w:val="1CCC05E1"/>
    <w:rsid w:val="1CFC0FD3"/>
    <w:rsid w:val="1D1E42E2"/>
    <w:rsid w:val="1D42169D"/>
    <w:rsid w:val="1D6159D1"/>
    <w:rsid w:val="1D7160DC"/>
    <w:rsid w:val="1D7856D5"/>
    <w:rsid w:val="1DA925DA"/>
    <w:rsid w:val="1DF16B20"/>
    <w:rsid w:val="1E0C69DD"/>
    <w:rsid w:val="1E902326"/>
    <w:rsid w:val="1EA935DA"/>
    <w:rsid w:val="1F010B23"/>
    <w:rsid w:val="1F6B34FE"/>
    <w:rsid w:val="1F8D49AB"/>
    <w:rsid w:val="1FFE0AD5"/>
    <w:rsid w:val="1FFF6285"/>
    <w:rsid w:val="2007060B"/>
    <w:rsid w:val="201A55F1"/>
    <w:rsid w:val="20334057"/>
    <w:rsid w:val="20434BDF"/>
    <w:rsid w:val="20623843"/>
    <w:rsid w:val="209244B7"/>
    <w:rsid w:val="20943C19"/>
    <w:rsid w:val="20974BB8"/>
    <w:rsid w:val="20E83DA2"/>
    <w:rsid w:val="20E93F65"/>
    <w:rsid w:val="21075FBA"/>
    <w:rsid w:val="210D7225"/>
    <w:rsid w:val="2189415F"/>
    <w:rsid w:val="22031056"/>
    <w:rsid w:val="2223499B"/>
    <w:rsid w:val="2248504C"/>
    <w:rsid w:val="225E1623"/>
    <w:rsid w:val="22796B9E"/>
    <w:rsid w:val="22864750"/>
    <w:rsid w:val="2294282A"/>
    <w:rsid w:val="22BC3A50"/>
    <w:rsid w:val="22D30F22"/>
    <w:rsid w:val="22ED5F08"/>
    <w:rsid w:val="23256644"/>
    <w:rsid w:val="234A1790"/>
    <w:rsid w:val="234F01EF"/>
    <w:rsid w:val="23522577"/>
    <w:rsid w:val="23555A8B"/>
    <w:rsid w:val="238A2744"/>
    <w:rsid w:val="23B00D6A"/>
    <w:rsid w:val="23B1063E"/>
    <w:rsid w:val="23FE3883"/>
    <w:rsid w:val="24001FAF"/>
    <w:rsid w:val="2425600E"/>
    <w:rsid w:val="24723C04"/>
    <w:rsid w:val="247E3149"/>
    <w:rsid w:val="24B91EA0"/>
    <w:rsid w:val="24BA7924"/>
    <w:rsid w:val="24BD3FD2"/>
    <w:rsid w:val="251B65B7"/>
    <w:rsid w:val="253024EA"/>
    <w:rsid w:val="25D57C1A"/>
    <w:rsid w:val="25DA00D9"/>
    <w:rsid w:val="262339B3"/>
    <w:rsid w:val="263E0760"/>
    <w:rsid w:val="264A7E86"/>
    <w:rsid w:val="2655546B"/>
    <w:rsid w:val="267B29C9"/>
    <w:rsid w:val="26926505"/>
    <w:rsid w:val="269915E2"/>
    <w:rsid w:val="26BC1A69"/>
    <w:rsid w:val="26CB69CC"/>
    <w:rsid w:val="26D440BE"/>
    <w:rsid w:val="272E1268"/>
    <w:rsid w:val="274E04A9"/>
    <w:rsid w:val="278422F1"/>
    <w:rsid w:val="27E67FB7"/>
    <w:rsid w:val="280420C7"/>
    <w:rsid w:val="281A2C55"/>
    <w:rsid w:val="282B771C"/>
    <w:rsid w:val="282F34A2"/>
    <w:rsid w:val="2879258C"/>
    <w:rsid w:val="28DC0A73"/>
    <w:rsid w:val="28E20153"/>
    <w:rsid w:val="290B4B99"/>
    <w:rsid w:val="2939551A"/>
    <w:rsid w:val="294429D3"/>
    <w:rsid w:val="29B97180"/>
    <w:rsid w:val="29E65AD3"/>
    <w:rsid w:val="2A332820"/>
    <w:rsid w:val="2A36061B"/>
    <w:rsid w:val="2A9A7DE2"/>
    <w:rsid w:val="2B485D2C"/>
    <w:rsid w:val="2BDD24DE"/>
    <w:rsid w:val="2C045D2B"/>
    <w:rsid w:val="2C952ED3"/>
    <w:rsid w:val="2CC86AF4"/>
    <w:rsid w:val="2CFE3DD0"/>
    <w:rsid w:val="2D337E6C"/>
    <w:rsid w:val="2D4154D9"/>
    <w:rsid w:val="2D84762D"/>
    <w:rsid w:val="2E4B3A8B"/>
    <w:rsid w:val="2E4F2E7F"/>
    <w:rsid w:val="2EB66E3D"/>
    <w:rsid w:val="2FD03F80"/>
    <w:rsid w:val="2FF616FD"/>
    <w:rsid w:val="2FF7387C"/>
    <w:rsid w:val="3003711E"/>
    <w:rsid w:val="301729F2"/>
    <w:rsid w:val="303960D5"/>
    <w:rsid w:val="30522B7A"/>
    <w:rsid w:val="30643484"/>
    <w:rsid w:val="30AB66A8"/>
    <w:rsid w:val="30BF74B2"/>
    <w:rsid w:val="30C931D7"/>
    <w:rsid w:val="30E111C1"/>
    <w:rsid w:val="313C3C3D"/>
    <w:rsid w:val="313F7193"/>
    <w:rsid w:val="31691A2E"/>
    <w:rsid w:val="316A3890"/>
    <w:rsid w:val="320B756B"/>
    <w:rsid w:val="321B38FB"/>
    <w:rsid w:val="32D22AAA"/>
    <w:rsid w:val="33BF4EA1"/>
    <w:rsid w:val="34565F53"/>
    <w:rsid w:val="348338B6"/>
    <w:rsid w:val="34E261F5"/>
    <w:rsid w:val="34FB3383"/>
    <w:rsid w:val="34FB7976"/>
    <w:rsid w:val="35020CF9"/>
    <w:rsid w:val="35806845"/>
    <w:rsid w:val="36203B2D"/>
    <w:rsid w:val="362A4469"/>
    <w:rsid w:val="363155DA"/>
    <w:rsid w:val="36381C8C"/>
    <w:rsid w:val="36772FEE"/>
    <w:rsid w:val="369058E0"/>
    <w:rsid w:val="369342FF"/>
    <w:rsid w:val="369C2F9B"/>
    <w:rsid w:val="36AA4319"/>
    <w:rsid w:val="36B02283"/>
    <w:rsid w:val="36EC7EB3"/>
    <w:rsid w:val="37045900"/>
    <w:rsid w:val="37682226"/>
    <w:rsid w:val="37C21DCC"/>
    <w:rsid w:val="37CE7AB5"/>
    <w:rsid w:val="37DE006C"/>
    <w:rsid w:val="38111241"/>
    <w:rsid w:val="38267885"/>
    <w:rsid w:val="38791D98"/>
    <w:rsid w:val="38AD5F2E"/>
    <w:rsid w:val="38BD52D9"/>
    <w:rsid w:val="390F6C4C"/>
    <w:rsid w:val="39317DFF"/>
    <w:rsid w:val="39962F1F"/>
    <w:rsid w:val="39C62C3D"/>
    <w:rsid w:val="39EA2B7D"/>
    <w:rsid w:val="3AAC1607"/>
    <w:rsid w:val="3AD20B5D"/>
    <w:rsid w:val="3AE37060"/>
    <w:rsid w:val="3B1B2786"/>
    <w:rsid w:val="3B393B5E"/>
    <w:rsid w:val="3B3E41EF"/>
    <w:rsid w:val="3B7F18E1"/>
    <w:rsid w:val="3B8179FE"/>
    <w:rsid w:val="3B954BDB"/>
    <w:rsid w:val="3B9B7648"/>
    <w:rsid w:val="3BBD474B"/>
    <w:rsid w:val="3BCB411B"/>
    <w:rsid w:val="3C3E73E9"/>
    <w:rsid w:val="3C60319D"/>
    <w:rsid w:val="3C6627A8"/>
    <w:rsid w:val="3C7C00FD"/>
    <w:rsid w:val="3CD82228"/>
    <w:rsid w:val="3D615E61"/>
    <w:rsid w:val="3D8A2C80"/>
    <w:rsid w:val="3D96660D"/>
    <w:rsid w:val="3DC92CFC"/>
    <w:rsid w:val="3DCE3E6E"/>
    <w:rsid w:val="3E282ECF"/>
    <w:rsid w:val="3E296556"/>
    <w:rsid w:val="3E611D98"/>
    <w:rsid w:val="3E7C087D"/>
    <w:rsid w:val="3E7C2B1D"/>
    <w:rsid w:val="3EBF6B56"/>
    <w:rsid w:val="3EEB7527"/>
    <w:rsid w:val="3F103E47"/>
    <w:rsid w:val="3F10418F"/>
    <w:rsid w:val="3F626FE3"/>
    <w:rsid w:val="3F9561C8"/>
    <w:rsid w:val="3F9F1F66"/>
    <w:rsid w:val="3FD11DF9"/>
    <w:rsid w:val="40241770"/>
    <w:rsid w:val="40D251BD"/>
    <w:rsid w:val="40FE30A0"/>
    <w:rsid w:val="4101455B"/>
    <w:rsid w:val="41DB1666"/>
    <w:rsid w:val="421D0B1B"/>
    <w:rsid w:val="423A5F76"/>
    <w:rsid w:val="424B772D"/>
    <w:rsid w:val="42563DFC"/>
    <w:rsid w:val="425A03C6"/>
    <w:rsid w:val="43116916"/>
    <w:rsid w:val="43244EF6"/>
    <w:rsid w:val="43505313"/>
    <w:rsid w:val="43575C0D"/>
    <w:rsid w:val="43613B4E"/>
    <w:rsid w:val="437C611B"/>
    <w:rsid w:val="43A062AD"/>
    <w:rsid w:val="43F37538"/>
    <w:rsid w:val="440357F0"/>
    <w:rsid w:val="44154AB9"/>
    <w:rsid w:val="441B5933"/>
    <w:rsid w:val="443C1E26"/>
    <w:rsid w:val="44586430"/>
    <w:rsid w:val="448E1BC5"/>
    <w:rsid w:val="449407FF"/>
    <w:rsid w:val="44B90FD0"/>
    <w:rsid w:val="44D53D34"/>
    <w:rsid w:val="461A6BBC"/>
    <w:rsid w:val="46696B15"/>
    <w:rsid w:val="467727DE"/>
    <w:rsid w:val="46BC55CB"/>
    <w:rsid w:val="46CC04FD"/>
    <w:rsid w:val="47047008"/>
    <w:rsid w:val="47371221"/>
    <w:rsid w:val="474136C8"/>
    <w:rsid w:val="474352CD"/>
    <w:rsid w:val="47C577F2"/>
    <w:rsid w:val="481C5FC8"/>
    <w:rsid w:val="48927468"/>
    <w:rsid w:val="48942F22"/>
    <w:rsid w:val="49144E77"/>
    <w:rsid w:val="493445E6"/>
    <w:rsid w:val="493D129C"/>
    <w:rsid w:val="49D41D2C"/>
    <w:rsid w:val="49F16D5B"/>
    <w:rsid w:val="4A29394F"/>
    <w:rsid w:val="4A875AD1"/>
    <w:rsid w:val="4AB16FF2"/>
    <w:rsid w:val="4AE20617"/>
    <w:rsid w:val="4B077979"/>
    <w:rsid w:val="4B1A7F21"/>
    <w:rsid w:val="4C297D8C"/>
    <w:rsid w:val="4CB46925"/>
    <w:rsid w:val="4CB63BCA"/>
    <w:rsid w:val="4D1F6494"/>
    <w:rsid w:val="4D2E7DAD"/>
    <w:rsid w:val="4D387556"/>
    <w:rsid w:val="4D3A56A9"/>
    <w:rsid w:val="4D45086A"/>
    <w:rsid w:val="4D4639C1"/>
    <w:rsid w:val="4D4759EB"/>
    <w:rsid w:val="4D602609"/>
    <w:rsid w:val="4D613B90"/>
    <w:rsid w:val="4D9D052F"/>
    <w:rsid w:val="4DEF6177"/>
    <w:rsid w:val="4E275EA3"/>
    <w:rsid w:val="4E4D40F3"/>
    <w:rsid w:val="4E8515A5"/>
    <w:rsid w:val="4E951D4D"/>
    <w:rsid w:val="4EE617C7"/>
    <w:rsid w:val="4EEA1C8F"/>
    <w:rsid w:val="4F634D40"/>
    <w:rsid w:val="4F6501C5"/>
    <w:rsid w:val="4F737FE7"/>
    <w:rsid w:val="4F8B1BBF"/>
    <w:rsid w:val="4FAA7546"/>
    <w:rsid w:val="4FE3316A"/>
    <w:rsid w:val="500A215B"/>
    <w:rsid w:val="506E020C"/>
    <w:rsid w:val="50B630FF"/>
    <w:rsid w:val="50B816E6"/>
    <w:rsid w:val="50D731F5"/>
    <w:rsid w:val="51810ACE"/>
    <w:rsid w:val="518209A4"/>
    <w:rsid w:val="518C0F52"/>
    <w:rsid w:val="519C496B"/>
    <w:rsid w:val="51B014ED"/>
    <w:rsid w:val="51ED4DB3"/>
    <w:rsid w:val="526E4730"/>
    <w:rsid w:val="52C24004"/>
    <w:rsid w:val="52F72A1E"/>
    <w:rsid w:val="53741F52"/>
    <w:rsid w:val="538277C4"/>
    <w:rsid w:val="53B30696"/>
    <w:rsid w:val="54B24092"/>
    <w:rsid w:val="54D45DB6"/>
    <w:rsid w:val="54F5564F"/>
    <w:rsid w:val="553C1274"/>
    <w:rsid w:val="554F1CCE"/>
    <w:rsid w:val="555A336D"/>
    <w:rsid w:val="556B6E27"/>
    <w:rsid w:val="55A601C4"/>
    <w:rsid w:val="55E9574E"/>
    <w:rsid w:val="56111C07"/>
    <w:rsid w:val="56204B57"/>
    <w:rsid w:val="56A33C92"/>
    <w:rsid w:val="5756477B"/>
    <w:rsid w:val="57C40364"/>
    <w:rsid w:val="584E5E80"/>
    <w:rsid w:val="584E7888"/>
    <w:rsid w:val="591E70BC"/>
    <w:rsid w:val="59926640"/>
    <w:rsid w:val="59976369"/>
    <w:rsid w:val="59AB03BC"/>
    <w:rsid w:val="59EA127B"/>
    <w:rsid w:val="5A2F4F1B"/>
    <w:rsid w:val="5A337CDD"/>
    <w:rsid w:val="5A393AB4"/>
    <w:rsid w:val="5A9E7C8D"/>
    <w:rsid w:val="5AFE1BD7"/>
    <w:rsid w:val="5B0E1E6E"/>
    <w:rsid w:val="5B525C87"/>
    <w:rsid w:val="5B777152"/>
    <w:rsid w:val="5BA16563"/>
    <w:rsid w:val="5BA504AD"/>
    <w:rsid w:val="5BA830B6"/>
    <w:rsid w:val="5C0F601A"/>
    <w:rsid w:val="5C620B9F"/>
    <w:rsid w:val="5CE24DE9"/>
    <w:rsid w:val="5D1419A9"/>
    <w:rsid w:val="5D363A5E"/>
    <w:rsid w:val="5D5C7C44"/>
    <w:rsid w:val="5D641CA2"/>
    <w:rsid w:val="5D7E2FBA"/>
    <w:rsid w:val="5D9F6D21"/>
    <w:rsid w:val="5DC43988"/>
    <w:rsid w:val="5E437C6C"/>
    <w:rsid w:val="5EB91925"/>
    <w:rsid w:val="5EC37CAF"/>
    <w:rsid w:val="5ECF0A55"/>
    <w:rsid w:val="5EFF6126"/>
    <w:rsid w:val="5F305928"/>
    <w:rsid w:val="5F3F6C61"/>
    <w:rsid w:val="5F9D006D"/>
    <w:rsid w:val="5FA171DD"/>
    <w:rsid w:val="5FD82886"/>
    <w:rsid w:val="5FDD60A9"/>
    <w:rsid w:val="5FF64F68"/>
    <w:rsid w:val="5FFA087A"/>
    <w:rsid w:val="60100F73"/>
    <w:rsid w:val="602079B7"/>
    <w:rsid w:val="6024175C"/>
    <w:rsid w:val="60765F74"/>
    <w:rsid w:val="608C6209"/>
    <w:rsid w:val="60A228E3"/>
    <w:rsid w:val="610712C2"/>
    <w:rsid w:val="6110461A"/>
    <w:rsid w:val="61306A6A"/>
    <w:rsid w:val="61962472"/>
    <w:rsid w:val="61AF3F7E"/>
    <w:rsid w:val="61ED6709"/>
    <w:rsid w:val="62430AC3"/>
    <w:rsid w:val="62446944"/>
    <w:rsid w:val="628030DA"/>
    <w:rsid w:val="62B75D01"/>
    <w:rsid w:val="62B76B40"/>
    <w:rsid w:val="62B95C34"/>
    <w:rsid w:val="62EA3F24"/>
    <w:rsid w:val="6323058D"/>
    <w:rsid w:val="6380382F"/>
    <w:rsid w:val="638E4183"/>
    <w:rsid w:val="63FE5754"/>
    <w:rsid w:val="6441242E"/>
    <w:rsid w:val="64783763"/>
    <w:rsid w:val="647D2780"/>
    <w:rsid w:val="64A54380"/>
    <w:rsid w:val="64CB1AC4"/>
    <w:rsid w:val="650A7614"/>
    <w:rsid w:val="653D1756"/>
    <w:rsid w:val="656A6AC1"/>
    <w:rsid w:val="65711400"/>
    <w:rsid w:val="65926EB7"/>
    <w:rsid w:val="65B5369D"/>
    <w:rsid w:val="65E87914"/>
    <w:rsid w:val="65EF204B"/>
    <w:rsid w:val="66664CDC"/>
    <w:rsid w:val="66807044"/>
    <w:rsid w:val="66C07D14"/>
    <w:rsid w:val="66C20BAE"/>
    <w:rsid w:val="67274130"/>
    <w:rsid w:val="676B3D84"/>
    <w:rsid w:val="67B53825"/>
    <w:rsid w:val="67BE4987"/>
    <w:rsid w:val="67C51102"/>
    <w:rsid w:val="67EA332A"/>
    <w:rsid w:val="67F07212"/>
    <w:rsid w:val="680B0AB8"/>
    <w:rsid w:val="68412472"/>
    <w:rsid w:val="688A623E"/>
    <w:rsid w:val="68CA2C1F"/>
    <w:rsid w:val="68CB18F9"/>
    <w:rsid w:val="69187F79"/>
    <w:rsid w:val="69342E70"/>
    <w:rsid w:val="69366BE8"/>
    <w:rsid w:val="694B6385"/>
    <w:rsid w:val="69A347F7"/>
    <w:rsid w:val="6A165502"/>
    <w:rsid w:val="6AD536C2"/>
    <w:rsid w:val="6B2B31F8"/>
    <w:rsid w:val="6B533758"/>
    <w:rsid w:val="6B612728"/>
    <w:rsid w:val="6B6670A9"/>
    <w:rsid w:val="6B892397"/>
    <w:rsid w:val="6B8D21A8"/>
    <w:rsid w:val="6BF85017"/>
    <w:rsid w:val="6C0528A2"/>
    <w:rsid w:val="6C0C645A"/>
    <w:rsid w:val="6C230801"/>
    <w:rsid w:val="6C56268E"/>
    <w:rsid w:val="6C8B53A2"/>
    <w:rsid w:val="6CA02702"/>
    <w:rsid w:val="6CC229D9"/>
    <w:rsid w:val="6CE35CF4"/>
    <w:rsid w:val="6D25144D"/>
    <w:rsid w:val="6D4A66A1"/>
    <w:rsid w:val="6D614100"/>
    <w:rsid w:val="6D81609C"/>
    <w:rsid w:val="6DE11113"/>
    <w:rsid w:val="6E065529"/>
    <w:rsid w:val="6E095596"/>
    <w:rsid w:val="6E9820AA"/>
    <w:rsid w:val="6EB82BE3"/>
    <w:rsid w:val="6ED93FC0"/>
    <w:rsid w:val="6EDD2500"/>
    <w:rsid w:val="6EE35884"/>
    <w:rsid w:val="6F240B2A"/>
    <w:rsid w:val="6F817074"/>
    <w:rsid w:val="6FC243D4"/>
    <w:rsid w:val="6FF375E1"/>
    <w:rsid w:val="70290282"/>
    <w:rsid w:val="704716DB"/>
    <w:rsid w:val="706A52E7"/>
    <w:rsid w:val="706E35DA"/>
    <w:rsid w:val="7073427E"/>
    <w:rsid w:val="70874194"/>
    <w:rsid w:val="708C35E1"/>
    <w:rsid w:val="70F0502F"/>
    <w:rsid w:val="715F2A54"/>
    <w:rsid w:val="71614A1E"/>
    <w:rsid w:val="718A3256"/>
    <w:rsid w:val="71AE4710"/>
    <w:rsid w:val="71CE4E05"/>
    <w:rsid w:val="7205364C"/>
    <w:rsid w:val="720F713E"/>
    <w:rsid w:val="723A2E85"/>
    <w:rsid w:val="72705C7C"/>
    <w:rsid w:val="727644F9"/>
    <w:rsid w:val="72A340A7"/>
    <w:rsid w:val="72A440CB"/>
    <w:rsid w:val="72B560A0"/>
    <w:rsid w:val="72DE082B"/>
    <w:rsid w:val="734513F0"/>
    <w:rsid w:val="736F7CBB"/>
    <w:rsid w:val="739F3A2D"/>
    <w:rsid w:val="73B76B77"/>
    <w:rsid w:val="74157DA1"/>
    <w:rsid w:val="7452064E"/>
    <w:rsid w:val="7469779F"/>
    <w:rsid w:val="74B81B56"/>
    <w:rsid w:val="74DA48CB"/>
    <w:rsid w:val="750C4AE5"/>
    <w:rsid w:val="7524023C"/>
    <w:rsid w:val="757D01CD"/>
    <w:rsid w:val="760057B0"/>
    <w:rsid w:val="7613461F"/>
    <w:rsid w:val="76492B05"/>
    <w:rsid w:val="76A5715B"/>
    <w:rsid w:val="77424220"/>
    <w:rsid w:val="777767DA"/>
    <w:rsid w:val="777A05E8"/>
    <w:rsid w:val="77C71A27"/>
    <w:rsid w:val="77CA4823"/>
    <w:rsid w:val="77F66818"/>
    <w:rsid w:val="77FA5285"/>
    <w:rsid w:val="78104AA8"/>
    <w:rsid w:val="78E56EBF"/>
    <w:rsid w:val="78FA0020"/>
    <w:rsid w:val="7985483E"/>
    <w:rsid w:val="79953653"/>
    <w:rsid w:val="79B31B8F"/>
    <w:rsid w:val="7A654347"/>
    <w:rsid w:val="7A7237F8"/>
    <w:rsid w:val="7A7A3F50"/>
    <w:rsid w:val="7AF52960"/>
    <w:rsid w:val="7B0271A1"/>
    <w:rsid w:val="7B3C42C4"/>
    <w:rsid w:val="7BD0622F"/>
    <w:rsid w:val="7BDF451A"/>
    <w:rsid w:val="7BFD556C"/>
    <w:rsid w:val="7C4A67DB"/>
    <w:rsid w:val="7C4A6D3D"/>
    <w:rsid w:val="7C5F3016"/>
    <w:rsid w:val="7CCC4D01"/>
    <w:rsid w:val="7CE36F9C"/>
    <w:rsid w:val="7CF0542C"/>
    <w:rsid w:val="7CF13ED2"/>
    <w:rsid w:val="7D0613BB"/>
    <w:rsid w:val="7D155CB7"/>
    <w:rsid w:val="7D17293C"/>
    <w:rsid w:val="7D271D23"/>
    <w:rsid w:val="7D3933CA"/>
    <w:rsid w:val="7D83464C"/>
    <w:rsid w:val="7DC73E5B"/>
    <w:rsid w:val="7DDE1E87"/>
    <w:rsid w:val="7E0C443C"/>
    <w:rsid w:val="7E71135E"/>
    <w:rsid w:val="7EA17848"/>
    <w:rsid w:val="7EC0639D"/>
    <w:rsid w:val="7EDB399D"/>
    <w:rsid w:val="7EE31CC5"/>
    <w:rsid w:val="7F126990"/>
    <w:rsid w:val="7F8F6241"/>
    <w:rsid w:val="7F947989"/>
    <w:rsid w:val="7FAD7CFC"/>
    <w:rsid w:val="7FC64B36"/>
    <w:rsid w:val="7FD038E6"/>
    <w:rsid w:val="7FE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spacing w:before="360" w:after="120"/>
      <w:jc w:val="left"/>
      <w:outlineLvl w:val="2"/>
    </w:pPr>
    <w:rPr>
      <w:rFonts w:ascii="宋体" w:hAnsi="Times New Roman"/>
      <w:sz w:val="24"/>
      <w:u w:val="single"/>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qFormat/>
    <w:uiPriority w:val="0"/>
    <w:pPr>
      <w:widowControl/>
      <w:spacing w:before="120"/>
      <w:ind w:firstLine="3584"/>
    </w:pPr>
  </w:style>
  <w:style w:type="paragraph" w:styleId="9">
    <w:name w:val="annotation text"/>
    <w:basedOn w:val="1"/>
    <w:link w:val="78"/>
    <w:qFormat/>
    <w:uiPriority w:val="0"/>
    <w:pPr>
      <w:jc w:val="left"/>
    </w:pPr>
  </w:style>
  <w:style w:type="paragraph" w:styleId="10">
    <w:name w:val="index 6"/>
    <w:basedOn w:val="1"/>
    <w:next w:val="1"/>
    <w:qFormat/>
    <w:uiPriority w:val="99"/>
    <w:pPr>
      <w:ind w:left="2100"/>
    </w:pPr>
  </w:style>
  <w:style w:type="paragraph" w:styleId="11">
    <w:name w:val="Body Text 3"/>
    <w:basedOn w:val="1"/>
    <w:qFormat/>
    <w:uiPriority w:val="99"/>
    <w:pPr>
      <w:spacing w:after="120"/>
    </w:pPr>
    <w:rPr>
      <w:sz w:val="16"/>
      <w:szCs w:val="16"/>
    </w:rPr>
  </w:style>
  <w:style w:type="paragraph" w:styleId="12">
    <w:name w:val="Body Text"/>
    <w:basedOn w:val="1"/>
    <w:qFormat/>
    <w:uiPriority w:val="0"/>
    <w:pPr>
      <w:tabs>
        <w:tab w:val="left" w:pos="567"/>
      </w:tabs>
      <w:spacing w:before="120" w:line="22" w:lineRule="atLeast"/>
    </w:pPr>
    <w:rPr>
      <w:rFonts w:ascii="宋体" w:hAnsi="宋体"/>
      <w:sz w:val="24"/>
    </w:rPr>
  </w:style>
  <w:style w:type="paragraph" w:styleId="13">
    <w:name w:val="Body Text Indent"/>
    <w:basedOn w:val="1"/>
    <w:next w:val="14"/>
    <w:qFormat/>
    <w:uiPriority w:val="0"/>
    <w:pPr>
      <w:spacing w:line="360" w:lineRule="auto"/>
      <w:ind w:firstLine="570"/>
    </w:pPr>
    <w:rPr>
      <w:rFonts w:ascii="Times New Roman" w:hAnsi="Times New Roman"/>
      <w:sz w:val="24"/>
    </w:rPr>
  </w:style>
  <w:style w:type="paragraph" w:styleId="14">
    <w:name w:val="Body Text First Indent 2"/>
    <w:basedOn w:val="13"/>
    <w:next w:val="7"/>
    <w:qFormat/>
    <w:uiPriority w:val="0"/>
    <w:pPr>
      <w:ind w:firstLine="420" w:firstLineChars="200"/>
    </w:pPr>
  </w:style>
  <w:style w:type="paragraph" w:styleId="15">
    <w:name w:val="Block Text"/>
    <w:basedOn w:val="1"/>
    <w:qFormat/>
    <w:uiPriority w:val="0"/>
    <w:pPr>
      <w:spacing w:after="120"/>
      <w:ind w:left="1440" w:leftChars="700" w:right="1440" w:rightChars="700" w:firstLine="480" w:firstLineChars="200"/>
    </w:pPr>
    <w:rPr>
      <w:rFonts w:ascii="微软雅黑" w:hAnsi="微软雅黑" w:eastAsia="微软雅黑" w:cs="微软雅黑"/>
      <w:kern w:val="0"/>
    </w:rPr>
  </w:style>
  <w:style w:type="paragraph" w:styleId="16">
    <w:name w:val="toc 3"/>
    <w:basedOn w:val="1"/>
    <w:next w:val="1"/>
    <w:qFormat/>
    <w:uiPriority w:val="0"/>
    <w:pPr>
      <w:ind w:left="840" w:leftChars="400"/>
    </w:pPr>
  </w:style>
  <w:style w:type="paragraph" w:styleId="17">
    <w:name w:val="Plain Text"/>
    <w:basedOn w:val="1"/>
    <w:next w:val="18"/>
    <w:qFormat/>
    <w:uiPriority w:val="0"/>
    <w:rPr>
      <w:rFonts w:ascii="宋体" w:hAnsi="Courier New"/>
      <w:szCs w:val="20"/>
    </w:rPr>
  </w:style>
  <w:style w:type="paragraph" w:styleId="18">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9">
    <w:name w:val="toc 8"/>
    <w:basedOn w:val="1"/>
    <w:next w:val="1"/>
    <w:qFormat/>
    <w:uiPriority w:val="0"/>
    <w:pPr>
      <w:ind w:left="2940" w:leftChars="1400"/>
    </w:pPr>
  </w:style>
  <w:style w:type="paragraph" w:styleId="20">
    <w:name w:val="Date"/>
    <w:basedOn w:val="1"/>
    <w:next w:val="1"/>
    <w:qFormat/>
    <w:uiPriority w:val="0"/>
    <w:pPr>
      <w:ind w:left="100" w:leftChars="2500"/>
    </w:pPr>
    <w:rPr>
      <w:rFonts w:ascii="仿宋_GB2312" w:hAnsi="Courier New" w:eastAsia="仿宋_GB2312"/>
      <w:kern w:val="0"/>
      <w:sz w:val="24"/>
    </w:rPr>
  </w:style>
  <w:style w:type="paragraph" w:styleId="21">
    <w:name w:val="Body Text Indent 2"/>
    <w:basedOn w:val="1"/>
    <w:qFormat/>
    <w:uiPriority w:val="0"/>
    <w:pPr>
      <w:ind w:firstLine="360"/>
    </w:pPr>
  </w:style>
  <w:style w:type="paragraph" w:styleId="22">
    <w:name w:val="Balloon Text"/>
    <w:basedOn w:val="1"/>
    <w:link w:val="77"/>
    <w:qFormat/>
    <w:uiPriority w:val="0"/>
    <w:rPr>
      <w:sz w:val="18"/>
      <w:szCs w:val="18"/>
    </w:rPr>
  </w:style>
  <w:style w:type="paragraph" w:styleId="23">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4">
    <w:name w:val="envelope return"/>
    <w:basedOn w:val="1"/>
    <w:qFormat/>
    <w:uiPriority w:val="0"/>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0"/>
    <w:rPr>
      <w:rFonts w:ascii="Times New Roman" w:hAnsi="Times New Roman"/>
    </w:rPr>
  </w:style>
  <w:style w:type="paragraph" w:styleId="27">
    <w:name w:val="toc 4"/>
    <w:basedOn w:val="1"/>
    <w:next w:val="1"/>
    <w:qFormat/>
    <w:uiPriority w:val="0"/>
    <w:pPr>
      <w:tabs>
        <w:tab w:val="left" w:pos="1890"/>
        <w:tab w:val="right" w:leader="dot" w:pos="8296"/>
      </w:tabs>
      <w:ind w:left="630" w:leftChars="300"/>
    </w:pPr>
  </w:style>
  <w:style w:type="paragraph" w:styleId="28">
    <w:name w:val="List"/>
    <w:basedOn w:val="1"/>
    <w:qFormat/>
    <w:uiPriority w:val="99"/>
    <w:pPr>
      <w:ind w:left="200" w:hanging="200" w:hangingChars="200"/>
      <w:contextualSpacing/>
    </w:pPr>
  </w:style>
  <w:style w:type="paragraph" w:styleId="29">
    <w:name w:val="footnote text"/>
    <w:basedOn w:val="1"/>
    <w:link w:val="115"/>
    <w:qFormat/>
    <w:uiPriority w:val="99"/>
    <w:pPr>
      <w:snapToGrid w:val="0"/>
      <w:jc w:val="left"/>
    </w:pPr>
    <w:rPr>
      <w:rFonts w:ascii="Times New Roman" w:hAnsi="Times New Roman"/>
      <w:sz w:val="18"/>
    </w:rPr>
  </w:style>
  <w:style w:type="paragraph" w:styleId="30">
    <w:name w:val="index 7"/>
    <w:basedOn w:val="1"/>
    <w:next w:val="1"/>
    <w:unhideWhenUsed/>
    <w:qFormat/>
    <w:uiPriority w:val="0"/>
    <w:pPr>
      <w:adjustRightInd w:val="0"/>
      <w:spacing w:line="315" w:lineRule="atLeast"/>
      <w:ind w:left="2520"/>
      <w:jc w:val="left"/>
      <w:textAlignment w:val="baseline"/>
    </w:pPr>
    <w:rPr>
      <w:rFonts w:hint="eastAsia" w:ascii="宋体"/>
      <w:kern w:val="0"/>
    </w:rPr>
  </w:style>
  <w:style w:type="paragraph" w:styleId="31">
    <w:name w:val="toc 2"/>
    <w:basedOn w:val="1"/>
    <w:next w:val="1"/>
    <w:qFormat/>
    <w:uiPriority w:val="0"/>
    <w:pPr>
      <w:ind w:left="420" w:leftChars="200"/>
    </w:pPr>
    <w:rPr>
      <w:rFonts w:ascii="Times New Roman" w:hAnsi="Times New Roman"/>
    </w:rPr>
  </w:style>
  <w:style w:type="paragraph" w:styleId="32">
    <w:name w:val="Normal (Web)"/>
    <w:basedOn w:val="1"/>
    <w:qFormat/>
    <w:uiPriority w:val="0"/>
    <w:pPr>
      <w:spacing w:beforeAutospacing="1" w:afterAutospacing="1"/>
      <w:jc w:val="left"/>
    </w:pPr>
    <w:rPr>
      <w:kern w:val="0"/>
      <w:sz w:val="24"/>
    </w:rPr>
  </w:style>
  <w:style w:type="paragraph" w:styleId="33">
    <w:name w:val="Title"/>
    <w:basedOn w:val="1"/>
    <w:next w:val="1"/>
    <w:qFormat/>
    <w:uiPriority w:val="10"/>
    <w:pPr>
      <w:spacing w:before="240" w:after="60"/>
      <w:jc w:val="center"/>
      <w:outlineLvl w:val="0"/>
    </w:pPr>
    <w:rPr>
      <w:rFonts w:ascii="Calibri Light" w:hAnsi="Calibri Light" w:cs="宋体"/>
      <w:b/>
      <w:bCs/>
      <w:sz w:val="32"/>
      <w:szCs w:val="32"/>
    </w:rPr>
  </w:style>
  <w:style w:type="paragraph" w:styleId="34">
    <w:name w:val="annotation subject"/>
    <w:basedOn w:val="9"/>
    <w:next w:val="9"/>
    <w:link w:val="79"/>
    <w:qFormat/>
    <w:uiPriority w:val="0"/>
    <w:rPr>
      <w:b/>
      <w:bCs/>
    </w:rPr>
  </w:style>
  <w:style w:type="paragraph" w:styleId="35">
    <w:name w:val="Body Text First Indent"/>
    <w:basedOn w:val="12"/>
    <w:qFormat/>
    <w:uiPriority w:val="0"/>
    <w:pPr>
      <w:spacing w:after="120" w:line="240" w:lineRule="auto"/>
      <w:ind w:firstLine="420" w:firstLineChars="100"/>
    </w:pPr>
    <w:rPr>
      <w:rFonts w:ascii="Calibri" w:hAnsi="Calibri"/>
      <w:sz w:val="18"/>
      <w:szCs w:val="1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rPr>
      <w:rFonts w:ascii="Times New Roman" w:hAnsi="Times New Roman" w:eastAsia="宋体" w:cs="Times New Roman"/>
    </w:rPr>
  </w:style>
  <w:style w:type="character" w:styleId="41">
    <w:name w:val="Emphasis"/>
    <w:qFormat/>
    <w:uiPriority w:val="20"/>
    <w:rPr>
      <w:i/>
      <w:iCs/>
    </w:rPr>
  </w:style>
  <w:style w:type="character" w:styleId="42">
    <w:name w:val="Hyperlink"/>
    <w:basedOn w:val="38"/>
    <w:qFormat/>
    <w:uiPriority w:val="0"/>
    <w:rPr>
      <w:color w:val="0000FF"/>
      <w:u w:val="single"/>
    </w:rPr>
  </w:style>
  <w:style w:type="character" w:styleId="43">
    <w:name w:val="annotation reference"/>
    <w:basedOn w:val="38"/>
    <w:qFormat/>
    <w:uiPriority w:val="0"/>
    <w:rPr>
      <w:sz w:val="21"/>
      <w:szCs w:val="21"/>
    </w:rPr>
  </w:style>
  <w:style w:type="character" w:styleId="44">
    <w:name w:val="HTML Sample"/>
    <w:basedOn w:val="38"/>
    <w:qFormat/>
    <w:uiPriority w:val="0"/>
    <w:rPr>
      <w:rFonts w:ascii="Courier New" w:hAnsi="Courier New"/>
    </w:rPr>
  </w:style>
  <w:style w:type="paragraph" w:customStyle="1" w:styleId="45">
    <w:name w:val="Table Text"/>
    <w:basedOn w:val="1"/>
    <w:semiHidden/>
    <w:qFormat/>
    <w:uiPriority w:val="0"/>
    <w:rPr>
      <w:rFonts w:ascii="宋体" w:hAnsi="宋体" w:eastAsia="宋体" w:cs="宋体"/>
      <w:sz w:val="24"/>
      <w:szCs w:val="24"/>
      <w:lang w:val="en-US" w:eastAsia="en-US" w:bidi="ar-SA"/>
    </w:rPr>
  </w:style>
  <w:style w:type="character" w:customStyle="1" w:styleId="46">
    <w:name w:val="标题 1 Char"/>
    <w:qFormat/>
    <w:uiPriority w:val="0"/>
    <w:rPr>
      <w:rFonts w:ascii="宋体"/>
      <w:kern w:val="44"/>
      <w:sz w:val="32"/>
      <w:szCs w:val="20"/>
    </w:rPr>
  </w:style>
  <w:style w:type="paragraph" w:customStyle="1" w:styleId="4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正文王森"/>
    <w:basedOn w:val="1"/>
    <w:qFormat/>
    <w:uiPriority w:val="0"/>
    <w:pPr>
      <w:spacing w:line="360" w:lineRule="auto"/>
      <w:ind w:firstLine="480" w:firstLineChars="200"/>
    </w:pPr>
    <w:rPr>
      <w:rFonts w:ascii="黑体" w:hAnsi="黑体" w:eastAsia="黑体"/>
      <w:sz w:val="24"/>
    </w:rPr>
  </w:style>
  <w:style w:type="paragraph" w:customStyle="1" w:styleId="49">
    <w:name w:val="List2"/>
    <w:basedOn w:val="1"/>
    <w:qFormat/>
    <w:uiPriority w:val="0"/>
    <w:pPr>
      <w:widowControl/>
      <w:ind w:left="100" w:leftChars="200" w:hanging="200" w:hangingChars="200"/>
      <w:contextualSpacing/>
      <w:textAlignment w:val="baseline"/>
    </w:pPr>
  </w:style>
  <w:style w:type="paragraph" w:customStyle="1" w:styleId="50">
    <w:name w:val="Heading3"/>
    <w:basedOn w:val="1"/>
    <w:next w:val="1"/>
    <w:qFormat/>
    <w:uiPriority w:val="0"/>
    <w:pPr>
      <w:keepNext/>
      <w:numPr>
        <w:ilvl w:val="0"/>
        <w:numId w:val="1"/>
      </w:numPr>
    </w:pPr>
    <w:rPr>
      <w:b/>
      <w:bCs/>
      <w:sz w:val="28"/>
    </w:rPr>
  </w:style>
  <w:style w:type="paragraph" w:customStyle="1" w:styleId="51">
    <w:name w:val="BodyText"/>
    <w:basedOn w:val="1"/>
    <w:qFormat/>
    <w:uiPriority w:val="0"/>
    <w:pPr>
      <w:spacing w:after="120"/>
    </w:pPr>
  </w:style>
  <w:style w:type="paragraph" w:customStyle="1" w:styleId="5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53">
    <w:name w:val="标题 1 字符"/>
    <w:link w:val="2"/>
    <w:qFormat/>
    <w:uiPriority w:val="0"/>
    <w:rPr>
      <w:rFonts w:ascii="宋体"/>
      <w:b/>
      <w:kern w:val="44"/>
      <w:sz w:val="32"/>
      <w:szCs w:val="20"/>
    </w:rPr>
  </w:style>
  <w:style w:type="paragraph" w:customStyle="1" w:styleId="54">
    <w:name w:val="No Spacing_3b93350b-94da-44fa-8143-641484b951a0"/>
    <w:link w:val="71"/>
    <w:qFormat/>
    <w:uiPriority w:val="1"/>
    <w:pPr>
      <w:widowControl w:val="0"/>
      <w:jc w:val="both"/>
    </w:pPr>
    <w:rPr>
      <w:rFonts w:ascii="Calibri" w:hAnsi="Calibri" w:eastAsia="宋体" w:cs="Times New Roman"/>
      <w:kern w:val="2"/>
      <w:sz w:val="21"/>
      <w:szCs w:val="24"/>
      <w:lang w:val="en-US" w:eastAsia="zh-CN" w:bidi="ar-SA"/>
    </w:rPr>
  </w:style>
  <w:style w:type="character" w:customStyle="1" w:styleId="55">
    <w:name w:val="NormalCharacter"/>
    <w:qFormat/>
    <w:uiPriority w:val="0"/>
    <w:rPr>
      <w:rFonts w:ascii="Calibri" w:hAnsi="Calibri" w:eastAsia="宋体" w:cs="Times New Roman"/>
      <w:kern w:val="2"/>
      <w:sz w:val="21"/>
      <w:szCs w:val="24"/>
      <w:lang w:val="en-US" w:eastAsia="zh-CN" w:bidi="ar-SA"/>
    </w:rPr>
  </w:style>
  <w:style w:type="paragraph" w:customStyle="1" w:styleId="56">
    <w:name w:val="图例"/>
    <w:basedOn w:val="1"/>
    <w:qFormat/>
    <w:uiPriority w:val="0"/>
    <w:pPr>
      <w:spacing w:before="120" w:after="120" w:line="360" w:lineRule="auto"/>
      <w:jc w:val="center"/>
    </w:pPr>
    <w:rPr>
      <w:rFonts w:eastAsia="仿宋_GB2312"/>
      <w:b/>
      <w:sz w:val="24"/>
    </w:rPr>
  </w:style>
  <w:style w:type="paragraph" w:customStyle="1" w:styleId="57">
    <w:name w:val="列出段落1"/>
    <w:basedOn w:val="1"/>
    <w:qFormat/>
    <w:uiPriority w:val="0"/>
    <w:pPr>
      <w:ind w:firstLine="420" w:firstLineChars="200"/>
    </w:pPr>
  </w:style>
  <w:style w:type="paragraph" w:customStyle="1" w:styleId="58">
    <w:name w:val="List Paragraph_7aecd6e6-fc70-4df6-be05-ef790174fbad"/>
    <w:basedOn w:val="1"/>
    <w:qFormat/>
    <w:uiPriority w:val="34"/>
    <w:pPr>
      <w:ind w:firstLine="420" w:firstLineChars="200"/>
    </w:pPr>
  </w:style>
  <w:style w:type="paragraph" w:customStyle="1" w:styleId="59">
    <w:name w:val="正文-manu"/>
    <w:basedOn w:val="1"/>
    <w:qFormat/>
    <w:uiPriority w:val="0"/>
    <w:pPr>
      <w:spacing w:line="300" w:lineRule="auto"/>
    </w:pPr>
    <w:rPr>
      <w:b/>
      <w:snapToGrid w:val="0"/>
      <w:kern w:val="0"/>
      <w:sz w:val="24"/>
      <w:szCs w:val="20"/>
    </w:rPr>
  </w:style>
  <w:style w:type="character" w:customStyle="1" w:styleId="60">
    <w:name w:val="font01"/>
    <w:basedOn w:val="38"/>
    <w:qFormat/>
    <w:uiPriority w:val="0"/>
    <w:rPr>
      <w:rFonts w:hint="default" w:ascii="Arial" w:hAnsi="Arial" w:cs="Arial"/>
      <w:color w:val="000000"/>
      <w:sz w:val="22"/>
      <w:szCs w:val="22"/>
      <w:u w:val="none"/>
    </w:rPr>
  </w:style>
  <w:style w:type="character" w:customStyle="1" w:styleId="61">
    <w:name w:val="font41"/>
    <w:basedOn w:val="38"/>
    <w:qFormat/>
    <w:uiPriority w:val="0"/>
    <w:rPr>
      <w:rFonts w:hint="eastAsia" w:ascii="宋体" w:hAnsi="宋体" w:eastAsia="宋体" w:cs="宋体"/>
      <w:color w:val="000000"/>
      <w:sz w:val="22"/>
      <w:szCs w:val="22"/>
      <w:u w:val="none"/>
    </w:rPr>
  </w:style>
  <w:style w:type="character" w:customStyle="1" w:styleId="62">
    <w:name w:val="font51"/>
    <w:basedOn w:val="38"/>
    <w:qFormat/>
    <w:uiPriority w:val="0"/>
    <w:rPr>
      <w:rFonts w:hint="eastAsia" w:ascii="宋体" w:hAnsi="宋体" w:eastAsia="宋体" w:cs="宋体"/>
      <w:color w:val="000000"/>
      <w:sz w:val="22"/>
      <w:szCs w:val="22"/>
      <w:u w:val="none"/>
    </w:rPr>
  </w:style>
  <w:style w:type="character" w:customStyle="1" w:styleId="63">
    <w:name w:val="font31"/>
    <w:basedOn w:val="38"/>
    <w:qFormat/>
    <w:uiPriority w:val="0"/>
    <w:rPr>
      <w:rFonts w:hint="default" w:ascii="Arial" w:hAnsi="Arial" w:cs="Arial"/>
      <w:b/>
      <w:color w:val="000000"/>
      <w:sz w:val="22"/>
      <w:szCs w:val="22"/>
      <w:u w:val="none"/>
    </w:rPr>
  </w:style>
  <w:style w:type="character" w:customStyle="1" w:styleId="64">
    <w:name w:val="font91"/>
    <w:basedOn w:val="38"/>
    <w:qFormat/>
    <w:uiPriority w:val="0"/>
    <w:rPr>
      <w:rFonts w:hint="default" w:ascii="Arial" w:hAnsi="Arial" w:cs="Arial"/>
      <w:color w:val="000000"/>
      <w:sz w:val="22"/>
      <w:szCs w:val="22"/>
      <w:u w:val="none"/>
    </w:rPr>
  </w:style>
  <w:style w:type="character" w:customStyle="1" w:styleId="65">
    <w:name w:val="font81"/>
    <w:basedOn w:val="38"/>
    <w:qFormat/>
    <w:uiPriority w:val="0"/>
    <w:rPr>
      <w:rFonts w:hint="eastAsia" w:ascii="宋体" w:hAnsi="宋体" w:eastAsia="宋体" w:cs="宋体"/>
      <w:color w:val="000000"/>
      <w:sz w:val="22"/>
      <w:szCs w:val="22"/>
      <w:u w:val="none"/>
    </w:rPr>
  </w:style>
  <w:style w:type="character" w:customStyle="1" w:styleId="66">
    <w:name w:val="font21"/>
    <w:basedOn w:val="38"/>
    <w:qFormat/>
    <w:uiPriority w:val="0"/>
    <w:rPr>
      <w:rFonts w:ascii="微软雅黑" w:hAnsi="微软雅黑" w:eastAsia="微软雅黑" w:cs="微软雅黑"/>
      <w:b/>
      <w:color w:val="000000"/>
      <w:sz w:val="24"/>
      <w:szCs w:val="24"/>
      <w:u w:val="none"/>
    </w:rPr>
  </w:style>
  <w:style w:type="character" w:customStyle="1" w:styleId="67">
    <w:name w:val="font61"/>
    <w:basedOn w:val="38"/>
    <w:qFormat/>
    <w:uiPriority w:val="0"/>
    <w:rPr>
      <w:rFonts w:hint="default" w:ascii="Times New Roman" w:hAnsi="Times New Roman" w:cs="Times New Roman"/>
      <w:b/>
      <w:color w:val="000000"/>
      <w:sz w:val="24"/>
      <w:szCs w:val="24"/>
      <w:u w:val="none"/>
    </w:rPr>
  </w:style>
  <w:style w:type="character" w:customStyle="1" w:styleId="68">
    <w:name w:val="font71"/>
    <w:basedOn w:val="38"/>
    <w:qFormat/>
    <w:uiPriority w:val="0"/>
    <w:rPr>
      <w:rFonts w:hint="eastAsia" w:ascii="微软雅黑" w:hAnsi="微软雅黑" w:eastAsia="微软雅黑" w:cs="微软雅黑"/>
      <w:color w:val="000000"/>
      <w:sz w:val="24"/>
      <w:szCs w:val="24"/>
      <w:u w:val="none"/>
    </w:rPr>
  </w:style>
  <w:style w:type="character" w:customStyle="1" w:styleId="69">
    <w:name w:val="font101"/>
    <w:basedOn w:val="38"/>
    <w:qFormat/>
    <w:uiPriority w:val="0"/>
    <w:rPr>
      <w:rFonts w:hint="default" w:ascii="Times New Roman" w:hAnsi="Times New Roman" w:cs="Times New Roman"/>
      <w:color w:val="000000"/>
      <w:sz w:val="24"/>
      <w:szCs w:val="24"/>
      <w:u w:val="none"/>
    </w:rPr>
  </w:style>
  <w:style w:type="paragraph" w:customStyle="1" w:styleId="70">
    <w:name w:val="_Style 1"/>
    <w:basedOn w:val="1"/>
    <w:qFormat/>
    <w:uiPriority w:val="34"/>
    <w:pPr>
      <w:ind w:firstLine="420" w:firstLineChars="200"/>
    </w:pPr>
  </w:style>
  <w:style w:type="character" w:customStyle="1" w:styleId="71">
    <w:name w:val="无间隔 Char"/>
    <w:link w:val="54"/>
    <w:qFormat/>
    <w:uiPriority w:val="1"/>
    <w:rPr>
      <w:rFonts w:ascii="Calibri" w:hAnsi="Calibri" w:eastAsia="宋体" w:cs="Times New Roman"/>
      <w:kern w:val="2"/>
      <w:sz w:val="21"/>
      <w:szCs w:val="24"/>
      <w:lang w:val="en-US" w:eastAsia="zh-CN" w:bidi="ar-SA"/>
    </w:rPr>
  </w:style>
  <w:style w:type="paragraph" w:customStyle="1" w:styleId="7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73">
    <w:name w:val="索引 11"/>
    <w:basedOn w:val="1"/>
    <w:next w:val="1"/>
    <w:qFormat/>
    <w:uiPriority w:val="0"/>
    <w:pPr>
      <w:spacing w:line="360" w:lineRule="auto"/>
    </w:pPr>
    <w:rPr>
      <w:rFonts w:ascii="仿宋_GB2312" w:eastAsia="仿宋_GB2312"/>
      <w:sz w:val="24"/>
      <w:szCs w:val="20"/>
    </w:rPr>
  </w:style>
  <w:style w:type="paragraph" w:customStyle="1" w:styleId="74">
    <w:name w:val="纯文本1"/>
    <w:basedOn w:val="1"/>
    <w:qFormat/>
    <w:uiPriority w:val="0"/>
    <w:rPr>
      <w:rFonts w:ascii="宋体" w:hAnsi="Courier New"/>
      <w:kern w:val="0"/>
      <w:sz w:val="20"/>
      <w:szCs w:val="20"/>
    </w:rPr>
  </w:style>
  <w:style w:type="paragraph" w:customStyle="1" w:styleId="75">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6">
    <w:name w:val="石墨文档正文"/>
    <w:qFormat/>
    <w:uiPriority w:val="0"/>
    <w:rPr>
      <w:rFonts w:ascii="微软雅黑" w:hAnsi="微软雅黑" w:eastAsia="微软雅黑" w:cs="微软雅黑"/>
      <w:sz w:val="24"/>
      <w:szCs w:val="24"/>
      <w:lang w:val="en-US" w:eastAsia="zh-CN" w:bidi="ar-SA"/>
    </w:rPr>
  </w:style>
  <w:style w:type="character" w:customStyle="1" w:styleId="77">
    <w:name w:val="批注框文本 字符"/>
    <w:basedOn w:val="38"/>
    <w:link w:val="22"/>
    <w:qFormat/>
    <w:uiPriority w:val="0"/>
    <w:rPr>
      <w:kern w:val="2"/>
      <w:sz w:val="18"/>
      <w:szCs w:val="18"/>
    </w:rPr>
  </w:style>
  <w:style w:type="character" w:customStyle="1" w:styleId="78">
    <w:name w:val="批注文字 字符"/>
    <w:basedOn w:val="38"/>
    <w:link w:val="9"/>
    <w:qFormat/>
    <w:uiPriority w:val="0"/>
    <w:rPr>
      <w:kern w:val="2"/>
      <w:sz w:val="21"/>
      <w:szCs w:val="24"/>
    </w:rPr>
  </w:style>
  <w:style w:type="character" w:customStyle="1" w:styleId="79">
    <w:name w:val="批注主题 字符"/>
    <w:basedOn w:val="78"/>
    <w:link w:val="34"/>
    <w:qFormat/>
    <w:uiPriority w:val="0"/>
    <w:rPr>
      <w:b/>
      <w:bCs/>
      <w:kern w:val="2"/>
      <w:sz w:val="21"/>
      <w:szCs w:val="24"/>
    </w:rPr>
  </w:style>
  <w:style w:type="paragraph" w:customStyle="1" w:styleId="80">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81">
    <w:name w:val="Table Normal1"/>
    <w:qFormat/>
    <w:uiPriority w:val="0"/>
    <w:tblPr>
      <w:tblCellMar>
        <w:top w:w="0" w:type="dxa"/>
        <w:left w:w="0" w:type="dxa"/>
        <w:bottom w:w="0" w:type="dxa"/>
        <w:right w:w="0" w:type="dxa"/>
      </w:tblCellMar>
    </w:tblPr>
  </w:style>
  <w:style w:type="paragraph" w:customStyle="1" w:styleId="8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83">
    <w:name w:val="p1"/>
    <w:basedOn w:val="1"/>
    <w:qFormat/>
    <w:uiPriority w:val="0"/>
    <w:pPr>
      <w:jc w:val="left"/>
    </w:pPr>
    <w:rPr>
      <w:rFonts w:ascii="pingfang sc" w:hAnsi="pingfang sc" w:eastAsia="pingfang sc" w:cs="pingfang sc"/>
      <w:kern w:val="0"/>
      <w:sz w:val="26"/>
      <w:szCs w:val="26"/>
    </w:rPr>
  </w:style>
  <w:style w:type="character" w:customStyle="1" w:styleId="84">
    <w:name w:val="s1"/>
    <w:basedOn w:val="38"/>
    <w:qFormat/>
    <w:uiPriority w:val="0"/>
    <w:rPr>
      <w:rFonts w:ascii="pingfang sc" w:hAnsi="pingfang sc" w:eastAsia="pingfang sc" w:cs="pingfang sc"/>
      <w:sz w:val="40"/>
      <w:szCs w:val="40"/>
    </w:rPr>
  </w:style>
  <w:style w:type="character" w:customStyle="1" w:styleId="85">
    <w:name w:val="trans"/>
    <w:qFormat/>
    <w:uiPriority w:val="99"/>
  </w:style>
  <w:style w:type="paragraph" w:customStyle="1" w:styleId="86">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88">
    <w:name w:val="PageNumber"/>
    <w:qFormat/>
    <w:uiPriority w:val="99"/>
    <w:rPr>
      <w:rFonts w:cs="Times New Roman"/>
    </w:rPr>
  </w:style>
  <w:style w:type="paragraph" w:customStyle="1" w:styleId="89">
    <w:name w:val="样式1"/>
    <w:basedOn w:val="3"/>
    <w:qFormat/>
    <w:uiPriority w:val="0"/>
    <w:pPr>
      <w:spacing w:before="100" w:beforeAutospacing="1" w:after="100" w:afterAutospacing="1"/>
      <w:ind w:right="100" w:rightChars="100"/>
    </w:pPr>
    <w:rPr>
      <w:sz w:val="21"/>
    </w:rPr>
  </w:style>
  <w:style w:type="paragraph" w:customStyle="1" w:styleId="90">
    <w:name w:val="UserStyle_15"/>
    <w:basedOn w:val="91"/>
    <w:qFormat/>
    <w:uiPriority w:val="0"/>
    <w:pPr>
      <w:spacing w:before="100" w:beforeAutospacing="1" w:after="100" w:afterAutospacing="1"/>
      <w:ind w:left="1710" w:right="100" w:rightChars="100"/>
    </w:pPr>
    <w:rPr>
      <w:sz w:val="21"/>
    </w:rPr>
  </w:style>
  <w:style w:type="paragraph" w:customStyle="1" w:styleId="91">
    <w:name w:val="Heading2"/>
    <w:basedOn w:val="1"/>
    <w:next w:val="1"/>
    <w:qFormat/>
    <w:uiPriority w:val="0"/>
    <w:pPr>
      <w:keepNext/>
      <w:widowControl/>
      <w:numPr>
        <w:ilvl w:val="1"/>
        <w:numId w:val="2"/>
      </w:numPr>
      <w:spacing w:before="240" w:after="60"/>
      <w:textAlignment w:val="baseline"/>
    </w:pPr>
    <w:rPr>
      <w:rFonts w:ascii="Cambria" w:hAnsi="Cambria"/>
      <w:b/>
      <w:bCs/>
      <w:i/>
      <w:iCs/>
      <w:sz w:val="28"/>
      <w:szCs w:val="28"/>
    </w:rPr>
  </w:style>
  <w:style w:type="character" w:customStyle="1" w:styleId="92">
    <w:name w:val="UserStyle_2"/>
    <w:link w:val="93"/>
    <w:qFormat/>
    <w:uiPriority w:val="0"/>
    <w:rPr>
      <w:kern w:val="0"/>
      <w:sz w:val="20"/>
      <w:szCs w:val="24"/>
      <w:lang w:val="en-US" w:eastAsia="zh-CN" w:bidi="ar-SA"/>
    </w:rPr>
  </w:style>
  <w:style w:type="paragraph" w:customStyle="1" w:styleId="93">
    <w:name w:val="UserStyle_3"/>
    <w:basedOn w:val="1"/>
    <w:link w:val="92"/>
    <w:qFormat/>
    <w:uiPriority w:val="0"/>
    <w:pPr>
      <w:textAlignment w:val="baseline"/>
    </w:pPr>
    <w:rPr>
      <w:kern w:val="0"/>
      <w:sz w:val="20"/>
    </w:rPr>
  </w:style>
  <w:style w:type="paragraph" w:customStyle="1" w:styleId="94">
    <w:name w:val="List Paragraph1"/>
    <w:basedOn w:val="1"/>
    <w:qFormat/>
    <w:uiPriority w:val="0"/>
    <w:pPr>
      <w:ind w:firstLine="420" w:firstLineChars="200"/>
    </w:pPr>
  </w:style>
  <w:style w:type="paragraph" w:customStyle="1" w:styleId="95">
    <w:name w:val="列出段落2"/>
    <w:basedOn w:val="1"/>
    <w:qFormat/>
    <w:uiPriority w:val="34"/>
    <w:pPr>
      <w:ind w:firstLine="420" w:firstLineChars="200"/>
    </w:pPr>
  </w:style>
  <w:style w:type="paragraph" w:styleId="9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rPr>
  </w:style>
  <w:style w:type="paragraph" w:customStyle="1" w:styleId="9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标题33"/>
    <w:basedOn w:val="4"/>
    <w:next w:val="48"/>
    <w:qFormat/>
    <w:uiPriority w:val="0"/>
    <w:pPr>
      <w:numPr>
        <w:ilvl w:val="2"/>
        <w:numId w:val="3"/>
      </w:numPr>
      <w:tabs>
        <w:tab w:val="clear" w:pos="720"/>
      </w:tabs>
    </w:pPr>
    <w:rPr>
      <w:rFonts w:hAnsi="黑体" w:eastAsia="黑体"/>
      <w:sz w:val="30"/>
      <w:szCs w:val="30"/>
    </w:rPr>
  </w:style>
  <w:style w:type="paragraph" w:customStyle="1" w:styleId="100">
    <w:name w:val="标题44"/>
    <w:basedOn w:val="5"/>
    <w:next w:val="48"/>
    <w:qFormat/>
    <w:uiPriority w:val="0"/>
    <w:pPr>
      <w:numPr>
        <w:ilvl w:val="3"/>
        <w:numId w:val="3"/>
      </w:numPr>
    </w:pPr>
    <w:rPr>
      <w:sz w:val="30"/>
      <w:szCs w:val="3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p0"/>
    <w:basedOn w:val="1"/>
    <w:qFormat/>
    <w:uiPriority w:val="0"/>
    <w:pPr>
      <w:widowControl/>
    </w:pPr>
    <w:rPr>
      <w:kern w:val="0"/>
      <w:szCs w:val="21"/>
    </w:rPr>
  </w:style>
  <w:style w:type="character" w:customStyle="1" w:styleId="103">
    <w:name w:val="font11"/>
    <w:basedOn w:val="38"/>
    <w:qFormat/>
    <w:uiPriority w:val="0"/>
    <w:rPr>
      <w:rFonts w:hint="eastAsia" w:ascii="宋体" w:hAnsi="宋体" w:eastAsia="宋体" w:cs="宋体"/>
      <w:color w:val="333333"/>
      <w:sz w:val="24"/>
      <w:szCs w:val="24"/>
      <w:u w:val="none"/>
    </w:rPr>
  </w:style>
  <w:style w:type="table" w:customStyle="1" w:styleId="104">
    <w:name w:val="Table Normal"/>
    <w:qFormat/>
    <w:uiPriority w:val="0"/>
    <w:tblPr>
      <w:tblCellMar>
        <w:top w:w="0" w:type="dxa"/>
        <w:left w:w="0" w:type="dxa"/>
        <w:bottom w:w="0" w:type="dxa"/>
        <w:right w:w="0" w:type="dxa"/>
      </w:tblCellMar>
    </w:tblPr>
  </w:style>
  <w:style w:type="paragraph" w:customStyle="1" w:styleId="105">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6">
    <w:name w:val="CharAttribute0"/>
    <w:qFormat/>
    <w:uiPriority w:val="0"/>
    <w:rPr>
      <w:rFonts w:ascii="Times New Roman" w:eastAsia="宋体"/>
      <w:sz w:val="21"/>
    </w:rPr>
  </w:style>
  <w:style w:type="paragraph" w:customStyle="1" w:styleId="107">
    <w:name w:val="p15"/>
    <w:basedOn w:val="1"/>
    <w:qFormat/>
    <w:uiPriority w:val="0"/>
    <w:pPr>
      <w:widowControl/>
    </w:pPr>
    <w:rPr>
      <w:kern w:val="0"/>
      <w:szCs w:val="21"/>
    </w:rPr>
  </w:style>
  <w:style w:type="paragraph" w:customStyle="1" w:styleId="108">
    <w:name w:val="列出段落21"/>
    <w:basedOn w:val="1"/>
    <w:qFormat/>
    <w:uiPriority w:val="34"/>
    <w:pPr>
      <w:ind w:firstLine="420" w:firstLineChars="200"/>
    </w:pPr>
    <w:rPr>
      <w:kern w:val="0"/>
      <w:sz w:val="20"/>
    </w:rPr>
  </w:style>
  <w:style w:type="character" w:customStyle="1" w:styleId="109">
    <w:name w:val="font131"/>
    <w:basedOn w:val="38"/>
    <w:qFormat/>
    <w:uiPriority w:val="0"/>
    <w:rPr>
      <w:rFonts w:hint="eastAsia" w:ascii="宋体" w:hAnsi="宋体" w:eastAsia="宋体" w:cs="宋体"/>
      <w:b/>
      <w:bCs/>
      <w:color w:val="000000"/>
      <w:sz w:val="22"/>
      <w:szCs w:val="22"/>
      <w:u w:val="none"/>
    </w:rPr>
  </w:style>
  <w:style w:type="character" w:customStyle="1" w:styleId="110">
    <w:name w:val="书籍标题1"/>
    <w:basedOn w:val="38"/>
    <w:qFormat/>
    <w:uiPriority w:val="33"/>
    <w:rPr>
      <w:b/>
      <w:bCs/>
      <w:smallCaps/>
      <w:spacing w:val="5"/>
    </w:rPr>
  </w:style>
  <w:style w:type="paragraph" w:customStyle="1" w:styleId="111">
    <w:name w:val="NormalIndent"/>
    <w:basedOn w:val="1"/>
    <w:qFormat/>
    <w:uiPriority w:val="0"/>
    <w:pPr>
      <w:ind w:firstLine="420" w:firstLineChars="200"/>
      <w:textAlignment w:val="baseline"/>
    </w:pPr>
  </w:style>
  <w:style w:type="paragraph" w:customStyle="1" w:styleId="112">
    <w:name w:val="UserStyle_4"/>
    <w:basedOn w:val="1"/>
    <w:qFormat/>
    <w:uiPriority w:val="0"/>
    <w:pPr>
      <w:ind w:firstLine="420" w:firstLineChars="200"/>
      <w:textAlignment w:val="baseline"/>
    </w:pPr>
    <w:rPr>
      <w:szCs w:val="22"/>
    </w:rPr>
  </w:style>
  <w:style w:type="character" w:customStyle="1" w:styleId="113">
    <w:name w:val="UserStyle_0"/>
    <w:qFormat/>
    <w:uiPriority w:val="0"/>
    <w:rPr>
      <w:kern w:val="2"/>
      <w:sz w:val="21"/>
      <w:szCs w:val="24"/>
      <w:lang w:val="en-US" w:eastAsia="zh-CN" w:bidi="ar-SA"/>
    </w:rPr>
  </w:style>
  <w:style w:type="paragraph" w:customStyle="1" w:styleId="11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15">
    <w:name w:val="脚注文本 字符"/>
    <w:basedOn w:val="38"/>
    <w:link w:val="29"/>
    <w:qFormat/>
    <w:uiPriority w:val="99"/>
    <w:rPr>
      <w:kern w:val="2"/>
      <w:sz w:val="18"/>
      <w:szCs w:val="24"/>
    </w:rPr>
  </w:style>
  <w:style w:type="paragraph" w:customStyle="1" w:styleId="116">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styleId="117">
    <w:name w:val="List Paragraph"/>
    <w:basedOn w:val="1"/>
    <w:qFormat/>
    <w:uiPriority w:val="0"/>
    <w:pPr>
      <w:ind w:firstLine="420" w:firstLineChars="200"/>
    </w:pPr>
  </w:style>
  <w:style w:type="paragraph" w:customStyle="1" w:styleId="118">
    <w:name w:val="自定义正文"/>
    <w:basedOn w:val="1"/>
    <w:qFormat/>
    <w:uiPriority w:val="0"/>
    <w:pPr>
      <w:spacing w:line="360" w:lineRule="auto"/>
      <w:ind w:firstLine="200" w:firstLineChars="200"/>
      <w:jc w:val="left"/>
    </w:pPr>
    <w:rPr>
      <w:rFonts w:ascii="Times New Roman" w:hAnsi="Times New Roman"/>
      <w:sz w:val="24"/>
    </w:rPr>
  </w:style>
  <w:style w:type="paragraph" w:customStyle="1" w:styleId="119">
    <w:name w:val="列表段落1"/>
    <w:basedOn w:val="1"/>
    <w:qFormat/>
    <w:uiPriority w:val="0"/>
    <w:pPr>
      <w:suppressAutoHyphens/>
      <w:ind w:firstLine="420"/>
    </w:pPr>
    <w:rPr>
      <w:rFonts w:ascii="Times New Roman" w:hAnsi="Times New Roman" w:eastAsia="宋体;SimSun"/>
      <w:szCs w:val="21"/>
    </w:rPr>
  </w:style>
  <w:style w:type="paragraph" w:customStyle="1" w:styleId="120">
    <w:name w:val="修订1"/>
    <w:hidden/>
    <w:semiHidden/>
    <w:qFormat/>
    <w:uiPriority w:val="99"/>
    <w:rPr>
      <w:rFonts w:ascii="Calibri" w:hAnsi="Calibri" w:eastAsia="宋体" w:cs="Times New Roman"/>
      <w:kern w:val="2"/>
      <w:sz w:val="21"/>
      <w:szCs w:val="24"/>
      <w:lang w:val="en-US" w:eastAsia="zh-CN" w:bidi="ar-SA"/>
    </w:rPr>
  </w:style>
  <w:style w:type="paragraph" w:customStyle="1" w:styleId="12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20291</Words>
  <Characters>22115</Characters>
  <Lines>857</Lines>
  <Paragraphs>241</Paragraphs>
  <TotalTime>1</TotalTime>
  <ScaleCrop>false</ScaleCrop>
  <LinksUpToDate>false</LinksUpToDate>
  <CharactersWithSpaces>22509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2024-12-04T08:06:00Z</dcterms:created>
  <dc:creator>WPS_1542621076</dc:creator>
  <cp:lastModifiedBy>回回去去789@</cp:lastModifiedBy>
  <cp:lastPrinted>2022-12-30T03:56:00Z</cp:lastPrinted>
  <dcterms:modified xsi:type="dcterms:W3CDTF">2026-05-06T10:53:55Z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0263E202EDCF42D7B36A168AC3F49183_13</vt:lpwstr>
  </property>
  <property fmtid="{D5CDD505-2E9C-101B-9397-08002B2CF9AE}" pid="4" name="KSOTemplateDocerSaveRecord">
    <vt:lpwstr>eyJoZGlkIjoiNWY2YjhjMTk0YTZiMmU0MzZhNTI0YWM0ODJhMGFiNjUiLCJ1c2VySWQiOiI0MzYyOTQ4NjEifQ==</vt:lpwstr>
  </property>
</Properties>
</file>