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32B2E">
      <w:pPr>
        <w:jc w:val="center"/>
        <w:rPr>
          <w:rFonts w:hint="eastAsia" w:ascii="宋体" w:hAnsi="宋体" w:cs="宋体"/>
          <w:b/>
          <w:bCs/>
          <w:color w:val="auto"/>
          <w:kern w:val="0"/>
          <w:sz w:val="44"/>
          <w:szCs w:val="44"/>
          <w:highlight w:val="none"/>
          <w:lang w:val="en-US" w:eastAsia="zh-CN"/>
        </w:rPr>
      </w:pPr>
      <w:r>
        <w:rPr>
          <w:rFonts w:hint="eastAsia" w:ascii="宋体" w:hAnsi="宋体" w:cs="宋体"/>
          <w:b/>
          <w:bCs/>
          <w:color w:val="auto"/>
          <w:kern w:val="0"/>
          <w:sz w:val="44"/>
          <w:szCs w:val="44"/>
          <w:highlight w:val="none"/>
          <w:lang w:val="en-US" w:eastAsia="zh-CN"/>
        </w:rPr>
        <w:t>德钦县2026年高原特色优质绿色农产品</w:t>
      </w:r>
    </w:p>
    <w:p w14:paraId="4F1CD9D8">
      <w:pPr>
        <w:jc w:val="center"/>
        <w:rPr>
          <w:rFonts w:hint="eastAsia" w:ascii="宋体" w:hAnsi="宋体" w:eastAsia="宋体" w:cs="宋体"/>
          <w:b/>
          <w:bCs/>
          <w:color w:val="auto"/>
          <w:kern w:val="0"/>
          <w:sz w:val="44"/>
          <w:szCs w:val="44"/>
          <w:highlight w:val="none"/>
          <w:lang w:val="en-US" w:eastAsia="zh-CN"/>
        </w:rPr>
      </w:pPr>
      <w:r>
        <w:rPr>
          <w:rFonts w:hint="eastAsia" w:ascii="宋体" w:hAnsi="宋体" w:cs="宋体"/>
          <w:b/>
          <w:bCs/>
          <w:color w:val="auto"/>
          <w:kern w:val="0"/>
          <w:sz w:val="44"/>
          <w:szCs w:val="44"/>
          <w:highlight w:val="none"/>
          <w:lang w:val="en-US" w:eastAsia="zh-CN"/>
        </w:rPr>
        <w:t>品牌建设项目</w:t>
      </w:r>
    </w:p>
    <w:p w14:paraId="2C73443A">
      <w:pPr>
        <w:jc w:val="center"/>
        <w:rPr>
          <w:rFonts w:hint="eastAsia" w:ascii="宋体" w:hAnsi="宋体" w:eastAsia="宋体" w:cs="宋体"/>
          <w:b/>
          <w:bCs/>
          <w:color w:val="auto"/>
          <w:kern w:val="0"/>
          <w:sz w:val="44"/>
          <w:szCs w:val="44"/>
          <w:highlight w:val="none"/>
          <w:lang w:val="en-US" w:eastAsia="zh-CN"/>
        </w:rPr>
      </w:pPr>
    </w:p>
    <w:p w14:paraId="609D1812">
      <w:pPr>
        <w:ind w:firstLine="2894" w:firstLineChars="500"/>
        <w:jc w:val="both"/>
        <w:rPr>
          <w:rFonts w:hint="eastAsia" w:ascii="宋体" w:hAnsi="宋体" w:eastAsia="宋体" w:cs="宋体"/>
          <w:b/>
          <w:w w:val="80"/>
          <w:kern w:val="28"/>
          <w:sz w:val="72"/>
          <w:szCs w:val="72"/>
          <w:highlight w:val="none"/>
        </w:rPr>
      </w:pPr>
      <w:r>
        <w:rPr>
          <w:rFonts w:hint="eastAsia" w:ascii="宋体" w:hAnsi="宋体" w:eastAsia="宋体" w:cs="宋体"/>
          <w:b/>
          <w:w w:val="80"/>
          <w:kern w:val="28"/>
          <w:sz w:val="72"/>
          <w:szCs w:val="72"/>
          <w:highlight w:val="none"/>
        </w:rPr>
        <w:t>竞争性磋商文件</w:t>
      </w:r>
    </w:p>
    <w:p w14:paraId="58714694">
      <w:pPr>
        <w:jc w:val="center"/>
        <w:rPr>
          <w:rFonts w:hint="eastAsia" w:ascii="宋体" w:hAnsi="宋体" w:eastAsia="宋体" w:cs="宋体"/>
          <w:b/>
          <w:w w:val="90"/>
          <w:kern w:val="2"/>
          <w:sz w:val="32"/>
          <w:szCs w:val="32"/>
          <w:highlight w:val="none"/>
        </w:rPr>
      </w:pPr>
    </w:p>
    <w:p w14:paraId="150F9558">
      <w:pPr>
        <w:jc w:val="center"/>
        <w:rPr>
          <w:rFonts w:hint="eastAsia" w:ascii="宋体" w:hAnsi="宋体" w:eastAsia="宋体" w:cs="宋体"/>
          <w:b/>
          <w:w w:val="90"/>
          <w:kern w:val="2"/>
          <w:sz w:val="32"/>
          <w:szCs w:val="32"/>
          <w:highlight w:val="none"/>
          <w:lang w:val="en-US" w:eastAsia="zh-CN"/>
        </w:rPr>
      </w:pPr>
      <w:r>
        <w:rPr>
          <w:rFonts w:hint="eastAsia" w:ascii="宋体" w:hAnsi="宋体" w:cs="宋体"/>
          <w:b/>
          <w:w w:val="90"/>
          <w:kern w:val="2"/>
          <w:sz w:val="32"/>
          <w:szCs w:val="32"/>
          <w:highlight w:val="none"/>
          <w:lang w:val="en-US" w:eastAsia="zh-CN"/>
        </w:rPr>
        <w:t>项目</w:t>
      </w:r>
      <w:r>
        <w:rPr>
          <w:rFonts w:hint="eastAsia" w:ascii="宋体" w:hAnsi="宋体" w:eastAsia="宋体" w:cs="宋体"/>
          <w:b/>
          <w:w w:val="90"/>
          <w:kern w:val="2"/>
          <w:sz w:val="32"/>
          <w:szCs w:val="32"/>
          <w:highlight w:val="none"/>
        </w:rPr>
        <w:t>编号：</w:t>
      </w:r>
      <w:bookmarkStart w:id="0" w:name="OLE_LINK11"/>
      <w:r>
        <w:rPr>
          <w:rFonts w:hint="eastAsia" w:ascii="宋体" w:hAnsi="宋体" w:eastAsia="宋体" w:cs="宋体"/>
          <w:b/>
          <w:w w:val="90"/>
          <w:kern w:val="2"/>
          <w:sz w:val="32"/>
          <w:szCs w:val="32"/>
          <w:highlight w:val="none"/>
        </w:rPr>
        <w:t>DQZC2026-C3-00111-YNYZ-0012</w:t>
      </w:r>
      <w:r>
        <w:rPr>
          <w:rFonts w:hint="eastAsia" w:ascii="宋体" w:hAnsi="宋体" w:cs="宋体"/>
          <w:b/>
          <w:w w:val="90"/>
          <w:kern w:val="2"/>
          <w:sz w:val="32"/>
          <w:szCs w:val="32"/>
          <w:highlight w:val="none"/>
          <w:lang w:val="en-US" w:eastAsia="zh-CN"/>
        </w:rPr>
        <w:t xml:space="preserve"> </w:t>
      </w:r>
    </w:p>
    <w:bookmarkEnd w:id="0"/>
    <w:p w14:paraId="64A3F648">
      <w:pPr>
        <w:rPr>
          <w:rFonts w:hint="eastAsia" w:ascii="宋体" w:hAnsi="宋体" w:eastAsia="宋体" w:cs="宋体"/>
          <w:highlight w:val="none"/>
        </w:rPr>
      </w:pPr>
    </w:p>
    <w:p w14:paraId="4467E59C">
      <w:pPr>
        <w:rPr>
          <w:rFonts w:hint="eastAsia" w:ascii="宋体" w:hAnsi="宋体" w:eastAsia="宋体" w:cs="宋体"/>
          <w:highlight w:val="none"/>
          <w:lang w:eastAsia="zh-CN"/>
        </w:rPr>
      </w:pPr>
      <w:r>
        <w:rPr>
          <w:rFonts w:hint="eastAsia" w:ascii="宋体" w:hAnsi="宋体" w:eastAsia="宋体" w:cs="宋体"/>
          <w:highlight w:val="none"/>
          <w:lang w:eastAsia="zh-CN"/>
        </w:rPr>
        <w:drawing>
          <wp:anchor distT="0" distB="0" distL="114300" distR="114300" simplePos="0" relativeHeight="251659264" behindDoc="0" locked="0" layoutInCell="1" allowOverlap="1">
            <wp:simplePos x="0" y="0"/>
            <wp:positionH relativeFrom="column">
              <wp:posOffset>649605</wp:posOffset>
            </wp:positionH>
            <wp:positionV relativeFrom="paragraph">
              <wp:posOffset>15240</wp:posOffset>
            </wp:positionV>
            <wp:extent cx="4743450" cy="3721100"/>
            <wp:effectExtent l="0" t="0" r="6350" b="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5"/>
                    <a:stretch>
                      <a:fillRect/>
                    </a:stretch>
                  </pic:blipFill>
                  <pic:spPr>
                    <a:xfrm>
                      <a:off x="0" y="0"/>
                      <a:ext cx="4743450" cy="3721100"/>
                    </a:xfrm>
                    <a:prstGeom prst="rect">
                      <a:avLst/>
                    </a:prstGeom>
                    <a:noFill/>
                    <a:ln>
                      <a:noFill/>
                    </a:ln>
                  </pic:spPr>
                </pic:pic>
              </a:graphicData>
            </a:graphic>
          </wp:anchor>
        </w:drawing>
      </w:r>
    </w:p>
    <w:p w14:paraId="1EA51AFD">
      <w:pPr>
        <w:rPr>
          <w:rFonts w:hint="eastAsia" w:ascii="宋体" w:hAnsi="宋体" w:eastAsia="宋体" w:cs="宋体"/>
          <w:highlight w:val="none"/>
        </w:rPr>
      </w:pPr>
    </w:p>
    <w:p w14:paraId="135D1481">
      <w:pPr>
        <w:pStyle w:val="11"/>
        <w:rPr>
          <w:rFonts w:hint="eastAsia" w:ascii="宋体" w:hAnsi="宋体" w:eastAsia="宋体" w:cs="宋体"/>
          <w:highlight w:val="none"/>
        </w:rPr>
      </w:pPr>
    </w:p>
    <w:p w14:paraId="4C38C57A">
      <w:pPr>
        <w:pStyle w:val="11"/>
        <w:spacing w:line="900" w:lineRule="exact"/>
        <w:jc w:val="center"/>
        <w:rPr>
          <w:rFonts w:hint="eastAsia" w:ascii="宋体" w:hAnsi="宋体" w:eastAsia="宋体" w:cs="宋体"/>
          <w:b/>
          <w:w w:val="90"/>
          <w:sz w:val="32"/>
          <w:szCs w:val="32"/>
          <w:highlight w:val="none"/>
        </w:rPr>
      </w:pPr>
      <w:r>
        <w:rPr>
          <w:rFonts w:hint="eastAsia" w:ascii="宋体" w:hAnsi="宋体" w:eastAsia="宋体" w:cs="宋体"/>
          <w:b/>
          <w:w w:val="90"/>
          <w:sz w:val="32"/>
          <w:szCs w:val="32"/>
          <w:highlight w:val="none"/>
        </w:rPr>
        <w:t xml:space="preserve">  </w:t>
      </w:r>
    </w:p>
    <w:p w14:paraId="4A395AEE">
      <w:pPr>
        <w:pStyle w:val="11"/>
        <w:spacing w:line="900" w:lineRule="exact"/>
        <w:jc w:val="center"/>
        <w:rPr>
          <w:rFonts w:hint="eastAsia" w:ascii="宋体" w:hAnsi="宋体" w:eastAsia="宋体" w:cs="宋体"/>
          <w:b/>
          <w:w w:val="90"/>
          <w:sz w:val="32"/>
          <w:szCs w:val="32"/>
          <w:highlight w:val="none"/>
        </w:rPr>
      </w:pPr>
    </w:p>
    <w:p w14:paraId="584EC482">
      <w:pPr>
        <w:pStyle w:val="11"/>
        <w:spacing w:line="900" w:lineRule="exact"/>
        <w:jc w:val="center"/>
        <w:rPr>
          <w:rFonts w:hint="eastAsia" w:ascii="宋体" w:hAnsi="宋体" w:eastAsia="宋体" w:cs="宋体"/>
          <w:b/>
          <w:w w:val="90"/>
          <w:sz w:val="32"/>
          <w:szCs w:val="32"/>
          <w:highlight w:val="none"/>
        </w:rPr>
      </w:pPr>
    </w:p>
    <w:p w14:paraId="5F2E9A86">
      <w:pPr>
        <w:pStyle w:val="11"/>
        <w:spacing w:line="900" w:lineRule="exact"/>
        <w:jc w:val="center"/>
        <w:rPr>
          <w:rFonts w:hint="eastAsia" w:ascii="宋体" w:hAnsi="宋体" w:eastAsia="宋体" w:cs="宋体"/>
          <w:b/>
          <w:w w:val="90"/>
          <w:sz w:val="32"/>
          <w:szCs w:val="32"/>
          <w:highlight w:val="none"/>
        </w:rPr>
      </w:pPr>
    </w:p>
    <w:p w14:paraId="7A9E16A8">
      <w:pPr>
        <w:pStyle w:val="11"/>
        <w:spacing w:line="900" w:lineRule="exact"/>
        <w:jc w:val="center"/>
        <w:rPr>
          <w:rFonts w:hint="eastAsia" w:ascii="宋体" w:hAnsi="宋体" w:eastAsia="宋体" w:cs="宋体"/>
          <w:b/>
          <w:w w:val="90"/>
          <w:sz w:val="32"/>
          <w:szCs w:val="32"/>
          <w:highlight w:val="none"/>
        </w:rPr>
      </w:pPr>
    </w:p>
    <w:p w14:paraId="3F1D63FB">
      <w:pPr>
        <w:pStyle w:val="11"/>
        <w:spacing w:line="900" w:lineRule="exact"/>
        <w:jc w:val="center"/>
        <w:rPr>
          <w:rFonts w:hint="eastAsia" w:ascii="宋体" w:hAnsi="宋体" w:eastAsia="宋体" w:cs="宋体"/>
          <w:b/>
          <w:w w:val="90"/>
          <w:sz w:val="32"/>
          <w:szCs w:val="32"/>
          <w:highlight w:val="none"/>
        </w:rPr>
      </w:pPr>
    </w:p>
    <w:p w14:paraId="3AE5559C">
      <w:pPr>
        <w:pStyle w:val="11"/>
        <w:spacing w:line="900" w:lineRule="exact"/>
        <w:ind w:firstLine="1736" w:firstLineChars="600"/>
        <w:jc w:val="both"/>
        <w:rPr>
          <w:rFonts w:hint="eastAsia" w:ascii="宋体" w:hAnsi="宋体" w:eastAsia="宋体" w:cs="宋体"/>
          <w:b/>
          <w:w w:val="90"/>
          <w:sz w:val="32"/>
          <w:szCs w:val="32"/>
          <w:highlight w:val="none"/>
          <w:lang w:val="en-US" w:eastAsia="zh-CN"/>
        </w:rPr>
      </w:pPr>
      <w:r>
        <w:rPr>
          <w:rFonts w:hint="eastAsia" w:ascii="宋体" w:hAnsi="宋体" w:eastAsia="宋体" w:cs="宋体"/>
          <w:b/>
          <w:w w:val="90"/>
          <w:sz w:val="32"/>
          <w:szCs w:val="32"/>
          <w:highlight w:val="none"/>
        </w:rPr>
        <w:t>采购人：</w:t>
      </w:r>
      <w:bookmarkStart w:id="1" w:name="OLE_LINK12"/>
      <w:r>
        <w:rPr>
          <w:rFonts w:hint="eastAsia" w:ascii="宋体" w:hAnsi="宋体" w:eastAsia="宋体" w:cs="宋体"/>
          <w:b/>
          <w:w w:val="90"/>
          <w:sz w:val="32"/>
          <w:szCs w:val="32"/>
          <w:highlight w:val="none"/>
          <w:lang w:eastAsia="zh-CN"/>
        </w:rPr>
        <w:t>德钦县农业农村局</w:t>
      </w:r>
    </w:p>
    <w:bookmarkEnd w:id="1"/>
    <w:p w14:paraId="3DAFE4D1">
      <w:pPr>
        <w:pStyle w:val="11"/>
        <w:spacing w:line="900" w:lineRule="exact"/>
        <w:jc w:val="center"/>
        <w:rPr>
          <w:rFonts w:hint="eastAsia" w:ascii="宋体" w:hAnsi="宋体" w:eastAsia="宋体" w:cs="宋体"/>
          <w:b/>
          <w:w w:val="90"/>
          <w:sz w:val="32"/>
          <w:szCs w:val="32"/>
          <w:highlight w:val="none"/>
          <w:lang w:eastAsia="zh-CN"/>
        </w:rPr>
      </w:pPr>
      <w:r>
        <w:rPr>
          <w:rFonts w:hint="eastAsia" w:ascii="宋体" w:hAnsi="宋体" w:eastAsia="宋体" w:cs="宋体"/>
          <w:b/>
          <w:w w:val="90"/>
          <w:sz w:val="32"/>
          <w:szCs w:val="32"/>
          <w:highlight w:val="none"/>
        </w:rPr>
        <w:t>采购代理机构：</w:t>
      </w:r>
      <w:r>
        <w:rPr>
          <w:rFonts w:hint="eastAsia" w:ascii="宋体" w:hAnsi="宋体" w:eastAsia="宋体" w:cs="宋体"/>
          <w:b/>
          <w:w w:val="90"/>
          <w:sz w:val="32"/>
          <w:szCs w:val="32"/>
          <w:highlight w:val="none"/>
          <w:lang w:eastAsia="zh-CN"/>
        </w:rPr>
        <w:t>云南玉昭工程咨询有限公司</w:t>
      </w:r>
    </w:p>
    <w:p w14:paraId="4F889E23">
      <w:pPr>
        <w:pStyle w:val="18"/>
        <w:ind w:firstLine="4050" w:firstLineChars="1400"/>
        <w:rPr>
          <w:rFonts w:hint="eastAsia" w:ascii="宋体" w:hAnsi="宋体" w:eastAsia="宋体" w:cs="宋体"/>
          <w:b/>
          <w:bCs/>
          <w:color w:val="auto"/>
          <w:kern w:val="0"/>
          <w:sz w:val="32"/>
          <w:szCs w:val="32"/>
          <w:highlight w:val="none"/>
          <w:lang w:val="zh-CN"/>
        </w:rPr>
      </w:pPr>
      <w:r>
        <w:rPr>
          <w:rFonts w:hint="eastAsia" w:ascii="宋体" w:hAnsi="宋体" w:eastAsia="宋体" w:cs="宋体"/>
          <w:b/>
          <w:w w:val="90"/>
          <w:sz w:val="32"/>
          <w:szCs w:val="32"/>
          <w:highlight w:val="none"/>
        </w:rPr>
        <w:t>202</w:t>
      </w:r>
      <w:r>
        <w:rPr>
          <w:rFonts w:hint="eastAsia" w:hAnsi="宋体" w:cs="宋体"/>
          <w:b/>
          <w:w w:val="90"/>
          <w:sz w:val="32"/>
          <w:szCs w:val="32"/>
          <w:highlight w:val="none"/>
          <w:lang w:val="en-US" w:eastAsia="zh-CN"/>
        </w:rPr>
        <w:t>6</w:t>
      </w:r>
      <w:r>
        <w:rPr>
          <w:rFonts w:hint="eastAsia" w:ascii="宋体" w:hAnsi="宋体" w:eastAsia="宋体" w:cs="宋体"/>
          <w:b/>
          <w:w w:val="90"/>
          <w:sz w:val="32"/>
          <w:szCs w:val="32"/>
          <w:highlight w:val="none"/>
        </w:rPr>
        <w:t>年</w:t>
      </w:r>
      <w:r>
        <w:rPr>
          <w:rFonts w:hint="eastAsia" w:hAnsi="宋体" w:cs="宋体"/>
          <w:b/>
          <w:w w:val="90"/>
          <w:sz w:val="32"/>
          <w:szCs w:val="32"/>
          <w:highlight w:val="none"/>
          <w:lang w:val="en-US" w:eastAsia="zh-CN"/>
        </w:rPr>
        <w:t>5</w:t>
      </w:r>
      <w:r>
        <w:rPr>
          <w:rFonts w:hint="eastAsia" w:ascii="宋体" w:hAnsi="宋体" w:eastAsia="宋体" w:cs="宋体"/>
          <w:b/>
          <w:w w:val="90"/>
          <w:sz w:val="32"/>
          <w:szCs w:val="32"/>
          <w:highlight w:val="none"/>
        </w:rPr>
        <w:t>月</w:t>
      </w:r>
    </w:p>
    <w:p w14:paraId="77CDCBCC">
      <w:pPr>
        <w:pStyle w:val="18"/>
        <w:rPr>
          <w:rFonts w:hint="eastAsia" w:ascii="宋体" w:hAnsi="宋体" w:eastAsia="宋体" w:cs="宋体"/>
          <w:b/>
          <w:color w:val="auto"/>
          <w:sz w:val="24"/>
          <w:highlight w:val="none"/>
        </w:rPr>
        <w:sectPr>
          <w:footerReference r:id="rId5" w:type="first"/>
          <w:headerReference r:id="rId3" w:type="default"/>
          <w:footerReference r:id="rId4" w:type="even"/>
          <w:pgSz w:w="11906" w:h="16838"/>
          <w:pgMar w:top="1417" w:right="1417" w:bottom="1417" w:left="1417" w:header="720" w:footer="720" w:gutter="0"/>
          <w:pgBorders>
            <w:top w:val="none" w:sz="0" w:space="0"/>
            <w:left w:val="none" w:sz="0" w:space="0"/>
            <w:bottom w:val="none" w:sz="0" w:space="0"/>
            <w:right w:val="none" w:sz="0" w:space="0"/>
          </w:pgBorders>
          <w:pgNumType w:start="0"/>
          <w:cols w:space="720" w:num="1"/>
          <w:titlePg/>
          <w:docGrid w:type="lines" w:linePitch="331" w:charSpace="0"/>
        </w:sectPr>
      </w:pPr>
    </w:p>
    <w:p w14:paraId="55E2E1D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kern w:val="0"/>
          <w:sz w:val="24"/>
          <w:szCs w:val="24"/>
          <w:highlight w:val="none"/>
          <w:lang w:val="en-US" w:eastAsia="zh-CN" w:bidi="ar"/>
        </w:rPr>
        <w:t xml:space="preserve">附件： </w:t>
      </w:r>
    </w:p>
    <w:p w14:paraId="64BFE323">
      <w:pPr>
        <w:numPr>
          <w:ilvl w:val="0"/>
          <w:numId w:val="0"/>
        </w:numPr>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shd w:val="clear" w:color="auto" w:fill="FFFFFF"/>
          <w:lang w:val="en-US" w:eastAsia="zh-CN" w:bidi="ar-SA"/>
        </w:rPr>
        <w:t>政府采购项目电子化交易操作须知</w:t>
      </w:r>
    </w:p>
    <w:p w14:paraId="57B63723">
      <w:pPr>
        <w:numPr>
          <w:ilvl w:val="0"/>
          <w:numId w:val="0"/>
        </w:numPr>
        <w:spacing w:line="360" w:lineRule="auto"/>
        <w:ind w:firstLine="480" w:firstLineChars="200"/>
        <w:jc w:val="left"/>
        <w:outlineLvl w:val="9"/>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rPr>
        <w:t>为规范</w:t>
      </w:r>
      <w:r>
        <w:rPr>
          <w:rFonts w:hint="eastAsia" w:ascii="宋体" w:hAnsi="宋体" w:eastAsia="宋体" w:cs="宋体"/>
          <w:color w:val="auto"/>
          <w:kern w:val="0"/>
          <w:sz w:val="24"/>
          <w:szCs w:val="24"/>
          <w:highlight w:val="none"/>
          <w:lang w:val="en-US" w:eastAsia="zh-CN"/>
        </w:rPr>
        <w:t>政府采购电子交易平台操作和使用</w:t>
      </w:r>
      <w:r>
        <w:rPr>
          <w:rFonts w:hint="eastAsia" w:ascii="宋体" w:hAnsi="宋体" w:eastAsia="宋体" w:cs="宋体"/>
          <w:color w:val="auto"/>
          <w:kern w:val="0"/>
          <w:sz w:val="24"/>
          <w:szCs w:val="24"/>
          <w:highlight w:val="none"/>
        </w:rPr>
        <w:t>，整理</w:t>
      </w:r>
      <w:r>
        <w:rPr>
          <w:rFonts w:hint="eastAsia" w:ascii="宋体" w:hAnsi="宋体" w:eastAsia="宋体" w:cs="宋体"/>
          <w:color w:val="auto"/>
          <w:kern w:val="0"/>
          <w:sz w:val="24"/>
          <w:szCs w:val="24"/>
          <w:highlight w:val="none"/>
          <w:lang w:val="en-US" w:eastAsia="zh-CN"/>
        </w:rPr>
        <w:t>交易操作流程等内容</w:t>
      </w:r>
      <w:r>
        <w:rPr>
          <w:rFonts w:hint="eastAsia" w:ascii="宋体" w:hAnsi="宋体" w:eastAsia="宋体" w:cs="宋体"/>
          <w:color w:val="auto"/>
          <w:kern w:val="0"/>
          <w:sz w:val="24"/>
          <w:szCs w:val="24"/>
          <w:highlight w:val="none"/>
        </w:rPr>
        <w:t>供</w:t>
      </w:r>
      <w:r>
        <w:rPr>
          <w:rFonts w:hint="eastAsia" w:ascii="宋体" w:hAnsi="宋体" w:eastAsia="宋体" w:cs="宋体"/>
          <w:color w:val="auto"/>
          <w:kern w:val="0"/>
          <w:sz w:val="24"/>
          <w:szCs w:val="24"/>
          <w:highlight w:val="none"/>
          <w:lang w:val="en-US" w:eastAsia="zh-CN"/>
        </w:rPr>
        <w:t>各位潜在投标人学习，请认真阅读以免影响投标</w:t>
      </w:r>
      <w:r>
        <w:rPr>
          <w:rFonts w:hint="eastAsia" w:ascii="宋体" w:hAnsi="宋体" w:eastAsia="宋体" w:cs="宋体"/>
          <w:color w:val="auto"/>
          <w:kern w:val="0"/>
          <w:sz w:val="24"/>
          <w:szCs w:val="24"/>
          <w:highlight w:val="none"/>
          <w:lang w:eastAsia="zh-CN"/>
        </w:rPr>
        <w:t>。</w:t>
      </w:r>
    </w:p>
    <w:p w14:paraId="34AF61FA">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1.凡有意参加投标者，须提前在政采云平台注册账号并办理数字证书（CA）。</w:t>
      </w:r>
    </w:p>
    <w:p w14:paraId="7C4BAF7B">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b w:val="0"/>
          <w:bCs w:val="0"/>
          <w:color w:val="auto"/>
          <w:kern w:val="0"/>
          <w:sz w:val="24"/>
          <w:szCs w:val="24"/>
          <w:highlight w:val="none"/>
          <w:shd w:val="clear" w:color="auto" w:fill="FFFFFF"/>
          <w:lang w:val="en-US" w:eastAsia="zh-CN" w:bidi="ar-SA"/>
        </w:rPr>
      </w:pPr>
      <w:r>
        <w:rPr>
          <w:rFonts w:hint="eastAsia" w:ascii="宋体" w:hAnsi="宋体" w:eastAsia="宋体" w:cs="宋体"/>
          <w:b w:val="0"/>
          <w:bCs w:val="0"/>
          <w:color w:val="auto"/>
          <w:kern w:val="0"/>
          <w:sz w:val="24"/>
          <w:szCs w:val="24"/>
          <w:highlight w:val="none"/>
          <w:shd w:val="clear" w:color="auto" w:fill="FFFFFF"/>
          <w:lang w:val="en-US" w:eastAsia="zh-CN" w:bidi="ar-SA"/>
        </w:rPr>
        <w:t>涉及电子交易平台使用问题的，请致电“政采云”平台：95763</w:t>
      </w:r>
      <w:r>
        <w:rPr>
          <w:rFonts w:hint="eastAsia" w:ascii="宋体" w:hAnsi="宋体" w:eastAsia="宋体" w:cs="宋体"/>
          <w:color w:val="auto"/>
          <w:sz w:val="24"/>
          <w:szCs w:val="24"/>
          <w:highlight w:val="none"/>
          <w:lang w:eastAsia="zh-CN"/>
        </w:rPr>
        <w:t>。</w:t>
      </w:r>
    </w:p>
    <w:p w14:paraId="394A45BC">
      <w:pPr>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val="0"/>
          <w:bCs w:val="0"/>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1.1政采云平台投标人账号注册：</w:t>
      </w:r>
      <w:r>
        <w:rPr>
          <w:rFonts w:hint="eastAsia" w:ascii="宋体" w:hAnsi="宋体" w:eastAsia="宋体" w:cs="宋体"/>
          <w:b w:val="0"/>
          <w:bCs w:val="0"/>
          <w:color w:val="auto"/>
          <w:kern w:val="0"/>
          <w:sz w:val="24"/>
          <w:szCs w:val="24"/>
          <w:highlight w:val="none"/>
          <w:shd w:val="clear" w:color="auto" w:fill="FFFFFF"/>
          <w:lang w:val="en-US" w:eastAsia="zh-CN" w:bidi="ar-SA"/>
        </w:rPr>
        <w:t>登录政府采购云平台（网址https://www.zcygov.cn/，下同）注册账号。</w:t>
      </w:r>
      <w:r>
        <w:rPr>
          <w:rFonts w:hint="eastAsia" w:ascii="宋体" w:hAnsi="宋体" w:eastAsia="宋体" w:cs="宋体"/>
          <w:color w:val="auto"/>
          <w:kern w:val="0"/>
          <w:sz w:val="24"/>
          <w:szCs w:val="24"/>
          <w:highlight w:val="none"/>
          <w:shd w:val="clear" w:color="auto" w:fill="FFFFFF"/>
          <w:lang w:val="en-US" w:eastAsia="zh-CN" w:bidi="ar-SA"/>
        </w:rPr>
        <w:t>操作路径：政府采购云平台首页—</w:t>
      </w:r>
      <w:r>
        <w:rPr>
          <w:rFonts w:hint="eastAsia" w:ascii="宋体" w:hAnsi="宋体" w:eastAsia="宋体" w:cs="宋体"/>
          <w:b w:val="0"/>
          <w:bCs w:val="0"/>
          <w:color w:val="auto"/>
          <w:kern w:val="0"/>
          <w:sz w:val="24"/>
          <w:szCs w:val="24"/>
          <w:highlight w:val="none"/>
          <w:shd w:val="clear" w:color="auto" w:fill="FFFFFF"/>
          <w:lang w:val="en-US" w:eastAsia="zh-CN" w:bidi="ar-SA"/>
        </w:rPr>
        <w:t>商家入驻—云南省（找到云南省立即前往）—云南省政府采购投标人入驻登记（立即登记），投标人根据平台系统提示逐步进行操作即可。</w:t>
      </w:r>
    </w:p>
    <w:p w14:paraId="69C8D475">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1.2须办理数字证书（CA）</w:t>
      </w:r>
      <w:r>
        <w:rPr>
          <w:rFonts w:hint="eastAsia" w:ascii="宋体" w:hAnsi="宋体" w:eastAsia="宋体" w:cs="宋体"/>
          <w:color w:val="auto"/>
          <w:kern w:val="0"/>
          <w:sz w:val="24"/>
          <w:szCs w:val="24"/>
          <w:highlight w:val="none"/>
          <w:shd w:val="clear" w:color="auto" w:fill="FFFFFF"/>
          <w:lang w:val="en-US" w:eastAsia="zh-CN" w:bidi="ar-SA"/>
        </w:rPr>
        <w:t>，并在政采云绑定数字证书（CA）后线上获取招标文件及其它采购资料。CA申领链接：http://yzt.ynsmartcert.cn/cms/yztlccb.html云南壹证通CA可支持线上、线下办理方式，并提供7*24小时全天候客户服务支持，客服热线400-004-0628（紧急CA办理电话：19988166369）政府采购云平台支持多家CA服务商，投标人可自行选择。CA申领后需登陆政采云平台完成数字证书（CA）绑定才可以使用，数字证书（CA）详见其办理流程。</w:t>
      </w:r>
    </w:p>
    <w:p w14:paraId="3D26A775">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shd w:val="clear" w:color="auto" w:fill="FFFFFF"/>
          <w:lang w:val="en-US" w:eastAsia="zh-CN" w:bidi="ar-SA"/>
        </w:rPr>
        <w:t>投标人在政采云平台注册账号后，登录政府采购云平台（网址：</w:t>
      </w:r>
      <w:r>
        <w:rPr>
          <w:rFonts w:hint="eastAsia" w:ascii="宋体" w:hAnsi="宋体" w:eastAsia="宋体" w:cs="宋体"/>
          <w:color w:val="auto"/>
          <w:kern w:val="0"/>
          <w:sz w:val="24"/>
          <w:szCs w:val="24"/>
          <w:highlight w:val="none"/>
          <w:shd w:val="clear" w:color="auto" w:fill="FFFFFF"/>
          <w:lang w:val="en-US" w:eastAsia="zh-CN" w:bidi="ar-SA"/>
        </w:rPr>
        <w:fldChar w:fldCharType="begin"/>
      </w:r>
      <w:r>
        <w:rPr>
          <w:rFonts w:hint="eastAsia" w:ascii="宋体" w:hAnsi="宋体" w:eastAsia="宋体" w:cs="宋体"/>
          <w:color w:val="auto"/>
          <w:kern w:val="0"/>
          <w:sz w:val="24"/>
          <w:szCs w:val="24"/>
          <w:highlight w:val="none"/>
          <w:shd w:val="clear" w:color="auto" w:fill="FFFFFF"/>
          <w:lang w:val="en-US" w:eastAsia="zh-CN" w:bidi="ar-SA"/>
        </w:rPr>
        <w:instrText xml:space="preserve"> HYPERLINK "http://www.zcygov.cn），凭借数字证书（CA）在线上" </w:instrText>
      </w:r>
      <w:r>
        <w:rPr>
          <w:rFonts w:hint="eastAsia" w:ascii="宋体" w:hAnsi="宋体" w:eastAsia="宋体" w:cs="宋体"/>
          <w:color w:val="auto"/>
          <w:kern w:val="0"/>
          <w:sz w:val="24"/>
          <w:szCs w:val="24"/>
          <w:highlight w:val="none"/>
          <w:shd w:val="clear" w:color="auto" w:fill="FFFFFF"/>
          <w:lang w:val="en-US" w:eastAsia="zh-CN" w:bidi="ar-SA"/>
        </w:rPr>
        <w:fldChar w:fldCharType="separate"/>
      </w:r>
      <w:r>
        <w:rPr>
          <w:rFonts w:hint="eastAsia" w:ascii="宋体" w:hAnsi="宋体" w:eastAsia="宋体" w:cs="宋体"/>
          <w:color w:val="auto"/>
          <w:kern w:val="0"/>
          <w:sz w:val="24"/>
          <w:szCs w:val="24"/>
          <w:highlight w:val="none"/>
          <w:shd w:val="clear" w:color="auto" w:fill="FFFFFF"/>
          <w:lang w:val="en-US" w:eastAsia="zh-CN" w:bidi="ar-SA"/>
        </w:rPr>
        <w:t>www.zcygov.cn），绑定数字证书（CA）后，在线</w:t>
      </w:r>
      <w:r>
        <w:rPr>
          <w:rFonts w:hint="eastAsia" w:ascii="宋体" w:hAnsi="宋体" w:eastAsia="宋体" w:cs="宋体"/>
          <w:color w:val="auto"/>
          <w:kern w:val="0"/>
          <w:sz w:val="24"/>
          <w:szCs w:val="24"/>
          <w:highlight w:val="none"/>
          <w:shd w:val="clear" w:color="auto" w:fill="FFFFFF"/>
          <w:lang w:val="en-US" w:eastAsia="zh-CN" w:bidi="ar-SA"/>
        </w:rPr>
        <w:fldChar w:fldCharType="end"/>
      </w:r>
      <w:r>
        <w:rPr>
          <w:rFonts w:hint="eastAsia" w:ascii="宋体" w:hAnsi="宋体" w:eastAsia="宋体" w:cs="宋体"/>
          <w:color w:val="auto"/>
          <w:kern w:val="0"/>
          <w:sz w:val="24"/>
          <w:szCs w:val="24"/>
          <w:highlight w:val="none"/>
          <w:shd w:val="clear" w:color="auto" w:fill="FFFFFF"/>
          <w:lang w:val="en-US" w:eastAsia="zh-CN" w:bidi="ar-SA"/>
        </w:rPr>
        <w:t>申请获取电子招标（或采购）文件及其他相关资料（如有）；未办理数字证书（CA）的潜在投标人，请登录CA数字证书申请系统（详见1.3）注册并在网上申请办理证书；</w:t>
      </w:r>
      <w:r>
        <w:rPr>
          <w:rFonts w:hint="eastAsia" w:ascii="宋体" w:hAnsi="宋体" w:eastAsia="宋体" w:cs="宋体"/>
          <w:b w:val="0"/>
          <w:bCs w:val="0"/>
          <w:color w:val="auto"/>
          <w:kern w:val="0"/>
          <w:sz w:val="24"/>
          <w:szCs w:val="24"/>
          <w:highlight w:val="none"/>
          <w:shd w:val="clear" w:color="auto" w:fill="FFFFFF"/>
          <w:lang w:val="en-US" w:eastAsia="zh-CN" w:bidi="ar-SA"/>
        </w:rPr>
        <w:t>此前已经在云南省公共资源交易电子化平台申请过云南CA数字证书的，不用重复申请数字证书，可以互通共用。</w:t>
      </w:r>
    </w:p>
    <w:p w14:paraId="56E996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2.政府采购项目电子化操作流程</w:t>
      </w:r>
    </w:p>
    <w:p w14:paraId="71FBEAE9">
      <w:pPr>
        <w:pStyle w:val="33"/>
        <w:keepNext w:val="0"/>
        <w:keepLines w:val="0"/>
        <w:pageBreakBefore w:val="0"/>
        <w:widowControl w:val="0"/>
        <w:numPr>
          <w:ilvl w:val="0"/>
          <w:numId w:val="0"/>
        </w:numPr>
        <w:tabs>
          <w:tab w:val="center" w:pos="2185"/>
        </w:tabs>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shd w:val="clear" w:color="auto" w:fill="FFFFFF"/>
          <w:lang w:val="en-US" w:eastAsia="zh-CN" w:bidi="ar-SA"/>
        </w:rPr>
        <w:t xml:space="preserve">    2.1</w:t>
      </w:r>
      <w:r>
        <w:rPr>
          <w:rFonts w:hint="eastAsia" w:ascii="宋体" w:hAnsi="宋体" w:eastAsia="宋体" w:cs="宋体"/>
          <w:b/>
          <w:bCs/>
          <w:color w:val="auto"/>
          <w:kern w:val="0"/>
          <w:sz w:val="24"/>
          <w:szCs w:val="24"/>
          <w:highlight w:val="none"/>
          <w:shd w:val="clear" w:color="auto" w:fill="FFFFFF"/>
          <w:lang w:val="en-US" w:eastAsia="zh-CN" w:bidi="ar-SA"/>
        </w:rPr>
        <w:t>政府采购项目电子化操作学习</w:t>
      </w:r>
      <w:r>
        <w:rPr>
          <w:rFonts w:hint="eastAsia" w:ascii="宋体" w:hAnsi="宋体" w:eastAsia="宋体" w:cs="宋体"/>
          <w:color w:val="auto"/>
          <w:kern w:val="0"/>
          <w:sz w:val="24"/>
          <w:szCs w:val="24"/>
          <w:highlight w:val="none"/>
          <w:shd w:val="clear" w:color="auto" w:fill="FFFFFF"/>
          <w:lang w:val="en-US" w:eastAsia="zh-CN" w:bidi="ar-SA"/>
        </w:rPr>
        <w:t>：请各位潜在投标人自行登录“政府采购云平台”进行学习。（操作路径：登录首页—操作指南—登录投标人账号—查看投标人操作手册进行学习）。</w:t>
      </w:r>
    </w:p>
    <w:p w14:paraId="132F79F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2.2招标（或采购）文件获取</w:t>
      </w:r>
      <w:r>
        <w:rPr>
          <w:rFonts w:hint="eastAsia" w:ascii="宋体" w:hAnsi="宋体" w:eastAsia="宋体" w:cs="宋体"/>
          <w:color w:val="auto"/>
          <w:kern w:val="0"/>
          <w:sz w:val="24"/>
          <w:szCs w:val="24"/>
          <w:highlight w:val="none"/>
          <w:shd w:val="clear" w:color="auto" w:fill="FFFFFF"/>
          <w:lang w:val="en-US" w:eastAsia="zh-CN" w:bidi="ar-SA"/>
        </w:rPr>
        <w:t>：投标人可自行在“政府采购云平台”下载招标文件（操作路径：登录“政府采购云平台”—项目采购—获取招标文件—找到本项目—点击“申请获取招标文件”）</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eastAsia="宋体" w:cs="宋体"/>
          <w:b w:val="0"/>
          <w:bCs/>
          <w:color w:val="auto"/>
          <w:sz w:val="24"/>
          <w:szCs w:val="24"/>
          <w:highlight w:val="none"/>
          <w:lang w:val="en-US" w:eastAsia="zh-CN"/>
        </w:rPr>
        <w:t>获取时间截止到截标前，请各位投标人合理安排好时间，妥善处理好文件下载与制作响应文件时间关系。</w:t>
      </w:r>
    </w:p>
    <w:p w14:paraId="42849667">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2.3投标（或响应）文件编制与导入</w:t>
      </w:r>
    </w:p>
    <w:p w14:paraId="21967DF1">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sectPr>
          <w:footerReference r:id="rId6" w:type="default"/>
          <w:pgSz w:w="11906" w:h="16838"/>
          <w:pgMar w:top="1440" w:right="1066" w:bottom="1440" w:left="118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1386EDE">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2.3.1投标（或响应）文件编制：（操作路径：政采云投标客户端—投标响应文件编制），电子投标（响应）文件应使用政采云平台（http：//www.zcygov.cn）中下载的政采云电子投标客户端制作，并进行电子签章及加密后上传至政采云平台。</w:t>
      </w:r>
    </w:p>
    <w:p w14:paraId="2031CED0">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2.3.2如投标人提交的电子标书不符合（1）要求或开标时无法读取导入或解密，其投标（响应）文件将不予受理。</w:t>
      </w:r>
    </w:p>
    <w:p w14:paraId="5E76E646">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2.3.3投标（或响应）文件导入：单个资料上传不能大于100MB或300MB（具体以政采云平台系统要求为准）。</w:t>
      </w:r>
    </w:p>
    <w:p w14:paraId="16AF3C7A">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u w:val="singl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2.3.4</w:t>
      </w:r>
      <w:r>
        <w:rPr>
          <w:rFonts w:hint="eastAsia" w:ascii="宋体" w:hAnsi="宋体" w:eastAsia="宋体" w:cs="宋体"/>
          <w:b/>
          <w:bCs/>
          <w:color w:val="auto"/>
          <w:kern w:val="0"/>
          <w:sz w:val="24"/>
          <w:szCs w:val="24"/>
          <w:highlight w:val="none"/>
          <w:u w:val="single"/>
          <w:shd w:val="clear" w:color="auto" w:fill="FFFFFF"/>
          <w:lang w:val="en-US" w:eastAsia="zh-CN" w:bidi="ar-SA"/>
        </w:rPr>
        <w:t>投标文件格式：投标人应当在政采云电子投标客户端上编制响应文件，并生成电子加密标书（后缀名：.jmbs），响应文件制作完成并生成加密标书后，投标人需在开标前将加密的响应文件上传至政采云平台。具体操作请下载附件（投标人政府采购电子交易平台操作指南）</w:t>
      </w:r>
    </w:p>
    <w:p w14:paraId="0AAAA25E">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b/>
          <w:bCs/>
          <w:color w:val="auto"/>
          <w:kern w:val="0"/>
          <w:sz w:val="24"/>
          <w:szCs w:val="24"/>
          <w:highlight w:val="none"/>
          <w:shd w:val="clear" w:color="auto" w:fill="FFFFFF"/>
          <w:lang w:val="en-US" w:eastAsia="zh-CN" w:bidi="ar-SA"/>
        </w:rPr>
      </w:pPr>
      <w:r>
        <w:rPr>
          <w:rFonts w:hint="eastAsia" w:ascii="宋体" w:hAnsi="宋体" w:eastAsia="宋体" w:cs="宋体"/>
          <w:b/>
          <w:bCs/>
          <w:color w:val="auto"/>
          <w:kern w:val="0"/>
          <w:sz w:val="24"/>
          <w:szCs w:val="24"/>
          <w:highlight w:val="none"/>
          <w:shd w:val="clear" w:color="auto" w:fill="FFFFFF"/>
          <w:lang w:val="en-US" w:eastAsia="zh-CN" w:bidi="ar-SA"/>
        </w:rPr>
        <w:t>2.4投标（或响应）文件递交</w:t>
      </w:r>
      <w:r>
        <w:rPr>
          <w:rFonts w:hint="eastAsia" w:ascii="宋体" w:hAnsi="宋体" w:eastAsia="宋体" w:cs="宋体"/>
          <w:color w:val="auto"/>
          <w:kern w:val="0"/>
          <w:sz w:val="24"/>
          <w:szCs w:val="24"/>
          <w:highlight w:val="none"/>
          <w:shd w:val="clear" w:color="auto" w:fill="FFFFFF"/>
          <w:lang w:val="en-US" w:eastAsia="zh-CN" w:bidi="ar-SA"/>
        </w:rPr>
        <w:t>：投标人必须通过“政府采购云平台”递交电子投标响应文件。投标人须在投标截止时间前递交投标文件，完成所有电子投标文件的上传。投标人在投标文件提交截止时间前可以补充、修改或者撤回投标文件。补充或者修改投标文件的，应当先行撤回原文件，补充、修改后重新上传、递交。投标截止时间前未完成投标文件传输的，视为未上传或撤回投标文件。</w:t>
      </w:r>
      <w:r>
        <w:rPr>
          <w:rFonts w:hint="eastAsia" w:ascii="宋体" w:hAnsi="宋体" w:eastAsia="宋体" w:cs="宋体"/>
          <w:b/>
          <w:bCs/>
          <w:color w:val="auto"/>
          <w:kern w:val="0"/>
          <w:sz w:val="24"/>
          <w:szCs w:val="24"/>
          <w:highlight w:val="none"/>
          <w:shd w:val="clear" w:color="auto" w:fill="FFFFFF"/>
          <w:lang w:val="en-US" w:eastAsia="zh-CN" w:bidi="ar-SA"/>
        </w:rPr>
        <w:t>不通过“政府采购云平台”递交投标文件的，均为无效投标人。</w:t>
      </w:r>
    </w:p>
    <w:p w14:paraId="6A72FE89">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shd w:val="clear" w:color="auto" w:fill="FFFFFF"/>
          <w:lang w:val="en-US" w:eastAsia="zh-CN" w:bidi="ar-SA"/>
        </w:rPr>
        <w:t>2.5采用网上开标，远程解密投标响应文件，投标人无须参加开标活动。</w:t>
      </w:r>
    </w:p>
    <w:p w14:paraId="097A1BDB">
      <w:pPr>
        <w:pStyle w:val="30"/>
        <w:pageBreakBefore w:val="0"/>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shd w:val="clear" w:color="auto" w:fill="FFFFFF"/>
          <w:lang w:val="en-US" w:eastAsia="zh-CN" w:bidi="ar-SA"/>
        </w:rPr>
        <w:t>远程解密、签字确认时间：</w:t>
      </w:r>
      <w:r>
        <w:rPr>
          <w:rFonts w:hint="eastAsia" w:ascii="宋体" w:hAnsi="宋体" w:eastAsia="宋体" w:cs="宋体"/>
          <w:b/>
          <w:bCs/>
          <w:color w:val="auto"/>
          <w:kern w:val="0"/>
          <w:sz w:val="24"/>
          <w:szCs w:val="24"/>
          <w:highlight w:val="none"/>
          <w:shd w:val="clear" w:color="auto" w:fill="FFFFFF"/>
          <w:lang w:val="en-US" w:eastAsia="zh-CN" w:bidi="ar-SA"/>
        </w:rPr>
        <w:t>本项目远程解密时间为30分钟，签名确认时间为5分钟</w:t>
      </w:r>
      <w:r>
        <w:rPr>
          <w:rFonts w:hint="eastAsia" w:ascii="宋体" w:hAnsi="宋体" w:eastAsia="宋体" w:cs="宋体"/>
          <w:color w:val="auto"/>
          <w:kern w:val="0"/>
          <w:sz w:val="24"/>
          <w:szCs w:val="24"/>
          <w:highlight w:val="none"/>
          <w:shd w:val="clear" w:color="auto" w:fill="FFFFFF"/>
          <w:lang w:val="en-US" w:eastAsia="zh-CN" w:bidi="ar-SA"/>
        </w:rPr>
        <w:t>，请投标人务必携带加密数字证书在规定的时间内完成投标响应文件解密和签名确认工作。若在规定的时间内不能成功完成网上远程解密的，则视为投标人放弃此次投标；若未在签名确认时间内完成签名确认，则视为对本次开标无异议。</w:t>
      </w:r>
    </w:p>
    <w:p w14:paraId="22980736">
      <w:pPr>
        <w:jc w:val="center"/>
        <w:rPr>
          <w:rFonts w:hint="eastAsia" w:ascii="宋体" w:hAnsi="宋体" w:eastAsia="宋体" w:cs="宋体"/>
          <w:b/>
          <w:bCs/>
          <w:color w:val="auto"/>
          <w:sz w:val="30"/>
          <w:szCs w:val="30"/>
          <w:highlight w:val="none"/>
        </w:rPr>
        <w:sectPr>
          <w:footerReference r:id="rId7" w:type="default"/>
          <w:pgSz w:w="11906" w:h="16838"/>
          <w:pgMar w:top="1440" w:right="1066" w:bottom="1440" w:left="118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623536A">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  录</w:t>
      </w:r>
    </w:p>
    <w:p w14:paraId="01396D19">
      <w:pPr>
        <w:jc w:val="center"/>
        <w:rPr>
          <w:rFonts w:hint="eastAsia" w:ascii="宋体" w:hAnsi="宋体" w:eastAsia="宋体" w:cs="宋体"/>
          <w:b/>
          <w:bCs/>
          <w:color w:val="auto"/>
          <w:sz w:val="30"/>
          <w:szCs w:val="30"/>
          <w:highlight w:val="none"/>
        </w:rPr>
      </w:pPr>
    </w:p>
    <w:p w14:paraId="1E9A182F">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_Toc27956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2"/>
          <w:szCs w:val="28"/>
          <w:highlight w:val="none"/>
        </w:rPr>
        <w:t>第一章  竞争性磋商公告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8AB8161">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_Toc28836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2"/>
          <w:szCs w:val="28"/>
          <w:highlight w:val="none"/>
        </w:rPr>
        <w:t>第二章  磋商须知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_Toc28836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A91CDE1">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_Toc19451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2"/>
          <w:szCs w:val="32"/>
          <w:highlight w:val="none"/>
        </w:rPr>
        <w:t>第三章  合同样式及主要条款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C62FEEF">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_Toc30993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kern w:val="2"/>
          <w:szCs w:val="32"/>
          <w:highlight w:val="none"/>
        </w:rPr>
        <w:t>第四章  响应文件格式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_Toc30993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061B56">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_Toc32748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32"/>
          <w:highlight w:val="none"/>
          <w:lang w:val="zh-CN"/>
        </w:rPr>
        <w:t>第</w:t>
      </w:r>
      <w:r>
        <w:rPr>
          <w:rFonts w:hint="eastAsia" w:ascii="宋体" w:hAnsi="宋体" w:eastAsia="宋体" w:cs="宋体"/>
          <w:color w:val="auto"/>
          <w:szCs w:val="32"/>
          <w:highlight w:val="none"/>
          <w:lang w:val="en-US" w:eastAsia="zh-CN"/>
        </w:rPr>
        <w:t>五</w:t>
      </w:r>
      <w:r>
        <w:rPr>
          <w:rFonts w:hint="eastAsia" w:ascii="宋体" w:hAnsi="宋体" w:eastAsia="宋体" w:cs="宋体"/>
          <w:color w:val="auto"/>
          <w:szCs w:val="32"/>
          <w:highlight w:val="none"/>
        </w:rPr>
        <w:t>章</w:t>
      </w:r>
      <w:r>
        <w:rPr>
          <w:rFonts w:hint="eastAsia" w:ascii="宋体" w:hAnsi="宋体" w:eastAsia="宋体" w:cs="宋体"/>
          <w:color w:val="auto"/>
          <w:szCs w:val="32"/>
          <w:highlight w:val="none"/>
          <w:lang w:val="zh-CN"/>
        </w:rPr>
        <w:t xml:space="preserve"> </w:t>
      </w:r>
      <w:r>
        <w:rPr>
          <w:rFonts w:hint="eastAsia" w:ascii="宋体" w:hAnsi="宋体" w:eastAsia="宋体" w:cs="宋体"/>
          <w:color w:val="auto"/>
          <w:szCs w:val="32"/>
          <w:highlight w:val="none"/>
        </w:rPr>
        <w:t xml:space="preserve"> </w:t>
      </w:r>
      <w:r>
        <w:rPr>
          <w:rFonts w:hint="eastAsia" w:ascii="宋体" w:hAnsi="宋体" w:eastAsia="宋体" w:cs="宋体"/>
          <w:color w:val="auto"/>
          <w:szCs w:val="32"/>
          <w:highlight w:val="none"/>
          <w:lang w:val="en-US" w:eastAsia="zh-CN"/>
        </w:rPr>
        <w:t>采购需求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_Toc32748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B9E77B4">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_Toc7864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六</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竞争性</w:t>
      </w:r>
      <w:r>
        <w:rPr>
          <w:rFonts w:hint="eastAsia" w:ascii="宋体" w:hAnsi="宋体" w:eastAsia="宋体" w:cs="宋体"/>
          <w:color w:val="auto"/>
          <w:highlight w:val="none"/>
        </w:rPr>
        <w:t>磋商</w:t>
      </w:r>
      <w:r>
        <w:rPr>
          <w:rFonts w:hint="eastAsia" w:ascii="宋体" w:hAnsi="宋体" w:eastAsia="宋体" w:cs="宋体"/>
          <w:color w:val="auto"/>
          <w:highlight w:val="none"/>
          <w:lang w:val="en-US" w:eastAsia="zh-CN"/>
        </w:rPr>
        <w:t>评审</w:t>
      </w:r>
      <w:r>
        <w:rPr>
          <w:rFonts w:hint="eastAsia" w:ascii="宋体" w:hAnsi="宋体" w:eastAsia="宋体" w:cs="宋体"/>
          <w:color w:val="auto"/>
          <w:highlight w:val="none"/>
        </w:rPr>
        <w:t>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_Toc7864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2433EA">
      <w:pPr>
        <w:pStyle w:val="24"/>
        <w:tabs>
          <w:tab w:val="right" w:leader="dot" w:pos="9660"/>
          <w:tab w:val="clear" w:pos="9628"/>
        </w:tabs>
        <w:spacing w:line="480" w:lineRule="auto"/>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_Toc20268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32"/>
          <w:highlight w:val="none"/>
          <w:lang w:val="en-US" w:eastAsia="zh-CN"/>
        </w:rPr>
        <w:t>第七</w:t>
      </w:r>
      <w:r>
        <w:rPr>
          <w:rFonts w:hint="eastAsia" w:ascii="宋体" w:hAnsi="宋体" w:eastAsia="宋体" w:cs="宋体"/>
          <w:color w:val="auto"/>
          <w:szCs w:val="32"/>
          <w:highlight w:val="none"/>
        </w:rPr>
        <w:t>章</w:t>
      </w:r>
      <w:r>
        <w:rPr>
          <w:rFonts w:hint="eastAsia" w:ascii="宋体" w:hAnsi="宋体" w:eastAsia="宋体" w:cs="宋体"/>
          <w:color w:val="auto"/>
          <w:szCs w:val="32"/>
          <w:highlight w:val="none"/>
          <w:lang w:val="zh-CN"/>
        </w:rPr>
        <w:t xml:space="preserve"> </w:t>
      </w:r>
      <w:r>
        <w:rPr>
          <w:rFonts w:hint="eastAsia" w:ascii="宋体" w:hAnsi="宋体" w:eastAsia="宋体" w:cs="宋体"/>
          <w:color w:val="auto"/>
          <w:szCs w:val="32"/>
          <w:highlight w:val="none"/>
        </w:rPr>
        <w:t xml:space="preserve"> </w:t>
      </w:r>
      <w:r>
        <w:rPr>
          <w:rFonts w:hint="eastAsia" w:ascii="宋体" w:hAnsi="宋体" w:eastAsia="宋体" w:cs="宋体"/>
          <w:color w:val="auto"/>
          <w:szCs w:val="32"/>
          <w:highlight w:val="none"/>
          <w:lang w:val="zh-CN"/>
        </w:rPr>
        <w:t>磋商过程中可能实质性变动的内容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_Toc20268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AEF3140">
      <w:pPr>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14:paraId="1AB25A02">
      <w:pPr>
        <w:widowControl/>
        <w:jc w:val="left"/>
        <w:rPr>
          <w:rFonts w:hint="eastAsia" w:ascii="宋体" w:hAnsi="宋体" w:eastAsia="宋体" w:cs="宋体"/>
          <w:color w:val="auto"/>
          <w:highlight w:val="none"/>
        </w:rPr>
      </w:pPr>
    </w:p>
    <w:p w14:paraId="621DAD5F">
      <w:pPr>
        <w:pStyle w:val="2"/>
        <w:numPr>
          <w:ilvl w:val="0"/>
          <w:numId w:val="0"/>
        </w:numPr>
        <w:spacing w:line="540" w:lineRule="exact"/>
        <w:jc w:val="left"/>
        <w:rPr>
          <w:rFonts w:hint="eastAsia" w:ascii="宋体" w:hAnsi="宋体" w:eastAsia="宋体" w:cs="宋体"/>
          <w:color w:val="auto"/>
          <w:kern w:val="2"/>
          <w:szCs w:val="28"/>
          <w:highlight w:val="none"/>
        </w:rPr>
        <w:sectPr>
          <w:footerReference r:id="rId8" w:type="default"/>
          <w:pgSz w:w="11906" w:h="16838"/>
          <w:pgMar w:top="1440" w:right="1066" w:bottom="1440" w:left="118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2" w:name="_Toc25754"/>
      <w:bookmarkStart w:id="3" w:name="_Toc30129"/>
      <w:bookmarkStart w:id="4" w:name="_Toc12730"/>
      <w:bookmarkStart w:id="5" w:name="_Toc20046"/>
      <w:bookmarkStart w:id="6" w:name="_Toc21724"/>
      <w:bookmarkStart w:id="7" w:name="_Toc11970"/>
      <w:bookmarkStart w:id="8" w:name="_Toc436942607"/>
      <w:bookmarkStart w:id="9" w:name="_Toc20992"/>
      <w:bookmarkStart w:id="10" w:name="_Toc7568"/>
    </w:p>
    <w:p w14:paraId="5849646E">
      <w:pPr>
        <w:pStyle w:val="2"/>
        <w:numPr>
          <w:ilvl w:val="0"/>
          <w:numId w:val="0"/>
        </w:numPr>
        <w:spacing w:line="540" w:lineRule="exact"/>
        <w:jc w:val="center"/>
        <w:rPr>
          <w:rFonts w:hint="eastAsia" w:ascii="宋体" w:hAnsi="宋体" w:eastAsia="宋体" w:cs="宋体"/>
          <w:color w:val="auto"/>
          <w:kern w:val="2"/>
          <w:szCs w:val="28"/>
          <w:highlight w:val="none"/>
        </w:rPr>
      </w:pPr>
      <w:bookmarkStart w:id="11" w:name="_Toc27956"/>
      <w:r>
        <w:rPr>
          <w:rFonts w:hint="eastAsia" w:ascii="宋体" w:hAnsi="宋体" w:eastAsia="宋体" w:cs="宋体"/>
          <w:color w:val="auto"/>
          <w:kern w:val="2"/>
          <w:szCs w:val="28"/>
          <w:highlight w:val="none"/>
        </w:rPr>
        <w:t>第一章</w:t>
      </w:r>
      <w:bookmarkEnd w:id="2"/>
      <w:r>
        <w:rPr>
          <w:rFonts w:hint="eastAsia" w:ascii="宋体" w:hAnsi="宋体" w:eastAsia="宋体" w:cs="宋体"/>
          <w:color w:val="auto"/>
          <w:kern w:val="2"/>
          <w:szCs w:val="28"/>
          <w:highlight w:val="none"/>
        </w:rPr>
        <w:t xml:space="preserve">  竞争性磋商公告</w:t>
      </w:r>
      <w:bookmarkEnd w:id="11"/>
    </w:p>
    <w:p w14:paraId="455347D2">
      <w:pPr>
        <w:numPr>
          <w:ilvl w:val="0"/>
          <w:numId w:val="0"/>
        </w:numPr>
        <w:tabs>
          <w:tab w:val="left" w:pos="360"/>
        </w:tabs>
        <w:spacing w:line="540" w:lineRule="exact"/>
        <w:jc w:val="center"/>
        <w:outlineLvl w:val="9"/>
        <w:rPr>
          <w:rFonts w:hint="eastAsia" w:ascii="宋体" w:hAnsi="宋体" w:eastAsia="宋体" w:cs="宋体"/>
          <w:b/>
          <w:bCs/>
          <w:color w:val="auto"/>
          <w:kern w:val="2"/>
          <w:sz w:val="28"/>
          <w:szCs w:val="40"/>
          <w:highlight w:val="none"/>
        </w:rPr>
      </w:pPr>
      <w:bookmarkStart w:id="12" w:name="_Toc5511"/>
      <w:bookmarkStart w:id="13" w:name="_Toc16689"/>
      <w:r>
        <w:rPr>
          <w:rFonts w:hint="eastAsia" w:ascii="宋体" w:hAnsi="宋体" w:eastAsia="宋体" w:cs="宋体"/>
          <w:b/>
          <w:bCs/>
          <w:color w:val="auto"/>
          <w:kern w:val="2"/>
          <w:sz w:val="28"/>
          <w:szCs w:val="40"/>
          <w:highlight w:val="none"/>
          <w:lang w:eastAsia="zh-CN"/>
        </w:rPr>
        <w:t>德钦县2026年高原特色优质绿色农产品品牌建设项目</w:t>
      </w:r>
      <w:r>
        <w:rPr>
          <w:rFonts w:hint="eastAsia" w:ascii="宋体" w:hAnsi="宋体" w:eastAsia="宋体" w:cs="宋体"/>
          <w:b/>
          <w:bCs/>
          <w:color w:val="auto"/>
          <w:kern w:val="2"/>
          <w:sz w:val="28"/>
          <w:szCs w:val="40"/>
          <w:highlight w:val="none"/>
        </w:rPr>
        <w:t>竞争性磋商公告</w:t>
      </w:r>
      <w:bookmarkEnd w:id="12"/>
      <w:bookmarkEnd w:id="13"/>
    </w:p>
    <w:p w14:paraId="0780FC45">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bookmarkStart w:id="14" w:name="_Toc6699"/>
      <w:bookmarkStart w:id="15" w:name="_Toc6901"/>
      <w:bookmarkStart w:id="16" w:name="_Toc15812"/>
      <w:bookmarkStart w:id="17" w:name="_Toc30859"/>
      <w:bookmarkStart w:id="18" w:name="_Toc25908"/>
      <w:bookmarkStart w:id="19" w:name="_Toc3912"/>
      <w:bookmarkStart w:id="20" w:name="_Toc436942604"/>
      <w:bookmarkStart w:id="21" w:name="_Toc630"/>
      <w:r>
        <w:rPr>
          <w:rFonts w:hint="eastAsia" w:ascii="宋体" w:hAnsi="宋体" w:eastAsia="宋体" w:cs="宋体"/>
          <w:b/>
          <w:bCs/>
          <w:color w:val="auto"/>
          <w:sz w:val="24"/>
          <w:szCs w:val="24"/>
          <w:highlight w:val="none"/>
        </w:rPr>
        <w:t>项目概况</w:t>
      </w:r>
    </w:p>
    <w:p w14:paraId="0249F57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u w:val="single"/>
          <w:lang w:eastAsia="zh-CN"/>
        </w:rPr>
        <w:t>德钦县2026年高原特色优质绿色农产品品牌建设项目</w:t>
      </w:r>
      <w:r>
        <w:rPr>
          <w:rFonts w:hint="eastAsia" w:ascii="宋体" w:hAnsi="宋体" w:eastAsia="宋体" w:cs="宋体"/>
          <w:color w:val="auto"/>
          <w:sz w:val="24"/>
          <w:szCs w:val="24"/>
          <w:highlight w:val="none"/>
        </w:rPr>
        <w:t>的潜在供应商应在</w:t>
      </w:r>
      <w:r>
        <w:rPr>
          <w:rFonts w:hint="eastAsia" w:ascii="宋体" w:hAnsi="宋体" w:eastAsia="宋体" w:cs="宋体"/>
          <w:color w:val="auto"/>
          <w:sz w:val="24"/>
          <w:szCs w:val="24"/>
          <w:highlight w:val="none"/>
          <w:u w:val="single"/>
          <w:lang w:val="en-US" w:eastAsia="zh-CN"/>
        </w:rPr>
        <w:t>政府采购云平台</w:t>
      </w:r>
      <w:r>
        <w:rPr>
          <w:rFonts w:hint="eastAsia" w:ascii="宋体" w:hAnsi="宋体" w:eastAsia="宋体" w:cs="宋体"/>
          <w:color w:val="auto"/>
          <w:sz w:val="24"/>
          <w:szCs w:val="24"/>
          <w:highlight w:val="none"/>
          <w:u w:val="single"/>
        </w:rPr>
        <w:t>（https://www.zcygov.cn/</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获取采购文件，并于</w:t>
      </w:r>
      <w:r>
        <w:rPr>
          <w:rFonts w:hint="eastAsia" w:ascii="宋体" w:hAnsi="宋体" w:eastAsia="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年</w:t>
      </w:r>
      <w:r>
        <w:rPr>
          <w:rFonts w:hint="eastAsia" w:ascii="宋体" w:hAnsi="宋体" w:cs="宋体"/>
          <w:bCs/>
          <w:color w:val="auto"/>
          <w:sz w:val="24"/>
          <w:szCs w:val="24"/>
          <w:highlight w:val="none"/>
          <w:u w:val="single"/>
          <w:lang w:val="en-US" w:eastAsia="zh-CN"/>
        </w:rPr>
        <w:t>05</w:t>
      </w:r>
      <w:r>
        <w:rPr>
          <w:rFonts w:hint="eastAsia" w:ascii="宋体" w:hAnsi="宋体" w:eastAsia="宋体" w:cs="宋体"/>
          <w:bCs/>
          <w:color w:val="auto"/>
          <w:sz w:val="24"/>
          <w:szCs w:val="24"/>
          <w:highlight w:val="none"/>
          <w:u w:val="single"/>
        </w:rPr>
        <w:t>月</w:t>
      </w:r>
      <w:r>
        <w:rPr>
          <w:rFonts w:hint="eastAsia" w:ascii="宋体" w:hAnsi="宋体" w:cs="宋体"/>
          <w:bCs/>
          <w:color w:val="auto"/>
          <w:sz w:val="24"/>
          <w:szCs w:val="24"/>
          <w:highlight w:val="none"/>
          <w:u w:val="single"/>
          <w:lang w:val="en-US" w:eastAsia="zh-CN"/>
        </w:rPr>
        <w:t>19</w:t>
      </w:r>
      <w:r>
        <w:rPr>
          <w:rFonts w:hint="eastAsia" w:ascii="宋体" w:hAnsi="宋体" w:eastAsia="宋体" w:cs="宋体"/>
          <w:bCs/>
          <w:color w:val="auto"/>
          <w:sz w:val="24"/>
          <w:szCs w:val="24"/>
          <w:highlight w:val="none"/>
          <w:u w:val="single"/>
        </w:rPr>
        <w:t>日</w:t>
      </w:r>
      <w:r>
        <w:rPr>
          <w:rFonts w:hint="eastAsia" w:ascii="宋体" w:hAnsi="宋体" w:eastAsia="宋体" w:cs="宋体"/>
          <w:bCs/>
          <w:color w:val="auto"/>
          <w:sz w:val="24"/>
          <w:szCs w:val="24"/>
          <w:highlight w:val="none"/>
          <w:u w:val="single"/>
          <w:lang w:val="en-US" w:eastAsia="zh-CN"/>
        </w:rPr>
        <w:t>09时00</w:t>
      </w:r>
      <w:r>
        <w:rPr>
          <w:rFonts w:hint="eastAsia" w:ascii="宋体" w:hAnsi="宋体" w:eastAsia="宋体" w:cs="宋体"/>
          <w:bCs/>
          <w:color w:val="auto"/>
          <w:sz w:val="24"/>
          <w:szCs w:val="24"/>
          <w:highlight w:val="none"/>
          <w:u w:val="single"/>
        </w:rPr>
        <w:t>分</w:t>
      </w:r>
      <w:r>
        <w:rPr>
          <w:rFonts w:hint="eastAsia" w:ascii="宋体" w:hAnsi="宋体" w:eastAsia="宋体" w:cs="宋体"/>
          <w:bCs/>
          <w:color w:val="auto"/>
          <w:sz w:val="24"/>
          <w:szCs w:val="24"/>
          <w:highlight w:val="none"/>
          <w:u w:val="none"/>
        </w:rPr>
        <w:t>（</w:t>
      </w:r>
      <w:r>
        <w:rPr>
          <w:rFonts w:hint="eastAsia" w:ascii="宋体" w:hAnsi="宋体" w:eastAsia="宋体" w:cs="宋体"/>
          <w:bCs/>
          <w:color w:val="auto"/>
          <w:sz w:val="24"/>
          <w:szCs w:val="24"/>
          <w:highlight w:val="none"/>
        </w:rPr>
        <w:t>北京时间）前提交响应文件</w:t>
      </w:r>
      <w:r>
        <w:rPr>
          <w:rFonts w:hint="eastAsia" w:ascii="宋体" w:hAnsi="宋体" w:eastAsia="宋体" w:cs="宋体"/>
          <w:color w:val="auto"/>
          <w:sz w:val="24"/>
          <w:szCs w:val="24"/>
          <w:highlight w:val="none"/>
        </w:rPr>
        <w:t>。</w:t>
      </w:r>
    </w:p>
    <w:bookmarkEnd w:id="14"/>
    <w:bookmarkEnd w:id="15"/>
    <w:bookmarkEnd w:id="16"/>
    <w:bookmarkEnd w:id="17"/>
    <w:bookmarkEnd w:id="18"/>
    <w:bookmarkEnd w:id="19"/>
    <w:bookmarkEnd w:id="20"/>
    <w:bookmarkEnd w:id="21"/>
    <w:p w14:paraId="0A12E926">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val="0"/>
          <w:color w:val="auto"/>
          <w:sz w:val="24"/>
          <w:szCs w:val="24"/>
          <w:highlight w:val="none"/>
        </w:rPr>
      </w:pPr>
      <w:bookmarkStart w:id="22" w:name="_Toc35393629"/>
      <w:bookmarkStart w:id="23" w:name="_Toc28359089"/>
      <w:bookmarkStart w:id="24" w:name="_Toc35393798"/>
      <w:bookmarkStart w:id="25" w:name="_Toc28359012"/>
      <w:r>
        <w:rPr>
          <w:rFonts w:hint="eastAsia" w:ascii="宋体" w:hAnsi="宋体" w:eastAsia="宋体" w:cs="宋体"/>
          <w:b/>
          <w:bCs w:val="0"/>
          <w:color w:val="auto"/>
          <w:sz w:val="24"/>
          <w:szCs w:val="24"/>
          <w:highlight w:val="none"/>
        </w:rPr>
        <w:t>一、项目基本情况</w:t>
      </w:r>
      <w:bookmarkEnd w:id="22"/>
      <w:bookmarkEnd w:id="23"/>
      <w:bookmarkEnd w:id="24"/>
      <w:bookmarkEnd w:id="25"/>
    </w:p>
    <w:p w14:paraId="6C82994B">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项目编号：DQZC2026-C3-00111-YNYZ-0012</w:t>
      </w:r>
    </w:p>
    <w:p w14:paraId="0C768054">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项目名称：</w:t>
      </w:r>
      <w:r>
        <w:rPr>
          <w:rFonts w:hint="eastAsia" w:ascii="宋体" w:hAnsi="宋体" w:cs="宋体"/>
          <w:color w:val="auto"/>
          <w:sz w:val="24"/>
          <w:szCs w:val="24"/>
          <w:highlight w:val="none"/>
          <w:lang w:eastAsia="zh-CN"/>
        </w:rPr>
        <w:t>德钦县2026年高原特色优质绿色农产品品牌建设项目</w:t>
      </w:r>
    </w:p>
    <w:p w14:paraId="5382D3FD">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采购方式：</w:t>
      </w:r>
      <w:r>
        <w:rPr>
          <w:rFonts w:hint="eastAsia" w:ascii="宋体" w:hAnsi="宋体" w:eastAsia="宋体" w:cs="宋体"/>
          <w:color w:val="auto"/>
          <w:sz w:val="24"/>
          <w:szCs w:val="24"/>
          <w:highlight w:val="none"/>
        </w:rPr>
        <w:t xml:space="preserve">竞争性磋商 </w:t>
      </w:r>
    </w:p>
    <w:p w14:paraId="04F3ED85">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val="0"/>
          <w:bCs w:val="0"/>
          <w:color w:val="auto"/>
          <w:sz w:val="24"/>
          <w:szCs w:val="24"/>
          <w:highlight w:val="none"/>
          <w:lang w:val="en-US" w:eastAsia="zh-CN"/>
        </w:rPr>
      </w:pPr>
      <w:bookmarkStart w:id="26" w:name="_Toc28359013"/>
      <w:bookmarkStart w:id="27" w:name="_Toc28359090"/>
      <w:bookmarkStart w:id="28" w:name="_Toc35393630"/>
      <w:bookmarkStart w:id="29" w:name="_Toc35393799"/>
      <w:r>
        <w:rPr>
          <w:rFonts w:hint="eastAsia" w:ascii="宋体" w:hAnsi="宋体" w:eastAsia="宋体" w:cs="宋体"/>
          <w:b/>
          <w:bCs/>
          <w:color w:val="auto"/>
          <w:sz w:val="24"/>
          <w:szCs w:val="24"/>
          <w:highlight w:val="none"/>
          <w:lang w:val="en-US" w:eastAsia="zh-CN"/>
        </w:rPr>
        <w:t>4.预算金额：</w:t>
      </w:r>
      <w:r>
        <w:rPr>
          <w:rFonts w:hint="eastAsia" w:ascii="宋体" w:hAnsi="宋体" w:cs="宋体"/>
          <w:b w:val="0"/>
          <w:bCs w:val="0"/>
          <w:color w:val="auto"/>
          <w:sz w:val="24"/>
          <w:szCs w:val="24"/>
          <w:highlight w:val="none"/>
          <w:lang w:val="en-US" w:eastAsia="zh-CN"/>
        </w:rPr>
        <w:t>63.00</w:t>
      </w:r>
      <w:r>
        <w:rPr>
          <w:rFonts w:hint="eastAsia" w:ascii="宋体" w:hAnsi="宋体" w:eastAsia="宋体" w:cs="宋体"/>
          <w:b w:val="0"/>
          <w:bCs w:val="0"/>
          <w:color w:val="auto"/>
          <w:sz w:val="24"/>
          <w:szCs w:val="24"/>
          <w:highlight w:val="none"/>
          <w:lang w:val="en-US" w:eastAsia="zh-CN"/>
        </w:rPr>
        <w:t>万元</w:t>
      </w:r>
    </w:p>
    <w:p w14:paraId="7313B751">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5.最高限价：</w:t>
      </w:r>
      <w:r>
        <w:rPr>
          <w:rFonts w:hint="eastAsia" w:ascii="宋体" w:hAnsi="宋体" w:cs="宋体"/>
          <w:b w:val="0"/>
          <w:bCs w:val="0"/>
          <w:color w:val="auto"/>
          <w:sz w:val="24"/>
          <w:szCs w:val="24"/>
          <w:highlight w:val="none"/>
          <w:lang w:val="en-US" w:eastAsia="zh-CN"/>
        </w:rPr>
        <w:t>63.00</w:t>
      </w:r>
      <w:r>
        <w:rPr>
          <w:rFonts w:hint="eastAsia" w:ascii="宋体" w:hAnsi="宋体" w:eastAsia="宋体" w:cs="宋体"/>
          <w:b w:val="0"/>
          <w:bCs w:val="0"/>
          <w:color w:val="auto"/>
          <w:sz w:val="24"/>
          <w:szCs w:val="24"/>
          <w:highlight w:val="none"/>
          <w:lang w:val="en-US" w:eastAsia="zh-CN"/>
        </w:rPr>
        <w:t>万元</w:t>
      </w:r>
    </w:p>
    <w:p w14:paraId="5832F3E6">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6.服务地点：</w:t>
      </w:r>
      <w:r>
        <w:rPr>
          <w:rFonts w:hint="eastAsia" w:ascii="宋体" w:hAnsi="宋体" w:eastAsia="宋体" w:cs="宋体"/>
          <w:b w:val="0"/>
          <w:bCs w:val="0"/>
          <w:color w:val="auto"/>
          <w:sz w:val="24"/>
          <w:szCs w:val="24"/>
          <w:highlight w:val="none"/>
          <w:lang w:val="en-US" w:eastAsia="zh-CN"/>
        </w:rPr>
        <w:t>德钦县农业农村局</w:t>
      </w:r>
    </w:p>
    <w:p w14:paraId="26DAC87A">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7.采购需求：</w:t>
      </w:r>
      <w:r>
        <w:rPr>
          <w:rFonts w:hint="eastAsia" w:ascii="宋体" w:hAnsi="宋体" w:cs="宋体"/>
          <w:color w:val="auto"/>
          <w:sz w:val="24"/>
          <w:szCs w:val="24"/>
          <w:highlight w:val="none"/>
          <w:lang w:eastAsia="zh-CN"/>
        </w:rPr>
        <w:t>德钦县2026年高原特色优质绿色农产品品牌建设项目，</w:t>
      </w:r>
      <w:r>
        <w:rPr>
          <w:rFonts w:hint="eastAsia" w:ascii="宋体" w:hAnsi="宋体" w:eastAsia="宋体" w:cs="宋体"/>
          <w:color w:val="auto"/>
          <w:sz w:val="24"/>
          <w:szCs w:val="24"/>
          <w:highlight w:val="none"/>
          <w:lang w:val="en-US" w:eastAsia="zh-CN"/>
        </w:rPr>
        <w:t>具体详见“第五章 采购需求”</w:t>
      </w:r>
      <w:r>
        <w:rPr>
          <w:rFonts w:hint="eastAsia" w:ascii="宋体" w:hAnsi="宋体" w:cs="宋体"/>
          <w:color w:val="auto"/>
          <w:sz w:val="24"/>
          <w:szCs w:val="24"/>
          <w:highlight w:val="none"/>
          <w:lang w:val="en-US" w:eastAsia="zh-CN"/>
        </w:rPr>
        <w:t>。</w:t>
      </w:r>
    </w:p>
    <w:p w14:paraId="527B6087">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.合同履行期限：2026年1</w:t>
      </w:r>
      <w:r>
        <w:rPr>
          <w:rFonts w:hint="eastAsia" w:ascii="宋体" w:hAnsi="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val="en-US" w:eastAsia="zh-CN"/>
        </w:rPr>
        <w:t>月31日前，完成6个有机产品认证，5个葡萄酒生态原产地产品保护认证和1个葡萄酒生态原产地产品保护区认证。</w:t>
      </w:r>
    </w:p>
    <w:p w14:paraId="28E34F4B">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.服务质量要求：符合国家及行业现行相关标准和规范，满足采购人要求。</w:t>
      </w:r>
    </w:p>
    <w:p w14:paraId="3B1EDF65">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lang w:val="en-US" w:eastAsia="zh-CN"/>
        </w:rPr>
        <w:t>.本项目不接受联合体磋商。</w:t>
      </w:r>
    </w:p>
    <w:p w14:paraId="3B95DCE3">
      <w:pPr>
        <w:keepNext w:val="0"/>
        <w:keepLines w:val="0"/>
        <w:pageBreakBefore w:val="0"/>
        <w:widowControl w:val="0"/>
        <w:numPr>
          <w:ilvl w:val="1"/>
          <w:numId w:val="0"/>
        </w:numPr>
        <w:tabs>
          <w:tab w:val="left" w:pos="360"/>
          <w:tab w:val="left" w:pos="1021"/>
        </w:tabs>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二、申请人的资格要求：</w:t>
      </w:r>
      <w:bookmarkEnd w:id="26"/>
      <w:bookmarkEnd w:id="27"/>
      <w:bookmarkEnd w:id="28"/>
      <w:bookmarkEnd w:id="29"/>
    </w:p>
    <w:p w14:paraId="603D027A">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2" w:firstLineChars="200"/>
        <w:jc w:val="left"/>
        <w:textAlignment w:val="auto"/>
        <w:outlineLvl w:val="9"/>
        <w:rPr>
          <w:rFonts w:hint="eastAsia" w:ascii="宋体" w:hAnsi="宋体" w:eastAsia="宋体" w:cs="宋体"/>
          <w:b/>
          <w:bCs/>
          <w:color w:val="auto"/>
          <w:spacing w:val="0"/>
          <w:w w:val="100"/>
          <w:kern w:val="0"/>
          <w:position w:val="0"/>
          <w:sz w:val="24"/>
          <w:szCs w:val="24"/>
          <w:highlight w:val="none"/>
          <w:lang w:val="en-US" w:eastAsia="zh-CN"/>
        </w:rPr>
      </w:pPr>
      <w:bookmarkStart w:id="30" w:name="_Toc28359091"/>
      <w:bookmarkStart w:id="31" w:name="_Toc28359014"/>
      <w:r>
        <w:rPr>
          <w:rFonts w:hint="eastAsia" w:ascii="宋体" w:hAnsi="宋体" w:eastAsia="宋体" w:cs="宋体"/>
          <w:b/>
          <w:bCs/>
          <w:color w:val="auto"/>
          <w:spacing w:val="0"/>
          <w:w w:val="100"/>
          <w:kern w:val="0"/>
          <w:position w:val="0"/>
          <w:sz w:val="24"/>
          <w:szCs w:val="24"/>
          <w:highlight w:val="none"/>
          <w:lang w:val="en-US" w:eastAsia="zh-CN"/>
        </w:rPr>
        <w:t>1.满足《中华人民共和国政府采购法》第二十二条规定：</w:t>
      </w:r>
    </w:p>
    <w:p w14:paraId="340F14AB">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1.1具有独立承担民事责任的能力，提供法人或其他组织或自然人的营业执照或其他证明材料（提供合法登记证明文件）。</w:t>
      </w:r>
    </w:p>
    <w:p w14:paraId="63C673EA">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1.2具有良好的商业信誉和健全的财务会计制度：</w:t>
      </w:r>
    </w:p>
    <w:p w14:paraId="53B96AE2">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1.2.1供应商未被列入“信用中国”网站（www.creditchina.gov.cn）公布的“失信被执行人”、“重大税收违法失信主体”、“政府采购严重违法失信行为记录名单”；未被列入“中国政府采购网”（www.ccgp.gov.cn）公布的“政府采购严重违法失信行为信息记录”名单（以采购代理机构于投标（响应）截止时间当天查询结果为准，如相关失信记录已失效，供应商需提供相关证明资料）；提供具有良好的商业信誉承诺书（格式自拟）；</w:t>
      </w:r>
    </w:p>
    <w:p w14:paraId="7815707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ascii="宋体" w:hAnsi="宋体" w:eastAsia="宋体" w:cs="宋体"/>
          <w:i w:val="0"/>
          <w:iCs w:val="0"/>
          <w:color w:val="auto"/>
          <w:kern w:val="2"/>
          <w:sz w:val="24"/>
          <w:szCs w:val="24"/>
          <w:highlight w:val="none"/>
          <w:lang w:val="en-US" w:eastAsia="zh-CN" w:bidi="ar"/>
        </w:rPr>
      </w:pPr>
      <w:r>
        <w:rPr>
          <w:rFonts w:hint="eastAsia" w:ascii="宋体" w:hAnsi="宋体" w:eastAsia="宋体" w:cs="宋体"/>
          <w:color w:val="auto"/>
          <w:spacing w:val="0"/>
          <w:w w:val="100"/>
          <w:kern w:val="0"/>
          <w:position w:val="0"/>
          <w:sz w:val="24"/>
          <w:szCs w:val="24"/>
          <w:highlight w:val="none"/>
          <w:lang w:val="en-US" w:eastAsia="zh-CN"/>
        </w:rPr>
        <w:t>1.2.2</w:t>
      </w:r>
      <w:r>
        <w:rPr>
          <w:rFonts w:hint="eastAsia" w:ascii="宋体" w:hAnsi="宋体" w:eastAsia="宋体" w:cs="宋体"/>
          <w:i w:val="0"/>
          <w:iCs w:val="0"/>
          <w:kern w:val="2"/>
          <w:sz w:val="24"/>
          <w:szCs w:val="24"/>
          <w:highlight w:val="none"/>
          <w:lang w:val="en-US" w:eastAsia="zh-CN" w:bidi="ar"/>
        </w:rPr>
        <w:t>具有良好的商业信誉和健全的财务会计制度。投标人须提供</w:t>
      </w:r>
      <w:r>
        <w:rPr>
          <w:rFonts w:hint="eastAsia" w:ascii="宋体" w:hAnsi="宋体" w:eastAsia="宋体" w:cs="宋体"/>
          <w:i w:val="0"/>
          <w:iCs w:val="0"/>
          <w:color w:val="auto"/>
          <w:kern w:val="2"/>
          <w:sz w:val="24"/>
          <w:szCs w:val="24"/>
          <w:highlight w:val="none"/>
          <w:u w:val="none"/>
          <w:lang w:val="en-US" w:eastAsia="zh-CN" w:bidi="ar"/>
        </w:rPr>
        <w:t>2023</w:t>
      </w:r>
      <w:r>
        <w:rPr>
          <w:rFonts w:hint="eastAsia" w:ascii="宋体" w:hAnsi="宋体" w:eastAsia="宋体" w:cs="宋体"/>
          <w:i w:val="0"/>
          <w:iCs w:val="0"/>
          <w:color w:val="auto"/>
          <w:kern w:val="2"/>
          <w:sz w:val="24"/>
          <w:szCs w:val="24"/>
          <w:highlight w:val="none"/>
          <w:lang w:val="en-US" w:eastAsia="zh-CN" w:bidi="ar"/>
        </w:rPr>
        <w:t>年或2024年经</w:t>
      </w:r>
      <w:r>
        <w:rPr>
          <w:rFonts w:hint="eastAsia" w:ascii="宋体" w:hAnsi="宋体" w:cs="宋体"/>
          <w:i w:val="0"/>
          <w:iCs w:val="0"/>
          <w:color w:val="auto"/>
          <w:kern w:val="2"/>
          <w:sz w:val="24"/>
          <w:szCs w:val="24"/>
          <w:highlight w:val="none"/>
          <w:lang w:val="en-US" w:eastAsia="zh-CN" w:bidi="ar"/>
        </w:rPr>
        <w:t>审计的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告</w:t>
      </w:r>
      <w:r>
        <w:rPr>
          <w:rFonts w:hint="eastAsia" w:ascii="宋体" w:hAnsi="宋体" w:eastAsia="宋体" w:cs="宋体"/>
          <w:i w:val="0"/>
          <w:iCs w:val="0"/>
          <w:color w:val="auto"/>
          <w:kern w:val="2"/>
          <w:sz w:val="24"/>
          <w:szCs w:val="24"/>
          <w:highlight w:val="none"/>
          <w:lang w:val="en-US" w:eastAsia="zh-CN" w:bidi="ar"/>
        </w:rPr>
        <w:t>(包括资产负债表、利润表、现金流量表)，新成立不满</w:t>
      </w:r>
      <w:r>
        <w:rPr>
          <w:rFonts w:hint="eastAsia" w:ascii="宋体" w:hAnsi="宋体" w:eastAsia="宋体" w:cs="宋体"/>
          <w:i w:val="0"/>
          <w:iCs w:val="0"/>
          <w:color w:val="auto"/>
          <w:kern w:val="2"/>
          <w:sz w:val="24"/>
          <w:szCs w:val="24"/>
          <w:highlight w:val="none"/>
          <w:u w:val="single"/>
          <w:lang w:val="en-US" w:eastAsia="zh-CN" w:bidi="ar"/>
        </w:rPr>
        <w:t>1</w:t>
      </w:r>
      <w:r>
        <w:rPr>
          <w:rFonts w:hint="eastAsia" w:ascii="宋体" w:hAnsi="宋体" w:eastAsia="宋体" w:cs="宋体"/>
          <w:i w:val="0"/>
          <w:iCs w:val="0"/>
          <w:color w:val="auto"/>
          <w:kern w:val="2"/>
          <w:sz w:val="24"/>
          <w:szCs w:val="24"/>
          <w:highlight w:val="none"/>
          <w:lang w:val="en-US" w:eastAsia="zh-CN" w:bidi="ar"/>
        </w:rPr>
        <w:t>年的投标人提供自成立至今</w:t>
      </w:r>
      <w:r>
        <w:rPr>
          <w:rFonts w:hint="eastAsia" w:ascii="宋体" w:hAnsi="宋体" w:cs="宋体"/>
          <w:i w:val="0"/>
          <w:iCs w:val="0"/>
          <w:color w:val="auto"/>
          <w:kern w:val="2"/>
          <w:sz w:val="24"/>
          <w:szCs w:val="24"/>
          <w:highlight w:val="none"/>
          <w:lang w:val="en-US" w:eastAsia="zh-CN" w:bidi="ar"/>
        </w:rPr>
        <w:t>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表，注：根据《关于加强审计报告查验工作的通知》（财会〔2023〕15 号）规定，在2022年10月以后出具的审计报告须在注册会计师行业统一监管平台（网址：</w:t>
      </w:r>
      <w:r>
        <w:rPr>
          <w:rFonts w:hint="eastAsia" w:ascii="宋体" w:hAnsi="宋体" w:cs="宋体"/>
          <w:i w:val="0"/>
          <w:iCs w:val="0"/>
          <w:color w:val="auto"/>
          <w:kern w:val="2"/>
          <w:sz w:val="24"/>
          <w:szCs w:val="24"/>
          <w:highlight w:val="none"/>
          <w:lang w:val="en-US" w:eastAsia="zh-CN" w:bidi="ar"/>
        </w:rPr>
        <w:fldChar w:fldCharType="begin"/>
      </w:r>
      <w:r>
        <w:rPr>
          <w:rFonts w:hint="eastAsia" w:ascii="宋体" w:hAnsi="宋体" w:cs="宋体"/>
          <w:i w:val="0"/>
          <w:iCs w:val="0"/>
          <w:color w:val="auto"/>
          <w:kern w:val="2"/>
          <w:sz w:val="24"/>
          <w:szCs w:val="24"/>
          <w:highlight w:val="none"/>
          <w:lang w:val="en-US" w:eastAsia="zh-CN" w:bidi="ar"/>
        </w:rPr>
        <w:instrText xml:space="preserve"> HYPERLINK "http://acc.mof.gov.cn" </w:instrText>
      </w:r>
      <w:r>
        <w:rPr>
          <w:rFonts w:hint="eastAsia" w:ascii="宋体" w:hAnsi="宋体" w:cs="宋体"/>
          <w:i w:val="0"/>
          <w:iCs w:val="0"/>
          <w:color w:val="auto"/>
          <w:kern w:val="2"/>
          <w:sz w:val="24"/>
          <w:szCs w:val="24"/>
          <w:highlight w:val="none"/>
          <w:lang w:val="en-US" w:eastAsia="zh-CN" w:bidi="ar"/>
        </w:rPr>
        <w:fldChar w:fldCharType="separate"/>
      </w:r>
      <w:r>
        <w:rPr>
          <w:rFonts w:hint="eastAsia" w:ascii="宋体" w:hAnsi="宋体" w:cs="宋体"/>
          <w:i w:val="0"/>
          <w:iCs w:val="0"/>
          <w:color w:val="auto"/>
          <w:kern w:val="2"/>
          <w:sz w:val="24"/>
          <w:szCs w:val="24"/>
          <w:highlight w:val="none"/>
          <w:lang w:val="en-US" w:eastAsia="zh-CN" w:bidi="ar"/>
        </w:rPr>
        <w:t>http://acc.mof.gov.cn</w:t>
      </w:r>
      <w:r>
        <w:rPr>
          <w:rFonts w:hint="eastAsia" w:ascii="宋体" w:hAnsi="宋体" w:cs="宋体"/>
          <w:i w:val="0"/>
          <w:iCs w:val="0"/>
          <w:color w:val="auto"/>
          <w:kern w:val="2"/>
          <w:sz w:val="24"/>
          <w:szCs w:val="24"/>
          <w:highlight w:val="none"/>
          <w:lang w:val="en-US" w:eastAsia="zh-CN" w:bidi="ar"/>
        </w:rPr>
        <w:fldChar w:fldCharType="end"/>
      </w:r>
      <w:r>
        <w:rPr>
          <w:rFonts w:hint="eastAsia" w:ascii="宋体" w:hAnsi="宋体" w:cs="宋体"/>
          <w:i w:val="0"/>
          <w:iCs w:val="0"/>
          <w:color w:val="auto"/>
          <w:kern w:val="2"/>
          <w:sz w:val="24"/>
          <w:szCs w:val="24"/>
          <w:highlight w:val="none"/>
          <w:lang w:val="en-US" w:eastAsia="zh-CN" w:bidi="ar"/>
        </w:rPr>
        <w:t>）取得赋码，未取得赋码的财务报告视为无效。成立不满1年的，提供成立至今经企业自身出具的合法有效的财务报表或银行资信证明即可，不对备案赋码作要求；</w:t>
      </w:r>
    </w:p>
    <w:p w14:paraId="2E646FC8">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1.3具有履行合同所必需的设备和专业技术能力：提供具有履行合同所必需的设备和专业技术能力相关证明材料（格式自拟）；</w:t>
      </w:r>
    </w:p>
    <w:p w14:paraId="60C606DB">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1.4有依法缴纳税收和社会保障资金的良好记录：提供202</w:t>
      </w:r>
      <w:r>
        <w:rPr>
          <w:rFonts w:hint="eastAsia" w:ascii="宋体" w:hAnsi="宋体" w:cs="宋体"/>
          <w:color w:val="auto"/>
          <w:spacing w:val="0"/>
          <w:w w:val="100"/>
          <w:kern w:val="0"/>
          <w:position w:val="0"/>
          <w:sz w:val="24"/>
          <w:szCs w:val="24"/>
          <w:highlight w:val="none"/>
          <w:lang w:val="en-US" w:eastAsia="zh-CN"/>
        </w:rPr>
        <w:t>5</w:t>
      </w:r>
      <w:r>
        <w:rPr>
          <w:rFonts w:hint="eastAsia" w:ascii="宋体" w:hAnsi="宋体" w:eastAsia="宋体" w:cs="宋体"/>
          <w:color w:val="auto"/>
          <w:spacing w:val="0"/>
          <w:w w:val="100"/>
          <w:kern w:val="0"/>
          <w:position w:val="0"/>
          <w:sz w:val="24"/>
          <w:szCs w:val="24"/>
          <w:highlight w:val="none"/>
          <w:lang w:val="en-US" w:eastAsia="zh-CN"/>
        </w:rPr>
        <w:t>年4月至响应文件递交截止时间前任意连续3个月依法缴纳税收和缴纳社会保障资金的证明；成立不足3个月的提供自成立以来依法缴纳税收和缴纳社会保障资金的证明；如依法免税或不需要缴纳社会保障资金的，提供相应文件证明；新成立的企业无需提供；</w:t>
      </w:r>
    </w:p>
    <w:p w14:paraId="2BB0C8C7">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1.5参加政府采购活动前三年内，在经营活动中没有违法记录：供应商须提供参加政府采购活动前3年内在经营活动中没有重大违法记录的书面声明（重大违法记录是指供应商因违法经营受到刑事处罚或者责令停产停业、吊销许可证或者执照、较大数额罚款等行政处罚）（格式自拟）；</w:t>
      </w:r>
    </w:p>
    <w:p w14:paraId="20041DD7">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1.6法律、行政法规规定的其他条件。</w:t>
      </w:r>
    </w:p>
    <w:p w14:paraId="530B63EA">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2"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2.落实政府采购政策需满足的资格要求：</w:t>
      </w:r>
      <w:r>
        <w:rPr>
          <w:rFonts w:hint="eastAsia" w:ascii="宋体" w:hAnsi="宋体" w:eastAsia="宋体" w:cs="宋体"/>
          <w:color w:val="auto"/>
          <w:spacing w:val="0"/>
          <w:w w:val="100"/>
          <w:kern w:val="0"/>
          <w:position w:val="0"/>
          <w:sz w:val="24"/>
          <w:szCs w:val="24"/>
          <w:highlight w:val="none"/>
          <w:lang w:val="en-US" w:eastAsia="zh-CN"/>
        </w:rPr>
        <w:t>本项目不属于专门面向中小企业采购的项目，中小企业划分标准属于行业为“其他未列明行业”；根据《政府采购促进中小企业发展管理办法》（财库〔2020〕46号）、《关于进一步加大政府采购支持中小企业力度》（财库〔2022〕19号）、《关于政府采购支持监狱企业发展有关问题的通知》(财库〔2014〕68号)、《财政部、民政部、中国残疾人联合会关于促进残疾人就业政府采购政策的通知》（财库〔2017〕141号）、《国务院关于印发扎实稳住经济一揽子政策措施的通知》（国发〔2022〕12号）等规定，对小型和微型企业的价格给予10%的扣除，用扣除后的价格参与评审；监狱企业、残疾人福利性单位视同小型、微型企业，其价格在评审时给予相同的价格扣除。</w:t>
      </w:r>
    </w:p>
    <w:p w14:paraId="289D8E72">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b/>
          <w:bCs/>
          <w:color w:val="auto"/>
          <w:sz w:val="24"/>
          <w:szCs w:val="24"/>
          <w:highlight w:val="none"/>
        </w:rPr>
        <w:t>3.本项目的特定资格要求：</w:t>
      </w:r>
      <w:bookmarkEnd w:id="30"/>
      <w:bookmarkEnd w:id="31"/>
      <w:r>
        <w:rPr>
          <w:rFonts w:hint="eastAsia" w:ascii="宋体" w:hAnsi="宋体" w:eastAsia="宋体" w:cs="宋体"/>
          <w:color w:val="auto"/>
          <w:spacing w:val="0"/>
          <w:w w:val="100"/>
          <w:kern w:val="0"/>
          <w:position w:val="0"/>
          <w:sz w:val="24"/>
          <w:szCs w:val="24"/>
          <w:highlight w:val="none"/>
          <w:lang w:val="en-US" w:eastAsia="zh-CN"/>
        </w:rPr>
        <w:t>无。</w:t>
      </w:r>
    </w:p>
    <w:p w14:paraId="320D7CFD">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根据《中华人民共和国政府采购法实施条例》第十八条规定，单位负责人为同一人或者存在直接控股、管理关系的不同供应商，不得参加同一合同项下的政府采购活动。</w:t>
      </w:r>
    </w:p>
    <w:p w14:paraId="4CE95201">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其他要求详见竞争性磋商文件。</w:t>
      </w:r>
    </w:p>
    <w:p w14:paraId="15959955">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三、获取采购文件</w:t>
      </w:r>
    </w:p>
    <w:p w14:paraId="43079D30">
      <w:pPr>
        <w:pageBreakBefore w:val="0"/>
        <w:widowControl w:val="0"/>
        <w:kinsoku/>
        <w:wordWrap/>
        <w:overflowPunct/>
        <w:topLinePunct w:val="0"/>
        <w:autoSpaceDE/>
        <w:autoSpaceDN/>
        <w:bidi w:val="0"/>
        <w:adjustRightInd/>
        <w:snapToGrid/>
        <w:spacing w:line="396" w:lineRule="auto"/>
        <w:ind w:firstLine="540"/>
        <w:textAlignment w:val="auto"/>
        <w:rPr>
          <w:rFonts w:hint="eastAsia" w:ascii="宋体" w:hAnsi="宋体" w:eastAsia="宋体" w:cs="宋体"/>
          <w:b w:val="0"/>
          <w:bCs w:val="0"/>
          <w:i w:val="0"/>
          <w:iCs w:val="0"/>
          <w:color w:val="auto"/>
          <w:sz w:val="24"/>
          <w:szCs w:val="24"/>
          <w:highlight w:val="none"/>
          <w:lang w:val="en-US" w:eastAsia="zh-CN"/>
        </w:rPr>
      </w:pPr>
      <w:bookmarkStart w:id="32" w:name="_Toc28359015"/>
      <w:bookmarkStart w:id="33" w:name="_Toc28359092"/>
      <w:bookmarkStart w:id="34" w:name="_Toc35393801"/>
      <w:bookmarkStart w:id="35" w:name="_Toc35393632"/>
      <w:r>
        <w:rPr>
          <w:rFonts w:hint="eastAsia" w:ascii="宋体" w:hAnsi="宋体" w:eastAsia="宋体" w:cs="宋体"/>
          <w:b w:val="0"/>
          <w:bCs w:val="0"/>
          <w:i w:val="0"/>
          <w:iCs w:val="0"/>
          <w:color w:val="auto"/>
          <w:sz w:val="24"/>
          <w:szCs w:val="24"/>
          <w:highlight w:val="none"/>
          <w:lang w:val="en-US" w:eastAsia="zh-CN"/>
        </w:rPr>
        <w:t>时间：</w:t>
      </w:r>
      <w:r>
        <w:rPr>
          <w:rFonts w:hint="eastAsia" w:ascii="宋体" w:hAnsi="宋体" w:eastAsia="宋体" w:cs="宋体"/>
          <w:b w:val="0"/>
          <w:bCs w:val="0"/>
          <w:i w:val="0"/>
          <w:iCs w:val="0"/>
          <w:color w:val="auto"/>
          <w:sz w:val="24"/>
          <w:szCs w:val="24"/>
          <w:highlight w:val="none"/>
          <w:u w:val="single"/>
          <w:lang w:val="en-US" w:eastAsia="zh-CN"/>
        </w:rPr>
        <w:t>202</w:t>
      </w:r>
      <w:r>
        <w:rPr>
          <w:rFonts w:hint="eastAsia" w:ascii="宋体" w:hAnsi="宋体" w:cs="宋体"/>
          <w:b w:val="0"/>
          <w:bCs w:val="0"/>
          <w:i w:val="0"/>
          <w:iCs w:val="0"/>
          <w:color w:val="auto"/>
          <w:sz w:val="24"/>
          <w:szCs w:val="24"/>
          <w:highlight w:val="none"/>
          <w:u w:val="single"/>
          <w:lang w:val="en-US" w:eastAsia="zh-CN"/>
        </w:rPr>
        <w:t>6</w:t>
      </w:r>
      <w:r>
        <w:rPr>
          <w:rFonts w:hint="eastAsia" w:ascii="宋体" w:hAnsi="宋体" w:eastAsia="宋体" w:cs="宋体"/>
          <w:b w:val="0"/>
          <w:bCs w:val="0"/>
          <w:i w:val="0"/>
          <w:iCs w:val="0"/>
          <w:color w:val="auto"/>
          <w:sz w:val="24"/>
          <w:szCs w:val="24"/>
          <w:highlight w:val="none"/>
          <w:u w:val="single"/>
          <w:lang w:val="en-US" w:eastAsia="zh-CN"/>
        </w:rPr>
        <w:t>年</w:t>
      </w:r>
      <w:r>
        <w:rPr>
          <w:rFonts w:hint="eastAsia" w:ascii="宋体" w:hAnsi="宋体" w:cs="宋体"/>
          <w:b w:val="0"/>
          <w:bCs w:val="0"/>
          <w:i w:val="0"/>
          <w:iCs w:val="0"/>
          <w:color w:val="auto"/>
          <w:sz w:val="24"/>
          <w:szCs w:val="24"/>
          <w:highlight w:val="none"/>
          <w:u w:val="single"/>
          <w:lang w:val="en-US" w:eastAsia="zh-CN"/>
        </w:rPr>
        <w:t>05</w:t>
      </w:r>
      <w:r>
        <w:rPr>
          <w:rFonts w:hint="eastAsia" w:ascii="宋体" w:hAnsi="宋体" w:eastAsia="宋体" w:cs="宋体"/>
          <w:b w:val="0"/>
          <w:bCs w:val="0"/>
          <w:i w:val="0"/>
          <w:iCs w:val="0"/>
          <w:color w:val="auto"/>
          <w:sz w:val="24"/>
          <w:szCs w:val="24"/>
          <w:highlight w:val="none"/>
          <w:u w:val="single"/>
          <w:lang w:val="en-US" w:eastAsia="zh-CN"/>
        </w:rPr>
        <w:t>月</w:t>
      </w:r>
      <w:r>
        <w:rPr>
          <w:rFonts w:hint="eastAsia" w:ascii="宋体" w:hAnsi="宋体" w:cs="宋体"/>
          <w:b w:val="0"/>
          <w:bCs w:val="0"/>
          <w:i w:val="0"/>
          <w:iCs w:val="0"/>
          <w:color w:val="auto"/>
          <w:sz w:val="24"/>
          <w:szCs w:val="24"/>
          <w:highlight w:val="none"/>
          <w:u w:val="single"/>
          <w:lang w:val="en-US" w:eastAsia="zh-CN"/>
        </w:rPr>
        <w:t>07</w:t>
      </w:r>
      <w:r>
        <w:rPr>
          <w:rFonts w:hint="eastAsia" w:ascii="宋体" w:hAnsi="宋体" w:eastAsia="宋体" w:cs="宋体"/>
          <w:b w:val="0"/>
          <w:bCs w:val="0"/>
          <w:i w:val="0"/>
          <w:iCs w:val="0"/>
          <w:color w:val="auto"/>
          <w:sz w:val="24"/>
          <w:szCs w:val="24"/>
          <w:highlight w:val="none"/>
          <w:u w:val="single"/>
          <w:lang w:val="en-US" w:eastAsia="zh-CN"/>
        </w:rPr>
        <w:t>日06时00分至202</w:t>
      </w:r>
      <w:r>
        <w:rPr>
          <w:rFonts w:hint="eastAsia" w:ascii="宋体" w:hAnsi="宋体" w:cs="宋体"/>
          <w:b w:val="0"/>
          <w:bCs w:val="0"/>
          <w:i w:val="0"/>
          <w:iCs w:val="0"/>
          <w:color w:val="auto"/>
          <w:sz w:val="24"/>
          <w:szCs w:val="24"/>
          <w:highlight w:val="none"/>
          <w:u w:val="single"/>
          <w:lang w:val="en-US" w:eastAsia="zh-CN"/>
        </w:rPr>
        <w:t>6</w:t>
      </w:r>
      <w:r>
        <w:rPr>
          <w:rFonts w:hint="eastAsia" w:ascii="宋体" w:hAnsi="宋体" w:eastAsia="宋体" w:cs="宋体"/>
          <w:b w:val="0"/>
          <w:bCs w:val="0"/>
          <w:i w:val="0"/>
          <w:iCs w:val="0"/>
          <w:color w:val="auto"/>
          <w:sz w:val="24"/>
          <w:szCs w:val="24"/>
          <w:highlight w:val="none"/>
          <w:u w:val="single"/>
          <w:lang w:val="en-US" w:eastAsia="zh-CN"/>
        </w:rPr>
        <w:t>年0</w:t>
      </w:r>
      <w:r>
        <w:rPr>
          <w:rFonts w:hint="eastAsia" w:ascii="宋体" w:hAnsi="宋体" w:cs="宋体"/>
          <w:b w:val="0"/>
          <w:bCs w:val="0"/>
          <w:i w:val="0"/>
          <w:iCs w:val="0"/>
          <w:color w:val="auto"/>
          <w:sz w:val="24"/>
          <w:szCs w:val="24"/>
          <w:highlight w:val="none"/>
          <w:u w:val="single"/>
          <w:lang w:val="en-US" w:eastAsia="zh-CN"/>
        </w:rPr>
        <w:t>5</w:t>
      </w:r>
      <w:r>
        <w:rPr>
          <w:rFonts w:hint="eastAsia" w:ascii="宋体" w:hAnsi="宋体" w:eastAsia="宋体" w:cs="宋体"/>
          <w:b w:val="0"/>
          <w:bCs w:val="0"/>
          <w:i w:val="0"/>
          <w:iCs w:val="0"/>
          <w:color w:val="auto"/>
          <w:sz w:val="24"/>
          <w:szCs w:val="24"/>
          <w:highlight w:val="none"/>
          <w:u w:val="single"/>
          <w:lang w:val="en-US" w:eastAsia="zh-CN"/>
        </w:rPr>
        <w:t>月</w:t>
      </w:r>
      <w:r>
        <w:rPr>
          <w:rFonts w:hint="eastAsia" w:ascii="宋体" w:hAnsi="宋体" w:cs="宋体"/>
          <w:b w:val="0"/>
          <w:bCs w:val="0"/>
          <w:i w:val="0"/>
          <w:iCs w:val="0"/>
          <w:color w:val="auto"/>
          <w:sz w:val="24"/>
          <w:szCs w:val="24"/>
          <w:highlight w:val="none"/>
          <w:u w:val="single"/>
          <w:lang w:val="en-US" w:eastAsia="zh-CN"/>
        </w:rPr>
        <w:t>13</w:t>
      </w:r>
      <w:r>
        <w:rPr>
          <w:rFonts w:hint="eastAsia" w:ascii="宋体" w:hAnsi="宋体" w:eastAsia="宋体" w:cs="宋体"/>
          <w:b w:val="0"/>
          <w:bCs w:val="0"/>
          <w:i w:val="0"/>
          <w:iCs w:val="0"/>
          <w:color w:val="auto"/>
          <w:sz w:val="24"/>
          <w:szCs w:val="24"/>
          <w:highlight w:val="none"/>
          <w:u w:val="single"/>
          <w:lang w:val="en-US" w:eastAsia="zh-CN"/>
        </w:rPr>
        <w:t>日23时59分（北京时间，法定节假日除外）</w:t>
      </w:r>
      <w:r>
        <w:rPr>
          <w:rFonts w:hint="eastAsia" w:ascii="宋体" w:hAnsi="宋体" w:eastAsia="宋体" w:cs="宋体"/>
          <w:b w:val="0"/>
          <w:bCs w:val="0"/>
          <w:i w:val="0"/>
          <w:iCs w:val="0"/>
          <w:color w:val="auto"/>
          <w:sz w:val="24"/>
          <w:szCs w:val="24"/>
          <w:highlight w:val="none"/>
          <w:u w:val="none"/>
          <w:lang w:val="en-US" w:eastAsia="zh-CN"/>
        </w:rPr>
        <w:t>。</w:t>
      </w:r>
    </w:p>
    <w:p w14:paraId="31853CB5">
      <w:pPr>
        <w:keepNext w:val="0"/>
        <w:keepLines w:val="0"/>
        <w:pageBreakBefore w:val="0"/>
        <w:widowControl w:val="0"/>
        <w:kinsoku/>
        <w:wordWrap w:val="0"/>
        <w:overflowPunct/>
        <w:topLinePunct w:val="0"/>
        <w:autoSpaceDE/>
        <w:autoSpaceDN/>
        <w:bidi w:val="0"/>
        <w:adjustRightInd/>
        <w:snapToGrid/>
        <w:spacing w:line="396" w:lineRule="auto"/>
        <w:ind w:firstLine="539"/>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地点：政府采购云平台（网址：</w:t>
      </w:r>
      <w:r>
        <w:rPr>
          <w:rFonts w:hint="eastAsia" w:ascii="宋体" w:hAnsi="宋体" w:eastAsia="宋体" w:cs="宋体"/>
          <w:i w:val="0"/>
          <w:iCs w:val="0"/>
          <w:color w:val="auto"/>
          <w:sz w:val="24"/>
          <w:szCs w:val="24"/>
          <w:highlight w:val="none"/>
          <w:lang w:val="en-US" w:eastAsia="zh-CN"/>
        </w:rPr>
        <w:t>https://</w:t>
      </w:r>
      <w:r>
        <w:rPr>
          <w:rFonts w:hint="eastAsia" w:ascii="宋体" w:hAnsi="宋体" w:eastAsia="宋体" w:cs="宋体"/>
          <w:b w:val="0"/>
          <w:bCs w:val="0"/>
          <w:i w:val="0"/>
          <w:iCs w:val="0"/>
          <w:color w:val="auto"/>
          <w:sz w:val="24"/>
          <w:szCs w:val="24"/>
          <w:highlight w:val="none"/>
          <w:lang w:val="en-US" w:eastAsia="zh-CN"/>
        </w:rPr>
        <w:t>www.zcygov.cn）。</w:t>
      </w:r>
    </w:p>
    <w:p w14:paraId="330B1449">
      <w:pPr>
        <w:keepNext w:val="0"/>
        <w:keepLines w:val="0"/>
        <w:pageBreakBefore w:val="0"/>
        <w:widowControl w:val="0"/>
        <w:kinsoku/>
        <w:wordWrap w:val="0"/>
        <w:overflowPunct/>
        <w:topLinePunct w:val="0"/>
        <w:autoSpaceDE/>
        <w:autoSpaceDN/>
        <w:bidi w:val="0"/>
        <w:adjustRightInd/>
        <w:snapToGrid/>
        <w:spacing w:line="360" w:lineRule="auto"/>
        <w:ind w:firstLine="539"/>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方式：网上获取</w:t>
      </w:r>
    </w:p>
    <w:p w14:paraId="3456707C">
      <w:pPr>
        <w:keepNext w:val="0"/>
        <w:keepLines w:val="0"/>
        <w:pageBreakBefore w:val="0"/>
        <w:widowControl w:val="0"/>
        <w:kinsoku/>
        <w:wordWrap w:val="0"/>
        <w:overflowPunct/>
        <w:topLinePunct w:val="0"/>
        <w:autoSpaceDE/>
        <w:autoSpaceDN/>
        <w:bidi w:val="0"/>
        <w:adjustRightInd/>
        <w:snapToGrid/>
        <w:spacing w:line="360" w:lineRule="auto"/>
        <w:ind w:firstLine="539"/>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凡有意参加投标者，须在政采云平台办理数字证书（CA），CA申领链接：https://middle.zcygov.cn/ca/apply/list?_app_=zcy.sys，并在政采云绑定数字证书（CA）后在网上获取采购文件及其它采购资料，数字证书（CA）详见其办理流程。注：云南本地服务商如之前已在云南 CA在线数字证书办理网进行过注册并办理过企业数字证书（CA），直接绑定即可，无需重复办理（2022年1月1日前办理的云南CA需到云南CA办理处进行升级）。外省服务商在政采云平台办理的其他CA可直接使用，无需重复办理。按上述要求获取文件的投标人视为合法获取了本项目采购文件，具备本项目的投标资格。</w:t>
      </w:r>
    </w:p>
    <w:p w14:paraId="6EF068F6">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四、响应文件提交</w:t>
      </w:r>
      <w:bookmarkEnd w:id="32"/>
      <w:bookmarkEnd w:id="33"/>
      <w:bookmarkEnd w:id="34"/>
      <w:bookmarkEnd w:id="35"/>
    </w:p>
    <w:p w14:paraId="32086292">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iCs w:val="0"/>
          <w:color w:val="auto"/>
          <w:kern w:val="0"/>
          <w:sz w:val="24"/>
          <w:szCs w:val="24"/>
          <w:highlight w:val="none"/>
          <w:lang w:val="en-US" w:eastAsia="zh-CN" w:bidi="ar-SA"/>
        </w:rPr>
      </w:pPr>
      <w:r>
        <w:rPr>
          <w:rFonts w:hint="eastAsia" w:ascii="宋体" w:hAnsi="宋体" w:eastAsia="宋体" w:cs="宋体"/>
          <w:b w:val="0"/>
          <w:i w:val="0"/>
          <w:iCs w:val="0"/>
          <w:color w:val="auto"/>
          <w:kern w:val="0"/>
          <w:sz w:val="24"/>
          <w:szCs w:val="24"/>
          <w:highlight w:val="none"/>
          <w:lang w:val="en-US" w:eastAsia="zh-CN" w:bidi="ar-SA"/>
        </w:rPr>
        <w:t>1.递交响应文件的截止时间：</w:t>
      </w:r>
      <w:r>
        <w:rPr>
          <w:rFonts w:hint="eastAsia" w:ascii="宋体" w:hAnsi="宋体" w:eastAsia="宋体" w:cs="宋体"/>
          <w:b w:val="0"/>
          <w:i w:val="0"/>
          <w:iCs w:val="0"/>
          <w:color w:val="auto"/>
          <w:kern w:val="0"/>
          <w:sz w:val="24"/>
          <w:szCs w:val="24"/>
          <w:highlight w:val="none"/>
          <w:u w:val="single"/>
          <w:lang w:val="en-US" w:eastAsia="zh-CN" w:bidi="ar-SA"/>
        </w:rPr>
        <w:t>202</w:t>
      </w:r>
      <w:r>
        <w:rPr>
          <w:rFonts w:hint="eastAsia" w:ascii="宋体" w:hAnsi="宋体" w:cs="宋体"/>
          <w:b w:val="0"/>
          <w:i w:val="0"/>
          <w:iCs w:val="0"/>
          <w:color w:val="auto"/>
          <w:kern w:val="0"/>
          <w:sz w:val="24"/>
          <w:szCs w:val="24"/>
          <w:highlight w:val="none"/>
          <w:u w:val="single"/>
          <w:lang w:val="en-US" w:eastAsia="zh-CN" w:bidi="ar-SA"/>
        </w:rPr>
        <w:t>6</w:t>
      </w:r>
      <w:r>
        <w:rPr>
          <w:rFonts w:hint="eastAsia" w:ascii="宋体" w:hAnsi="宋体" w:eastAsia="宋体" w:cs="宋体"/>
          <w:b w:val="0"/>
          <w:i w:val="0"/>
          <w:iCs w:val="0"/>
          <w:color w:val="auto"/>
          <w:kern w:val="0"/>
          <w:sz w:val="24"/>
          <w:szCs w:val="24"/>
          <w:highlight w:val="none"/>
          <w:u w:val="single"/>
          <w:lang w:val="en-US" w:eastAsia="zh-CN" w:bidi="ar-SA"/>
        </w:rPr>
        <w:t>年</w:t>
      </w:r>
      <w:r>
        <w:rPr>
          <w:rFonts w:hint="eastAsia" w:ascii="宋体" w:hAnsi="宋体" w:cs="宋体"/>
          <w:b w:val="0"/>
          <w:i w:val="0"/>
          <w:iCs w:val="0"/>
          <w:color w:val="auto"/>
          <w:kern w:val="0"/>
          <w:sz w:val="24"/>
          <w:szCs w:val="24"/>
          <w:highlight w:val="none"/>
          <w:u w:val="single"/>
          <w:lang w:val="en-US" w:eastAsia="zh-CN" w:bidi="ar-SA"/>
        </w:rPr>
        <w:t>05</w:t>
      </w:r>
      <w:r>
        <w:rPr>
          <w:rFonts w:hint="eastAsia" w:ascii="宋体" w:hAnsi="宋体" w:eastAsia="宋体" w:cs="宋体"/>
          <w:b w:val="0"/>
          <w:i w:val="0"/>
          <w:iCs w:val="0"/>
          <w:color w:val="auto"/>
          <w:kern w:val="0"/>
          <w:sz w:val="24"/>
          <w:szCs w:val="24"/>
          <w:highlight w:val="none"/>
          <w:u w:val="single"/>
          <w:lang w:val="en-US" w:eastAsia="zh-CN" w:bidi="ar-SA"/>
        </w:rPr>
        <w:t>月</w:t>
      </w:r>
      <w:r>
        <w:rPr>
          <w:rFonts w:hint="eastAsia" w:ascii="宋体" w:hAnsi="宋体" w:cs="宋体"/>
          <w:b w:val="0"/>
          <w:i w:val="0"/>
          <w:iCs w:val="0"/>
          <w:color w:val="auto"/>
          <w:kern w:val="0"/>
          <w:sz w:val="24"/>
          <w:szCs w:val="24"/>
          <w:highlight w:val="none"/>
          <w:u w:val="single"/>
          <w:lang w:val="en-US" w:eastAsia="zh-CN" w:bidi="ar-SA"/>
        </w:rPr>
        <w:t>19</w:t>
      </w:r>
      <w:r>
        <w:rPr>
          <w:rFonts w:hint="eastAsia" w:ascii="宋体" w:hAnsi="宋体" w:eastAsia="宋体" w:cs="宋体"/>
          <w:b w:val="0"/>
          <w:i w:val="0"/>
          <w:iCs w:val="0"/>
          <w:color w:val="auto"/>
          <w:kern w:val="0"/>
          <w:sz w:val="24"/>
          <w:szCs w:val="24"/>
          <w:highlight w:val="none"/>
          <w:u w:val="single"/>
          <w:lang w:val="en-US" w:eastAsia="zh-CN" w:bidi="ar-SA"/>
        </w:rPr>
        <w:t>日09时00</w:t>
      </w:r>
      <w:r>
        <w:rPr>
          <w:rFonts w:hint="eastAsia" w:ascii="宋体" w:hAnsi="宋体" w:eastAsia="宋体" w:cs="宋体"/>
          <w:b w:val="0"/>
          <w:i w:val="0"/>
          <w:iCs w:val="0"/>
          <w:color w:val="auto"/>
          <w:kern w:val="0"/>
          <w:sz w:val="24"/>
          <w:szCs w:val="24"/>
          <w:highlight w:val="none"/>
          <w:lang w:val="en-US" w:eastAsia="zh-CN" w:bidi="ar-SA"/>
        </w:rPr>
        <w:t>分（北京时间）。</w:t>
      </w:r>
    </w:p>
    <w:p w14:paraId="26041B89">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iCs w:val="0"/>
          <w:color w:val="auto"/>
          <w:kern w:val="0"/>
          <w:sz w:val="24"/>
          <w:szCs w:val="24"/>
          <w:highlight w:val="none"/>
          <w:lang w:val="en-US" w:eastAsia="zh-CN" w:bidi="ar-SA"/>
        </w:rPr>
      </w:pPr>
      <w:r>
        <w:rPr>
          <w:rFonts w:hint="eastAsia" w:ascii="宋体" w:hAnsi="宋体" w:eastAsia="宋体" w:cs="宋体"/>
          <w:b w:val="0"/>
          <w:i w:val="0"/>
          <w:iCs w:val="0"/>
          <w:color w:val="auto"/>
          <w:kern w:val="0"/>
          <w:sz w:val="24"/>
          <w:szCs w:val="24"/>
          <w:highlight w:val="none"/>
          <w:lang w:val="en-US" w:eastAsia="zh-CN" w:bidi="ar-SA"/>
        </w:rPr>
        <w:t>2.开标地点：政府采购云平台</w:t>
      </w:r>
      <w:r>
        <w:rPr>
          <w:rFonts w:hint="eastAsia" w:ascii="宋体" w:hAnsi="宋体" w:eastAsia="宋体" w:cs="宋体"/>
          <w:b w:val="0"/>
          <w:bCs w:val="0"/>
          <w:i w:val="0"/>
          <w:iCs w:val="0"/>
          <w:color w:val="auto"/>
          <w:sz w:val="24"/>
          <w:szCs w:val="24"/>
          <w:highlight w:val="none"/>
          <w:lang w:val="en-US" w:eastAsia="zh-CN"/>
        </w:rPr>
        <w:t>（网址：</w:t>
      </w:r>
      <w:r>
        <w:rPr>
          <w:rFonts w:hint="eastAsia" w:ascii="宋体" w:hAnsi="宋体" w:eastAsia="宋体" w:cs="宋体"/>
          <w:i w:val="0"/>
          <w:iCs w:val="0"/>
          <w:color w:val="auto"/>
          <w:sz w:val="24"/>
          <w:szCs w:val="24"/>
          <w:highlight w:val="none"/>
          <w:lang w:val="en-US" w:eastAsia="zh-CN"/>
        </w:rPr>
        <w:t>https://</w:t>
      </w:r>
      <w:r>
        <w:rPr>
          <w:rFonts w:hint="eastAsia" w:ascii="宋体" w:hAnsi="宋体" w:eastAsia="宋体" w:cs="宋体"/>
          <w:b w:val="0"/>
          <w:bCs w:val="0"/>
          <w:i w:val="0"/>
          <w:iCs w:val="0"/>
          <w:color w:val="auto"/>
          <w:sz w:val="24"/>
          <w:szCs w:val="24"/>
          <w:highlight w:val="none"/>
          <w:lang w:val="en-US" w:eastAsia="zh-CN"/>
        </w:rPr>
        <w:t>www.zcygov.cn）</w:t>
      </w:r>
      <w:r>
        <w:rPr>
          <w:rFonts w:hint="eastAsia" w:ascii="宋体" w:hAnsi="宋体" w:eastAsia="宋体" w:cs="宋体"/>
          <w:b w:val="0"/>
          <w:i w:val="0"/>
          <w:iCs w:val="0"/>
          <w:color w:val="auto"/>
          <w:kern w:val="0"/>
          <w:sz w:val="24"/>
          <w:szCs w:val="24"/>
          <w:highlight w:val="none"/>
          <w:lang w:val="en-US" w:eastAsia="zh-CN" w:bidi="ar-SA"/>
        </w:rPr>
        <w:t>。</w:t>
      </w:r>
    </w:p>
    <w:p w14:paraId="22B754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方式：网上递交，递交网址为政采云平台（https://www.zcygov.cn/），各供应商应在开标前应确保成为政采云平台投标人，并完成CA数字证书申领。因未注册入库、未办理CA数字证书等原因造成无法投标或投标失败等后果由投标人自行承担。投标人须在投标截止时间前完成所有投标文件的上传，投标截止时间前未完成投标文件上传的，视为撤回投标文件。若投标人未在规定时间完成解密的（如：无法解密、网络故障、未安装相关驱动、浏览器故障、加密CA与解密CA不一致等），则视为撤销其投标文件，不再进入评标阶段。开标过程中如有问题，可以发起在线异议，由代理机构给予对应的回复，在规定的异议询问时间内未提出异议的，则视为对开标结果无异议。</w:t>
      </w:r>
    </w:p>
    <w:p w14:paraId="7D688941">
      <w:pPr>
        <w:keepNext w:val="0"/>
        <w:keepLines w:val="0"/>
        <w:pageBreakBefore w:val="0"/>
        <w:widowControl w:val="0"/>
        <w:kinsoku/>
        <w:wordWrap/>
        <w:overflowPunct/>
        <w:topLinePunct w:val="0"/>
        <w:autoSpaceDE/>
        <w:autoSpaceDN/>
        <w:bidi w:val="0"/>
        <w:adjustRightInd/>
        <w:snapToGrid/>
        <w:spacing w:before="0" w:after="0" w:line="408" w:lineRule="auto"/>
        <w:ind w:left="0" w:leftChars="0" w:firstLine="482" w:firstLineChars="200"/>
        <w:jc w:val="both"/>
        <w:textAlignment w:val="auto"/>
        <w:outlineLvl w:val="9"/>
        <w:rPr>
          <w:rFonts w:hint="eastAsia" w:ascii="宋体" w:hAnsi="宋体" w:eastAsia="宋体" w:cs="宋体"/>
          <w:b/>
          <w:bCs/>
          <w:color w:val="auto"/>
          <w:spacing w:val="0"/>
          <w:w w:val="100"/>
          <w:position w:val="0"/>
          <w:sz w:val="24"/>
          <w:szCs w:val="24"/>
          <w:highlight w:val="none"/>
        </w:rPr>
      </w:pPr>
      <w:bookmarkStart w:id="36" w:name="_bookmark7"/>
      <w:bookmarkEnd w:id="36"/>
      <w:r>
        <w:rPr>
          <w:rFonts w:hint="eastAsia" w:ascii="宋体" w:hAnsi="宋体" w:eastAsia="宋体" w:cs="宋体"/>
          <w:b/>
          <w:bCs/>
          <w:color w:val="auto"/>
          <w:spacing w:val="0"/>
          <w:w w:val="100"/>
          <w:position w:val="0"/>
          <w:sz w:val="24"/>
          <w:szCs w:val="24"/>
          <w:highlight w:val="none"/>
          <w:lang w:val="en-US" w:eastAsia="zh-CN"/>
        </w:rPr>
        <w:t>五、开启</w:t>
      </w:r>
      <w:r>
        <w:rPr>
          <w:rFonts w:hint="eastAsia" w:ascii="宋体" w:hAnsi="宋体" w:eastAsia="宋体" w:cs="宋体"/>
          <w:b/>
          <w:bCs/>
          <w:color w:val="auto"/>
          <w:spacing w:val="0"/>
          <w:w w:val="100"/>
          <w:position w:val="0"/>
          <w:sz w:val="24"/>
          <w:szCs w:val="24"/>
          <w:highlight w:val="none"/>
        </w:rPr>
        <w:t xml:space="preserve"> </w:t>
      </w:r>
    </w:p>
    <w:p w14:paraId="3D44CD0F">
      <w:pPr>
        <w:keepNext w:val="0"/>
        <w:keepLines w:val="0"/>
        <w:pageBreakBefore w:val="0"/>
        <w:widowControl w:val="0"/>
        <w:kinsoku/>
        <w:wordWrap/>
        <w:overflowPunct/>
        <w:topLinePunct w:val="0"/>
        <w:autoSpaceDE/>
        <w:autoSpaceDN/>
        <w:bidi w:val="0"/>
        <w:adjustRightInd/>
        <w:snapToGrid/>
        <w:spacing w:line="408" w:lineRule="auto"/>
        <w:ind w:left="0" w:right="0" w:rightChars="0" w:firstLine="480" w:firstLineChars="200"/>
        <w:jc w:val="both"/>
        <w:textAlignment w:val="auto"/>
        <w:outlineLvl w:val="9"/>
        <w:rPr>
          <w:rFonts w:hint="eastAsia" w:ascii="宋体" w:hAnsi="宋体" w:eastAsia="宋体" w:cs="宋体"/>
          <w:color w:val="auto"/>
          <w:spacing w:val="0"/>
          <w:w w:val="100"/>
          <w:position w:val="0"/>
          <w:sz w:val="24"/>
          <w:szCs w:val="24"/>
          <w:highlight w:val="none"/>
          <w:u w:val="none"/>
          <w:lang w:val="en-US" w:eastAsia="zh-CN"/>
        </w:rPr>
      </w:pPr>
      <w:r>
        <w:rPr>
          <w:rFonts w:hint="eastAsia" w:ascii="宋体" w:hAnsi="宋体" w:eastAsia="宋体" w:cs="宋体"/>
          <w:color w:val="auto"/>
          <w:spacing w:val="0"/>
          <w:w w:val="100"/>
          <w:position w:val="0"/>
          <w:sz w:val="24"/>
          <w:szCs w:val="24"/>
          <w:highlight w:val="none"/>
          <w:u w:val="none"/>
          <w:lang w:val="en-US" w:eastAsia="zh-CN"/>
        </w:rPr>
        <w:t>1.时间：202</w:t>
      </w:r>
      <w:r>
        <w:rPr>
          <w:rFonts w:hint="eastAsia" w:ascii="宋体" w:hAnsi="宋体" w:cs="宋体"/>
          <w:color w:val="auto"/>
          <w:spacing w:val="0"/>
          <w:w w:val="100"/>
          <w:position w:val="0"/>
          <w:sz w:val="24"/>
          <w:szCs w:val="24"/>
          <w:highlight w:val="none"/>
          <w:u w:val="none"/>
          <w:lang w:val="en-US" w:eastAsia="zh-CN"/>
        </w:rPr>
        <w:t>6</w:t>
      </w:r>
      <w:r>
        <w:rPr>
          <w:rFonts w:hint="eastAsia" w:ascii="宋体" w:hAnsi="宋体" w:eastAsia="宋体" w:cs="宋体"/>
          <w:color w:val="auto"/>
          <w:spacing w:val="0"/>
          <w:w w:val="100"/>
          <w:position w:val="0"/>
          <w:sz w:val="24"/>
          <w:szCs w:val="24"/>
          <w:highlight w:val="none"/>
          <w:u w:val="none"/>
          <w:lang w:val="en-US" w:eastAsia="zh-CN"/>
        </w:rPr>
        <w:t>年</w:t>
      </w:r>
      <w:r>
        <w:rPr>
          <w:rFonts w:hint="eastAsia" w:ascii="宋体" w:hAnsi="宋体" w:cs="宋体"/>
          <w:color w:val="auto"/>
          <w:spacing w:val="0"/>
          <w:w w:val="100"/>
          <w:position w:val="0"/>
          <w:sz w:val="24"/>
          <w:szCs w:val="24"/>
          <w:highlight w:val="none"/>
          <w:u w:val="none"/>
          <w:lang w:val="en-US" w:eastAsia="zh-CN"/>
        </w:rPr>
        <w:t>05</w:t>
      </w:r>
      <w:r>
        <w:rPr>
          <w:rFonts w:hint="eastAsia" w:ascii="宋体" w:hAnsi="宋体" w:eastAsia="宋体" w:cs="宋体"/>
          <w:color w:val="auto"/>
          <w:spacing w:val="0"/>
          <w:w w:val="100"/>
          <w:position w:val="0"/>
          <w:sz w:val="24"/>
          <w:szCs w:val="24"/>
          <w:highlight w:val="none"/>
          <w:u w:val="none"/>
          <w:lang w:val="en-US" w:eastAsia="zh-CN"/>
        </w:rPr>
        <w:t>月</w:t>
      </w:r>
      <w:r>
        <w:rPr>
          <w:rFonts w:hint="eastAsia" w:ascii="宋体" w:hAnsi="宋体" w:cs="宋体"/>
          <w:color w:val="auto"/>
          <w:spacing w:val="0"/>
          <w:w w:val="100"/>
          <w:position w:val="0"/>
          <w:sz w:val="24"/>
          <w:szCs w:val="24"/>
          <w:highlight w:val="none"/>
          <w:u w:val="none"/>
          <w:lang w:val="en-US" w:eastAsia="zh-CN"/>
        </w:rPr>
        <w:t>19</w:t>
      </w:r>
      <w:r>
        <w:rPr>
          <w:rFonts w:hint="eastAsia" w:ascii="宋体" w:hAnsi="宋体" w:eastAsia="宋体" w:cs="宋体"/>
          <w:color w:val="auto"/>
          <w:spacing w:val="0"/>
          <w:w w:val="100"/>
          <w:position w:val="0"/>
          <w:sz w:val="24"/>
          <w:szCs w:val="24"/>
          <w:highlight w:val="none"/>
          <w:u w:val="none"/>
          <w:lang w:val="en-US" w:eastAsia="zh-CN"/>
        </w:rPr>
        <w:t>日上午09时00分（北京时间）</w:t>
      </w:r>
    </w:p>
    <w:p w14:paraId="32F15E39">
      <w:pPr>
        <w:keepNext w:val="0"/>
        <w:keepLines w:val="0"/>
        <w:pageBreakBefore w:val="0"/>
        <w:widowControl w:val="0"/>
        <w:kinsoku/>
        <w:wordWrap/>
        <w:overflowPunct/>
        <w:topLinePunct w:val="0"/>
        <w:autoSpaceDE/>
        <w:autoSpaceDN/>
        <w:bidi w:val="0"/>
        <w:adjustRightInd/>
        <w:snapToGrid/>
        <w:spacing w:line="408" w:lineRule="auto"/>
        <w:ind w:left="0" w:right="0" w:rightChars="0" w:firstLine="480" w:firstLineChars="200"/>
        <w:jc w:val="both"/>
        <w:textAlignment w:val="auto"/>
        <w:outlineLvl w:val="9"/>
        <w:rPr>
          <w:rFonts w:hint="eastAsia" w:ascii="宋体" w:hAnsi="宋体" w:eastAsia="宋体" w:cs="宋体"/>
          <w:color w:val="auto"/>
          <w:spacing w:val="0"/>
          <w:w w:val="100"/>
          <w:position w:val="0"/>
          <w:sz w:val="24"/>
          <w:szCs w:val="24"/>
          <w:highlight w:val="none"/>
          <w:u w:val="none"/>
          <w:lang w:val="en-US" w:eastAsia="zh-CN"/>
        </w:rPr>
      </w:pPr>
      <w:r>
        <w:rPr>
          <w:rFonts w:hint="eastAsia" w:ascii="宋体" w:hAnsi="宋体" w:eastAsia="宋体" w:cs="宋体"/>
          <w:color w:val="auto"/>
          <w:spacing w:val="0"/>
          <w:w w:val="100"/>
          <w:position w:val="0"/>
          <w:sz w:val="24"/>
          <w:szCs w:val="24"/>
          <w:highlight w:val="none"/>
          <w:u w:val="none"/>
          <w:lang w:val="en-US" w:eastAsia="zh-CN"/>
        </w:rPr>
        <w:t>2.地点：政府采购云平台</w:t>
      </w:r>
      <w:r>
        <w:rPr>
          <w:rFonts w:hint="eastAsia" w:ascii="宋体" w:hAnsi="宋体" w:eastAsia="宋体" w:cs="宋体"/>
          <w:b w:val="0"/>
          <w:bCs w:val="0"/>
          <w:i w:val="0"/>
          <w:iCs w:val="0"/>
          <w:color w:val="auto"/>
          <w:sz w:val="24"/>
          <w:szCs w:val="24"/>
          <w:highlight w:val="none"/>
          <w:lang w:val="en-US" w:eastAsia="zh-CN"/>
        </w:rPr>
        <w:t>（网址：</w:t>
      </w:r>
      <w:r>
        <w:rPr>
          <w:rFonts w:hint="eastAsia" w:ascii="宋体" w:hAnsi="宋体" w:eastAsia="宋体" w:cs="宋体"/>
          <w:i w:val="0"/>
          <w:iCs w:val="0"/>
          <w:color w:val="auto"/>
          <w:sz w:val="24"/>
          <w:szCs w:val="24"/>
          <w:highlight w:val="none"/>
          <w:lang w:val="en-US" w:eastAsia="zh-CN"/>
        </w:rPr>
        <w:t>https://</w:t>
      </w:r>
      <w:r>
        <w:rPr>
          <w:rFonts w:hint="eastAsia" w:ascii="宋体" w:hAnsi="宋体" w:eastAsia="宋体" w:cs="宋体"/>
          <w:b w:val="0"/>
          <w:bCs w:val="0"/>
          <w:i w:val="0"/>
          <w:iCs w:val="0"/>
          <w:color w:val="auto"/>
          <w:sz w:val="24"/>
          <w:szCs w:val="24"/>
          <w:highlight w:val="none"/>
          <w:lang w:val="en-US" w:eastAsia="zh-CN"/>
        </w:rPr>
        <w:t>www.zcygov.cn）</w:t>
      </w:r>
    </w:p>
    <w:p w14:paraId="702A3749">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bookmarkStart w:id="37" w:name="_Toc35393803"/>
      <w:bookmarkStart w:id="38" w:name="_Toc28359017"/>
      <w:bookmarkStart w:id="39" w:name="_Toc35393634"/>
      <w:bookmarkStart w:id="40" w:name="_Toc28359094"/>
      <w:r>
        <w:rPr>
          <w:rFonts w:hint="eastAsia" w:ascii="宋体" w:hAnsi="宋体" w:eastAsia="宋体" w:cs="宋体"/>
          <w:b/>
          <w:bCs/>
          <w:color w:val="auto"/>
          <w:sz w:val="24"/>
          <w:szCs w:val="24"/>
          <w:highlight w:val="none"/>
        </w:rPr>
        <w:t>六、公告期限</w:t>
      </w:r>
      <w:bookmarkEnd w:id="37"/>
      <w:bookmarkEnd w:id="38"/>
      <w:bookmarkEnd w:id="39"/>
      <w:bookmarkEnd w:id="40"/>
    </w:p>
    <w:p w14:paraId="33662FE6">
      <w:pPr>
        <w:keepNext w:val="0"/>
        <w:keepLines w:val="0"/>
        <w:pageBreakBefore w:val="0"/>
        <w:widowControl w:val="0"/>
        <w:kinsoku/>
        <w:wordWrap/>
        <w:overflowPunct/>
        <w:topLinePunct w:val="0"/>
        <w:autoSpaceDE/>
        <w:autoSpaceDN/>
        <w:bidi w:val="0"/>
        <w:adjustRightInd/>
        <w:snapToGrid/>
        <w:spacing w:line="40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14:paraId="198614F8">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outlineLvl w:val="9"/>
        <w:rPr>
          <w:rFonts w:hint="eastAsia" w:ascii="宋体" w:hAnsi="宋体" w:eastAsia="宋体" w:cs="宋体"/>
          <w:b/>
          <w:bCs/>
          <w:color w:val="auto"/>
          <w:sz w:val="24"/>
          <w:szCs w:val="24"/>
          <w:highlight w:val="none"/>
        </w:rPr>
      </w:pPr>
      <w:bookmarkStart w:id="41" w:name="_Toc35393804"/>
      <w:bookmarkStart w:id="42" w:name="_Toc35393635"/>
      <w:r>
        <w:rPr>
          <w:rFonts w:hint="eastAsia" w:ascii="宋体" w:hAnsi="宋体" w:eastAsia="宋体" w:cs="宋体"/>
          <w:b/>
          <w:bCs/>
          <w:color w:val="auto"/>
          <w:sz w:val="24"/>
          <w:szCs w:val="24"/>
          <w:highlight w:val="none"/>
        </w:rPr>
        <w:t>七、其他补充事宜</w:t>
      </w:r>
      <w:bookmarkEnd w:id="41"/>
      <w:bookmarkEnd w:id="42"/>
    </w:p>
    <w:p w14:paraId="2E7DB763">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both"/>
        <w:textAlignment w:val="auto"/>
        <w:outlineLvl w:val="9"/>
        <w:rPr>
          <w:rFonts w:hint="eastAsia" w:ascii="宋体" w:hAnsi="宋体" w:eastAsia="宋体" w:cs="宋体"/>
          <w:b w:val="0"/>
          <w:bCs w:val="0"/>
          <w:color w:val="auto"/>
          <w:spacing w:val="0"/>
          <w:w w:val="100"/>
          <w:position w:val="0"/>
          <w:sz w:val="24"/>
          <w:szCs w:val="24"/>
          <w:highlight w:val="none"/>
          <w:u w:val="none"/>
          <w:lang w:val="en-US" w:eastAsia="zh-CN"/>
        </w:rPr>
      </w:pPr>
      <w:bookmarkStart w:id="43" w:name="_Toc35393805"/>
      <w:bookmarkStart w:id="44" w:name="_Toc28359018"/>
      <w:bookmarkStart w:id="45" w:name="_Toc28359095"/>
      <w:bookmarkStart w:id="46" w:name="_Toc35393636"/>
      <w:r>
        <w:rPr>
          <w:rFonts w:hint="eastAsia" w:ascii="宋体" w:hAnsi="宋体" w:eastAsia="宋体" w:cs="宋体"/>
          <w:b w:val="0"/>
          <w:bCs w:val="0"/>
          <w:color w:val="auto"/>
          <w:spacing w:val="0"/>
          <w:w w:val="100"/>
          <w:position w:val="0"/>
          <w:sz w:val="24"/>
          <w:szCs w:val="24"/>
          <w:highlight w:val="none"/>
          <w:u w:val="none"/>
          <w:lang w:val="en-US" w:eastAsia="zh-CN"/>
        </w:rPr>
        <w:t>1.发布公告的媒体：与本项目有关的通知，将在“云南省政府采购网”、“政府采购云平台</w:t>
      </w:r>
      <w:r>
        <w:rPr>
          <w:rFonts w:hint="eastAsia" w:ascii="宋体" w:hAnsi="宋体" w:eastAsia="宋体" w:cs="宋体"/>
          <w:b w:val="0"/>
          <w:bCs w:val="0"/>
          <w:i w:val="0"/>
          <w:iCs w:val="0"/>
          <w:color w:val="auto"/>
          <w:sz w:val="24"/>
          <w:szCs w:val="24"/>
          <w:highlight w:val="none"/>
          <w:lang w:val="en-US" w:eastAsia="zh-CN"/>
        </w:rPr>
        <w:t>（网址：</w:t>
      </w:r>
      <w:r>
        <w:rPr>
          <w:rFonts w:hint="eastAsia" w:ascii="宋体" w:hAnsi="宋体" w:eastAsia="宋体" w:cs="宋体"/>
          <w:i w:val="0"/>
          <w:iCs w:val="0"/>
          <w:color w:val="auto"/>
          <w:sz w:val="24"/>
          <w:szCs w:val="24"/>
          <w:highlight w:val="none"/>
          <w:lang w:val="en-US" w:eastAsia="zh-CN"/>
        </w:rPr>
        <w:t>https://</w:t>
      </w:r>
      <w:r>
        <w:rPr>
          <w:rFonts w:hint="eastAsia" w:ascii="宋体" w:hAnsi="宋体" w:eastAsia="宋体" w:cs="宋体"/>
          <w:b w:val="0"/>
          <w:bCs w:val="0"/>
          <w:i w:val="0"/>
          <w:iCs w:val="0"/>
          <w:color w:val="auto"/>
          <w:sz w:val="24"/>
          <w:szCs w:val="24"/>
          <w:highlight w:val="none"/>
          <w:lang w:val="en-US" w:eastAsia="zh-CN"/>
        </w:rPr>
        <w:t>www.zcygov.cn）</w:t>
      </w:r>
      <w:r>
        <w:rPr>
          <w:rFonts w:hint="eastAsia" w:ascii="宋体" w:hAnsi="宋体" w:eastAsia="宋体" w:cs="宋体"/>
          <w:b w:val="0"/>
          <w:bCs w:val="0"/>
          <w:color w:val="auto"/>
          <w:spacing w:val="0"/>
          <w:w w:val="100"/>
          <w:position w:val="0"/>
          <w:sz w:val="24"/>
          <w:szCs w:val="24"/>
          <w:highlight w:val="none"/>
          <w:u w:val="none"/>
          <w:lang w:val="en-US" w:eastAsia="zh-CN"/>
        </w:rPr>
        <w:t>”上发布，请供应商在递交竞争性磋商响应文件前随时查看，以并获取最新信息。因供应商不留意网站公告，导致结果由其自行负责，采购人及代理机构不承担任何责任。采购人及代理机构对其他网站发布的同类信息不承担任何责任。</w:t>
      </w:r>
    </w:p>
    <w:p w14:paraId="115F7145">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both"/>
        <w:textAlignment w:val="auto"/>
        <w:outlineLvl w:val="9"/>
        <w:rPr>
          <w:rFonts w:hint="eastAsia" w:ascii="宋体" w:hAnsi="宋体" w:eastAsia="宋体" w:cs="宋体"/>
          <w:b w:val="0"/>
          <w:bCs w:val="0"/>
          <w:color w:val="auto"/>
          <w:spacing w:val="0"/>
          <w:w w:val="100"/>
          <w:position w:val="0"/>
          <w:sz w:val="24"/>
          <w:szCs w:val="24"/>
          <w:highlight w:val="none"/>
          <w:u w:val="none"/>
          <w:lang w:val="en-US" w:eastAsia="zh-CN"/>
        </w:rPr>
      </w:pPr>
      <w:r>
        <w:rPr>
          <w:rFonts w:hint="eastAsia" w:ascii="宋体" w:hAnsi="宋体" w:eastAsia="宋体" w:cs="宋体"/>
          <w:b w:val="0"/>
          <w:bCs w:val="0"/>
          <w:color w:val="auto"/>
          <w:spacing w:val="0"/>
          <w:w w:val="100"/>
          <w:position w:val="0"/>
          <w:sz w:val="24"/>
          <w:szCs w:val="24"/>
          <w:highlight w:val="none"/>
          <w:u w:val="none"/>
          <w:lang w:val="en-US" w:eastAsia="zh-CN"/>
        </w:rPr>
        <w:t>2.本竞争性磋商公告如与竞争性磋商文件不一致之处，以竞争性磋商文件为准。</w:t>
      </w:r>
    </w:p>
    <w:p w14:paraId="273E2F8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jc w:val="both"/>
        <w:textAlignment w:val="auto"/>
        <w:outlineLvl w:val="9"/>
        <w:rPr>
          <w:rFonts w:hint="eastAsia" w:ascii="宋体" w:hAnsi="宋体" w:eastAsia="宋体" w:cs="宋体"/>
          <w:b/>
          <w:bCs/>
          <w:color w:val="auto"/>
          <w:spacing w:val="0"/>
          <w:w w:val="100"/>
          <w:position w:val="0"/>
          <w:sz w:val="24"/>
          <w:szCs w:val="24"/>
          <w:highlight w:val="none"/>
          <w:u w:val="none"/>
          <w:lang w:val="en-US" w:eastAsia="zh-CN"/>
        </w:rPr>
      </w:pPr>
      <w:r>
        <w:rPr>
          <w:rFonts w:hint="eastAsia" w:ascii="宋体" w:hAnsi="宋体" w:eastAsia="宋体" w:cs="宋体"/>
          <w:b/>
          <w:bCs/>
          <w:color w:val="auto"/>
          <w:spacing w:val="0"/>
          <w:w w:val="100"/>
          <w:position w:val="0"/>
          <w:sz w:val="24"/>
          <w:szCs w:val="24"/>
          <w:highlight w:val="none"/>
          <w:u w:val="none"/>
          <w:lang w:val="en-US" w:eastAsia="zh-CN"/>
        </w:rPr>
        <w:t>八、凡对本次采购提出询问，请按以下方式联系。</w:t>
      </w:r>
      <w:bookmarkEnd w:id="43"/>
      <w:bookmarkEnd w:id="44"/>
      <w:bookmarkEnd w:id="45"/>
      <w:bookmarkEnd w:id="46"/>
    </w:p>
    <w:p w14:paraId="733BC2E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1.采购人信息</w:t>
      </w:r>
    </w:p>
    <w:p w14:paraId="7BCEE0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rPr>
        <w:t>名  称：</w:t>
      </w:r>
      <w:r>
        <w:rPr>
          <w:rFonts w:hint="eastAsia" w:ascii="宋体" w:hAnsi="宋体" w:eastAsia="宋体" w:cs="宋体"/>
          <w:color w:val="auto"/>
          <w:spacing w:val="0"/>
          <w:w w:val="100"/>
          <w:position w:val="0"/>
          <w:sz w:val="24"/>
          <w:szCs w:val="24"/>
          <w:highlight w:val="none"/>
          <w:u w:val="none"/>
          <w:lang w:eastAsia="zh-CN"/>
        </w:rPr>
        <w:t>德钦县农业农村局</w:t>
      </w:r>
    </w:p>
    <w:p w14:paraId="689174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w w:val="100"/>
          <w:position w:val="0"/>
          <w:sz w:val="24"/>
          <w:szCs w:val="24"/>
          <w:highlight w:val="none"/>
        </w:rPr>
        <w:t>地  址：</w:t>
      </w:r>
      <w:r>
        <w:rPr>
          <w:rFonts w:hint="eastAsia" w:ascii="宋体" w:hAnsi="宋体" w:eastAsia="宋体" w:cs="宋体"/>
          <w:color w:val="auto"/>
          <w:sz w:val="24"/>
          <w:szCs w:val="24"/>
          <w:highlight w:val="none"/>
          <w:lang w:val="en-US" w:eastAsia="zh-CN"/>
        </w:rPr>
        <w:t>德钦县行政中心1号楼</w:t>
      </w:r>
    </w:p>
    <w:p w14:paraId="5FCAEF5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联系人：格工</w:t>
      </w:r>
    </w:p>
    <w:p w14:paraId="08D7594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rPr>
        <w:t>联系方式：</w:t>
      </w:r>
      <w:r>
        <w:rPr>
          <w:rFonts w:hint="eastAsia" w:ascii="宋体" w:hAnsi="宋体" w:eastAsia="宋体" w:cs="宋体"/>
          <w:color w:val="auto"/>
          <w:spacing w:val="0"/>
          <w:w w:val="100"/>
          <w:position w:val="0"/>
          <w:sz w:val="24"/>
          <w:szCs w:val="24"/>
          <w:highlight w:val="none"/>
          <w:lang w:val="en-US" w:eastAsia="zh-CN"/>
        </w:rPr>
        <w:t>13988755044</w:t>
      </w:r>
    </w:p>
    <w:p w14:paraId="55FC2DA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rPr>
      </w:pPr>
    </w:p>
    <w:p w14:paraId="4BE5D06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2.采购代理机构信息</w:t>
      </w:r>
    </w:p>
    <w:p w14:paraId="5BA4E85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rPr>
        <w:t>名  称：</w:t>
      </w:r>
      <w:r>
        <w:rPr>
          <w:rFonts w:hint="eastAsia" w:ascii="宋体" w:hAnsi="宋体" w:eastAsia="宋体" w:cs="宋体"/>
          <w:color w:val="auto"/>
          <w:spacing w:val="0"/>
          <w:w w:val="100"/>
          <w:position w:val="0"/>
          <w:sz w:val="24"/>
          <w:szCs w:val="24"/>
          <w:highlight w:val="none"/>
          <w:lang w:eastAsia="zh-CN"/>
        </w:rPr>
        <w:t>云南玉昭工程咨询有限公司</w:t>
      </w:r>
    </w:p>
    <w:p w14:paraId="58949D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rPr>
        <w:t>地  址：</w:t>
      </w:r>
      <w:r>
        <w:rPr>
          <w:rFonts w:hint="eastAsia" w:ascii="宋体" w:hAnsi="宋体" w:eastAsia="宋体" w:cs="宋体"/>
          <w:color w:val="auto"/>
          <w:spacing w:val="0"/>
          <w:w w:val="100"/>
          <w:position w:val="0"/>
          <w:sz w:val="24"/>
          <w:szCs w:val="24"/>
          <w:highlight w:val="none"/>
          <w:lang w:eastAsia="zh-CN"/>
        </w:rPr>
        <w:t>香格里拉市云南玉昭工程咨询有限公司环城北路26号</w:t>
      </w:r>
    </w:p>
    <w:p w14:paraId="5CF20F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联系人：谢翠梅</w:t>
      </w:r>
    </w:p>
    <w:p w14:paraId="6761FC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rPr>
        <w:t>联系方式：</w:t>
      </w:r>
      <w:r>
        <w:rPr>
          <w:rFonts w:hint="eastAsia" w:ascii="宋体" w:hAnsi="宋体" w:eastAsia="宋体" w:cs="宋体"/>
          <w:color w:val="auto"/>
          <w:spacing w:val="0"/>
          <w:w w:val="100"/>
          <w:position w:val="0"/>
          <w:sz w:val="24"/>
          <w:szCs w:val="24"/>
          <w:highlight w:val="none"/>
          <w:lang w:val="en-US" w:eastAsia="zh-CN"/>
        </w:rPr>
        <w:t>13668736373</w:t>
      </w:r>
    </w:p>
    <w:p w14:paraId="10FE326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rPr>
      </w:pPr>
    </w:p>
    <w:p w14:paraId="52FA1CF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w:t>
      </w:r>
      <w:r>
        <w:rPr>
          <w:rFonts w:hint="eastAsia" w:ascii="宋体" w:hAnsi="宋体" w:eastAsia="宋体" w:cs="宋体"/>
          <w:color w:val="auto"/>
          <w:spacing w:val="0"/>
          <w:w w:val="100"/>
          <w:position w:val="0"/>
          <w:sz w:val="24"/>
          <w:szCs w:val="24"/>
          <w:highlight w:val="none"/>
        </w:rPr>
        <w:t>项目联系人：</w:t>
      </w:r>
      <w:r>
        <w:rPr>
          <w:rFonts w:hint="eastAsia" w:ascii="宋体" w:hAnsi="宋体" w:eastAsia="宋体" w:cs="宋体"/>
          <w:color w:val="auto"/>
          <w:spacing w:val="0"/>
          <w:w w:val="100"/>
          <w:position w:val="0"/>
          <w:sz w:val="24"/>
          <w:szCs w:val="24"/>
          <w:highlight w:val="none"/>
          <w:lang w:val="en-US" w:eastAsia="zh-CN"/>
        </w:rPr>
        <w:t>格工</w:t>
      </w:r>
    </w:p>
    <w:p w14:paraId="4618FD8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b w:val="0"/>
          <w:bCs/>
          <w:color w:val="auto"/>
          <w:spacing w:val="0"/>
          <w:w w:val="100"/>
          <w:kern w:val="2"/>
          <w:position w:val="0"/>
          <w:sz w:val="24"/>
          <w:szCs w:val="24"/>
          <w:highlight w:val="none"/>
          <w:lang w:val="en-US" w:eastAsia="zh-CN" w:bidi="ar-SA"/>
        </w:rPr>
      </w:pPr>
      <w:r>
        <w:rPr>
          <w:rFonts w:hint="eastAsia" w:ascii="宋体" w:hAnsi="宋体" w:eastAsia="宋体" w:cs="宋体"/>
          <w:b w:val="0"/>
          <w:bCs/>
          <w:color w:val="auto"/>
          <w:spacing w:val="0"/>
          <w:w w:val="100"/>
          <w:kern w:val="2"/>
          <w:position w:val="0"/>
          <w:sz w:val="24"/>
          <w:szCs w:val="24"/>
          <w:highlight w:val="none"/>
          <w:lang w:val="en-US" w:eastAsia="zh-CN" w:bidi="ar-SA"/>
        </w:rPr>
        <w:t>联系方式：</w:t>
      </w:r>
      <w:r>
        <w:rPr>
          <w:rFonts w:hint="eastAsia" w:ascii="宋体" w:hAnsi="宋体" w:eastAsia="宋体" w:cs="宋体"/>
          <w:color w:val="auto"/>
          <w:spacing w:val="0"/>
          <w:w w:val="100"/>
          <w:position w:val="0"/>
          <w:sz w:val="24"/>
          <w:szCs w:val="24"/>
          <w:highlight w:val="none"/>
          <w:lang w:val="en-US" w:eastAsia="zh-CN"/>
        </w:rPr>
        <w:t>13988755044</w:t>
      </w:r>
    </w:p>
    <w:p w14:paraId="5BB1653A">
      <w:pPr>
        <w:rPr>
          <w:rFonts w:hint="eastAsia" w:ascii="宋体" w:hAnsi="宋体" w:eastAsia="宋体" w:cs="宋体"/>
          <w:color w:val="auto"/>
          <w:kern w:val="2"/>
          <w:szCs w:val="28"/>
          <w:highlight w:val="none"/>
        </w:rPr>
      </w:pPr>
      <w:r>
        <w:rPr>
          <w:rFonts w:hint="eastAsia" w:ascii="宋体" w:hAnsi="宋体" w:eastAsia="宋体" w:cs="宋体"/>
          <w:color w:val="auto"/>
          <w:kern w:val="2"/>
          <w:szCs w:val="28"/>
          <w:highlight w:val="none"/>
        </w:rPr>
        <w:br w:type="page"/>
      </w:r>
    </w:p>
    <w:p w14:paraId="4D687258">
      <w:pPr>
        <w:bidi w:val="0"/>
        <w:rPr>
          <w:rFonts w:hint="eastAsia" w:ascii="宋体" w:hAnsi="宋体" w:eastAsia="宋体" w:cs="宋体"/>
          <w:color w:val="auto"/>
          <w:sz w:val="24"/>
          <w:szCs w:val="24"/>
          <w:highlight w:val="none"/>
          <w:lang w:val="en-US" w:eastAsia="zh-CN"/>
        </w:rPr>
        <w:sectPr>
          <w:footerReference r:id="rId10" w:type="first"/>
          <w:footerReference r:id="rId9" w:type="default"/>
          <w:pgSz w:w="11906" w:h="16838"/>
          <w:pgMar w:top="1440" w:right="1080" w:bottom="1440" w:left="1080" w:header="851" w:footer="851"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3B84E41A">
      <w:pPr>
        <w:pStyle w:val="2"/>
        <w:numPr>
          <w:ilvl w:val="0"/>
          <w:numId w:val="0"/>
        </w:numPr>
        <w:jc w:val="center"/>
        <w:rPr>
          <w:rFonts w:hint="eastAsia" w:ascii="宋体" w:hAnsi="宋体" w:eastAsia="宋体" w:cs="宋体"/>
          <w:bCs/>
          <w:color w:val="auto"/>
          <w:szCs w:val="28"/>
          <w:highlight w:val="none"/>
        </w:rPr>
      </w:pPr>
      <w:bookmarkStart w:id="47" w:name="_Toc28836"/>
      <w:r>
        <w:rPr>
          <w:rFonts w:hint="eastAsia" w:ascii="宋体" w:hAnsi="宋体" w:eastAsia="宋体" w:cs="宋体"/>
          <w:color w:val="auto"/>
          <w:kern w:val="2"/>
          <w:szCs w:val="28"/>
          <w:highlight w:val="none"/>
        </w:rPr>
        <w:t>第二章  磋商须知</w:t>
      </w:r>
      <w:bookmarkEnd w:id="3"/>
      <w:bookmarkEnd w:id="4"/>
      <w:bookmarkEnd w:id="5"/>
      <w:bookmarkEnd w:id="6"/>
      <w:bookmarkEnd w:id="7"/>
      <w:bookmarkEnd w:id="8"/>
      <w:bookmarkEnd w:id="9"/>
      <w:bookmarkEnd w:id="10"/>
      <w:bookmarkEnd w:id="47"/>
    </w:p>
    <w:tbl>
      <w:tblPr>
        <w:tblStyle w:val="35"/>
        <w:tblW w:w="9882" w:type="dxa"/>
        <w:jc w:val="center"/>
        <w:tblLayout w:type="fixed"/>
        <w:tblCellMar>
          <w:top w:w="0" w:type="dxa"/>
          <w:left w:w="0" w:type="dxa"/>
          <w:bottom w:w="0" w:type="dxa"/>
          <w:right w:w="0" w:type="dxa"/>
        </w:tblCellMar>
      </w:tblPr>
      <w:tblGrid>
        <w:gridCol w:w="1122"/>
        <w:gridCol w:w="2777"/>
        <w:gridCol w:w="5983"/>
      </w:tblGrid>
      <w:tr w14:paraId="33D53CA7">
        <w:tblPrEx>
          <w:tblCellMar>
            <w:top w:w="0" w:type="dxa"/>
            <w:left w:w="0" w:type="dxa"/>
            <w:bottom w:w="0" w:type="dxa"/>
            <w:right w:w="0" w:type="dxa"/>
          </w:tblCellMar>
        </w:tblPrEx>
        <w:trPr>
          <w:trHeight w:val="390" w:hRule="atLeast"/>
          <w:tblHeader/>
          <w:jc w:val="center"/>
        </w:trPr>
        <w:tc>
          <w:tcPr>
            <w:tcW w:w="1122" w:type="dxa"/>
            <w:tcBorders>
              <w:top w:val="single" w:color="auto" w:sz="8" w:space="0"/>
              <w:left w:val="single" w:color="auto" w:sz="8" w:space="0"/>
              <w:bottom w:val="single" w:color="auto" w:sz="8" w:space="0"/>
              <w:right w:val="single" w:color="auto" w:sz="8" w:space="0"/>
            </w:tcBorders>
            <w:vAlign w:val="center"/>
          </w:tcPr>
          <w:p w14:paraId="628B56E6">
            <w:pPr>
              <w:spacing w:line="360" w:lineRule="auto"/>
              <w:jc w:val="center"/>
              <w:rPr>
                <w:rFonts w:hint="eastAsia" w:ascii="宋体" w:hAnsi="宋体" w:eastAsia="宋体" w:cs="宋体"/>
                <w:b/>
                <w:bCs/>
                <w:color w:val="auto"/>
                <w:kern w:val="2"/>
                <w:sz w:val="24"/>
                <w:szCs w:val="24"/>
                <w:highlight w:val="none"/>
              </w:rPr>
            </w:pPr>
            <w:bookmarkStart w:id="48" w:name="_Toc18580"/>
            <w:bookmarkStart w:id="49" w:name="_Toc25713"/>
            <w:bookmarkStart w:id="50" w:name="_Toc27858"/>
            <w:bookmarkStart w:id="51" w:name="_Toc25344"/>
            <w:bookmarkStart w:id="52" w:name="_Toc23434"/>
            <w:bookmarkStart w:id="53" w:name="_Toc9001"/>
            <w:bookmarkStart w:id="54" w:name="_Toc436942609"/>
            <w:bookmarkStart w:id="55" w:name="_Toc29971"/>
            <w:r>
              <w:rPr>
                <w:rFonts w:hint="eastAsia" w:ascii="宋体" w:hAnsi="宋体" w:eastAsia="宋体" w:cs="宋体"/>
                <w:b/>
                <w:bCs/>
                <w:color w:val="auto"/>
                <w:kern w:val="2"/>
                <w:sz w:val="24"/>
                <w:szCs w:val="24"/>
                <w:highlight w:val="none"/>
              </w:rPr>
              <w:t>条款号</w:t>
            </w:r>
          </w:p>
        </w:tc>
        <w:tc>
          <w:tcPr>
            <w:tcW w:w="2777" w:type="dxa"/>
            <w:tcBorders>
              <w:top w:val="single" w:color="auto" w:sz="8" w:space="0"/>
              <w:left w:val="nil"/>
              <w:bottom w:val="single" w:color="auto" w:sz="8" w:space="0"/>
              <w:right w:val="single" w:color="auto" w:sz="8" w:space="0"/>
            </w:tcBorders>
            <w:vAlign w:val="bottom"/>
          </w:tcPr>
          <w:p w14:paraId="513FB5EB">
            <w:pPr>
              <w:spacing w:line="360" w:lineRule="auto"/>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条 款 名 称</w:t>
            </w:r>
          </w:p>
        </w:tc>
        <w:tc>
          <w:tcPr>
            <w:tcW w:w="5983" w:type="dxa"/>
            <w:tcBorders>
              <w:top w:val="single" w:color="auto" w:sz="8" w:space="0"/>
              <w:left w:val="nil"/>
              <w:bottom w:val="single" w:color="auto" w:sz="8" w:space="0"/>
              <w:right w:val="single" w:color="auto" w:sz="8" w:space="0"/>
            </w:tcBorders>
            <w:vAlign w:val="bottom"/>
          </w:tcPr>
          <w:p w14:paraId="75D91BC2">
            <w:pPr>
              <w:spacing w:line="360" w:lineRule="auto"/>
              <w:ind w:left="1680"/>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编 列 内 容</w:t>
            </w:r>
          </w:p>
        </w:tc>
      </w:tr>
      <w:tr w14:paraId="68B79767">
        <w:tblPrEx>
          <w:tblCellMar>
            <w:top w:w="0" w:type="dxa"/>
            <w:left w:w="0" w:type="dxa"/>
            <w:bottom w:w="0" w:type="dxa"/>
            <w:right w:w="0" w:type="dxa"/>
          </w:tblCellMar>
        </w:tblPrEx>
        <w:trPr>
          <w:trHeight w:val="1032"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46E4FA38">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1.1.2</w:t>
            </w:r>
          </w:p>
        </w:tc>
        <w:tc>
          <w:tcPr>
            <w:tcW w:w="2777" w:type="dxa"/>
            <w:tcBorders>
              <w:top w:val="single" w:color="auto" w:sz="8" w:space="0"/>
              <w:left w:val="nil"/>
              <w:bottom w:val="single" w:color="auto" w:sz="8" w:space="0"/>
              <w:right w:val="single" w:color="auto" w:sz="8" w:space="0"/>
            </w:tcBorders>
            <w:vAlign w:val="center"/>
          </w:tcPr>
          <w:p w14:paraId="608178DA">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采购人</w:t>
            </w:r>
          </w:p>
        </w:tc>
        <w:tc>
          <w:tcPr>
            <w:tcW w:w="5983" w:type="dxa"/>
            <w:tcBorders>
              <w:top w:val="single" w:color="auto" w:sz="8" w:space="0"/>
              <w:left w:val="nil"/>
              <w:bottom w:val="single" w:color="auto" w:sz="8" w:space="0"/>
              <w:right w:val="single" w:color="auto" w:sz="8" w:space="0"/>
            </w:tcBorders>
            <w:vAlign w:val="center"/>
          </w:tcPr>
          <w:p w14:paraId="682305CD">
            <w:pPr>
              <w:spacing w:line="360" w:lineRule="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名  称：</w:t>
            </w:r>
            <w:r>
              <w:rPr>
                <w:rFonts w:hint="eastAsia" w:ascii="宋体" w:hAnsi="宋体" w:eastAsia="宋体" w:cs="宋体"/>
                <w:bCs/>
                <w:color w:val="auto"/>
                <w:sz w:val="24"/>
                <w:highlight w:val="none"/>
                <w:lang w:eastAsia="zh-CN"/>
              </w:rPr>
              <w:t>德钦县农业农村局</w:t>
            </w:r>
          </w:p>
          <w:p w14:paraId="6759A7F7">
            <w:pPr>
              <w:spacing w:line="360" w:lineRule="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地  址：</w:t>
            </w:r>
            <w:r>
              <w:rPr>
                <w:rFonts w:hint="eastAsia" w:ascii="宋体" w:hAnsi="宋体" w:eastAsia="宋体" w:cs="宋体"/>
                <w:bCs/>
                <w:color w:val="auto"/>
                <w:sz w:val="24"/>
                <w:highlight w:val="none"/>
                <w:lang w:val="en-US" w:eastAsia="zh-CN"/>
              </w:rPr>
              <w:t>德钦县行政中心1号楼</w:t>
            </w:r>
          </w:p>
          <w:p w14:paraId="68D35B2D">
            <w:pPr>
              <w:spacing w:line="360" w:lineRule="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联系人：格工</w:t>
            </w:r>
          </w:p>
          <w:p w14:paraId="21C57D0F">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联系方式：</w:t>
            </w:r>
            <w:r>
              <w:rPr>
                <w:rFonts w:hint="eastAsia" w:ascii="宋体" w:hAnsi="宋体" w:eastAsia="宋体" w:cs="宋体"/>
                <w:bCs/>
                <w:color w:val="auto"/>
                <w:sz w:val="24"/>
                <w:highlight w:val="none"/>
                <w:lang w:val="en-US" w:eastAsia="zh-CN"/>
              </w:rPr>
              <w:t>13988755044</w:t>
            </w:r>
          </w:p>
        </w:tc>
      </w:tr>
      <w:tr w14:paraId="7999FC30">
        <w:tblPrEx>
          <w:tblCellMar>
            <w:top w:w="0" w:type="dxa"/>
            <w:left w:w="0" w:type="dxa"/>
            <w:bottom w:w="0" w:type="dxa"/>
            <w:right w:w="0" w:type="dxa"/>
          </w:tblCellMar>
        </w:tblPrEx>
        <w:trPr>
          <w:trHeight w:val="1352"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244AE90E">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1.1.3</w:t>
            </w:r>
          </w:p>
        </w:tc>
        <w:tc>
          <w:tcPr>
            <w:tcW w:w="2777" w:type="dxa"/>
            <w:tcBorders>
              <w:top w:val="single" w:color="auto" w:sz="8" w:space="0"/>
              <w:left w:val="nil"/>
              <w:bottom w:val="single" w:color="auto" w:sz="8" w:space="0"/>
              <w:right w:val="single" w:color="auto" w:sz="8" w:space="0"/>
            </w:tcBorders>
            <w:vAlign w:val="center"/>
          </w:tcPr>
          <w:p w14:paraId="067F9D53">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采购代理机构</w:t>
            </w:r>
          </w:p>
        </w:tc>
        <w:tc>
          <w:tcPr>
            <w:tcW w:w="5983" w:type="dxa"/>
            <w:tcBorders>
              <w:top w:val="single" w:color="auto" w:sz="8" w:space="0"/>
              <w:left w:val="nil"/>
              <w:bottom w:val="single" w:color="auto" w:sz="8" w:space="0"/>
              <w:right w:val="single" w:color="auto" w:sz="8" w:space="0"/>
            </w:tcBorders>
            <w:vAlign w:val="center"/>
          </w:tcPr>
          <w:p w14:paraId="0EB4733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云南玉昭工程咨询有限公司</w:t>
            </w:r>
          </w:p>
          <w:p w14:paraId="4BCB2CFF">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eastAsia="zh-CN"/>
              </w:rPr>
              <w:t>香格里拉市云南玉昭工程咨询有限公司环城北路26号</w:t>
            </w:r>
          </w:p>
          <w:p w14:paraId="4626A64B">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联系人：谢翠梅</w:t>
            </w:r>
          </w:p>
          <w:p w14:paraId="485385B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lang w:val="en-US" w:eastAsia="zh-CN"/>
              </w:rPr>
              <w:t>13668736373</w:t>
            </w:r>
            <w:r>
              <w:rPr>
                <w:rFonts w:hint="eastAsia" w:ascii="宋体" w:hAnsi="宋体" w:eastAsia="宋体" w:cs="宋体"/>
                <w:color w:val="auto"/>
                <w:sz w:val="24"/>
                <w:highlight w:val="none"/>
              </w:rPr>
              <w:t xml:space="preserve">   </w:t>
            </w:r>
            <w:r>
              <w:rPr>
                <w:rFonts w:hint="eastAsia" w:ascii="宋体" w:hAnsi="宋体" w:eastAsia="宋体" w:cs="宋体"/>
                <w:color w:val="auto"/>
                <w:sz w:val="24"/>
                <w:szCs w:val="24"/>
                <w:highlight w:val="none"/>
              </w:rPr>
              <w:t xml:space="preserve">      </w:t>
            </w:r>
          </w:p>
        </w:tc>
      </w:tr>
      <w:tr w14:paraId="1F2090A5">
        <w:tblPrEx>
          <w:tblCellMar>
            <w:top w:w="0" w:type="dxa"/>
            <w:left w:w="0" w:type="dxa"/>
            <w:bottom w:w="0" w:type="dxa"/>
            <w:right w:w="0" w:type="dxa"/>
          </w:tblCellMar>
        </w:tblPrEx>
        <w:trPr>
          <w:trHeight w:val="513"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CB3CEA3">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1.1.4</w:t>
            </w:r>
          </w:p>
        </w:tc>
        <w:tc>
          <w:tcPr>
            <w:tcW w:w="2777" w:type="dxa"/>
            <w:tcBorders>
              <w:top w:val="single" w:color="auto" w:sz="8" w:space="0"/>
              <w:left w:val="nil"/>
              <w:bottom w:val="single" w:color="auto" w:sz="8" w:space="0"/>
              <w:right w:val="single" w:color="auto" w:sz="8" w:space="0"/>
            </w:tcBorders>
            <w:vAlign w:val="center"/>
          </w:tcPr>
          <w:p w14:paraId="0B7961DE">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招标项目名称</w:t>
            </w:r>
          </w:p>
        </w:tc>
        <w:tc>
          <w:tcPr>
            <w:tcW w:w="5983" w:type="dxa"/>
            <w:tcBorders>
              <w:top w:val="single" w:color="auto" w:sz="8" w:space="0"/>
              <w:left w:val="nil"/>
              <w:bottom w:val="single" w:color="auto" w:sz="8" w:space="0"/>
              <w:right w:val="single" w:color="auto" w:sz="8" w:space="0"/>
            </w:tcBorders>
            <w:vAlign w:val="bottom"/>
          </w:tcPr>
          <w:p w14:paraId="0B1FF059">
            <w:pPr>
              <w:spacing w:line="360" w:lineRule="auto"/>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lang w:eastAsia="zh-CN"/>
              </w:rPr>
              <w:t>德钦县2026年高原特色优质绿色农产品品牌建设项目</w:t>
            </w:r>
          </w:p>
        </w:tc>
      </w:tr>
      <w:tr w14:paraId="21AB95B8">
        <w:tblPrEx>
          <w:tblCellMar>
            <w:top w:w="0" w:type="dxa"/>
            <w:left w:w="0" w:type="dxa"/>
            <w:bottom w:w="0" w:type="dxa"/>
            <w:right w:w="0" w:type="dxa"/>
          </w:tblCellMar>
        </w:tblPrEx>
        <w:trPr>
          <w:trHeight w:val="554"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22823B20">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1.2.1</w:t>
            </w:r>
          </w:p>
        </w:tc>
        <w:tc>
          <w:tcPr>
            <w:tcW w:w="2777" w:type="dxa"/>
            <w:tcBorders>
              <w:top w:val="single" w:color="auto" w:sz="8" w:space="0"/>
              <w:left w:val="nil"/>
              <w:bottom w:val="single" w:color="auto" w:sz="8" w:space="0"/>
              <w:right w:val="single" w:color="auto" w:sz="8" w:space="0"/>
            </w:tcBorders>
            <w:vAlign w:val="center"/>
          </w:tcPr>
          <w:p w14:paraId="476DCB5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资金落实情况</w:t>
            </w:r>
          </w:p>
        </w:tc>
        <w:tc>
          <w:tcPr>
            <w:tcW w:w="5983" w:type="dxa"/>
            <w:tcBorders>
              <w:top w:val="single" w:color="auto" w:sz="8" w:space="0"/>
              <w:left w:val="nil"/>
              <w:bottom w:val="single" w:color="auto" w:sz="8" w:space="0"/>
              <w:right w:val="single" w:color="auto" w:sz="8" w:space="0"/>
            </w:tcBorders>
            <w:vAlign w:val="bottom"/>
          </w:tcPr>
          <w:p w14:paraId="487E1AC6">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财政资金，已落实</w:t>
            </w:r>
          </w:p>
        </w:tc>
      </w:tr>
      <w:tr w14:paraId="15B4D68E">
        <w:tblPrEx>
          <w:tblCellMar>
            <w:top w:w="0" w:type="dxa"/>
            <w:left w:w="0" w:type="dxa"/>
            <w:bottom w:w="0" w:type="dxa"/>
            <w:right w:w="0" w:type="dxa"/>
          </w:tblCellMar>
        </w:tblPrEx>
        <w:trPr>
          <w:trHeight w:val="554"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73AE359E">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1.2.2</w:t>
            </w:r>
          </w:p>
        </w:tc>
        <w:tc>
          <w:tcPr>
            <w:tcW w:w="2777" w:type="dxa"/>
            <w:tcBorders>
              <w:top w:val="single" w:color="auto" w:sz="8" w:space="0"/>
              <w:left w:val="nil"/>
              <w:bottom w:val="single" w:color="auto" w:sz="8" w:space="0"/>
              <w:right w:val="single" w:color="auto" w:sz="8" w:space="0"/>
            </w:tcBorders>
            <w:vAlign w:val="center"/>
          </w:tcPr>
          <w:p w14:paraId="74247FE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p>
        </w:tc>
        <w:tc>
          <w:tcPr>
            <w:tcW w:w="5983" w:type="dxa"/>
            <w:tcBorders>
              <w:top w:val="single" w:color="auto" w:sz="8" w:space="0"/>
              <w:left w:val="nil"/>
              <w:bottom w:val="single" w:color="auto" w:sz="8" w:space="0"/>
              <w:right w:val="single" w:color="auto" w:sz="8" w:space="0"/>
            </w:tcBorders>
            <w:vAlign w:val="center"/>
          </w:tcPr>
          <w:p w14:paraId="7F98994D">
            <w:pPr>
              <w:spacing w:line="360" w:lineRule="auto"/>
              <w:rPr>
                <w:rFonts w:hint="eastAsia" w:ascii="宋体" w:hAnsi="宋体" w:eastAsia="宋体" w:cs="宋体"/>
                <w:bCs/>
                <w:color w:val="auto"/>
                <w:sz w:val="24"/>
                <w:szCs w:val="24"/>
                <w:highlight w:val="none"/>
              </w:rPr>
            </w:pPr>
            <w:r>
              <w:rPr>
                <w:rFonts w:hint="eastAsia" w:ascii="宋体" w:hAnsi="宋体" w:cs="宋体"/>
                <w:b w:val="0"/>
                <w:bCs w:val="0"/>
                <w:color w:val="auto"/>
                <w:sz w:val="24"/>
                <w:szCs w:val="24"/>
                <w:highlight w:val="none"/>
                <w:lang w:val="en-US" w:eastAsia="zh-CN"/>
              </w:rPr>
              <w:t>63.00</w:t>
            </w:r>
            <w:r>
              <w:rPr>
                <w:rFonts w:hint="eastAsia" w:ascii="宋体" w:hAnsi="宋体" w:eastAsia="宋体" w:cs="宋体"/>
                <w:bCs/>
                <w:color w:val="auto"/>
                <w:sz w:val="24"/>
                <w:szCs w:val="24"/>
                <w:highlight w:val="none"/>
              </w:rPr>
              <w:t>万元</w:t>
            </w:r>
          </w:p>
        </w:tc>
      </w:tr>
      <w:tr w14:paraId="1CE516A3">
        <w:tblPrEx>
          <w:tblCellMar>
            <w:top w:w="0" w:type="dxa"/>
            <w:left w:w="0" w:type="dxa"/>
            <w:bottom w:w="0" w:type="dxa"/>
            <w:right w:w="0" w:type="dxa"/>
          </w:tblCellMar>
        </w:tblPrEx>
        <w:trPr>
          <w:trHeight w:val="39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729F7C1">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1.3.1</w:t>
            </w:r>
          </w:p>
        </w:tc>
        <w:tc>
          <w:tcPr>
            <w:tcW w:w="2777" w:type="dxa"/>
            <w:tcBorders>
              <w:top w:val="single" w:color="auto" w:sz="8" w:space="0"/>
              <w:left w:val="nil"/>
              <w:bottom w:val="single" w:color="auto" w:sz="8" w:space="0"/>
              <w:right w:val="single" w:color="auto" w:sz="8" w:space="0"/>
            </w:tcBorders>
            <w:vAlign w:val="center"/>
          </w:tcPr>
          <w:p w14:paraId="268FA52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采购需求</w:t>
            </w:r>
          </w:p>
        </w:tc>
        <w:tc>
          <w:tcPr>
            <w:tcW w:w="5983" w:type="dxa"/>
            <w:tcBorders>
              <w:top w:val="single" w:color="auto" w:sz="8" w:space="0"/>
              <w:left w:val="nil"/>
              <w:bottom w:val="single" w:color="auto" w:sz="8" w:space="0"/>
              <w:right w:val="single" w:color="auto" w:sz="8" w:space="0"/>
            </w:tcBorders>
            <w:vAlign w:val="bottom"/>
          </w:tcPr>
          <w:p w14:paraId="642560A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详见第五章《</w:t>
            </w:r>
            <w:r>
              <w:rPr>
                <w:rFonts w:hint="eastAsia" w:ascii="宋体" w:hAnsi="宋体" w:eastAsia="宋体" w:cs="宋体"/>
                <w:color w:val="auto"/>
                <w:kern w:val="2"/>
                <w:sz w:val="24"/>
                <w:szCs w:val="24"/>
                <w:highlight w:val="none"/>
                <w:lang w:val="en-US" w:eastAsia="zh-CN"/>
              </w:rPr>
              <w:t>采购需求</w:t>
            </w:r>
            <w:r>
              <w:rPr>
                <w:rFonts w:hint="eastAsia" w:ascii="宋体" w:hAnsi="宋体" w:eastAsia="宋体" w:cs="宋体"/>
                <w:color w:val="auto"/>
                <w:kern w:val="2"/>
                <w:sz w:val="24"/>
                <w:szCs w:val="24"/>
                <w:highlight w:val="none"/>
              </w:rPr>
              <w:t>》的具体内容</w:t>
            </w:r>
          </w:p>
        </w:tc>
      </w:tr>
      <w:tr w14:paraId="461338B7">
        <w:tblPrEx>
          <w:tblCellMar>
            <w:top w:w="0" w:type="dxa"/>
            <w:left w:w="0" w:type="dxa"/>
            <w:bottom w:w="0" w:type="dxa"/>
            <w:right w:w="0" w:type="dxa"/>
          </w:tblCellMar>
        </w:tblPrEx>
        <w:trPr>
          <w:trHeight w:val="39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E132234">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1.3.2</w:t>
            </w:r>
          </w:p>
        </w:tc>
        <w:tc>
          <w:tcPr>
            <w:tcW w:w="2777" w:type="dxa"/>
            <w:tcBorders>
              <w:top w:val="single" w:color="auto" w:sz="8" w:space="0"/>
              <w:left w:val="nil"/>
              <w:bottom w:val="single" w:color="auto" w:sz="8" w:space="0"/>
              <w:right w:val="single" w:color="auto" w:sz="8" w:space="0"/>
            </w:tcBorders>
            <w:vAlign w:val="center"/>
          </w:tcPr>
          <w:p w14:paraId="795182A9">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合同履行期限</w:t>
            </w:r>
          </w:p>
        </w:tc>
        <w:tc>
          <w:tcPr>
            <w:tcW w:w="5983" w:type="dxa"/>
            <w:tcBorders>
              <w:top w:val="single" w:color="auto" w:sz="8" w:space="0"/>
              <w:left w:val="nil"/>
              <w:bottom w:val="single" w:color="auto" w:sz="8" w:space="0"/>
              <w:right w:val="single" w:color="auto" w:sz="8" w:space="0"/>
            </w:tcBorders>
          </w:tcPr>
          <w:p w14:paraId="038ABBE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2026年</w:t>
            </w:r>
            <w:r>
              <w:rPr>
                <w:rFonts w:hint="eastAsia" w:ascii="宋体" w:hAnsi="宋体" w:cs="宋体"/>
                <w:color w:val="auto"/>
                <w:kern w:val="2"/>
                <w:sz w:val="24"/>
                <w:szCs w:val="24"/>
                <w:highlight w:val="none"/>
                <w:lang w:val="en-US" w:eastAsia="zh-CN"/>
              </w:rPr>
              <w:t>10</w:t>
            </w:r>
            <w:r>
              <w:rPr>
                <w:rFonts w:hint="eastAsia" w:ascii="宋体" w:hAnsi="宋体" w:eastAsia="宋体" w:cs="宋体"/>
                <w:color w:val="auto"/>
                <w:kern w:val="2"/>
                <w:sz w:val="24"/>
                <w:szCs w:val="24"/>
                <w:highlight w:val="none"/>
                <w:lang w:val="en-US" w:eastAsia="zh-CN"/>
              </w:rPr>
              <w:t>月31日前，完成6个有机产品认证，5个葡萄酒生态原产地产品保护认证和1个葡萄酒生态原产地产品保护区认证。</w:t>
            </w:r>
          </w:p>
        </w:tc>
      </w:tr>
      <w:tr w14:paraId="01FF38A3">
        <w:tblPrEx>
          <w:tblCellMar>
            <w:top w:w="0" w:type="dxa"/>
            <w:left w:w="0" w:type="dxa"/>
            <w:bottom w:w="0" w:type="dxa"/>
            <w:right w:w="0" w:type="dxa"/>
          </w:tblCellMar>
        </w:tblPrEx>
        <w:trPr>
          <w:trHeight w:val="48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747EEE0D">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1.3.3</w:t>
            </w:r>
          </w:p>
        </w:tc>
        <w:tc>
          <w:tcPr>
            <w:tcW w:w="2777" w:type="dxa"/>
            <w:tcBorders>
              <w:top w:val="single" w:color="auto" w:sz="8" w:space="0"/>
              <w:left w:val="nil"/>
              <w:bottom w:val="single" w:color="auto" w:sz="8" w:space="0"/>
              <w:right w:val="single" w:color="auto" w:sz="8" w:space="0"/>
            </w:tcBorders>
            <w:vAlign w:val="center"/>
          </w:tcPr>
          <w:p w14:paraId="4E1AD1E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项目实施地点</w:t>
            </w:r>
          </w:p>
        </w:tc>
        <w:tc>
          <w:tcPr>
            <w:tcW w:w="5983" w:type="dxa"/>
            <w:tcBorders>
              <w:top w:val="single" w:color="auto" w:sz="8" w:space="0"/>
              <w:left w:val="nil"/>
              <w:bottom w:val="single" w:color="auto" w:sz="8" w:space="0"/>
              <w:right w:val="single" w:color="auto" w:sz="8" w:space="0"/>
            </w:tcBorders>
            <w:vAlign w:val="bottom"/>
          </w:tcPr>
          <w:p w14:paraId="3ED085B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德钦县农业农村局</w:t>
            </w:r>
            <w:r>
              <w:rPr>
                <w:rFonts w:hint="eastAsia" w:ascii="宋体" w:hAnsi="宋体" w:eastAsia="宋体" w:cs="宋体"/>
                <w:color w:val="auto"/>
                <w:kern w:val="2"/>
                <w:sz w:val="24"/>
                <w:szCs w:val="24"/>
                <w:highlight w:val="none"/>
              </w:rPr>
              <w:t>（具体地址由采购人指定）</w:t>
            </w:r>
          </w:p>
        </w:tc>
      </w:tr>
      <w:tr w14:paraId="4E4632EC">
        <w:tblPrEx>
          <w:tblCellMar>
            <w:top w:w="0" w:type="dxa"/>
            <w:left w:w="0" w:type="dxa"/>
            <w:bottom w:w="0" w:type="dxa"/>
            <w:right w:w="0" w:type="dxa"/>
          </w:tblCellMar>
        </w:tblPrEx>
        <w:trPr>
          <w:trHeight w:val="1053"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14E5D95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1.4.1</w:t>
            </w:r>
          </w:p>
        </w:tc>
        <w:tc>
          <w:tcPr>
            <w:tcW w:w="2777" w:type="dxa"/>
            <w:tcBorders>
              <w:top w:val="single" w:color="auto" w:sz="8" w:space="0"/>
              <w:left w:val="nil"/>
              <w:bottom w:val="single" w:color="auto" w:sz="8" w:space="0"/>
              <w:right w:val="single" w:color="auto" w:sz="8" w:space="0"/>
            </w:tcBorders>
            <w:vAlign w:val="center"/>
          </w:tcPr>
          <w:p w14:paraId="01B18D55">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供应商资格条件</w:t>
            </w:r>
          </w:p>
        </w:tc>
        <w:tc>
          <w:tcPr>
            <w:tcW w:w="5983" w:type="dxa"/>
            <w:tcBorders>
              <w:top w:val="single" w:color="auto" w:sz="8" w:space="0"/>
              <w:left w:val="nil"/>
              <w:bottom w:val="single" w:color="auto" w:sz="8" w:space="0"/>
              <w:right w:val="single" w:color="auto" w:sz="8" w:space="0"/>
            </w:tcBorders>
            <w:vAlign w:val="center"/>
          </w:tcPr>
          <w:p w14:paraId="0461B4C3">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1.1具有独立承担民事责任的能力，提供法人或其他组织或自然人的营业执照或其他证明材料（提供合法登记证明文件）。</w:t>
            </w:r>
          </w:p>
          <w:p w14:paraId="72DEDDA7">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1.2具有良好的商业信誉和健全的财务会计制度：</w:t>
            </w:r>
          </w:p>
          <w:p w14:paraId="2F6D3A19">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1.2.1供应商未被列入“信用中国”网站（www.creditc</w:t>
            </w:r>
          </w:p>
          <w:p w14:paraId="648A82C5">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hina.gov.cn）公布的“失信被执行人”、“重大税收违法失信主体”、“政府采购严重违法失信行为记录名单”；未被列入“中国政府采购网”（www.ccgp.gov.cn）公布的“政府采购严重违法失信行为信息记录”名单（以采购代理机构于投标（响应）截止时间当天查询结果为准，如相关失信记录已失效，供应商需提供相关证明资料）；提供具有良好的商业信誉承诺书（格式自拟）；</w:t>
            </w:r>
          </w:p>
          <w:p w14:paraId="244C52EE">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1.2.2</w:t>
            </w:r>
            <w:r>
              <w:rPr>
                <w:rFonts w:hint="eastAsia" w:ascii="宋体" w:hAnsi="宋体" w:eastAsia="宋体" w:cs="宋体"/>
                <w:i w:val="0"/>
                <w:iCs w:val="0"/>
                <w:kern w:val="2"/>
                <w:sz w:val="24"/>
                <w:szCs w:val="24"/>
                <w:highlight w:val="none"/>
                <w:lang w:val="en-US" w:eastAsia="zh-CN" w:bidi="ar"/>
              </w:rPr>
              <w:t>具有良好的商业信誉和健全的财务会计制度。投标人须提供</w:t>
            </w:r>
            <w:r>
              <w:rPr>
                <w:rFonts w:hint="eastAsia" w:ascii="宋体" w:hAnsi="宋体" w:eastAsia="宋体" w:cs="宋体"/>
                <w:i w:val="0"/>
                <w:iCs w:val="0"/>
                <w:color w:val="auto"/>
                <w:kern w:val="2"/>
                <w:sz w:val="24"/>
                <w:szCs w:val="24"/>
                <w:highlight w:val="none"/>
                <w:u w:val="none"/>
                <w:lang w:val="en-US" w:eastAsia="zh-CN" w:bidi="ar"/>
              </w:rPr>
              <w:t>2023</w:t>
            </w:r>
            <w:r>
              <w:rPr>
                <w:rFonts w:hint="eastAsia" w:ascii="宋体" w:hAnsi="宋体" w:eastAsia="宋体" w:cs="宋体"/>
                <w:i w:val="0"/>
                <w:iCs w:val="0"/>
                <w:color w:val="auto"/>
                <w:kern w:val="2"/>
                <w:sz w:val="24"/>
                <w:szCs w:val="24"/>
                <w:highlight w:val="none"/>
                <w:lang w:val="en-US" w:eastAsia="zh-CN" w:bidi="ar"/>
              </w:rPr>
              <w:t>年或2024年经</w:t>
            </w:r>
            <w:r>
              <w:rPr>
                <w:rFonts w:hint="eastAsia" w:ascii="宋体" w:hAnsi="宋体" w:cs="宋体"/>
                <w:i w:val="0"/>
                <w:iCs w:val="0"/>
                <w:color w:val="auto"/>
                <w:kern w:val="2"/>
                <w:sz w:val="24"/>
                <w:szCs w:val="24"/>
                <w:highlight w:val="none"/>
                <w:lang w:val="en-US" w:eastAsia="zh-CN" w:bidi="ar"/>
              </w:rPr>
              <w:t>审计的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告</w:t>
            </w:r>
            <w:r>
              <w:rPr>
                <w:rFonts w:hint="eastAsia" w:ascii="宋体" w:hAnsi="宋体" w:eastAsia="宋体" w:cs="宋体"/>
                <w:i w:val="0"/>
                <w:iCs w:val="0"/>
                <w:color w:val="auto"/>
                <w:kern w:val="2"/>
                <w:sz w:val="24"/>
                <w:szCs w:val="24"/>
                <w:highlight w:val="none"/>
                <w:lang w:val="en-US" w:eastAsia="zh-CN" w:bidi="ar"/>
              </w:rPr>
              <w:t>(包括资产负债表、利润表、现金流量表)，新成立不满</w:t>
            </w:r>
            <w:r>
              <w:rPr>
                <w:rFonts w:hint="eastAsia" w:ascii="宋体" w:hAnsi="宋体" w:eastAsia="宋体" w:cs="宋体"/>
                <w:i w:val="0"/>
                <w:iCs w:val="0"/>
                <w:color w:val="auto"/>
                <w:kern w:val="2"/>
                <w:sz w:val="24"/>
                <w:szCs w:val="24"/>
                <w:highlight w:val="none"/>
                <w:u w:val="single"/>
                <w:lang w:val="en-US" w:eastAsia="zh-CN" w:bidi="ar"/>
              </w:rPr>
              <w:t>1</w:t>
            </w:r>
            <w:r>
              <w:rPr>
                <w:rFonts w:hint="eastAsia" w:ascii="宋体" w:hAnsi="宋体" w:eastAsia="宋体" w:cs="宋体"/>
                <w:i w:val="0"/>
                <w:iCs w:val="0"/>
                <w:color w:val="auto"/>
                <w:kern w:val="2"/>
                <w:sz w:val="24"/>
                <w:szCs w:val="24"/>
                <w:highlight w:val="none"/>
                <w:lang w:val="en-US" w:eastAsia="zh-CN" w:bidi="ar"/>
              </w:rPr>
              <w:t>年的投标人提供自成立至今</w:t>
            </w:r>
            <w:r>
              <w:rPr>
                <w:rFonts w:hint="eastAsia" w:ascii="宋体" w:hAnsi="宋体" w:cs="宋体"/>
                <w:i w:val="0"/>
                <w:iCs w:val="0"/>
                <w:color w:val="auto"/>
                <w:kern w:val="2"/>
                <w:sz w:val="24"/>
                <w:szCs w:val="24"/>
                <w:highlight w:val="none"/>
                <w:lang w:val="en-US" w:eastAsia="zh-CN" w:bidi="ar"/>
              </w:rPr>
              <w:t>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表，注：根据《关于加强审计报告查验工作的通知》（财会〔2023〕15 号）规定，在2022年10月以后出具的审计报告须在注册会计师行业统一监管平台（网址：</w:t>
            </w:r>
            <w:r>
              <w:rPr>
                <w:rFonts w:hint="eastAsia" w:ascii="宋体" w:hAnsi="宋体" w:cs="宋体"/>
                <w:i w:val="0"/>
                <w:iCs w:val="0"/>
                <w:color w:val="auto"/>
                <w:kern w:val="2"/>
                <w:sz w:val="24"/>
                <w:szCs w:val="24"/>
                <w:highlight w:val="none"/>
                <w:lang w:val="en-US" w:eastAsia="zh-CN" w:bidi="ar"/>
              </w:rPr>
              <w:fldChar w:fldCharType="begin"/>
            </w:r>
            <w:r>
              <w:rPr>
                <w:rFonts w:hint="eastAsia" w:ascii="宋体" w:hAnsi="宋体" w:cs="宋体"/>
                <w:i w:val="0"/>
                <w:iCs w:val="0"/>
                <w:color w:val="auto"/>
                <w:kern w:val="2"/>
                <w:sz w:val="24"/>
                <w:szCs w:val="24"/>
                <w:highlight w:val="none"/>
                <w:lang w:val="en-US" w:eastAsia="zh-CN" w:bidi="ar"/>
              </w:rPr>
              <w:instrText xml:space="preserve"> HYPERLINK "http://acc.mof.gov.cn" </w:instrText>
            </w:r>
            <w:r>
              <w:rPr>
                <w:rFonts w:hint="eastAsia" w:ascii="宋体" w:hAnsi="宋体" w:cs="宋体"/>
                <w:i w:val="0"/>
                <w:iCs w:val="0"/>
                <w:color w:val="auto"/>
                <w:kern w:val="2"/>
                <w:sz w:val="24"/>
                <w:szCs w:val="24"/>
                <w:highlight w:val="none"/>
                <w:lang w:val="en-US" w:eastAsia="zh-CN" w:bidi="ar"/>
              </w:rPr>
              <w:fldChar w:fldCharType="separate"/>
            </w:r>
            <w:r>
              <w:rPr>
                <w:rFonts w:hint="eastAsia" w:ascii="宋体" w:hAnsi="宋体" w:cs="宋体"/>
                <w:i w:val="0"/>
                <w:iCs w:val="0"/>
                <w:color w:val="auto"/>
                <w:kern w:val="2"/>
                <w:sz w:val="24"/>
                <w:szCs w:val="24"/>
                <w:highlight w:val="none"/>
                <w:lang w:val="en-US" w:eastAsia="zh-CN" w:bidi="ar"/>
              </w:rPr>
              <w:t>http://acc.mof.gov.cn</w:t>
            </w:r>
            <w:r>
              <w:rPr>
                <w:rFonts w:hint="eastAsia" w:ascii="宋体" w:hAnsi="宋体" w:cs="宋体"/>
                <w:i w:val="0"/>
                <w:iCs w:val="0"/>
                <w:color w:val="auto"/>
                <w:kern w:val="2"/>
                <w:sz w:val="24"/>
                <w:szCs w:val="24"/>
                <w:highlight w:val="none"/>
                <w:lang w:val="en-US" w:eastAsia="zh-CN" w:bidi="ar"/>
              </w:rPr>
              <w:fldChar w:fldCharType="end"/>
            </w:r>
            <w:r>
              <w:rPr>
                <w:rFonts w:hint="eastAsia" w:ascii="宋体" w:hAnsi="宋体" w:cs="宋体"/>
                <w:i w:val="0"/>
                <w:iCs w:val="0"/>
                <w:color w:val="auto"/>
                <w:kern w:val="2"/>
                <w:sz w:val="24"/>
                <w:szCs w:val="24"/>
                <w:highlight w:val="none"/>
                <w:lang w:val="en-US" w:eastAsia="zh-CN" w:bidi="ar"/>
              </w:rPr>
              <w:t>）取得赋码，未取得赋码的财务报告视为无效。成立不满1年的，提供成立至今经企业自身出具的合法有效的财务报表或银行资信证明即可，不对备案赋码作要求；</w:t>
            </w:r>
          </w:p>
          <w:p w14:paraId="17FF3AF6">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1.4有依法缴纳税收和社会保障资金的良好记录：提供202</w:t>
            </w:r>
            <w:r>
              <w:rPr>
                <w:rFonts w:hint="eastAsia" w:ascii="宋体" w:hAnsi="宋体" w:cs="宋体"/>
                <w:color w:val="auto"/>
                <w:spacing w:val="0"/>
                <w:w w:val="100"/>
                <w:kern w:val="0"/>
                <w:position w:val="0"/>
                <w:sz w:val="24"/>
                <w:szCs w:val="24"/>
                <w:highlight w:val="none"/>
                <w:lang w:val="en-US" w:eastAsia="zh-CN"/>
              </w:rPr>
              <w:t>5</w:t>
            </w:r>
            <w:r>
              <w:rPr>
                <w:rFonts w:hint="eastAsia" w:ascii="宋体" w:hAnsi="宋体" w:eastAsia="宋体" w:cs="宋体"/>
                <w:color w:val="auto"/>
                <w:spacing w:val="0"/>
                <w:w w:val="100"/>
                <w:kern w:val="0"/>
                <w:position w:val="0"/>
                <w:sz w:val="24"/>
                <w:szCs w:val="24"/>
                <w:highlight w:val="none"/>
                <w:lang w:val="en-US" w:eastAsia="zh-CN"/>
              </w:rPr>
              <w:t>年4月至响应文件递交截止时间前任意连续3个月依法缴纳税收和缴纳社会保障资金的证明；成立不足3个月的提供自成立以来依法缴纳税收和缴纳社会保障资金的证明；如依法免税或不需要缴纳社会保障资金的，提供相应文件证明；新成立的企业无需提供；</w:t>
            </w:r>
          </w:p>
          <w:p w14:paraId="4CABF139">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lang w:val="en-US" w:eastAsia="zh-CN"/>
              </w:rPr>
              <w:t>1.5参加政府采购活动前三年内，在经营活动中没有违法记录：供应商须提供参加政府采购活动前3年内在经营活动中没有重大违法记录的书面声明（重大违法记录是指供应商因违法经营受到刑事处罚或者责令停产停业、吊销许可证或者执照、较大数额罚款等行政处罚）（格式自拟）；</w:t>
            </w:r>
          </w:p>
          <w:p w14:paraId="36CE4CB8">
            <w:pPr>
              <w:keepNext w:val="0"/>
              <w:keepLines w:val="0"/>
              <w:pageBreakBefore w:val="0"/>
              <w:widowControl w:val="0"/>
              <w:kinsoku/>
              <w:wordWrap/>
              <w:overflowPunct/>
              <w:topLinePunct w:val="0"/>
              <w:autoSpaceDE/>
              <w:autoSpaceDN/>
              <w:bidi w:val="0"/>
              <w:adjustRightInd/>
              <w:snapToGrid/>
              <w:spacing w:line="408" w:lineRule="auto"/>
              <w:ind w:right="0" w:righ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lang w:val="en-US" w:eastAsia="zh-CN"/>
              </w:rPr>
              <w:t>1.6法律、行政法规规定的其他条件。</w:t>
            </w:r>
          </w:p>
        </w:tc>
      </w:tr>
      <w:tr w14:paraId="3361418A">
        <w:tblPrEx>
          <w:tblCellMar>
            <w:top w:w="0" w:type="dxa"/>
            <w:left w:w="0" w:type="dxa"/>
            <w:bottom w:w="0" w:type="dxa"/>
            <w:right w:w="0" w:type="dxa"/>
          </w:tblCellMar>
        </w:tblPrEx>
        <w:trPr>
          <w:trHeight w:val="46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E7D57BB">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1.4.2</w:t>
            </w:r>
          </w:p>
        </w:tc>
        <w:tc>
          <w:tcPr>
            <w:tcW w:w="2777" w:type="dxa"/>
            <w:tcBorders>
              <w:top w:val="single" w:color="auto" w:sz="8" w:space="0"/>
              <w:left w:val="nil"/>
              <w:bottom w:val="single" w:color="auto" w:sz="8" w:space="0"/>
              <w:right w:val="single" w:color="auto" w:sz="8" w:space="0"/>
            </w:tcBorders>
            <w:vAlign w:val="center"/>
          </w:tcPr>
          <w:p w14:paraId="7FAB183F">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是否接受联合体投标</w:t>
            </w:r>
          </w:p>
        </w:tc>
        <w:tc>
          <w:tcPr>
            <w:tcW w:w="5983" w:type="dxa"/>
            <w:tcBorders>
              <w:top w:val="single" w:color="auto" w:sz="8" w:space="0"/>
              <w:left w:val="nil"/>
              <w:bottom w:val="single" w:color="auto" w:sz="8" w:space="0"/>
              <w:right w:val="single" w:color="auto" w:sz="8" w:space="0"/>
            </w:tcBorders>
            <w:vAlign w:val="bottom"/>
          </w:tcPr>
          <w:p w14:paraId="07DB3AAB">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不接受</w:t>
            </w:r>
          </w:p>
        </w:tc>
      </w:tr>
      <w:tr w14:paraId="52932F05">
        <w:tblPrEx>
          <w:tblCellMar>
            <w:top w:w="0" w:type="dxa"/>
            <w:left w:w="0" w:type="dxa"/>
            <w:bottom w:w="0" w:type="dxa"/>
            <w:right w:w="0" w:type="dxa"/>
          </w:tblCellMar>
        </w:tblPrEx>
        <w:trPr>
          <w:trHeight w:val="46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A542EDF">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1.4.3</w:t>
            </w:r>
          </w:p>
        </w:tc>
        <w:tc>
          <w:tcPr>
            <w:tcW w:w="2777" w:type="dxa"/>
            <w:tcBorders>
              <w:top w:val="single" w:color="auto" w:sz="8" w:space="0"/>
              <w:left w:val="nil"/>
              <w:bottom w:val="single" w:color="auto" w:sz="8" w:space="0"/>
              <w:right w:val="single" w:color="auto" w:sz="8" w:space="0"/>
            </w:tcBorders>
            <w:vAlign w:val="center"/>
          </w:tcPr>
          <w:p w14:paraId="16FEDA3A">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供应商不得存在的其他情形</w:t>
            </w:r>
          </w:p>
        </w:tc>
        <w:tc>
          <w:tcPr>
            <w:tcW w:w="5983" w:type="dxa"/>
            <w:tcBorders>
              <w:top w:val="single" w:color="auto" w:sz="8" w:space="0"/>
              <w:left w:val="nil"/>
              <w:bottom w:val="single" w:color="auto" w:sz="8" w:space="0"/>
              <w:right w:val="single" w:color="auto" w:sz="8" w:space="0"/>
            </w:tcBorders>
            <w:vAlign w:val="bottom"/>
          </w:tcPr>
          <w:p w14:paraId="7377D6FA">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（1）单位负责人为同一人或者存在直接控股、管理关系的不同供应商参加同一合同项下的政府采购活动的。</w:t>
            </w:r>
          </w:p>
          <w:p w14:paraId="6E372BF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（2）为采购项目提供整体设计、规范编制或者项目管理、监理、检测等服务的供应商再参加该采购项目的其他采购活动的。</w:t>
            </w:r>
          </w:p>
        </w:tc>
      </w:tr>
      <w:tr w14:paraId="62ADE123">
        <w:tblPrEx>
          <w:tblCellMar>
            <w:top w:w="0" w:type="dxa"/>
            <w:left w:w="0" w:type="dxa"/>
            <w:bottom w:w="0" w:type="dxa"/>
            <w:right w:w="0" w:type="dxa"/>
          </w:tblCellMar>
        </w:tblPrEx>
        <w:trPr>
          <w:trHeight w:val="436"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467B352B">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1.9</w:t>
            </w:r>
          </w:p>
        </w:tc>
        <w:tc>
          <w:tcPr>
            <w:tcW w:w="2777" w:type="dxa"/>
            <w:tcBorders>
              <w:top w:val="single" w:color="auto" w:sz="8" w:space="0"/>
              <w:left w:val="nil"/>
              <w:bottom w:val="single" w:color="auto" w:sz="8" w:space="0"/>
              <w:right w:val="single" w:color="auto" w:sz="8" w:space="0"/>
            </w:tcBorders>
            <w:vAlign w:val="center"/>
          </w:tcPr>
          <w:p w14:paraId="743BBF9A">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现场踏勘</w:t>
            </w:r>
          </w:p>
        </w:tc>
        <w:tc>
          <w:tcPr>
            <w:tcW w:w="5983" w:type="dxa"/>
            <w:tcBorders>
              <w:top w:val="single" w:color="auto" w:sz="8" w:space="0"/>
              <w:left w:val="nil"/>
              <w:bottom w:val="single" w:color="auto" w:sz="8" w:space="0"/>
              <w:right w:val="single" w:color="auto" w:sz="8" w:space="0"/>
            </w:tcBorders>
            <w:vAlign w:val="center"/>
          </w:tcPr>
          <w:p w14:paraId="1E9EAF08">
            <w:pPr>
              <w:pStyle w:val="10"/>
              <w:topLinePunct/>
              <w:spacing w:line="360" w:lineRule="auto"/>
              <w:rPr>
                <w:rFonts w:hint="eastAsia" w:ascii="宋体" w:hAnsi="宋体" w:eastAsia="宋体" w:cs="宋体"/>
                <w:color w:val="auto"/>
                <w:kern w:val="2"/>
                <w:highlight w:val="none"/>
              </w:rPr>
            </w:pPr>
            <w:r>
              <w:rPr>
                <w:rFonts w:hint="eastAsia" w:ascii="宋体" w:hAnsi="宋体" w:eastAsia="宋体" w:cs="宋体"/>
                <w:color w:val="auto"/>
                <w:kern w:val="2"/>
                <w:highlight w:val="none"/>
              </w:rPr>
              <w:t>不组织</w:t>
            </w:r>
          </w:p>
        </w:tc>
      </w:tr>
      <w:tr w14:paraId="19F9D555">
        <w:tblPrEx>
          <w:tblCellMar>
            <w:top w:w="0" w:type="dxa"/>
            <w:left w:w="0" w:type="dxa"/>
            <w:bottom w:w="0" w:type="dxa"/>
            <w:right w:w="0" w:type="dxa"/>
          </w:tblCellMar>
        </w:tblPrEx>
        <w:trPr>
          <w:trHeight w:val="44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BF9943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1.10</w:t>
            </w:r>
          </w:p>
        </w:tc>
        <w:tc>
          <w:tcPr>
            <w:tcW w:w="2777" w:type="dxa"/>
            <w:tcBorders>
              <w:top w:val="single" w:color="auto" w:sz="8" w:space="0"/>
              <w:left w:val="nil"/>
              <w:bottom w:val="single" w:color="auto" w:sz="8" w:space="0"/>
              <w:right w:val="single" w:color="auto" w:sz="8" w:space="0"/>
            </w:tcBorders>
            <w:vAlign w:val="center"/>
          </w:tcPr>
          <w:p w14:paraId="0C93D156">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开标前答疑会</w:t>
            </w:r>
          </w:p>
        </w:tc>
        <w:tc>
          <w:tcPr>
            <w:tcW w:w="5983" w:type="dxa"/>
            <w:tcBorders>
              <w:top w:val="single" w:color="auto" w:sz="8" w:space="0"/>
              <w:left w:val="nil"/>
              <w:bottom w:val="single" w:color="auto" w:sz="8" w:space="0"/>
              <w:right w:val="single" w:color="auto" w:sz="8" w:space="0"/>
            </w:tcBorders>
            <w:vAlign w:val="center"/>
          </w:tcPr>
          <w:p w14:paraId="31FC77D8">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不召开</w:t>
            </w:r>
          </w:p>
        </w:tc>
      </w:tr>
      <w:tr w14:paraId="349AB7C0">
        <w:tblPrEx>
          <w:tblCellMar>
            <w:top w:w="0" w:type="dxa"/>
            <w:left w:w="0" w:type="dxa"/>
            <w:bottom w:w="0" w:type="dxa"/>
            <w:right w:w="0" w:type="dxa"/>
          </w:tblCellMar>
        </w:tblPrEx>
        <w:trPr>
          <w:trHeight w:val="54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1F355BC">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1.10.3</w:t>
            </w:r>
          </w:p>
        </w:tc>
        <w:tc>
          <w:tcPr>
            <w:tcW w:w="2777" w:type="dxa"/>
            <w:tcBorders>
              <w:top w:val="single" w:color="auto" w:sz="8" w:space="0"/>
              <w:left w:val="nil"/>
              <w:bottom w:val="single" w:color="auto" w:sz="8" w:space="0"/>
              <w:right w:val="single" w:color="auto" w:sz="8" w:space="0"/>
            </w:tcBorders>
            <w:vAlign w:val="center"/>
          </w:tcPr>
          <w:p w14:paraId="3C9A491F">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竞争性磋商文件澄清发出的形式</w:t>
            </w:r>
          </w:p>
        </w:tc>
        <w:tc>
          <w:tcPr>
            <w:tcW w:w="5983" w:type="dxa"/>
            <w:tcBorders>
              <w:top w:val="single" w:color="auto" w:sz="8" w:space="0"/>
              <w:left w:val="nil"/>
              <w:bottom w:val="single" w:color="auto" w:sz="8" w:space="0"/>
              <w:right w:val="single" w:color="auto" w:sz="8" w:space="0"/>
            </w:tcBorders>
            <w:vAlign w:val="center"/>
          </w:tcPr>
          <w:p w14:paraId="50930966">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在原公告发布媒体上发布澄清公告</w:t>
            </w:r>
          </w:p>
        </w:tc>
      </w:tr>
      <w:tr w14:paraId="67630BF8">
        <w:tblPrEx>
          <w:tblCellMar>
            <w:top w:w="0" w:type="dxa"/>
            <w:left w:w="0" w:type="dxa"/>
            <w:bottom w:w="0" w:type="dxa"/>
            <w:right w:w="0" w:type="dxa"/>
          </w:tblCellMar>
        </w:tblPrEx>
        <w:trPr>
          <w:trHeight w:val="97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D6E327D">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1.11.1</w:t>
            </w:r>
          </w:p>
        </w:tc>
        <w:tc>
          <w:tcPr>
            <w:tcW w:w="2777" w:type="dxa"/>
            <w:tcBorders>
              <w:top w:val="single" w:color="auto" w:sz="8" w:space="0"/>
              <w:left w:val="nil"/>
              <w:bottom w:val="single" w:color="auto" w:sz="8" w:space="0"/>
              <w:right w:val="single" w:color="auto" w:sz="8" w:space="0"/>
            </w:tcBorders>
            <w:vAlign w:val="center"/>
          </w:tcPr>
          <w:p w14:paraId="5B0D8A2B">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分包</w:t>
            </w:r>
          </w:p>
        </w:tc>
        <w:tc>
          <w:tcPr>
            <w:tcW w:w="5983" w:type="dxa"/>
            <w:tcBorders>
              <w:top w:val="single" w:color="auto" w:sz="8" w:space="0"/>
              <w:left w:val="nil"/>
              <w:bottom w:val="single" w:color="auto" w:sz="8" w:space="0"/>
              <w:right w:val="single" w:color="auto" w:sz="8" w:space="0"/>
            </w:tcBorders>
            <w:vAlign w:val="center"/>
          </w:tcPr>
          <w:p w14:paraId="3A63D724">
            <w:pPr>
              <w:spacing w:line="360" w:lineRule="auto"/>
              <w:jc w:val="both"/>
              <w:rPr>
                <w:rFonts w:hint="eastAsia" w:ascii="宋体" w:hAnsi="宋体" w:eastAsia="宋体" w:cs="宋体"/>
                <w:highlight w:val="none"/>
                <w:lang w:val="en-US" w:eastAsia="zh-CN"/>
              </w:rPr>
            </w:pPr>
            <w:r>
              <w:rPr>
                <w:rFonts w:hint="eastAsia" w:ascii="宋体" w:hAnsi="宋体" w:cs="宋体"/>
                <w:color w:val="auto"/>
                <w:kern w:val="2"/>
                <w:sz w:val="24"/>
                <w:szCs w:val="24"/>
                <w:highlight w:val="none"/>
                <w:lang w:val="en-US" w:eastAsia="zh-CN"/>
              </w:rPr>
              <w:t>不允许</w:t>
            </w:r>
          </w:p>
        </w:tc>
      </w:tr>
      <w:tr w14:paraId="05E025F7">
        <w:tblPrEx>
          <w:tblCellMar>
            <w:top w:w="0" w:type="dxa"/>
            <w:left w:w="0" w:type="dxa"/>
            <w:bottom w:w="0" w:type="dxa"/>
            <w:right w:w="0" w:type="dxa"/>
          </w:tblCellMar>
        </w:tblPrEx>
        <w:trPr>
          <w:trHeight w:val="543"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4447898">
            <w:pPr>
              <w:spacing w:line="360" w:lineRule="auto"/>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*1.12.1</w:t>
            </w:r>
          </w:p>
        </w:tc>
        <w:tc>
          <w:tcPr>
            <w:tcW w:w="2777" w:type="dxa"/>
            <w:tcBorders>
              <w:top w:val="single" w:color="auto" w:sz="8" w:space="0"/>
              <w:left w:val="nil"/>
              <w:bottom w:val="single" w:color="auto" w:sz="8" w:space="0"/>
              <w:right w:val="single" w:color="auto" w:sz="8" w:space="0"/>
            </w:tcBorders>
            <w:vAlign w:val="center"/>
          </w:tcPr>
          <w:p w14:paraId="35087EF5">
            <w:pPr>
              <w:spacing w:line="360" w:lineRule="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评审实质性要求和条件</w:t>
            </w:r>
          </w:p>
        </w:tc>
        <w:tc>
          <w:tcPr>
            <w:tcW w:w="5983" w:type="dxa"/>
            <w:tcBorders>
              <w:top w:val="single" w:color="auto" w:sz="8" w:space="0"/>
              <w:left w:val="nil"/>
              <w:bottom w:val="single" w:color="auto" w:sz="8" w:space="0"/>
              <w:right w:val="single" w:color="auto" w:sz="8" w:space="0"/>
            </w:tcBorders>
            <w:vAlign w:val="bottom"/>
          </w:tcPr>
          <w:p w14:paraId="395DB8C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具体内容：(1)供应商资格条件</w:t>
            </w:r>
          </w:p>
          <w:p w14:paraId="0B961495">
            <w:pPr>
              <w:spacing w:line="360" w:lineRule="auto"/>
              <w:ind w:firstLine="1200" w:firstLineChars="5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(2)响应文件签署和盖章要求</w:t>
            </w:r>
          </w:p>
          <w:p w14:paraId="1BBFC8FC">
            <w:pPr>
              <w:spacing w:line="360" w:lineRule="auto"/>
              <w:ind w:firstLine="1200" w:firstLineChars="5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(3)磋商报价要求</w:t>
            </w:r>
          </w:p>
          <w:p w14:paraId="776E8CF8">
            <w:pPr>
              <w:spacing w:line="360" w:lineRule="auto"/>
              <w:ind w:firstLine="1200" w:firstLineChars="5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(4)响应文件格式要求</w:t>
            </w:r>
          </w:p>
          <w:p w14:paraId="251F7784">
            <w:pPr>
              <w:spacing w:line="360" w:lineRule="auto"/>
              <w:ind w:firstLine="1200" w:firstLineChars="5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(5)竞争性磋商文件要求必须提交的材料</w:t>
            </w:r>
          </w:p>
        </w:tc>
      </w:tr>
      <w:tr w14:paraId="0245F5EA">
        <w:tblPrEx>
          <w:tblCellMar>
            <w:top w:w="0" w:type="dxa"/>
            <w:left w:w="0" w:type="dxa"/>
            <w:bottom w:w="0" w:type="dxa"/>
            <w:right w:w="0" w:type="dxa"/>
          </w:tblCellMar>
        </w:tblPrEx>
        <w:trPr>
          <w:trHeight w:val="443"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54E12C1">
            <w:pPr>
              <w:spacing w:line="360" w:lineRule="auto"/>
              <w:jc w:val="center"/>
              <w:rPr>
                <w:rFonts w:hint="eastAsia" w:ascii="宋体" w:hAnsi="宋体" w:eastAsia="宋体" w:cs="宋体"/>
                <w:color w:val="auto"/>
                <w:kern w:val="2"/>
                <w:sz w:val="24"/>
                <w:szCs w:val="24"/>
                <w:highlight w:val="none"/>
              </w:rPr>
            </w:pPr>
            <w:bookmarkStart w:id="56" w:name="page17"/>
            <w:bookmarkEnd w:id="56"/>
            <w:r>
              <w:rPr>
                <w:rFonts w:hint="eastAsia" w:ascii="宋体" w:hAnsi="宋体" w:eastAsia="宋体" w:cs="宋体"/>
                <w:color w:val="auto"/>
                <w:kern w:val="2"/>
                <w:sz w:val="24"/>
                <w:szCs w:val="24"/>
                <w:highlight w:val="none"/>
              </w:rPr>
              <w:t>1.12.3</w:t>
            </w:r>
          </w:p>
        </w:tc>
        <w:tc>
          <w:tcPr>
            <w:tcW w:w="2777" w:type="dxa"/>
            <w:tcBorders>
              <w:top w:val="single" w:color="auto" w:sz="8" w:space="0"/>
              <w:left w:val="nil"/>
              <w:bottom w:val="single" w:color="auto" w:sz="8" w:space="0"/>
              <w:right w:val="single" w:color="auto" w:sz="8" w:space="0"/>
            </w:tcBorders>
            <w:vAlign w:val="bottom"/>
          </w:tcPr>
          <w:p w14:paraId="52437778">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其他可以被接受的技术支持资料</w:t>
            </w:r>
          </w:p>
        </w:tc>
        <w:tc>
          <w:tcPr>
            <w:tcW w:w="5983" w:type="dxa"/>
            <w:tcBorders>
              <w:top w:val="single" w:color="auto" w:sz="8" w:space="0"/>
              <w:left w:val="nil"/>
              <w:bottom w:val="single" w:color="auto" w:sz="8" w:space="0"/>
              <w:right w:val="single" w:color="auto" w:sz="8" w:space="0"/>
            </w:tcBorders>
            <w:vAlign w:val="center"/>
          </w:tcPr>
          <w:p w14:paraId="7307007E">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w:t>
            </w:r>
          </w:p>
        </w:tc>
      </w:tr>
      <w:tr w14:paraId="424EEBD3">
        <w:tblPrEx>
          <w:tblCellMar>
            <w:top w:w="0" w:type="dxa"/>
            <w:left w:w="0" w:type="dxa"/>
            <w:bottom w:w="0" w:type="dxa"/>
            <w:right w:w="0" w:type="dxa"/>
          </w:tblCellMar>
        </w:tblPrEx>
        <w:trPr>
          <w:trHeight w:val="317" w:hRule="atLeast"/>
          <w:jc w:val="center"/>
        </w:trPr>
        <w:tc>
          <w:tcPr>
            <w:tcW w:w="1122" w:type="dxa"/>
            <w:vMerge w:val="restart"/>
            <w:tcBorders>
              <w:top w:val="nil"/>
              <w:left w:val="single" w:color="auto" w:sz="8" w:space="0"/>
              <w:bottom w:val="single" w:color="auto" w:sz="8" w:space="0"/>
              <w:right w:val="single" w:color="auto" w:sz="8" w:space="0"/>
            </w:tcBorders>
            <w:vAlign w:val="center"/>
          </w:tcPr>
          <w:p w14:paraId="724A6D56">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2.2.1</w:t>
            </w:r>
          </w:p>
        </w:tc>
        <w:tc>
          <w:tcPr>
            <w:tcW w:w="2777" w:type="dxa"/>
            <w:vMerge w:val="restart"/>
            <w:tcBorders>
              <w:top w:val="nil"/>
              <w:left w:val="nil"/>
              <w:bottom w:val="single" w:color="auto" w:sz="8" w:space="0"/>
              <w:right w:val="single" w:color="auto" w:sz="8" w:space="0"/>
            </w:tcBorders>
            <w:vAlign w:val="center"/>
          </w:tcPr>
          <w:p w14:paraId="505AC42C">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供应商要求澄清竞争性磋商文件</w:t>
            </w:r>
          </w:p>
        </w:tc>
        <w:tc>
          <w:tcPr>
            <w:tcW w:w="5983" w:type="dxa"/>
            <w:tcBorders>
              <w:top w:val="single" w:color="auto" w:sz="8" w:space="0"/>
              <w:left w:val="nil"/>
              <w:bottom w:val="single" w:color="auto" w:sz="8" w:space="0"/>
              <w:right w:val="single" w:color="auto" w:sz="8" w:space="0"/>
            </w:tcBorders>
            <w:vAlign w:val="center"/>
          </w:tcPr>
          <w:p w14:paraId="63E41F47">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时间：在供应商收到竞争性磋商文件之日起七个工作日内</w:t>
            </w:r>
          </w:p>
        </w:tc>
      </w:tr>
      <w:tr w14:paraId="2EAC641F">
        <w:tblPrEx>
          <w:tblCellMar>
            <w:top w:w="0" w:type="dxa"/>
            <w:left w:w="0" w:type="dxa"/>
            <w:bottom w:w="0" w:type="dxa"/>
            <w:right w:w="0" w:type="dxa"/>
          </w:tblCellMar>
        </w:tblPrEx>
        <w:trPr>
          <w:trHeight w:val="317" w:hRule="atLeast"/>
          <w:jc w:val="center"/>
        </w:trPr>
        <w:tc>
          <w:tcPr>
            <w:tcW w:w="1122" w:type="dxa"/>
            <w:vMerge w:val="continue"/>
            <w:tcBorders>
              <w:top w:val="nil"/>
              <w:left w:val="single" w:color="auto" w:sz="8" w:space="0"/>
              <w:bottom w:val="single" w:color="auto" w:sz="8" w:space="0"/>
              <w:right w:val="single" w:color="auto" w:sz="8" w:space="0"/>
            </w:tcBorders>
            <w:vAlign w:val="center"/>
          </w:tcPr>
          <w:p w14:paraId="40896853">
            <w:pPr>
              <w:spacing w:line="360" w:lineRule="auto"/>
              <w:rPr>
                <w:rFonts w:hint="eastAsia" w:ascii="宋体" w:hAnsi="宋体" w:eastAsia="宋体" w:cs="宋体"/>
                <w:color w:val="auto"/>
                <w:kern w:val="2"/>
                <w:sz w:val="24"/>
                <w:szCs w:val="24"/>
                <w:highlight w:val="none"/>
              </w:rPr>
            </w:pPr>
          </w:p>
        </w:tc>
        <w:tc>
          <w:tcPr>
            <w:tcW w:w="2777" w:type="dxa"/>
            <w:vMerge w:val="continue"/>
            <w:tcBorders>
              <w:top w:val="nil"/>
              <w:left w:val="nil"/>
              <w:bottom w:val="single" w:color="auto" w:sz="8" w:space="0"/>
              <w:right w:val="single" w:color="auto" w:sz="8" w:space="0"/>
            </w:tcBorders>
            <w:vAlign w:val="center"/>
          </w:tcPr>
          <w:p w14:paraId="4E78884F">
            <w:pPr>
              <w:spacing w:line="360" w:lineRule="auto"/>
              <w:rPr>
                <w:rFonts w:hint="eastAsia" w:ascii="宋体" w:hAnsi="宋体" w:eastAsia="宋体" w:cs="宋体"/>
                <w:color w:val="auto"/>
                <w:kern w:val="2"/>
                <w:sz w:val="24"/>
                <w:szCs w:val="24"/>
                <w:highlight w:val="none"/>
              </w:rPr>
            </w:pPr>
          </w:p>
        </w:tc>
        <w:tc>
          <w:tcPr>
            <w:tcW w:w="5983" w:type="dxa"/>
            <w:tcBorders>
              <w:top w:val="single" w:color="auto" w:sz="8" w:space="0"/>
              <w:left w:val="nil"/>
              <w:bottom w:val="single" w:color="auto" w:sz="8" w:space="0"/>
              <w:right w:val="single" w:color="auto" w:sz="8" w:space="0"/>
            </w:tcBorders>
            <w:vAlign w:val="center"/>
          </w:tcPr>
          <w:p w14:paraId="11E5E80E">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形式：书面形式</w:t>
            </w:r>
          </w:p>
        </w:tc>
      </w:tr>
      <w:tr w14:paraId="5D90C112">
        <w:tblPrEx>
          <w:tblCellMar>
            <w:top w:w="0" w:type="dxa"/>
            <w:left w:w="0" w:type="dxa"/>
            <w:bottom w:w="0" w:type="dxa"/>
            <w:right w:w="0" w:type="dxa"/>
          </w:tblCellMar>
        </w:tblPrEx>
        <w:trPr>
          <w:trHeight w:val="559"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7EBE9B6D">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2.2.2</w:t>
            </w:r>
          </w:p>
        </w:tc>
        <w:tc>
          <w:tcPr>
            <w:tcW w:w="2777" w:type="dxa"/>
            <w:tcBorders>
              <w:top w:val="single" w:color="auto" w:sz="8" w:space="0"/>
              <w:left w:val="nil"/>
              <w:bottom w:val="single" w:color="auto" w:sz="8" w:space="0"/>
              <w:right w:val="single" w:color="auto" w:sz="8" w:space="0"/>
            </w:tcBorders>
            <w:vAlign w:val="center"/>
          </w:tcPr>
          <w:p w14:paraId="2FB0A9C2">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竞争性磋商文件澄清发出的形式</w:t>
            </w:r>
          </w:p>
        </w:tc>
        <w:tc>
          <w:tcPr>
            <w:tcW w:w="5983" w:type="dxa"/>
            <w:tcBorders>
              <w:top w:val="single" w:color="auto" w:sz="8" w:space="0"/>
              <w:left w:val="nil"/>
              <w:bottom w:val="single" w:color="auto" w:sz="8" w:space="0"/>
              <w:right w:val="single" w:color="auto" w:sz="8" w:space="0"/>
            </w:tcBorders>
            <w:vAlign w:val="center"/>
          </w:tcPr>
          <w:p w14:paraId="54CE6BC3">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在原公告发布媒体上发布澄清公告</w:t>
            </w:r>
          </w:p>
        </w:tc>
      </w:tr>
      <w:tr w14:paraId="7FAED9C3">
        <w:tblPrEx>
          <w:tblCellMar>
            <w:top w:w="0" w:type="dxa"/>
            <w:left w:w="0" w:type="dxa"/>
            <w:bottom w:w="0" w:type="dxa"/>
            <w:right w:w="0" w:type="dxa"/>
          </w:tblCellMar>
        </w:tblPrEx>
        <w:trPr>
          <w:trHeight w:val="306" w:hRule="atLeast"/>
          <w:jc w:val="center"/>
        </w:trPr>
        <w:tc>
          <w:tcPr>
            <w:tcW w:w="1122" w:type="dxa"/>
            <w:vMerge w:val="restart"/>
            <w:tcBorders>
              <w:top w:val="nil"/>
              <w:left w:val="single" w:color="auto" w:sz="8" w:space="0"/>
              <w:bottom w:val="single" w:color="auto" w:sz="8" w:space="0"/>
              <w:right w:val="single" w:color="auto" w:sz="8" w:space="0"/>
            </w:tcBorders>
            <w:vAlign w:val="center"/>
          </w:tcPr>
          <w:p w14:paraId="4C55675B">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2.2.3</w:t>
            </w:r>
          </w:p>
        </w:tc>
        <w:tc>
          <w:tcPr>
            <w:tcW w:w="2777" w:type="dxa"/>
            <w:vMerge w:val="restart"/>
            <w:tcBorders>
              <w:top w:val="nil"/>
              <w:left w:val="nil"/>
              <w:bottom w:val="single" w:color="auto" w:sz="8" w:space="0"/>
              <w:right w:val="single" w:color="auto" w:sz="8" w:space="0"/>
            </w:tcBorders>
            <w:vAlign w:val="center"/>
          </w:tcPr>
          <w:p w14:paraId="51DDAEC5">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供应商确认收到竞争性磋商文件澄清</w:t>
            </w:r>
          </w:p>
        </w:tc>
        <w:tc>
          <w:tcPr>
            <w:tcW w:w="5983" w:type="dxa"/>
            <w:tcBorders>
              <w:top w:val="single" w:color="auto" w:sz="8" w:space="0"/>
              <w:left w:val="nil"/>
              <w:bottom w:val="single" w:color="auto" w:sz="8" w:space="0"/>
              <w:right w:val="single" w:color="auto" w:sz="8" w:space="0"/>
            </w:tcBorders>
            <w:vAlign w:val="center"/>
          </w:tcPr>
          <w:p w14:paraId="5E083256">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时间：24小时内</w:t>
            </w:r>
          </w:p>
        </w:tc>
      </w:tr>
      <w:tr w14:paraId="67C4E074">
        <w:tblPrEx>
          <w:tblCellMar>
            <w:top w:w="0" w:type="dxa"/>
            <w:left w:w="0" w:type="dxa"/>
            <w:bottom w:w="0" w:type="dxa"/>
            <w:right w:w="0" w:type="dxa"/>
          </w:tblCellMar>
        </w:tblPrEx>
        <w:trPr>
          <w:trHeight w:val="306" w:hRule="atLeast"/>
          <w:jc w:val="center"/>
        </w:trPr>
        <w:tc>
          <w:tcPr>
            <w:tcW w:w="1122" w:type="dxa"/>
            <w:vMerge w:val="continue"/>
            <w:tcBorders>
              <w:top w:val="nil"/>
              <w:left w:val="single" w:color="auto" w:sz="8" w:space="0"/>
              <w:bottom w:val="single" w:color="auto" w:sz="8" w:space="0"/>
              <w:right w:val="single" w:color="auto" w:sz="8" w:space="0"/>
            </w:tcBorders>
            <w:vAlign w:val="center"/>
          </w:tcPr>
          <w:p w14:paraId="3FDC30A5">
            <w:pPr>
              <w:spacing w:line="360" w:lineRule="auto"/>
              <w:rPr>
                <w:rFonts w:hint="eastAsia" w:ascii="宋体" w:hAnsi="宋体" w:eastAsia="宋体" w:cs="宋体"/>
                <w:color w:val="auto"/>
                <w:kern w:val="2"/>
                <w:sz w:val="24"/>
                <w:szCs w:val="24"/>
                <w:highlight w:val="none"/>
              </w:rPr>
            </w:pPr>
          </w:p>
        </w:tc>
        <w:tc>
          <w:tcPr>
            <w:tcW w:w="2777" w:type="dxa"/>
            <w:vMerge w:val="continue"/>
            <w:tcBorders>
              <w:top w:val="nil"/>
              <w:left w:val="nil"/>
              <w:bottom w:val="single" w:color="auto" w:sz="8" w:space="0"/>
              <w:right w:val="single" w:color="auto" w:sz="8" w:space="0"/>
            </w:tcBorders>
            <w:vAlign w:val="center"/>
          </w:tcPr>
          <w:p w14:paraId="7DA7212D">
            <w:pPr>
              <w:spacing w:line="360" w:lineRule="auto"/>
              <w:rPr>
                <w:rFonts w:hint="eastAsia" w:ascii="宋体" w:hAnsi="宋体" w:eastAsia="宋体" w:cs="宋体"/>
                <w:color w:val="auto"/>
                <w:kern w:val="2"/>
                <w:sz w:val="24"/>
                <w:szCs w:val="24"/>
                <w:highlight w:val="none"/>
              </w:rPr>
            </w:pPr>
          </w:p>
        </w:tc>
        <w:tc>
          <w:tcPr>
            <w:tcW w:w="5983" w:type="dxa"/>
            <w:tcBorders>
              <w:top w:val="single" w:color="auto" w:sz="8" w:space="0"/>
              <w:left w:val="nil"/>
              <w:bottom w:val="single" w:color="auto" w:sz="8" w:space="0"/>
              <w:right w:val="single" w:color="auto" w:sz="8" w:space="0"/>
            </w:tcBorders>
            <w:vAlign w:val="center"/>
          </w:tcPr>
          <w:p w14:paraId="0DF3650B">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形式：书面形式</w:t>
            </w:r>
          </w:p>
        </w:tc>
      </w:tr>
      <w:tr w14:paraId="66473B5C">
        <w:tblPrEx>
          <w:tblCellMar>
            <w:top w:w="0" w:type="dxa"/>
            <w:left w:w="0" w:type="dxa"/>
            <w:bottom w:w="0" w:type="dxa"/>
            <w:right w:w="0" w:type="dxa"/>
          </w:tblCellMar>
        </w:tblPrEx>
        <w:trPr>
          <w:trHeight w:val="559"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7F4EB04">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2.3.1</w:t>
            </w:r>
          </w:p>
        </w:tc>
        <w:tc>
          <w:tcPr>
            <w:tcW w:w="2777" w:type="dxa"/>
            <w:tcBorders>
              <w:top w:val="single" w:color="auto" w:sz="8" w:space="0"/>
              <w:left w:val="nil"/>
              <w:bottom w:val="single" w:color="auto" w:sz="8" w:space="0"/>
              <w:right w:val="single" w:color="auto" w:sz="8" w:space="0"/>
            </w:tcBorders>
            <w:vAlign w:val="center"/>
          </w:tcPr>
          <w:p w14:paraId="3936F5A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竞争性磋商文件修改发出的形式</w:t>
            </w:r>
          </w:p>
        </w:tc>
        <w:tc>
          <w:tcPr>
            <w:tcW w:w="5983" w:type="dxa"/>
            <w:tcBorders>
              <w:top w:val="single" w:color="auto" w:sz="8" w:space="0"/>
              <w:left w:val="nil"/>
              <w:bottom w:val="single" w:color="auto" w:sz="8" w:space="0"/>
              <w:right w:val="single" w:color="auto" w:sz="8" w:space="0"/>
            </w:tcBorders>
            <w:vAlign w:val="center"/>
          </w:tcPr>
          <w:p w14:paraId="4EC5AFCB">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在原公告发布媒体上发布澄清公告</w:t>
            </w:r>
          </w:p>
        </w:tc>
      </w:tr>
      <w:tr w14:paraId="3656B96C">
        <w:tblPrEx>
          <w:tblCellMar>
            <w:top w:w="0" w:type="dxa"/>
            <w:left w:w="0" w:type="dxa"/>
            <w:bottom w:w="0" w:type="dxa"/>
            <w:right w:w="0" w:type="dxa"/>
          </w:tblCellMar>
        </w:tblPrEx>
        <w:trPr>
          <w:trHeight w:val="306" w:hRule="atLeast"/>
          <w:jc w:val="center"/>
        </w:trPr>
        <w:tc>
          <w:tcPr>
            <w:tcW w:w="1122" w:type="dxa"/>
            <w:vMerge w:val="restart"/>
            <w:tcBorders>
              <w:top w:val="nil"/>
              <w:left w:val="single" w:color="auto" w:sz="8" w:space="0"/>
              <w:bottom w:val="single" w:color="auto" w:sz="8" w:space="0"/>
              <w:right w:val="single" w:color="auto" w:sz="8" w:space="0"/>
            </w:tcBorders>
            <w:vAlign w:val="center"/>
          </w:tcPr>
          <w:p w14:paraId="4D4449F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2.3.2</w:t>
            </w:r>
          </w:p>
        </w:tc>
        <w:tc>
          <w:tcPr>
            <w:tcW w:w="2777" w:type="dxa"/>
            <w:vMerge w:val="restart"/>
            <w:tcBorders>
              <w:top w:val="nil"/>
              <w:left w:val="nil"/>
              <w:bottom w:val="single" w:color="auto" w:sz="8" w:space="0"/>
              <w:right w:val="single" w:color="auto" w:sz="8" w:space="0"/>
            </w:tcBorders>
            <w:vAlign w:val="center"/>
          </w:tcPr>
          <w:p w14:paraId="1FB9D84C">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供应商确认收到竞争性磋商文件修改</w:t>
            </w:r>
          </w:p>
        </w:tc>
        <w:tc>
          <w:tcPr>
            <w:tcW w:w="5983" w:type="dxa"/>
            <w:tcBorders>
              <w:top w:val="single" w:color="auto" w:sz="8" w:space="0"/>
              <w:left w:val="nil"/>
              <w:bottom w:val="single" w:color="auto" w:sz="8" w:space="0"/>
              <w:right w:val="single" w:color="auto" w:sz="8" w:space="0"/>
            </w:tcBorders>
            <w:vAlign w:val="center"/>
          </w:tcPr>
          <w:p w14:paraId="462FD597">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时间：24小时内</w:t>
            </w:r>
          </w:p>
        </w:tc>
      </w:tr>
      <w:tr w14:paraId="204B329F">
        <w:tblPrEx>
          <w:tblCellMar>
            <w:top w:w="0" w:type="dxa"/>
            <w:left w:w="0" w:type="dxa"/>
            <w:bottom w:w="0" w:type="dxa"/>
            <w:right w:w="0" w:type="dxa"/>
          </w:tblCellMar>
        </w:tblPrEx>
        <w:trPr>
          <w:trHeight w:val="306" w:hRule="atLeast"/>
          <w:jc w:val="center"/>
        </w:trPr>
        <w:tc>
          <w:tcPr>
            <w:tcW w:w="1122" w:type="dxa"/>
            <w:vMerge w:val="continue"/>
            <w:tcBorders>
              <w:top w:val="nil"/>
              <w:left w:val="single" w:color="auto" w:sz="8" w:space="0"/>
              <w:bottom w:val="single" w:color="auto" w:sz="8" w:space="0"/>
              <w:right w:val="single" w:color="auto" w:sz="8" w:space="0"/>
            </w:tcBorders>
            <w:vAlign w:val="center"/>
          </w:tcPr>
          <w:p w14:paraId="726A545B">
            <w:pPr>
              <w:spacing w:line="360" w:lineRule="auto"/>
              <w:rPr>
                <w:rFonts w:hint="eastAsia" w:ascii="宋体" w:hAnsi="宋体" w:eastAsia="宋体" w:cs="宋体"/>
                <w:color w:val="auto"/>
                <w:kern w:val="2"/>
                <w:sz w:val="24"/>
                <w:szCs w:val="24"/>
                <w:highlight w:val="none"/>
              </w:rPr>
            </w:pPr>
          </w:p>
        </w:tc>
        <w:tc>
          <w:tcPr>
            <w:tcW w:w="2777" w:type="dxa"/>
            <w:vMerge w:val="continue"/>
            <w:tcBorders>
              <w:top w:val="nil"/>
              <w:left w:val="nil"/>
              <w:bottom w:val="single" w:color="auto" w:sz="8" w:space="0"/>
              <w:right w:val="single" w:color="auto" w:sz="8" w:space="0"/>
            </w:tcBorders>
            <w:vAlign w:val="center"/>
          </w:tcPr>
          <w:p w14:paraId="0ECF17C1">
            <w:pPr>
              <w:spacing w:line="360" w:lineRule="auto"/>
              <w:rPr>
                <w:rFonts w:hint="eastAsia" w:ascii="宋体" w:hAnsi="宋体" w:eastAsia="宋体" w:cs="宋体"/>
                <w:color w:val="auto"/>
                <w:kern w:val="2"/>
                <w:sz w:val="24"/>
                <w:szCs w:val="24"/>
                <w:highlight w:val="none"/>
              </w:rPr>
            </w:pPr>
          </w:p>
        </w:tc>
        <w:tc>
          <w:tcPr>
            <w:tcW w:w="5983" w:type="dxa"/>
            <w:tcBorders>
              <w:top w:val="single" w:color="auto" w:sz="8" w:space="0"/>
              <w:left w:val="nil"/>
              <w:bottom w:val="single" w:color="auto" w:sz="8" w:space="0"/>
              <w:right w:val="single" w:color="auto" w:sz="8" w:space="0"/>
            </w:tcBorders>
            <w:vAlign w:val="center"/>
          </w:tcPr>
          <w:p w14:paraId="5FA9CAE1">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形式：书面形式</w:t>
            </w:r>
          </w:p>
        </w:tc>
      </w:tr>
      <w:tr w14:paraId="2D151B83">
        <w:tblPrEx>
          <w:tblCellMar>
            <w:top w:w="0" w:type="dxa"/>
            <w:left w:w="0" w:type="dxa"/>
            <w:bottom w:w="0" w:type="dxa"/>
            <w:right w:w="0" w:type="dxa"/>
          </w:tblCellMar>
        </w:tblPrEx>
        <w:trPr>
          <w:trHeight w:val="58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59BF2669">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3.2.3</w:t>
            </w:r>
          </w:p>
        </w:tc>
        <w:tc>
          <w:tcPr>
            <w:tcW w:w="2777" w:type="dxa"/>
            <w:tcBorders>
              <w:top w:val="single" w:color="auto" w:sz="8" w:space="0"/>
              <w:left w:val="nil"/>
              <w:bottom w:val="single" w:color="auto" w:sz="8" w:space="0"/>
              <w:right w:val="single" w:color="auto" w:sz="8" w:space="0"/>
            </w:tcBorders>
            <w:vAlign w:val="center"/>
          </w:tcPr>
          <w:p w14:paraId="3D640E6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最高限价</w:t>
            </w:r>
          </w:p>
        </w:tc>
        <w:tc>
          <w:tcPr>
            <w:tcW w:w="5983" w:type="dxa"/>
            <w:tcBorders>
              <w:top w:val="single" w:color="auto" w:sz="8" w:space="0"/>
              <w:left w:val="nil"/>
              <w:bottom w:val="single" w:color="auto" w:sz="8" w:space="0"/>
              <w:right w:val="single" w:color="auto" w:sz="8" w:space="0"/>
            </w:tcBorders>
            <w:vAlign w:val="center"/>
          </w:tcPr>
          <w:p w14:paraId="5EE7EFB4">
            <w:pPr>
              <w:pStyle w:val="112"/>
              <w:spacing w:line="360" w:lineRule="auto"/>
              <w:rPr>
                <w:rFonts w:hint="eastAsia" w:ascii="宋体" w:hAnsi="宋体" w:eastAsia="宋体" w:cs="宋体"/>
                <w:color w:val="auto"/>
                <w:kern w:val="2"/>
                <w:sz w:val="24"/>
                <w:szCs w:val="24"/>
                <w:highlight w:val="none"/>
              </w:rPr>
            </w:pPr>
            <w:r>
              <w:rPr>
                <w:rFonts w:hint="eastAsia" w:ascii="宋体" w:hAnsi="宋体" w:cs="宋体"/>
                <w:bCs/>
                <w:color w:val="auto"/>
                <w:sz w:val="24"/>
                <w:szCs w:val="24"/>
                <w:highlight w:val="none"/>
                <w:lang w:val="en-US" w:eastAsia="zh-CN"/>
              </w:rPr>
              <w:t>63.00</w:t>
            </w:r>
            <w:r>
              <w:rPr>
                <w:rFonts w:hint="eastAsia" w:ascii="宋体" w:hAnsi="宋体" w:eastAsia="宋体" w:cs="宋体"/>
                <w:bCs/>
                <w:color w:val="auto"/>
                <w:sz w:val="24"/>
                <w:szCs w:val="24"/>
                <w:highlight w:val="none"/>
              </w:rPr>
              <w:t>万元</w:t>
            </w:r>
          </w:p>
        </w:tc>
      </w:tr>
      <w:tr w14:paraId="0EBBAEB6">
        <w:tblPrEx>
          <w:tblCellMar>
            <w:top w:w="0" w:type="dxa"/>
            <w:left w:w="0" w:type="dxa"/>
            <w:bottom w:w="0" w:type="dxa"/>
            <w:right w:w="0" w:type="dxa"/>
          </w:tblCellMar>
        </w:tblPrEx>
        <w:trPr>
          <w:trHeight w:val="827"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5C581634">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3.2.4</w:t>
            </w:r>
          </w:p>
        </w:tc>
        <w:tc>
          <w:tcPr>
            <w:tcW w:w="2777" w:type="dxa"/>
            <w:tcBorders>
              <w:top w:val="single" w:color="auto" w:sz="8" w:space="0"/>
              <w:left w:val="nil"/>
              <w:bottom w:val="single" w:color="auto" w:sz="8" w:space="0"/>
              <w:right w:val="single" w:color="auto" w:sz="8" w:space="0"/>
            </w:tcBorders>
            <w:vAlign w:val="center"/>
          </w:tcPr>
          <w:p w14:paraId="3DCEE73C">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磋商报价的其他要求</w:t>
            </w:r>
          </w:p>
        </w:tc>
        <w:tc>
          <w:tcPr>
            <w:tcW w:w="5983" w:type="dxa"/>
            <w:tcBorders>
              <w:top w:val="single" w:color="auto" w:sz="8" w:space="0"/>
              <w:left w:val="nil"/>
              <w:bottom w:val="single" w:color="auto" w:sz="8" w:space="0"/>
              <w:right w:val="single" w:color="auto" w:sz="8" w:space="0"/>
            </w:tcBorders>
            <w:vAlign w:val="center"/>
          </w:tcPr>
          <w:p w14:paraId="4E36AC21">
            <w:pPr>
              <w:pStyle w:val="112"/>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rPr>
              <w:t>)供应商应承担所有与参加磋商有关的自身的所有费用，不论采购的结果如何，采购代理机构和采购人在任何情况下均无义务和责任承担这些费用。</w:t>
            </w:r>
          </w:p>
          <w:p w14:paraId="34ED8A2C">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w:t>
            </w:r>
            <w:r>
              <w:rPr>
                <w:rFonts w:hint="eastAsia" w:ascii="宋体" w:hAnsi="宋体" w:eastAsia="宋体" w:cs="宋体"/>
                <w:color w:val="auto"/>
                <w:sz w:val="24"/>
                <w:szCs w:val="24"/>
                <w:highlight w:val="none"/>
              </w:rPr>
              <w:t>招标代理服务费依据</w:t>
            </w:r>
            <w:r>
              <w:rPr>
                <w:rFonts w:hint="eastAsia" w:ascii="宋体" w:hAnsi="宋体"/>
                <w:kern w:val="2"/>
                <w:sz w:val="24"/>
                <w:szCs w:val="24"/>
                <w:highlight w:val="none"/>
              </w:rPr>
              <w:t>参</w:t>
            </w:r>
            <w:r>
              <w:rPr>
                <w:rFonts w:hint="eastAsia" w:ascii="宋体" w:hAnsi="宋体" w:eastAsia="Times New Roman"/>
                <w:kern w:val="2"/>
                <w:sz w:val="24"/>
                <w:szCs w:val="24"/>
                <w:highlight w:val="none"/>
              </w:rPr>
              <w:t>照</w:t>
            </w:r>
            <w:r>
              <w:rPr>
                <w:rFonts w:hint="eastAsia" w:ascii="宋体" w:hAnsi="宋体" w:eastAsia="宋体"/>
                <w:kern w:val="2"/>
                <w:sz w:val="24"/>
                <w:szCs w:val="24"/>
                <w:highlight w:val="none"/>
                <w:lang w:eastAsia="zh-CN"/>
              </w:rPr>
              <w:t>《云南省建设工程招标代理服务收费参考意见》的通知云建招协〔2024〕58号</w:t>
            </w:r>
            <w:r>
              <w:rPr>
                <w:rFonts w:hint="eastAsia" w:ascii="宋体" w:hAnsi="宋体" w:eastAsia="宋体" w:cs="宋体"/>
                <w:color w:val="auto"/>
                <w:sz w:val="24"/>
                <w:szCs w:val="24"/>
                <w:highlight w:val="none"/>
              </w:rPr>
              <w:t>的规定,经与招标人协商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招标代理单位向成交人收取，成交人在领取成交通知书之前，成交人须向本项目代理机构缴纳招标代理费等相关费用</w:t>
            </w:r>
            <w:r>
              <w:rPr>
                <w:rFonts w:hint="eastAsia" w:ascii="宋体" w:hAnsi="宋体" w:eastAsia="宋体" w:cs="宋体"/>
                <w:color w:val="auto"/>
                <w:kern w:val="2"/>
                <w:sz w:val="24"/>
                <w:szCs w:val="24"/>
                <w:highlight w:val="none"/>
              </w:rPr>
              <w:t>。</w:t>
            </w:r>
          </w:p>
          <w:p w14:paraId="7C9827A2">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)成交人应按相关规定缴纳其他各项费用。</w:t>
            </w:r>
          </w:p>
        </w:tc>
      </w:tr>
      <w:tr w14:paraId="62966A5B">
        <w:tblPrEx>
          <w:tblCellMar>
            <w:top w:w="0" w:type="dxa"/>
            <w:left w:w="0" w:type="dxa"/>
            <w:bottom w:w="0" w:type="dxa"/>
            <w:right w:w="0" w:type="dxa"/>
          </w:tblCellMar>
        </w:tblPrEx>
        <w:trPr>
          <w:trHeight w:val="333"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09A58BF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3.3.1</w:t>
            </w:r>
          </w:p>
        </w:tc>
        <w:tc>
          <w:tcPr>
            <w:tcW w:w="2777" w:type="dxa"/>
            <w:tcBorders>
              <w:top w:val="single" w:color="auto" w:sz="8" w:space="0"/>
              <w:left w:val="nil"/>
              <w:bottom w:val="single" w:color="auto" w:sz="8" w:space="0"/>
              <w:right w:val="single" w:color="auto" w:sz="8" w:space="0"/>
            </w:tcBorders>
            <w:vAlign w:val="center"/>
          </w:tcPr>
          <w:p w14:paraId="6540188D">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磋商有效期</w:t>
            </w:r>
          </w:p>
        </w:tc>
        <w:tc>
          <w:tcPr>
            <w:tcW w:w="5983" w:type="dxa"/>
            <w:tcBorders>
              <w:top w:val="single" w:color="auto" w:sz="8" w:space="0"/>
              <w:left w:val="nil"/>
              <w:bottom w:val="single" w:color="auto" w:sz="8" w:space="0"/>
              <w:right w:val="single" w:color="auto" w:sz="8" w:space="0"/>
            </w:tcBorders>
            <w:vAlign w:val="center"/>
          </w:tcPr>
          <w:p w14:paraId="584B9499">
            <w:pPr>
              <w:pStyle w:val="112"/>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sz w:val="24"/>
                <w:highlight w:val="none"/>
              </w:rPr>
              <w:t>开标之日起90天</w:t>
            </w:r>
          </w:p>
        </w:tc>
      </w:tr>
      <w:tr w14:paraId="3D000807">
        <w:tblPrEx>
          <w:tblCellMar>
            <w:top w:w="0" w:type="dxa"/>
            <w:left w:w="0" w:type="dxa"/>
            <w:bottom w:w="0" w:type="dxa"/>
            <w:right w:w="0" w:type="dxa"/>
          </w:tblCellMar>
        </w:tblPrEx>
        <w:trPr>
          <w:trHeight w:val="90" w:hRule="atLeast"/>
          <w:jc w:val="center"/>
        </w:trPr>
        <w:tc>
          <w:tcPr>
            <w:tcW w:w="1122" w:type="dxa"/>
            <w:tcBorders>
              <w:top w:val="single" w:color="auto" w:sz="8" w:space="0"/>
              <w:left w:val="single" w:color="auto" w:sz="8" w:space="0"/>
              <w:bottom w:val="single" w:color="auto" w:sz="8" w:space="0"/>
              <w:right w:val="single" w:color="auto" w:sz="8" w:space="0"/>
            </w:tcBorders>
            <w:shd w:val="clear" w:color="auto" w:fill="auto"/>
            <w:vAlign w:val="center"/>
          </w:tcPr>
          <w:p w14:paraId="47D899B1">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3.4.1</w:t>
            </w:r>
          </w:p>
        </w:tc>
        <w:tc>
          <w:tcPr>
            <w:tcW w:w="2777" w:type="dxa"/>
            <w:tcBorders>
              <w:top w:val="single" w:color="auto" w:sz="8" w:space="0"/>
              <w:left w:val="nil"/>
              <w:bottom w:val="single" w:color="auto" w:sz="8" w:space="0"/>
              <w:right w:val="single" w:color="auto" w:sz="8" w:space="0"/>
            </w:tcBorders>
            <w:shd w:val="clear" w:color="auto" w:fill="auto"/>
            <w:vAlign w:val="center"/>
          </w:tcPr>
          <w:p w14:paraId="19A7F42C">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磋商保证金</w:t>
            </w:r>
          </w:p>
        </w:tc>
        <w:tc>
          <w:tcPr>
            <w:tcW w:w="5983" w:type="dxa"/>
            <w:tcBorders>
              <w:top w:val="single" w:color="auto" w:sz="8" w:space="0"/>
              <w:left w:val="nil"/>
              <w:bottom w:val="single" w:color="auto" w:sz="8" w:space="0"/>
              <w:right w:val="single" w:color="auto" w:sz="8" w:space="0"/>
            </w:tcBorders>
            <w:shd w:val="clear" w:color="auto" w:fill="auto"/>
          </w:tcPr>
          <w:p w14:paraId="2CFD4CBA">
            <w:pPr>
              <w:spacing w:line="360" w:lineRule="auto"/>
              <w:rPr>
                <w:rFonts w:hint="eastAsia" w:ascii="宋体" w:hAnsi="宋体" w:eastAsia="宋体" w:cs="宋体"/>
                <w:color w:val="auto"/>
                <w:kern w:val="2"/>
                <w:highlight w:val="none"/>
              </w:rPr>
            </w:pPr>
            <w:r>
              <w:rPr>
                <w:rFonts w:hint="eastAsia" w:ascii="宋体" w:hAnsi="宋体" w:eastAsia="宋体" w:cs="宋体"/>
                <w:color w:val="auto"/>
                <w:sz w:val="24"/>
                <w:szCs w:val="24"/>
                <w:highlight w:val="none"/>
                <w:lang w:val="en-US" w:eastAsia="zh-CN"/>
              </w:rPr>
              <w:t>本项目不要求递交磋商保证金。</w:t>
            </w:r>
            <w:r>
              <w:rPr>
                <w:rFonts w:hint="eastAsia" w:ascii="宋体" w:hAnsi="宋体" w:eastAsia="宋体" w:cs="宋体"/>
                <w:b/>
                <w:bCs/>
                <w:color w:val="auto"/>
                <w:sz w:val="24"/>
                <w:szCs w:val="24"/>
                <w:highlight w:val="none"/>
                <w:lang w:val="en-US" w:eastAsia="zh-CN"/>
              </w:rPr>
              <w:t>（根据《云南省人民政府关于印发2024年进一步推动经济稳进提质政策措施的通知》云政发〔2024〕7号文件，对依法必须招标且招标的金额在1000万元以下（含1000万元）的政府投资项目，免于收取无失信记录企业的投标保证金）。</w:t>
            </w:r>
          </w:p>
        </w:tc>
      </w:tr>
      <w:tr w14:paraId="588FCA01">
        <w:tblPrEx>
          <w:tblCellMar>
            <w:top w:w="0" w:type="dxa"/>
            <w:left w:w="0" w:type="dxa"/>
            <w:bottom w:w="0" w:type="dxa"/>
            <w:right w:w="0" w:type="dxa"/>
          </w:tblCellMar>
        </w:tblPrEx>
        <w:trPr>
          <w:trHeight w:val="406"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9673E19">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4.2.1</w:t>
            </w:r>
          </w:p>
        </w:tc>
        <w:tc>
          <w:tcPr>
            <w:tcW w:w="2777" w:type="dxa"/>
            <w:tcBorders>
              <w:top w:val="single" w:color="auto" w:sz="8" w:space="0"/>
              <w:left w:val="nil"/>
              <w:bottom w:val="single" w:color="auto" w:sz="8" w:space="0"/>
              <w:right w:val="single" w:color="auto" w:sz="8" w:space="0"/>
            </w:tcBorders>
            <w:vAlign w:val="center"/>
          </w:tcPr>
          <w:p w14:paraId="171F9D1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响应文件提交截止时间</w:t>
            </w:r>
          </w:p>
        </w:tc>
        <w:tc>
          <w:tcPr>
            <w:tcW w:w="5983" w:type="dxa"/>
            <w:tcBorders>
              <w:top w:val="single" w:color="auto" w:sz="8" w:space="0"/>
              <w:left w:val="nil"/>
              <w:bottom w:val="single" w:color="auto" w:sz="8" w:space="0"/>
              <w:right w:val="single" w:color="auto" w:sz="8" w:space="0"/>
            </w:tcBorders>
            <w:vAlign w:val="center"/>
          </w:tcPr>
          <w:p w14:paraId="20B34846">
            <w:pPr>
              <w:pStyle w:val="18"/>
              <w:keepNext w:val="0"/>
              <w:keepLines w:val="0"/>
              <w:pageBreakBefore w:val="0"/>
              <w:kinsoku/>
              <w:wordWrap/>
              <w:overflowPunct/>
              <w:topLinePunct w:val="0"/>
              <w:bidi w:val="0"/>
              <w:adjustRightInd/>
              <w:snapToGrid/>
              <w:spacing w:line="240" w:lineRule="auto"/>
              <w:ind w:left="0"/>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hAnsi="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hAnsi="宋体"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月</w:t>
            </w:r>
            <w:r>
              <w:rPr>
                <w:rFonts w:hint="eastAsia" w:hAnsi="宋体" w:cs="宋体"/>
                <w:color w:val="auto"/>
                <w:sz w:val="24"/>
                <w:szCs w:val="24"/>
                <w:highlight w:val="none"/>
                <w:u w:val="single"/>
                <w:lang w:val="en-US" w:eastAsia="zh-CN"/>
              </w:rPr>
              <w:t>19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tc>
      </w:tr>
      <w:tr w14:paraId="1BD04E79">
        <w:tblPrEx>
          <w:tblCellMar>
            <w:top w:w="0" w:type="dxa"/>
            <w:left w:w="0" w:type="dxa"/>
            <w:bottom w:w="0" w:type="dxa"/>
            <w:right w:w="0" w:type="dxa"/>
          </w:tblCellMar>
        </w:tblPrEx>
        <w:trPr>
          <w:trHeight w:val="82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8B2DFFB">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4.2.2</w:t>
            </w:r>
          </w:p>
        </w:tc>
        <w:tc>
          <w:tcPr>
            <w:tcW w:w="2777" w:type="dxa"/>
            <w:tcBorders>
              <w:top w:val="single" w:color="auto" w:sz="8" w:space="0"/>
              <w:left w:val="nil"/>
              <w:bottom w:val="single" w:color="auto" w:sz="8" w:space="0"/>
              <w:right w:val="single" w:color="auto" w:sz="8" w:space="0"/>
            </w:tcBorders>
            <w:vAlign w:val="center"/>
          </w:tcPr>
          <w:p w14:paraId="3DB143E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递交响应文件时间及地点</w:t>
            </w:r>
          </w:p>
        </w:tc>
        <w:tc>
          <w:tcPr>
            <w:tcW w:w="5983" w:type="dxa"/>
            <w:tcBorders>
              <w:top w:val="single" w:color="auto" w:sz="8" w:space="0"/>
              <w:left w:val="nil"/>
              <w:bottom w:val="single" w:color="auto" w:sz="8" w:space="0"/>
              <w:right w:val="single" w:color="auto" w:sz="8" w:space="0"/>
            </w:tcBorders>
            <w:vAlign w:val="center"/>
          </w:tcPr>
          <w:p w14:paraId="6DD602D2">
            <w:pPr>
              <w:pStyle w:val="18"/>
              <w:keepNext w:val="0"/>
              <w:keepLines w:val="0"/>
              <w:pageBreakBefore w:val="0"/>
              <w:kinsoku/>
              <w:wordWrap/>
              <w:overflowPunct/>
              <w:topLinePunct w:val="0"/>
              <w:bidi w:val="0"/>
              <w:adjustRightInd/>
              <w:snapToGrid/>
              <w:spacing w:line="240" w:lineRule="auto"/>
              <w:ind w:lef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hAnsi="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hAnsi="宋体"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月</w:t>
            </w:r>
            <w:r>
              <w:rPr>
                <w:rFonts w:hint="eastAsia" w:hAnsi="宋体" w:cs="宋体"/>
                <w:color w:val="auto"/>
                <w:sz w:val="24"/>
                <w:szCs w:val="24"/>
                <w:highlight w:val="none"/>
                <w:u w:val="single"/>
                <w:lang w:val="en-US" w:eastAsia="zh-CN"/>
              </w:rPr>
              <w:t>19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p w14:paraId="699AA562">
            <w:pPr>
              <w:spacing w:line="360" w:lineRule="auto"/>
              <w:ind w:left="720" w:hanging="720" w:hangingChars="3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en-US" w:eastAsia="zh-CN"/>
              </w:rPr>
              <w:t>政府采购云平台（https://www.zcygov.cn/）</w:t>
            </w:r>
          </w:p>
        </w:tc>
      </w:tr>
      <w:tr w14:paraId="747A54FA">
        <w:tblPrEx>
          <w:tblCellMar>
            <w:top w:w="0" w:type="dxa"/>
            <w:left w:w="0" w:type="dxa"/>
            <w:bottom w:w="0" w:type="dxa"/>
            <w:right w:w="0" w:type="dxa"/>
          </w:tblCellMar>
        </w:tblPrEx>
        <w:trPr>
          <w:trHeight w:val="619"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0EE057C1">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5.2(4)</w:t>
            </w:r>
          </w:p>
        </w:tc>
        <w:tc>
          <w:tcPr>
            <w:tcW w:w="2777" w:type="dxa"/>
            <w:tcBorders>
              <w:top w:val="single" w:color="auto" w:sz="8" w:space="0"/>
              <w:left w:val="nil"/>
              <w:bottom w:val="single" w:color="auto" w:sz="8" w:space="0"/>
              <w:right w:val="single" w:color="auto" w:sz="8" w:space="0"/>
            </w:tcBorders>
            <w:vAlign w:val="center"/>
          </w:tcPr>
          <w:p w14:paraId="5C2DE7BB">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开标程序</w:t>
            </w:r>
          </w:p>
        </w:tc>
        <w:tc>
          <w:tcPr>
            <w:tcW w:w="5983" w:type="dxa"/>
            <w:tcBorders>
              <w:top w:val="single" w:color="auto" w:sz="8" w:space="0"/>
              <w:left w:val="nil"/>
              <w:bottom w:val="single" w:color="auto" w:sz="8" w:space="0"/>
              <w:right w:val="single" w:color="auto" w:sz="8" w:space="0"/>
            </w:tcBorders>
            <w:vAlign w:val="center"/>
          </w:tcPr>
          <w:p w14:paraId="40123134">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开标顺序：随机开启</w:t>
            </w:r>
          </w:p>
        </w:tc>
      </w:tr>
      <w:tr w14:paraId="7D2240CF">
        <w:tblPrEx>
          <w:tblCellMar>
            <w:top w:w="0" w:type="dxa"/>
            <w:left w:w="0" w:type="dxa"/>
            <w:bottom w:w="0" w:type="dxa"/>
            <w:right w:w="0" w:type="dxa"/>
          </w:tblCellMar>
        </w:tblPrEx>
        <w:trPr>
          <w:trHeight w:val="490"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237CF4A0">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7.1.1</w:t>
            </w:r>
          </w:p>
        </w:tc>
        <w:tc>
          <w:tcPr>
            <w:tcW w:w="2777" w:type="dxa"/>
            <w:tcBorders>
              <w:top w:val="single" w:color="auto" w:sz="8" w:space="0"/>
              <w:left w:val="nil"/>
              <w:bottom w:val="single" w:color="auto" w:sz="8" w:space="0"/>
              <w:right w:val="single" w:color="auto" w:sz="8" w:space="0"/>
            </w:tcBorders>
            <w:vAlign w:val="center"/>
          </w:tcPr>
          <w:p w14:paraId="4EF3D387">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磋商小组的组建</w:t>
            </w:r>
          </w:p>
        </w:tc>
        <w:tc>
          <w:tcPr>
            <w:tcW w:w="5983" w:type="dxa"/>
            <w:tcBorders>
              <w:top w:val="single" w:color="auto" w:sz="8" w:space="0"/>
              <w:left w:val="nil"/>
              <w:bottom w:val="single" w:color="auto" w:sz="8" w:space="0"/>
              <w:right w:val="single" w:color="auto" w:sz="8" w:space="0"/>
            </w:tcBorders>
            <w:vAlign w:val="center"/>
          </w:tcPr>
          <w:p w14:paraId="04C78D9A">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磋商小组由采购人代表和评审专家共3人以上单数组成，其中评审专家人数不得少于磋商小组成员总数的2/3。</w:t>
            </w:r>
          </w:p>
          <w:p w14:paraId="2FA78583">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评标专家确定方式：在云南省政府采购评审专家库内相关专业的专家名单中随机抽取。</w:t>
            </w:r>
          </w:p>
        </w:tc>
      </w:tr>
      <w:tr w14:paraId="7A54926C">
        <w:tblPrEx>
          <w:tblCellMar>
            <w:top w:w="0" w:type="dxa"/>
            <w:left w:w="0" w:type="dxa"/>
            <w:bottom w:w="0" w:type="dxa"/>
            <w:right w:w="0" w:type="dxa"/>
          </w:tblCellMar>
        </w:tblPrEx>
        <w:trPr>
          <w:trHeight w:val="865"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33EC9638">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7.3.2</w:t>
            </w:r>
          </w:p>
        </w:tc>
        <w:tc>
          <w:tcPr>
            <w:tcW w:w="2777" w:type="dxa"/>
            <w:tcBorders>
              <w:top w:val="single" w:color="auto" w:sz="8" w:space="0"/>
              <w:left w:val="nil"/>
              <w:bottom w:val="single" w:color="auto" w:sz="8" w:space="0"/>
              <w:right w:val="single" w:color="auto" w:sz="8" w:space="0"/>
            </w:tcBorders>
            <w:vAlign w:val="center"/>
          </w:tcPr>
          <w:p w14:paraId="51B45462">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磋商小组推荐中标候选人的人数</w:t>
            </w:r>
          </w:p>
        </w:tc>
        <w:tc>
          <w:tcPr>
            <w:tcW w:w="5983" w:type="dxa"/>
            <w:tcBorders>
              <w:top w:val="single" w:color="auto" w:sz="8" w:space="0"/>
              <w:left w:val="nil"/>
              <w:bottom w:val="single" w:color="auto" w:sz="8" w:space="0"/>
              <w:right w:val="single" w:color="auto" w:sz="8" w:space="0"/>
            </w:tcBorders>
            <w:vAlign w:val="center"/>
          </w:tcPr>
          <w:p w14:paraId="43697F7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1-3名</w:t>
            </w:r>
          </w:p>
        </w:tc>
      </w:tr>
      <w:tr w14:paraId="6E850C11">
        <w:tblPrEx>
          <w:tblCellMar>
            <w:top w:w="0" w:type="dxa"/>
            <w:left w:w="0" w:type="dxa"/>
            <w:bottom w:w="0" w:type="dxa"/>
            <w:right w:w="0" w:type="dxa"/>
          </w:tblCellMar>
        </w:tblPrEx>
        <w:trPr>
          <w:trHeight w:val="827"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178F7181">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8.1</w:t>
            </w:r>
          </w:p>
        </w:tc>
        <w:tc>
          <w:tcPr>
            <w:tcW w:w="2777" w:type="dxa"/>
            <w:tcBorders>
              <w:top w:val="single" w:color="auto" w:sz="8" w:space="0"/>
              <w:left w:val="nil"/>
              <w:bottom w:val="single" w:color="auto" w:sz="8" w:space="0"/>
              <w:right w:val="single" w:color="auto" w:sz="8" w:space="0"/>
            </w:tcBorders>
            <w:vAlign w:val="center"/>
          </w:tcPr>
          <w:p w14:paraId="7E31FDF7">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是否授权磋商小组确定成交人</w:t>
            </w:r>
          </w:p>
        </w:tc>
        <w:tc>
          <w:tcPr>
            <w:tcW w:w="5983" w:type="dxa"/>
            <w:tcBorders>
              <w:top w:val="single" w:color="auto" w:sz="8" w:space="0"/>
              <w:left w:val="nil"/>
              <w:bottom w:val="single" w:color="auto" w:sz="8" w:space="0"/>
              <w:right w:val="single" w:color="auto" w:sz="8" w:space="0"/>
            </w:tcBorders>
            <w:vAlign w:val="center"/>
          </w:tcPr>
          <w:p w14:paraId="3C526BD4">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否</w:t>
            </w:r>
          </w:p>
        </w:tc>
      </w:tr>
      <w:tr w14:paraId="28218DB5">
        <w:tblPrEx>
          <w:tblCellMar>
            <w:top w:w="0" w:type="dxa"/>
            <w:left w:w="0" w:type="dxa"/>
            <w:bottom w:w="0" w:type="dxa"/>
            <w:right w:w="0" w:type="dxa"/>
          </w:tblCellMar>
        </w:tblPrEx>
        <w:trPr>
          <w:trHeight w:val="846"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0D6282EE">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8.2</w:t>
            </w:r>
          </w:p>
        </w:tc>
        <w:tc>
          <w:tcPr>
            <w:tcW w:w="2777" w:type="dxa"/>
            <w:tcBorders>
              <w:top w:val="single" w:color="auto" w:sz="8" w:space="0"/>
              <w:left w:val="nil"/>
              <w:bottom w:val="single" w:color="auto" w:sz="8" w:space="0"/>
              <w:right w:val="single" w:color="auto" w:sz="8" w:space="0"/>
            </w:tcBorders>
            <w:vAlign w:val="center"/>
          </w:tcPr>
          <w:p w14:paraId="23718CCB">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中标公告媒介及期限</w:t>
            </w:r>
          </w:p>
        </w:tc>
        <w:tc>
          <w:tcPr>
            <w:tcW w:w="5983" w:type="dxa"/>
            <w:tcBorders>
              <w:top w:val="single" w:color="auto" w:sz="8" w:space="0"/>
              <w:left w:val="nil"/>
              <w:bottom w:val="single" w:color="auto" w:sz="8" w:space="0"/>
              <w:right w:val="single" w:color="auto" w:sz="8" w:space="0"/>
            </w:tcBorders>
            <w:vAlign w:val="center"/>
          </w:tcPr>
          <w:p w14:paraId="1D9CEED3">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公告媒介：</w:t>
            </w:r>
            <w:r>
              <w:rPr>
                <w:rFonts w:hint="eastAsia" w:ascii="宋体" w:hAnsi="宋体" w:eastAsia="宋体" w:cs="宋体"/>
                <w:color w:val="auto"/>
                <w:sz w:val="24"/>
                <w:szCs w:val="24"/>
                <w:highlight w:val="none"/>
              </w:rPr>
              <w:t>同竞争性磋商公告媒介相同；</w:t>
            </w:r>
          </w:p>
          <w:p w14:paraId="08823E7D">
            <w:pPr>
              <w:spacing w:line="360" w:lineRule="auto"/>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rPr>
              <w:t>公告期限：</w:t>
            </w:r>
            <w:r>
              <w:rPr>
                <w:rFonts w:hint="eastAsia" w:ascii="宋体" w:hAnsi="宋体" w:eastAsia="宋体" w:cs="宋体"/>
                <w:color w:val="auto"/>
                <w:kern w:val="2"/>
                <w:sz w:val="24"/>
                <w:szCs w:val="24"/>
                <w:highlight w:val="none"/>
                <w:u w:val="single"/>
              </w:rPr>
              <w:t xml:space="preserve">  1  </w:t>
            </w:r>
            <w:r>
              <w:rPr>
                <w:rFonts w:hint="eastAsia" w:ascii="宋体" w:hAnsi="宋体" w:eastAsia="宋体" w:cs="宋体"/>
                <w:color w:val="auto"/>
                <w:kern w:val="2"/>
                <w:sz w:val="24"/>
                <w:szCs w:val="24"/>
                <w:highlight w:val="none"/>
              </w:rPr>
              <w:t>工作日</w:t>
            </w:r>
          </w:p>
        </w:tc>
      </w:tr>
      <w:tr w14:paraId="4CCF238A">
        <w:tblPrEx>
          <w:tblCellMar>
            <w:top w:w="0" w:type="dxa"/>
            <w:left w:w="0" w:type="dxa"/>
            <w:bottom w:w="0" w:type="dxa"/>
            <w:right w:w="0" w:type="dxa"/>
          </w:tblCellMar>
        </w:tblPrEx>
        <w:trPr>
          <w:trHeight w:val="767"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2AA07A86">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8.5.1</w:t>
            </w:r>
          </w:p>
        </w:tc>
        <w:tc>
          <w:tcPr>
            <w:tcW w:w="2777" w:type="dxa"/>
            <w:tcBorders>
              <w:top w:val="single" w:color="auto" w:sz="8" w:space="0"/>
              <w:left w:val="nil"/>
              <w:bottom w:val="single" w:color="auto" w:sz="8" w:space="0"/>
              <w:right w:val="single" w:color="auto" w:sz="8" w:space="0"/>
            </w:tcBorders>
            <w:vAlign w:val="center"/>
          </w:tcPr>
          <w:p w14:paraId="79E1E9D0">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履约保证金</w:t>
            </w:r>
          </w:p>
        </w:tc>
        <w:tc>
          <w:tcPr>
            <w:tcW w:w="5983" w:type="dxa"/>
            <w:tcBorders>
              <w:top w:val="single" w:color="auto" w:sz="8" w:space="0"/>
              <w:left w:val="nil"/>
              <w:bottom w:val="single" w:color="auto" w:sz="8" w:space="0"/>
              <w:right w:val="single" w:color="auto" w:sz="8" w:space="0"/>
            </w:tcBorders>
            <w:vAlign w:val="center"/>
          </w:tcPr>
          <w:p w14:paraId="068BD4CB">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rPr>
              <w:t>无</w:t>
            </w:r>
          </w:p>
        </w:tc>
      </w:tr>
      <w:tr w14:paraId="5DFC629D">
        <w:tblPrEx>
          <w:tblCellMar>
            <w:top w:w="0" w:type="dxa"/>
            <w:left w:w="0" w:type="dxa"/>
            <w:bottom w:w="0" w:type="dxa"/>
            <w:right w:w="0" w:type="dxa"/>
          </w:tblCellMar>
        </w:tblPrEx>
        <w:trPr>
          <w:trHeight w:val="625"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1A193008">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10</w:t>
            </w:r>
          </w:p>
        </w:tc>
        <w:tc>
          <w:tcPr>
            <w:tcW w:w="2777" w:type="dxa"/>
            <w:tcBorders>
              <w:top w:val="single" w:color="auto" w:sz="8" w:space="0"/>
              <w:left w:val="nil"/>
              <w:bottom w:val="single" w:color="auto" w:sz="8" w:space="0"/>
              <w:right w:val="single" w:color="auto" w:sz="8" w:space="0"/>
            </w:tcBorders>
            <w:vAlign w:val="center"/>
          </w:tcPr>
          <w:p w14:paraId="01B45DF9">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是否采用电子招标投标</w:t>
            </w:r>
          </w:p>
        </w:tc>
        <w:tc>
          <w:tcPr>
            <w:tcW w:w="5983" w:type="dxa"/>
            <w:tcBorders>
              <w:top w:val="single" w:color="auto" w:sz="8" w:space="0"/>
              <w:left w:val="nil"/>
              <w:bottom w:val="single" w:color="auto" w:sz="8" w:space="0"/>
              <w:right w:val="single" w:color="auto" w:sz="8" w:space="0"/>
            </w:tcBorders>
            <w:vAlign w:val="center"/>
          </w:tcPr>
          <w:p w14:paraId="1EE35849">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否，具体详见“注意事项”及竞争性磋商文件中要求</w:t>
            </w:r>
          </w:p>
        </w:tc>
      </w:tr>
      <w:tr w14:paraId="50225F7B">
        <w:tblPrEx>
          <w:tblCellMar>
            <w:top w:w="0" w:type="dxa"/>
            <w:left w:w="0" w:type="dxa"/>
            <w:bottom w:w="0" w:type="dxa"/>
            <w:right w:w="0" w:type="dxa"/>
          </w:tblCellMar>
        </w:tblPrEx>
        <w:trPr>
          <w:trHeight w:val="634"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6A89B27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w:t>
            </w:r>
          </w:p>
        </w:tc>
        <w:tc>
          <w:tcPr>
            <w:tcW w:w="8760" w:type="dxa"/>
            <w:gridSpan w:val="2"/>
            <w:tcBorders>
              <w:top w:val="single" w:color="auto" w:sz="8" w:space="0"/>
              <w:left w:val="nil"/>
              <w:bottom w:val="single" w:color="auto" w:sz="8" w:space="0"/>
              <w:right w:val="single" w:color="auto" w:sz="8" w:space="0"/>
            </w:tcBorders>
            <w:vAlign w:val="center"/>
          </w:tcPr>
          <w:p w14:paraId="5807ACEA">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需要补充的其他内容如下：</w:t>
            </w:r>
          </w:p>
        </w:tc>
      </w:tr>
      <w:tr w14:paraId="4F7B9DE8">
        <w:tblPrEx>
          <w:tblCellMar>
            <w:top w:w="0" w:type="dxa"/>
            <w:left w:w="0" w:type="dxa"/>
            <w:bottom w:w="0" w:type="dxa"/>
            <w:right w:w="0" w:type="dxa"/>
          </w:tblCellMar>
        </w:tblPrEx>
        <w:trPr>
          <w:trHeight w:val="548" w:hRule="atLeast"/>
          <w:jc w:val="center"/>
        </w:trPr>
        <w:tc>
          <w:tcPr>
            <w:tcW w:w="1122" w:type="dxa"/>
            <w:tcBorders>
              <w:top w:val="single" w:color="auto" w:sz="8" w:space="0"/>
              <w:left w:val="single" w:color="auto" w:sz="8" w:space="0"/>
              <w:bottom w:val="single" w:color="auto" w:sz="8" w:space="0"/>
              <w:right w:val="single" w:color="auto" w:sz="8" w:space="0"/>
            </w:tcBorders>
            <w:vAlign w:val="center"/>
          </w:tcPr>
          <w:p w14:paraId="0C9384FE">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11.1</w:t>
            </w:r>
          </w:p>
        </w:tc>
        <w:tc>
          <w:tcPr>
            <w:tcW w:w="2777" w:type="dxa"/>
            <w:tcBorders>
              <w:top w:val="single" w:color="auto" w:sz="8" w:space="0"/>
              <w:left w:val="nil"/>
              <w:bottom w:val="single" w:color="auto" w:sz="8" w:space="0"/>
              <w:right w:val="single" w:color="auto" w:sz="8" w:space="0"/>
            </w:tcBorders>
            <w:vAlign w:val="center"/>
          </w:tcPr>
          <w:p w14:paraId="24436278">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评标方法</w:t>
            </w:r>
          </w:p>
        </w:tc>
        <w:tc>
          <w:tcPr>
            <w:tcW w:w="5983" w:type="dxa"/>
            <w:tcBorders>
              <w:top w:val="single" w:color="auto" w:sz="8" w:space="0"/>
              <w:left w:val="nil"/>
              <w:bottom w:val="single" w:color="auto" w:sz="8" w:space="0"/>
              <w:right w:val="single" w:color="auto" w:sz="8" w:space="0"/>
            </w:tcBorders>
            <w:vAlign w:val="center"/>
          </w:tcPr>
          <w:p w14:paraId="72266EED">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综合评分法</w:t>
            </w:r>
          </w:p>
        </w:tc>
      </w:tr>
    </w:tbl>
    <w:p w14:paraId="43FF1598">
      <w:pPr>
        <w:rPr>
          <w:rFonts w:hint="eastAsia" w:ascii="宋体" w:hAnsi="宋体" w:eastAsia="宋体" w:cs="宋体"/>
          <w:color w:val="auto"/>
          <w:szCs w:val="28"/>
          <w:highlight w:val="none"/>
        </w:rPr>
      </w:pPr>
      <w:r>
        <w:rPr>
          <w:rFonts w:hint="eastAsia" w:ascii="宋体" w:hAnsi="宋体" w:eastAsia="宋体" w:cs="宋体"/>
          <w:color w:val="auto"/>
          <w:szCs w:val="28"/>
          <w:highlight w:val="none"/>
        </w:rPr>
        <w:br w:type="page"/>
      </w:r>
    </w:p>
    <w:p w14:paraId="40C9DC37">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r>
        <w:rPr>
          <w:rFonts w:hint="eastAsia" w:ascii="宋体" w:hAnsi="宋体" w:eastAsia="宋体" w:cs="宋体"/>
          <w:color w:val="auto"/>
          <w:szCs w:val="28"/>
          <w:highlight w:val="none"/>
        </w:rPr>
        <w:t>一、总  则</w:t>
      </w:r>
      <w:bookmarkEnd w:id="48"/>
      <w:bookmarkEnd w:id="49"/>
      <w:bookmarkEnd w:id="50"/>
      <w:bookmarkEnd w:id="51"/>
      <w:bookmarkEnd w:id="52"/>
      <w:bookmarkEnd w:id="53"/>
      <w:bookmarkEnd w:id="54"/>
      <w:bookmarkEnd w:id="55"/>
    </w:p>
    <w:p w14:paraId="4605DCF9">
      <w:pPr>
        <w:pStyle w:val="18"/>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1.采购人、采购代理机构、项目名称及项目编号，详见竞争性磋商文件“磋商须知前附表”。</w:t>
      </w:r>
    </w:p>
    <w:p w14:paraId="6031202A">
      <w:pPr>
        <w:pStyle w:val="18"/>
        <w:keepNext w:val="0"/>
        <w:keepLines w:val="0"/>
        <w:pageBreakBefore w:val="0"/>
        <w:widowControl w:val="0"/>
        <w:kinsoku/>
        <w:wordWrap/>
        <w:overflowPunct/>
        <w:topLinePunct w:val="0"/>
        <w:autoSpaceDE/>
        <w:autoSpaceDN/>
        <w:bidi w:val="0"/>
        <w:adjustRightInd/>
        <w:snapToGrid/>
        <w:spacing w:line="360" w:lineRule="auto"/>
        <w:ind w:left="0" w:hanging="243" w:hangingChars="101"/>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2.资金来源</w:t>
      </w:r>
    </w:p>
    <w:p w14:paraId="191DDFEF">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2.1</w:t>
      </w:r>
      <w:r>
        <w:rPr>
          <w:rFonts w:hint="eastAsia" w:ascii="宋体" w:hAnsi="宋体" w:eastAsia="宋体" w:cs="宋体"/>
          <w:color w:val="auto"/>
          <w:sz w:val="24"/>
          <w:szCs w:val="24"/>
          <w:highlight w:val="none"/>
          <w:lang w:val="en-US" w:eastAsia="zh-CN"/>
        </w:rPr>
        <w:t>财政资金，</w:t>
      </w:r>
      <w:r>
        <w:rPr>
          <w:rFonts w:hint="eastAsia" w:ascii="宋体" w:hAnsi="宋体" w:eastAsia="宋体" w:cs="宋体"/>
          <w:bCs/>
          <w:color w:val="auto"/>
          <w:sz w:val="24"/>
          <w:szCs w:val="24"/>
          <w:highlight w:val="none"/>
        </w:rPr>
        <w:t>采购人已落实资金。</w:t>
      </w:r>
    </w:p>
    <w:p w14:paraId="7583EEE1">
      <w:pPr>
        <w:pStyle w:val="18"/>
        <w:keepNext w:val="0"/>
        <w:keepLines w:val="0"/>
        <w:pageBreakBefore w:val="0"/>
        <w:widowControl w:val="0"/>
        <w:kinsoku/>
        <w:wordWrap/>
        <w:overflowPunct/>
        <w:topLinePunct w:val="0"/>
        <w:autoSpaceDE/>
        <w:autoSpaceDN/>
        <w:bidi w:val="0"/>
        <w:adjustRightInd/>
        <w:snapToGrid/>
        <w:spacing w:line="360" w:lineRule="auto"/>
        <w:ind w:left="0" w:hanging="243" w:hangingChars="101"/>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3.采购范围</w:t>
      </w:r>
    </w:p>
    <w:p w14:paraId="32C9CE89">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3.1本项目</w:t>
      </w: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内容：见“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674BC0A1">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3.2本项目</w:t>
      </w:r>
      <w:r>
        <w:rPr>
          <w:rFonts w:hint="eastAsia" w:ascii="宋体" w:hAnsi="宋体" w:eastAsia="宋体" w:cs="宋体"/>
          <w:color w:val="auto"/>
          <w:sz w:val="24"/>
          <w:szCs w:val="24"/>
          <w:highlight w:val="none"/>
          <w:lang w:eastAsia="zh-CN"/>
        </w:rPr>
        <w:t>合同履行期限</w:t>
      </w:r>
      <w:r>
        <w:rPr>
          <w:rFonts w:hint="eastAsia" w:ascii="宋体" w:hAnsi="宋体" w:eastAsia="宋体" w:cs="宋体"/>
          <w:color w:val="auto"/>
          <w:sz w:val="24"/>
          <w:szCs w:val="24"/>
          <w:highlight w:val="none"/>
        </w:rPr>
        <w:t>：见“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3614BBAE">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lang w:eastAsia="zh-CN"/>
        </w:rPr>
        <w:t>地点</w:t>
      </w:r>
      <w:r>
        <w:rPr>
          <w:rFonts w:hint="eastAsia" w:ascii="宋体" w:hAnsi="宋体" w:eastAsia="宋体" w:cs="宋体"/>
          <w:color w:val="auto"/>
          <w:sz w:val="24"/>
          <w:szCs w:val="24"/>
          <w:highlight w:val="none"/>
        </w:rPr>
        <w:t>：见“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09459A66">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3.4服务质量：见“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10B713E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4.合格的供应商</w:t>
      </w:r>
    </w:p>
    <w:p w14:paraId="7069F419">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4.1供应商应符合竞争性磋商文件“</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”中规定的条件。</w:t>
      </w:r>
    </w:p>
    <w:p w14:paraId="57C3BE3F">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4.2供应商不得直接或间接地与为本次</w:t>
      </w: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 xml:space="preserve">服务的采购人或其附属机构有任何关联。 </w:t>
      </w:r>
    </w:p>
    <w:p w14:paraId="422B87B8">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4.3本项目不接受联合体磋商。</w:t>
      </w:r>
    </w:p>
    <w:p w14:paraId="3E21CDFC">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5.磋商费用</w:t>
      </w:r>
    </w:p>
    <w:p w14:paraId="6F4F8F71">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w:t>
      </w:r>
      <w:r>
        <w:rPr>
          <w:rFonts w:hint="eastAsia" w:ascii="宋体" w:hAnsi="宋体" w:eastAsia="宋体" w:cs="宋体"/>
          <w:color w:val="auto"/>
          <w:sz w:val="24"/>
          <w:szCs w:val="24"/>
          <w:highlight w:val="none"/>
        </w:rPr>
        <w:t>准备和参加</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活动发生的费用自理，不论</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的结果如何，</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在任何情况下均无义务和责任承担这些费用；</w:t>
      </w:r>
    </w:p>
    <w:p w14:paraId="34D9A11C">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w:t>
      </w:r>
      <w:r>
        <w:rPr>
          <w:rFonts w:hint="eastAsia" w:ascii="宋体" w:hAnsi="宋体" w:eastAsia="宋体" w:cs="宋体"/>
          <w:color w:val="auto"/>
          <w:sz w:val="24"/>
          <w:szCs w:val="24"/>
          <w:highlight w:val="none"/>
        </w:rPr>
        <w:t>应按“</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w:t>
      </w:r>
      <w:r>
        <w:rPr>
          <w:rFonts w:hint="eastAsia" w:ascii="宋体" w:hAnsi="宋体" w:eastAsia="宋体" w:cs="宋体"/>
          <w:color w:val="auto"/>
          <w:sz w:val="24"/>
          <w:szCs w:val="24"/>
          <w:highlight w:val="none"/>
        </w:rPr>
        <w:t>须知前附表”中的规定支付</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代理服务费。</w:t>
      </w:r>
    </w:p>
    <w:p w14:paraId="2AD9FF26">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bookmarkStart w:id="57" w:name="_Toc10749"/>
      <w:bookmarkStart w:id="58" w:name="_Toc26000"/>
      <w:bookmarkStart w:id="59" w:name="_Toc436942610"/>
      <w:bookmarkStart w:id="60" w:name="_Toc32083"/>
      <w:bookmarkStart w:id="61" w:name="_Toc3838"/>
      <w:bookmarkStart w:id="62" w:name="_Toc15155"/>
      <w:bookmarkStart w:id="63" w:name="_Toc10784"/>
      <w:bookmarkStart w:id="64" w:name="_Toc15468"/>
      <w:r>
        <w:rPr>
          <w:rFonts w:hint="eastAsia" w:ascii="宋体" w:hAnsi="宋体" w:eastAsia="宋体" w:cs="宋体"/>
          <w:color w:val="auto"/>
          <w:szCs w:val="28"/>
          <w:highlight w:val="none"/>
        </w:rPr>
        <w:t>二、</w:t>
      </w:r>
      <w:bookmarkEnd w:id="57"/>
      <w:bookmarkEnd w:id="58"/>
      <w:bookmarkEnd w:id="59"/>
      <w:bookmarkEnd w:id="60"/>
      <w:r>
        <w:rPr>
          <w:rFonts w:hint="eastAsia" w:ascii="宋体" w:hAnsi="宋体" w:eastAsia="宋体" w:cs="宋体"/>
          <w:color w:val="auto"/>
          <w:szCs w:val="28"/>
          <w:highlight w:val="none"/>
        </w:rPr>
        <w:t>竞争性磋商文件</w:t>
      </w:r>
      <w:bookmarkEnd w:id="61"/>
      <w:bookmarkEnd w:id="62"/>
      <w:bookmarkEnd w:id="63"/>
      <w:bookmarkEnd w:id="64"/>
    </w:p>
    <w:p w14:paraId="2EDE7B4E">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6.竞争性磋商文件构成</w:t>
      </w:r>
    </w:p>
    <w:p w14:paraId="2EE6A6EA">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6.1要求提供的采购过程及合同条款在竞争性磋商文件中均有说明，竞争性磋商文件共</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章，各章的内容如下：</w:t>
      </w:r>
    </w:p>
    <w:p w14:paraId="3E613C6A">
      <w:pPr>
        <w:keepNext w:val="0"/>
        <w:keepLines w:val="0"/>
        <w:pageBreakBefore w:val="0"/>
        <w:widowControl w:val="0"/>
        <w:kinsoku/>
        <w:wordWrap/>
        <w:overflowPunct/>
        <w:topLinePunct w:val="0"/>
        <w:autoSpaceDE/>
        <w:autoSpaceDN/>
        <w:bidi w:val="0"/>
        <w:adjustRightInd/>
        <w:snapToGrid/>
        <w:spacing w:line="360" w:lineRule="auto"/>
        <w:ind w:left="0"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竞争性磋商公告</w:t>
      </w:r>
    </w:p>
    <w:p w14:paraId="6772D9C7">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第二章  磋商须知</w:t>
      </w:r>
    </w:p>
    <w:p w14:paraId="18C827F0">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第三章  合同样式及主要条款</w:t>
      </w:r>
    </w:p>
    <w:p w14:paraId="43922591">
      <w:pPr>
        <w:pStyle w:val="18"/>
        <w:keepNext w:val="0"/>
        <w:keepLines w:val="0"/>
        <w:pageBreakBefore w:val="0"/>
        <w:widowControl w:val="0"/>
        <w:kinsoku/>
        <w:wordWrap/>
        <w:overflowPunct/>
        <w:topLinePunct w:val="0"/>
        <w:autoSpaceDE/>
        <w:autoSpaceDN/>
        <w:bidi w:val="0"/>
        <w:adjustRightInd/>
        <w:snapToGrid/>
        <w:spacing w:line="360" w:lineRule="auto"/>
        <w:ind w:left="0"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响应文件格式</w:t>
      </w:r>
    </w:p>
    <w:p w14:paraId="37FF4603">
      <w:pPr>
        <w:pStyle w:val="18"/>
        <w:keepNext w:val="0"/>
        <w:keepLines w:val="0"/>
        <w:pageBreakBefore w:val="0"/>
        <w:widowControl w:val="0"/>
        <w:kinsoku/>
        <w:wordWrap/>
        <w:overflowPunct/>
        <w:topLinePunct w:val="0"/>
        <w:autoSpaceDE/>
        <w:autoSpaceDN/>
        <w:bidi w:val="0"/>
        <w:adjustRightInd/>
        <w:snapToGrid/>
        <w:spacing w:line="360" w:lineRule="auto"/>
        <w:ind w:left="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第五章 </w:t>
      </w:r>
      <w:r>
        <w:rPr>
          <w:rFonts w:hint="eastAsia" w:ascii="宋体" w:hAnsi="宋体" w:eastAsia="宋体" w:cs="宋体"/>
          <w:color w:val="auto"/>
          <w:sz w:val="24"/>
          <w:szCs w:val="24"/>
          <w:highlight w:val="none"/>
          <w:lang w:val="en-US" w:eastAsia="zh-CN"/>
        </w:rPr>
        <w:t xml:space="preserve"> 采购需求</w:t>
      </w:r>
    </w:p>
    <w:p w14:paraId="6B8CC5D2">
      <w:pPr>
        <w:pStyle w:val="18"/>
        <w:keepNext w:val="0"/>
        <w:keepLines w:val="0"/>
        <w:pageBreakBefore w:val="0"/>
        <w:widowControl w:val="0"/>
        <w:kinsoku/>
        <w:wordWrap/>
        <w:overflowPunct/>
        <w:topLinePunct w:val="0"/>
        <w:autoSpaceDE/>
        <w:autoSpaceDN/>
        <w:bidi w:val="0"/>
        <w:adjustRightInd/>
        <w:snapToGrid/>
        <w:spacing w:line="360" w:lineRule="auto"/>
        <w:ind w:left="0"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第六章  竞争性</w:t>
      </w: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办法</w:t>
      </w:r>
    </w:p>
    <w:p w14:paraId="6AE32C9A">
      <w:pPr>
        <w:pStyle w:val="18"/>
        <w:keepNext w:val="0"/>
        <w:keepLines w:val="0"/>
        <w:pageBreakBefore w:val="0"/>
        <w:widowControl w:val="0"/>
        <w:kinsoku/>
        <w:wordWrap/>
        <w:overflowPunct/>
        <w:topLinePunct w:val="0"/>
        <w:autoSpaceDE/>
        <w:autoSpaceDN/>
        <w:bidi w:val="0"/>
        <w:adjustRightInd/>
        <w:snapToGrid/>
        <w:spacing w:line="360" w:lineRule="auto"/>
        <w:ind w:left="0"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章  磋商过程中可能实质性变动的内容</w:t>
      </w:r>
    </w:p>
    <w:p w14:paraId="3AF21EA6">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7.竞争性磋商文件的澄清</w:t>
      </w:r>
    </w:p>
    <w:p w14:paraId="65B255E2">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商应认真阅读竞争性磋商文件，如有疑问的，</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商可以向采购人或招标代理机构提出询问，采购人或者</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代理机构在接到询问后的</w:t>
      </w:r>
      <w:r>
        <w:rPr>
          <w:rFonts w:hint="eastAsia" w:ascii="宋体" w:hAnsi="宋体" w:eastAsia="宋体" w:cs="宋体"/>
          <w:color w:val="auto"/>
          <w:sz w:val="24"/>
          <w:szCs w:val="24"/>
          <w:highlight w:val="none"/>
          <w:lang w:val="en-US" w:eastAsia="zh-CN"/>
        </w:rPr>
        <w:t>5日（节假日顺延）</w:t>
      </w:r>
      <w:r>
        <w:rPr>
          <w:rFonts w:hint="eastAsia" w:ascii="宋体" w:hAnsi="宋体" w:eastAsia="宋体" w:cs="宋体"/>
          <w:color w:val="auto"/>
          <w:sz w:val="24"/>
          <w:szCs w:val="24"/>
          <w:highlight w:val="none"/>
          <w:lang w:eastAsia="zh-CN"/>
        </w:rPr>
        <w:t>内对</w:t>
      </w:r>
      <w:r>
        <w:rPr>
          <w:rFonts w:hint="eastAsia" w:ascii="宋体" w:hAnsi="宋体" w:eastAsia="宋体" w:cs="宋体"/>
          <w:color w:val="auto"/>
          <w:sz w:val="24"/>
          <w:szCs w:val="24"/>
          <w:highlight w:val="none"/>
          <w:lang w:val="en-US" w:eastAsia="zh-CN"/>
        </w:rPr>
        <w:t>供应</w:t>
      </w:r>
      <w:r>
        <w:rPr>
          <w:rFonts w:hint="eastAsia" w:ascii="宋体" w:hAnsi="宋体" w:eastAsia="宋体" w:cs="宋体"/>
          <w:color w:val="auto"/>
          <w:sz w:val="24"/>
          <w:szCs w:val="24"/>
          <w:highlight w:val="none"/>
          <w:lang w:eastAsia="zh-CN"/>
        </w:rPr>
        <w:t>商依法提出的询问作出答复，但答复的内容不涉及商业秘密。</w:t>
      </w:r>
    </w:p>
    <w:p w14:paraId="22F5B1CE">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lang w:eastAsia="zh-CN"/>
        </w:rPr>
        <w:t>响应文件递交截止时间前</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日，所有获得了竞争性磋商文件的潜在服务商通过“</w:t>
      </w:r>
      <w:r>
        <w:rPr>
          <w:rFonts w:hint="eastAsia" w:ascii="宋体" w:hAnsi="宋体" w:eastAsia="宋体" w:cs="宋体"/>
          <w:color w:val="auto"/>
          <w:sz w:val="24"/>
          <w:szCs w:val="24"/>
          <w:highlight w:val="none"/>
          <w:lang w:val="en-US" w:eastAsia="zh-CN"/>
        </w:rPr>
        <w:t>政府采1购云平台（https://www.zcygov.cn/）”</w:t>
      </w:r>
      <w:r>
        <w:rPr>
          <w:rFonts w:hint="eastAsia" w:ascii="宋体" w:hAnsi="宋体" w:eastAsia="宋体" w:cs="宋体"/>
          <w:color w:val="auto"/>
          <w:sz w:val="24"/>
          <w:szCs w:val="24"/>
          <w:highlight w:val="none"/>
          <w:lang w:eastAsia="zh-CN"/>
        </w:rPr>
        <w:t>以网络在线形式向采购人提出。</w:t>
      </w:r>
    </w:p>
    <w:p w14:paraId="774F1433">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8.竞争性磋商文件的修改</w:t>
      </w:r>
    </w:p>
    <w:p w14:paraId="46271D31">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lang w:val="en-US" w:eastAsia="zh-CN"/>
        </w:rPr>
        <w:t>响应文件递交截止时间前5日，通过“政府采购云平台（https://www.zcygov.cn/）向所获取竞争性磋商文件的潜在服务商发送，如果澄清发出的时间距响应文件递交时间不足5日，影响响应文件编制的情况，顺延提交竞争性磋商文件递交截止时间。</w:t>
      </w:r>
    </w:p>
    <w:p w14:paraId="6B990E4A">
      <w:pPr>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9.质疑和投诉</w:t>
      </w:r>
    </w:p>
    <w:p w14:paraId="2DFC3B9F">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.1磋商申请人认为磋商文件、磋商过程、成交结果使自己的权益受到损害的，可以在知 道或者应知其权益受到损害之日起7个工作日内，以书面形式向采购人、采购代理机构提出质疑。磋商申请人在法定质疑期内一次性提出针对同一采购程序环节的质疑。</w:t>
      </w:r>
    </w:p>
    <w:p w14:paraId="4F0E2FBB">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受理质疑部门：</w:t>
      </w:r>
      <w:r>
        <w:rPr>
          <w:rFonts w:hint="eastAsia" w:ascii="宋体" w:hAnsi="宋体" w:eastAsia="宋体" w:cs="宋体"/>
          <w:color w:val="auto"/>
          <w:sz w:val="24"/>
          <w:szCs w:val="24"/>
          <w:highlight w:val="none"/>
          <w:lang w:eastAsia="zh-CN"/>
        </w:rPr>
        <w:t>云南玉昭工程咨询有限公司</w:t>
      </w:r>
    </w:p>
    <w:p w14:paraId="088BCCA0">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香格里拉市云南玉昭工程咨询有限公司环城北路26号</w:t>
      </w:r>
    </w:p>
    <w:p w14:paraId="1F4FEBC8">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lang w:val="en-US" w:eastAsia="zh-CN"/>
        </w:rPr>
        <w:t>谢翠梅</w:t>
      </w:r>
    </w:p>
    <w:p w14:paraId="46DDC5BD">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lang w:val="en-US" w:eastAsia="zh-CN"/>
        </w:rPr>
        <w:t>13668736373</w:t>
      </w:r>
    </w:p>
    <w:p w14:paraId="25F29A9A">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.2提出质疑的磋商申请人（以下简称质疑磋商申请人）应当是参与所质疑项目磋商活动的磋商申请人。</w:t>
      </w:r>
    </w:p>
    <w:p w14:paraId="5D6AAD9D">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.3潜在磋商申请人已依法获取其可质疑的磋商文件的，可以对该文件提出质疑。对磋商文件提出质疑的，应当在获取磋商文件或者磋商文件公告期限届满之日起7个工作日内提出。</w:t>
      </w:r>
    </w:p>
    <w:p w14:paraId="52AEEF6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磋商申请人提出质疑应当提交质疑函和必要的证明材料。质疑函应当包括以下内容：</w:t>
      </w:r>
    </w:p>
    <w:p w14:paraId="5D7E41D4">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（一）磋商申请人的姓名或者名称、地址、邮编、联系人及联系电话；</w:t>
      </w:r>
    </w:p>
    <w:p w14:paraId="74E32207">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（二）质疑项目的名称、编号；</w:t>
      </w:r>
    </w:p>
    <w:p w14:paraId="7F392DB5">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（三）具体、明确的质疑事项和与质疑事项相关的请求；</w:t>
      </w:r>
    </w:p>
    <w:p w14:paraId="276337B8">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w:t>
      </w:r>
    </w:p>
    <w:p w14:paraId="29A01381">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（五）必要的法律依据；</w:t>
      </w:r>
    </w:p>
    <w:p w14:paraId="632399C6">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（六）提出质疑的日期。</w:t>
      </w:r>
    </w:p>
    <w:p w14:paraId="13C438C0">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磋商申请人为自然人的，应当由本人签字；磋商申请人为法人或者其他组织的，应当由法定代表人、主要负责人，或者其授权代表签字或者盖章，并加盖公章。</w:t>
      </w:r>
    </w:p>
    <w:p w14:paraId="50741E59">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.4采购人、采购代理机构不得拒收质疑磋商申请人在法定质疑期内发出的质疑函，应当在收到质疑函后7个工作日内作出答复，并以书面形式通知质疑磋商申请人和其他有关磋商申请人。</w:t>
      </w:r>
    </w:p>
    <w:p w14:paraId="7D31B95D">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.5磋商申请人对评审过程或者成交结果提出质疑的，采购人、采购代理机构可以组织原磋商小组成员答复质疑。</w:t>
      </w:r>
    </w:p>
    <w:p w14:paraId="46F21563">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质疑答复应当包括下列内容：</w:t>
      </w:r>
    </w:p>
    <w:p w14:paraId="48BEA117">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（一）质疑磋商申请人的姓名或者名称；</w:t>
      </w:r>
    </w:p>
    <w:p w14:paraId="25027FD9">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（二）收到质疑函的日期、质疑项目名称及编号；</w:t>
      </w:r>
    </w:p>
    <w:p w14:paraId="0F174107">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（三）质疑事项、质疑答复的具体内容、事实依据和法律依据；</w:t>
      </w:r>
    </w:p>
    <w:p w14:paraId="33BA3BAF">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（四）告知质疑磋商申请人依法投诉的权利；</w:t>
      </w:r>
    </w:p>
    <w:p w14:paraId="04C96B37">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（五）质疑答复人名称；</w:t>
      </w:r>
    </w:p>
    <w:p w14:paraId="0590EF4D">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（六）答复质疑的日期。</w:t>
      </w:r>
    </w:p>
    <w:p w14:paraId="5EA31031">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质疑答复的内容不得涉及商业秘密。</w:t>
      </w:r>
    </w:p>
    <w:p w14:paraId="629F2647">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.6采购人、采购代理机构认为磋商申请人质疑不成立，或者成立但未对成交结果构成影 响的，继续开展采购活动；认为磋商申请人质疑成立且影响或者可能影响成交结果的，按照下列情况处理：</w:t>
      </w:r>
    </w:p>
    <w:p w14:paraId="0C3DF44D">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（一）对磋商文件提出的质疑，依法通过澄清或者修改可以继续开展采购活动的，澄清或者修改磋商文件后继续开展采购活动；否则应当修改磋商文件后重新开展采购活动。</w:t>
      </w:r>
    </w:p>
    <w:p w14:paraId="62D222F4">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（二）对采购过程或者成交结果提出的质疑，合格磋商申请人符合法定数量时，可以从合格的成交候选人中另行确定成交磋商申请人的，应当依法另行确定成交磋商申请人；否则应当重新开展采购活动。</w:t>
      </w:r>
    </w:p>
    <w:p w14:paraId="2F13E5E1">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质疑答复导致成交结果改变的，采购人或者采购代理机构应当将有关情况书面报告本级财政部门。</w:t>
      </w:r>
    </w:p>
    <w:p w14:paraId="45540619">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bookmarkStart w:id="65" w:name="_Toc25281"/>
      <w:bookmarkStart w:id="66" w:name="_Toc4032"/>
      <w:bookmarkStart w:id="67" w:name="_Toc7932"/>
      <w:bookmarkStart w:id="68" w:name="_Toc436942611"/>
      <w:bookmarkStart w:id="69" w:name="_Toc24762"/>
      <w:bookmarkStart w:id="70" w:name="_Toc7843"/>
      <w:bookmarkStart w:id="71" w:name="_Toc1987"/>
      <w:bookmarkStart w:id="72" w:name="_Toc24554"/>
      <w:r>
        <w:rPr>
          <w:rFonts w:hint="eastAsia" w:ascii="宋体" w:hAnsi="宋体" w:eastAsia="宋体" w:cs="宋体"/>
          <w:color w:val="auto"/>
          <w:szCs w:val="28"/>
          <w:highlight w:val="none"/>
        </w:rPr>
        <w:t>三、响应文件的编制</w:t>
      </w:r>
      <w:bookmarkEnd w:id="65"/>
      <w:bookmarkEnd w:id="66"/>
      <w:bookmarkEnd w:id="67"/>
      <w:bookmarkEnd w:id="68"/>
      <w:bookmarkEnd w:id="69"/>
      <w:bookmarkEnd w:id="70"/>
      <w:bookmarkEnd w:id="71"/>
      <w:bookmarkEnd w:id="72"/>
    </w:p>
    <w:p w14:paraId="27B4BF8C">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10</w:t>
      </w:r>
      <w:r>
        <w:rPr>
          <w:rFonts w:hint="eastAsia" w:ascii="宋体" w:hAnsi="宋体" w:eastAsia="宋体" w:cs="宋体"/>
          <w:b/>
          <w:color w:val="auto"/>
          <w:sz w:val="24"/>
          <w:szCs w:val="24"/>
          <w:highlight w:val="none"/>
        </w:rPr>
        <w:t>.响应文件编写注意事项</w:t>
      </w:r>
    </w:p>
    <w:p w14:paraId="11F33A06">
      <w:pPr>
        <w:pStyle w:val="18"/>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w:t>
      </w:r>
      <w:r>
        <w:rPr>
          <w:rFonts w:hint="eastAsia" w:ascii="宋体" w:hAnsi="宋体" w:eastAsia="宋体" w:cs="宋体"/>
          <w:bCs/>
          <w:color w:val="auto"/>
          <w:sz w:val="24"/>
          <w:szCs w:val="24"/>
          <w:highlight w:val="none"/>
        </w:rPr>
        <w:t>供应商</w:t>
      </w:r>
      <w:r>
        <w:rPr>
          <w:rFonts w:hint="eastAsia" w:ascii="宋体" w:hAnsi="宋体" w:eastAsia="宋体" w:cs="宋体"/>
          <w:color w:val="auto"/>
          <w:sz w:val="24"/>
          <w:szCs w:val="24"/>
          <w:highlight w:val="none"/>
        </w:rPr>
        <w:t>应仔细阅读竞争性磋商文件，在完全了解</w:t>
      </w:r>
      <w:r>
        <w:rPr>
          <w:rFonts w:hint="eastAsia" w:ascii="宋体" w:hAnsi="宋体" w:eastAsia="宋体" w:cs="宋体"/>
          <w:bCs/>
          <w:color w:val="auto"/>
          <w:sz w:val="24"/>
          <w:szCs w:val="24"/>
          <w:highlight w:val="none"/>
        </w:rPr>
        <w:t>磋商</w:t>
      </w:r>
      <w:r>
        <w:rPr>
          <w:rFonts w:hint="eastAsia" w:ascii="宋体" w:hAnsi="宋体" w:eastAsia="宋体" w:cs="宋体"/>
          <w:color w:val="auto"/>
          <w:sz w:val="24"/>
          <w:szCs w:val="24"/>
          <w:highlight w:val="none"/>
        </w:rPr>
        <w:t>的内容、要求(详见“</w:t>
      </w:r>
      <w:r>
        <w:rPr>
          <w:rFonts w:hint="eastAsia" w:ascii="宋体" w:hAnsi="宋体" w:eastAsia="宋体" w:cs="宋体"/>
          <w:b/>
          <w:bCs/>
          <w:color w:val="auto"/>
          <w:sz w:val="24"/>
          <w:szCs w:val="24"/>
          <w:highlight w:val="none"/>
        </w:rPr>
        <w:t>采购</w:t>
      </w:r>
      <w:r>
        <w:rPr>
          <w:rFonts w:hint="eastAsia" w:ascii="宋体" w:hAnsi="宋体" w:eastAsia="宋体" w:cs="宋体"/>
          <w:b/>
          <w:color w:val="auto"/>
          <w:sz w:val="24"/>
          <w:szCs w:val="24"/>
          <w:highlight w:val="none"/>
        </w:rPr>
        <w:t>需求”</w:t>
      </w:r>
      <w:r>
        <w:rPr>
          <w:rFonts w:hint="eastAsia" w:ascii="宋体" w:hAnsi="宋体" w:eastAsia="宋体" w:cs="宋体"/>
          <w:color w:val="auto"/>
          <w:sz w:val="24"/>
          <w:szCs w:val="24"/>
          <w:highlight w:val="none"/>
        </w:rPr>
        <w:t>)后，编写响应文件。如果没有按照竞争性磋商文件要求提交全部响应文件或者资料，没有对竞争性磋商文件的实质性要求和条件作出响应的，其响应文件可能被拒绝。</w:t>
      </w:r>
    </w:p>
    <w:p w14:paraId="5EC01975">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.2对磋商文件提出的实质性要求和条件作出响应是指供应商必须对磋商文件中规定的成交实质性要求和条件作出满足或者优于原要求和条件的承诺。</w:t>
      </w:r>
    </w:p>
    <w:p w14:paraId="14BCF1BA">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.语言文字及计量单位</w:t>
      </w:r>
    </w:p>
    <w:p w14:paraId="6E4F92B6">
      <w:pPr>
        <w:keepNext w:val="0"/>
        <w:keepLines w:val="0"/>
        <w:pageBreakBefore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.1供应商的响应文件以及供应商与代理机构就有关竞标的所有来往函电统一使用中文（特别规定除外）。</w:t>
      </w:r>
    </w:p>
    <w:p w14:paraId="1BBF2669">
      <w:pPr>
        <w:keepNext w:val="0"/>
        <w:keepLines w:val="0"/>
        <w:pageBreakBefore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.2响应文件中使用的计量单位除竞争性磋商文件中有特殊规定外，均采用中华人民共和国法定计量单位。</w:t>
      </w:r>
    </w:p>
    <w:p w14:paraId="3ABCAA3E">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.响应文件构成</w:t>
      </w:r>
    </w:p>
    <w:p w14:paraId="69A3189B">
      <w:pPr>
        <w:keepNext w:val="0"/>
        <w:keepLines w:val="0"/>
        <w:pageBreakBefore w:val="0"/>
        <w:kinsoku/>
        <w:wordWrap/>
        <w:overflowPunct/>
        <w:topLinePunct w:val="0"/>
        <w:autoSpaceDE/>
        <w:autoSpaceDN/>
        <w:bidi w:val="0"/>
        <w:adjustRightInd/>
        <w:snapToGrid/>
        <w:spacing w:line="360" w:lineRule="auto"/>
        <w:ind w:left="0" w:firstLine="410" w:firstLineChars="17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.1响应文件应包括内容详见本文件“第四章 响应文件格式”，供应商须按格式要求填写相应内容。如有必要，可以增加附页，作为响应文件的组成部分。</w:t>
      </w:r>
    </w:p>
    <w:p w14:paraId="16EC2417">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.响应文件的格式要求</w:t>
      </w:r>
    </w:p>
    <w:p w14:paraId="59D1C56E">
      <w:pPr>
        <w:pStyle w:val="18"/>
        <w:keepNext w:val="0"/>
        <w:keepLines w:val="0"/>
        <w:pageBreakBefore w:val="0"/>
        <w:tabs>
          <w:tab w:val="left" w:pos="3030"/>
        </w:tabs>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.1供应商应按第四章“</w:t>
      </w:r>
      <w:r>
        <w:rPr>
          <w:rFonts w:hint="eastAsia" w:ascii="宋体" w:hAnsi="宋体" w:eastAsia="宋体" w:cs="宋体"/>
          <w:b/>
          <w:color w:val="auto"/>
          <w:sz w:val="24"/>
          <w:szCs w:val="24"/>
          <w:highlight w:val="none"/>
        </w:rPr>
        <w:t>响应文件格式</w:t>
      </w:r>
      <w:r>
        <w:rPr>
          <w:rFonts w:hint="eastAsia" w:ascii="宋体" w:hAnsi="宋体" w:eastAsia="宋体" w:cs="宋体"/>
          <w:color w:val="auto"/>
          <w:sz w:val="24"/>
          <w:szCs w:val="24"/>
          <w:highlight w:val="none"/>
        </w:rPr>
        <w:t>”提供的格式完整地填写。</w:t>
      </w:r>
    </w:p>
    <w:p w14:paraId="142163C8">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.磋商报价</w:t>
      </w:r>
    </w:p>
    <w:p w14:paraId="283DC14B">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.1供应商就“</w:t>
      </w:r>
      <w:r>
        <w:rPr>
          <w:rFonts w:hint="eastAsia" w:ascii="宋体" w:hAnsi="宋体" w:eastAsia="宋体" w:cs="宋体"/>
          <w:b/>
          <w:bCs/>
          <w:color w:val="auto"/>
          <w:sz w:val="24"/>
          <w:szCs w:val="24"/>
          <w:highlight w:val="none"/>
        </w:rPr>
        <w:t>采购</w:t>
      </w:r>
      <w:r>
        <w:rPr>
          <w:rFonts w:hint="eastAsia" w:ascii="宋体" w:hAnsi="宋体" w:eastAsia="宋体" w:cs="宋体"/>
          <w:b/>
          <w:color w:val="auto"/>
          <w:sz w:val="24"/>
          <w:szCs w:val="24"/>
          <w:highlight w:val="none"/>
        </w:rPr>
        <w:t>需求</w:t>
      </w:r>
      <w:r>
        <w:rPr>
          <w:rFonts w:hint="eastAsia" w:ascii="宋体" w:hAnsi="宋体" w:eastAsia="宋体" w:cs="宋体"/>
          <w:color w:val="auto"/>
          <w:sz w:val="24"/>
          <w:szCs w:val="24"/>
          <w:highlight w:val="none"/>
        </w:rPr>
        <w:t>”中的</w:t>
      </w:r>
      <w:r>
        <w:rPr>
          <w:rFonts w:hint="eastAsia" w:ascii="宋体" w:hAnsi="宋体" w:eastAsia="宋体" w:cs="宋体"/>
          <w:b/>
          <w:bCs/>
          <w:color w:val="auto"/>
          <w:sz w:val="24"/>
          <w:szCs w:val="24"/>
          <w:highlight w:val="none"/>
        </w:rPr>
        <w:t>服务内容作完整唯一报价。</w:t>
      </w:r>
    </w:p>
    <w:p w14:paraId="6A6C993A">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14.2本次竞争性磋商允许二次报价。供应商的二次报价即为最终报价。报价部分评审以供应商二次报价为准。</w:t>
      </w:r>
    </w:p>
    <w:p w14:paraId="637FD1EA">
      <w:pPr>
        <w:pStyle w:val="18"/>
        <w:keepNext w:val="0"/>
        <w:keepLines w:val="0"/>
        <w:pageBreakBefore w:val="0"/>
        <w:kinsoku/>
        <w:wordWrap/>
        <w:overflowPunct/>
        <w:topLinePunct w:val="0"/>
        <w:autoSpaceDE/>
        <w:autoSpaceDN/>
        <w:bidi w:val="0"/>
        <w:adjustRightInd/>
        <w:snapToGrid/>
        <w:spacing w:line="460" w:lineRule="exact"/>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磋商报价应依据竞争性磋商文件的要求及有关资料，由供应商自行测算出现行市场的价格。报价为完成项目所必须的全部费用，包含人员费用、工器具设备费用、水电费、税费、保险费用、利润和物价风险等一切因素，以及合同明示或暗示的所有责任、义务和一般风险。合同一旦签订，此合同价格在合同实施期间将不作调整。</w:t>
      </w:r>
    </w:p>
    <w:p w14:paraId="1977EFC8">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所有报价均以人民币报价。</w:t>
      </w:r>
    </w:p>
    <w:p w14:paraId="23867BBB">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报价应本着合理的原则，采购人不保证报价最低者一定成交。</w:t>
      </w:r>
    </w:p>
    <w:p w14:paraId="05FD45D4">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供应商应遵守有关的国家法律、法令、条例和政府采购有关制度。一旦参加报价，则应承担相关法律责任。</w:t>
      </w:r>
    </w:p>
    <w:p w14:paraId="54BCB945">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.报价货币</w:t>
      </w:r>
    </w:p>
    <w:p w14:paraId="4F8303A2">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.1报价应以人民币报价。</w:t>
      </w:r>
    </w:p>
    <w:p w14:paraId="013E22C5">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.响应文件有效期</w:t>
      </w:r>
    </w:p>
    <w:p w14:paraId="20949ECC">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.1响应文件有效期必须按“</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”规定的时间保持有效。</w:t>
      </w:r>
    </w:p>
    <w:p w14:paraId="2C4FB98E">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.2在特殊情况下，采购人可与供应商协商延长响应文件的有效期，这种要求与答复均应以书面形式提交。</w:t>
      </w:r>
    </w:p>
    <w:p w14:paraId="21FD882A">
      <w:pPr>
        <w:keepNext w:val="0"/>
        <w:keepLines w:val="0"/>
        <w:pageBreakBefore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.响应文件的书写要求</w:t>
      </w:r>
    </w:p>
    <w:p w14:paraId="3C289922">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.1响应文件须用不褪色的墨水书写或打印。</w:t>
      </w:r>
    </w:p>
    <w:p w14:paraId="2BAEBDB0">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.2响应文件的书写应清楚工整,修改处应由供应商的法定代表人或其委托代理人签字或盖章。</w:t>
      </w:r>
    </w:p>
    <w:p w14:paraId="27648157">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.3字迹潦草、表达不清、未按要求填写而导致非唯一理解，造成非实质性响应竞争性磋商文件的响应文件将会被认定为无效的竞标。</w:t>
      </w:r>
    </w:p>
    <w:p w14:paraId="5FAAAEF7">
      <w:pPr>
        <w:pStyle w:val="18"/>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按照响应文件格式，采用单位和个人电子签章及电子签名，包括企业和法定代表人（负责人）。</w:t>
      </w:r>
    </w:p>
    <w:p w14:paraId="7D359121">
      <w:pPr>
        <w:keepNext w:val="0"/>
        <w:keepLines w:val="0"/>
        <w:pageBreakBefore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.5</w:t>
      </w:r>
      <w:r>
        <w:rPr>
          <w:rFonts w:hint="eastAsia" w:ascii="宋体" w:hAnsi="宋体" w:eastAsia="宋体" w:cs="宋体"/>
          <w:color w:val="auto"/>
          <w:kern w:val="2"/>
          <w:sz w:val="24"/>
          <w:szCs w:val="24"/>
          <w:highlight w:val="none"/>
          <w:lang w:val="en-US" w:eastAsia="zh-CN" w:bidi="ar-SA"/>
        </w:rPr>
        <w:t>本次磋商不要求递交纸质版响应文件，中标人在中标后，在签订合同时应向采购人提交2份纸质响应文件（纸质响应文件可为电子响应文件的彩色打印件），纸质响应文件需装订成册，并编制目录和连续页码。所提交纸质响应文件应与供应商递交的电子响应文件一致，若不一致，采购人可以就此作出对供应商最不利的处理决定。</w:t>
      </w:r>
    </w:p>
    <w:p w14:paraId="4C3852A9">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8</w:t>
      </w:r>
      <w:r>
        <w:rPr>
          <w:rFonts w:hint="eastAsia" w:ascii="宋体" w:hAnsi="宋体" w:eastAsia="宋体" w:cs="宋体"/>
          <w:b/>
          <w:color w:val="auto"/>
          <w:sz w:val="24"/>
          <w:szCs w:val="24"/>
          <w:highlight w:val="none"/>
        </w:rPr>
        <w:t>.磋商保证金</w:t>
      </w:r>
    </w:p>
    <w:p w14:paraId="1DF5AA8C">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bookmarkStart w:id="73" w:name="_Toc20704"/>
      <w:bookmarkStart w:id="74" w:name="_Toc19495"/>
      <w:bookmarkStart w:id="75" w:name="_Toc15715"/>
      <w:bookmarkStart w:id="76" w:name="_Toc2462"/>
      <w:bookmarkStart w:id="77" w:name="_Toc11554"/>
      <w:bookmarkStart w:id="78" w:name="_Toc3782"/>
      <w:bookmarkStart w:id="79" w:name="_Toc20402"/>
      <w:bookmarkStart w:id="80" w:name="_Toc436942612"/>
      <w:r>
        <w:rPr>
          <w:rFonts w:hint="eastAsia" w:ascii="宋体" w:hAnsi="宋体" w:eastAsia="宋体" w:cs="宋体"/>
          <w:color w:val="auto"/>
          <w:sz w:val="24"/>
          <w:szCs w:val="24"/>
          <w:highlight w:val="none"/>
          <w:lang w:val="en-US" w:eastAsia="zh-CN"/>
        </w:rPr>
        <w:t>18.1</w:t>
      </w:r>
      <w:r>
        <w:rPr>
          <w:rFonts w:hint="eastAsia" w:ascii="宋体" w:hAnsi="宋体" w:eastAsia="宋体" w:cs="宋体"/>
          <w:color w:val="auto"/>
          <w:sz w:val="24"/>
          <w:szCs w:val="24"/>
          <w:highlight w:val="none"/>
        </w:rPr>
        <w:t>供应商在提交响应文件截止时间之前应交纳磋商保证金。磋商保证金应当采用</w:t>
      </w:r>
      <w:r>
        <w:rPr>
          <w:rFonts w:hint="eastAsia" w:ascii="宋体" w:hAnsi="宋体" w:eastAsia="宋体" w:cs="宋体"/>
          <w:color w:val="auto"/>
          <w:sz w:val="24"/>
          <w:szCs w:val="24"/>
          <w:highlight w:val="none"/>
          <w:lang w:eastAsia="zh-CN"/>
        </w:rPr>
        <w:t>网上</w:t>
      </w:r>
      <w:r>
        <w:rPr>
          <w:rFonts w:hint="eastAsia" w:ascii="宋体" w:hAnsi="宋体" w:eastAsia="宋体" w:cs="宋体"/>
          <w:color w:val="auto"/>
          <w:sz w:val="24"/>
          <w:szCs w:val="24"/>
          <w:highlight w:val="none"/>
        </w:rPr>
        <w:t>银行</w:t>
      </w:r>
      <w:r>
        <w:rPr>
          <w:rFonts w:hint="eastAsia" w:ascii="宋体" w:hAnsi="宋体" w:eastAsia="宋体" w:cs="宋体"/>
          <w:color w:val="auto"/>
          <w:sz w:val="24"/>
          <w:szCs w:val="24"/>
          <w:highlight w:val="none"/>
          <w:lang w:eastAsia="zh-CN"/>
        </w:rPr>
        <w:t>转账、</w:t>
      </w:r>
      <w:r>
        <w:rPr>
          <w:rFonts w:hint="eastAsia" w:ascii="宋体" w:hAnsi="宋体" w:eastAsia="宋体" w:cs="宋体"/>
          <w:color w:val="auto"/>
          <w:sz w:val="24"/>
          <w:szCs w:val="24"/>
          <w:highlight w:val="none"/>
          <w:lang w:val="en-US" w:eastAsia="zh-CN"/>
        </w:rPr>
        <w:t>保证保险、银行</w:t>
      </w:r>
      <w:r>
        <w:rPr>
          <w:rFonts w:hint="eastAsia" w:ascii="宋体" w:hAnsi="宋体" w:eastAsia="宋体" w:cs="宋体"/>
          <w:color w:val="auto"/>
          <w:sz w:val="24"/>
          <w:szCs w:val="24"/>
          <w:highlight w:val="none"/>
        </w:rPr>
        <w:t>保函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支票、汇票、本票等非现金形式。供应商未按照磋商文件要求提交磋商保证金的，响应</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无效。</w:t>
      </w:r>
    </w:p>
    <w:p w14:paraId="65D31A85">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18.2</w:t>
      </w:r>
      <w:r>
        <w:rPr>
          <w:rFonts w:hint="eastAsia" w:ascii="宋体" w:hAnsi="宋体" w:eastAsia="宋体" w:cs="宋体"/>
          <w:color w:val="auto"/>
          <w:sz w:val="24"/>
          <w:szCs w:val="24"/>
          <w:highlight w:val="none"/>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14:paraId="6D31DC37">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18.3</w:t>
      </w:r>
      <w:r>
        <w:rPr>
          <w:rFonts w:hint="eastAsia" w:ascii="宋体" w:hAnsi="宋体" w:eastAsia="宋体" w:cs="宋体"/>
          <w:color w:val="auto"/>
          <w:sz w:val="24"/>
          <w:szCs w:val="24"/>
          <w:highlight w:val="none"/>
        </w:rPr>
        <w:t>有下列情形之一的，磋商保证金不予退还：</w:t>
      </w:r>
    </w:p>
    <w:p w14:paraId="3996F094">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（1）供应商在提交响应文件截止时间后撤回响应文件的；</w:t>
      </w:r>
    </w:p>
    <w:p w14:paraId="414433C2">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（2）供应商在响应文件中提供虚假材料的；</w:t>
      </w:r>
    </w:p>
    <w:p w14:paraId="6263D4F8">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（3）除因不可抗力或磋商文件认可的情形以外，成交供应商不与采购人签订合同的；</w:t>
      </w:r>
    </w:p>
    <w:p w14:paraId="478589F3">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（4）供应商与采购人、其他供应商或者采购代理机构恶意串通的；</w:t>
      </w:r>
    </w:p>
    <w:p w14:paraId="258226EC">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（5）磋商文件规定的其他情形。</w:t>
      </w:r>
    </w:p>
    <w:p w14:paraId="1A6CEB38">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r>
        <w:rPr>
          <w:rFonts w:hint="eastAsia" w:ascii="宋体" w:hAnsi="宋体" w:eastAsia="宋体" w:cs="宋体"/>
          <w:color w:val="auto"/>
          <w:szCs w:val="28"/>
          <w:highlight w:val="none"/>
        </w:rPr>
        <w:t>四、响应文件的提交</w:t>
      </w:r>
      <w:bookmarkEnd w:id="73"/>
      <w:bookmarkEnd w:id="74"/>
      <w:bookmarkEnd w:id="75"/>
      <w:bookmarkEnd w:id="76"/>
      <w:bookmarkEnd w:id="77"/>
      <w:bookmarkEnd w:id="78"/>
      <w:bookmarkEnd w:id="79"/>
      <w:bookmarkEnd w:id="80"/>
    </w:p>
    <w:p w14:paraId="237CDBE9">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.响应文件的</w:t>
      </w:r>
      <w:r>
        <w:rPr>
          <w:rFonts w:hint="eastAsia" w:ascii="宋体" w:hAnsi="宋体" w:eastAsia="宋体" w:cs="宋体"/>
          <w:b/>
          <w:bCs/>
          <w:color w:val="auto"/>
          <w:sz w:val="24"/>
          <w:szCs w:val="24"/>
          <w:highlight w:val="none"/>
          <w:lang w:val="en-US" w:eastAsia="zh-CN"/>
        </w:rPr>
        <w:t>提交</w:t>
      </w:r>
    </w:p>
    <w:p w14:paraId="2A5B7C12">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19.1本项目使用政采云平台。供应商根据竞争性磋商文件及电子交易平台供应商操作手册要求编制、生成并提交电子响应文件，并按照采购文件和电子交易平台的要求编制并加密响应文件。供应商未按规定加密的响应文件，电子交易平台将拒收并提示。</w:t>
      </w:r>
    </w:p>
    <w:p w14:paraId="6A1ADA7E">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19.2为确保网上操作合法、有效和安全，供应商应当在响应文件提交截止时间前完成在“政采云平台”的身份认证，确保在电子交易过程中能够对相关数据电文进行加密和使用电子签名。</w:t>
      </w:r>
    </w:p>
    <w:p w14:paraId="3D9588EF">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20采购人及采购代理机构拒绝接受通过电子交易平台以外任何形式提交的响应文件，磋商保证金除外。</w:t>
      </w:r>
    </w:p>
    <w:p w14:paraId="15A57739">
      <w:pPr>
        <w:pStyle w:val="96"/>
        <w:keepNext w:val="0"/>
        <w:keepLines w:val="0"/>
        <w:pageBreakBefore w:val="0"/>
        <w:widowControl w:val="0"/>
        <w:numPr>
          <w:ilvl w:val="0"/>
          <w:numId w:val="0"/>
        </w:numPr>
        <w:tabs>
          <w:tab w:val="left" w:pos="897"/>
        </w:tabs>
        <w:kinsoku/>
        <w:wordWrap/>
        <w:overflowPunct/>
        <w:topLinePunct w:val="0"/>
        <w:autoSpaceDE w:val="0"/>
        <w:autoSpaceDN w:val="0"/>
        <w:bidi w:val="0"/>
        <w:adjustRightInd/>
        <w:snapToGrid/>
        <w:spacing w:line="360" w:lineRule="auto"/>
        <w:ind w:right="0" w:rightChars="0" w:firstLine="472" w:firstLineChars="200"/>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19.4响应文件提交截止时间</w:t>
      </w:r>
    </w:p>
    <w:p w14:paraId="5EF37ADD">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jc w:val="both"/>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19.4.1供应商应在竞争性磋商文件要求响应文件提交截止时间前，将电子响应文件提交至电子交易平台。</w:t>
      </w:r>
    </w:p>
    <w:p w14:paraId="3AFD5CF8">
      <w:pPr>
        <w:pStyle w:val="96"/>
        <w:keepNext w:val="0"/>
        <w:keepLines w:val="0"/>
        <w:pageBreakBefore w:val="0"/>
        <w:widowControl w:val="0"/>
        <w:numPr>
          <w:ilvl w:val="0"/>
          <w:numId w:val="0"/>
        </w:numPr>
        <w:tabs>
          <w:tab w:val="left" w:pos="897"/>
        </w:tabs>
        <w:kinsoku/>
        <w:wordWrap/>
        <w:overflowPunct/>
        <w:topLinePunct w:val="0"/>
        <w:autoSpaceDE w:val="0"/>
        <w:autoSpaceDN w:val="0"/>
        <w:bidi w:val="0"/>
        <w:adjustRightInd/>
        <w:snapToGrid/>
        <w:spacing w:line="360" w:lineRule="auto"/>
        <w:ind w:right="0" w:rightChars="0" w:firstLine="472" w:firstLineChars="200"/>
        <w:jc w:val="both"/>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19.5响应文件的修改与撤回</w:t>
      </w:r>
    </w:p>
    <w:p w14:paraId="0F6B7FC0">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jc w:val="both"/>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19.5.1提交响应文件截止时间前，供应商可以通过电子交易平台对所提交的响应文件进行补充、修改或者撤回。磋商保证金的补充、修改或者撤回无需通过电子交易平台，但应就其补充、修改或者撤回通知采购人或采购代理机构。</w:t>
      </w:r>
    </w:p>
    <w:p w14:paraId="7B149CA8">
      <w:pPr>
        <w:pStyle w:val="96"/>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line="360" w:lineRule="auto"/>
        <w:ind w:right="0" w:rightChars="0" w:firstLine="472"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kern w:val="2"/>
          <w:sz w:val="24"/>
          <w:szCs w:val="24"/>
          <w:highlight w:val="none"/>
          <w:lang w:val="en-US" w:eastAsia="zh-CN" w:bidi="ar-SA"/>
        </w:rPr>
        <w:t>19.6供应商对响应文件的补充、修改的内容应当按照竞争性磋商文件要求签署、盖章，作为响应文件的组成部分。补充、修改的内容与响应文件不一致的，以补充、修改的内容为准。</w:t>
      </w:r>
    </w:p>
    <w:p w14:paraId="69A22E7A">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.提交响应文件截止时间和地点</w:t>
      </w:r>
    </w:p>
    <w:p w14:paraId="39AA5309">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.1</w:t>
      </w:r>
      <w:r>
        <w:rPr>
          <w:rFonts w:hint="eastAsia" w:ascii="宋体" w:hAnsi="宋体" w:eastAsia="宋体" w:cs="宋体"/>
          <w:color w:val="auto"/>
          <w:spacing w:val="-2"/>
          <w:sz w:val="24"/>
          <w:szCs w:val="24"/>
          <w:highlight w:val="none"/>
        </w:rPr>
        <w:t>响应文件的提交不得迟于“</w:t>
      </w:r>
      <w:r>
        <w:rPr>
          <w:rFonts w:hint="eastAsia" w:ascii="宋体" w:hAnsi="宋体" w:eastAsia="宋体" w:cs="宋体"/>
          <w:b/>
          <w:bCs/>
          <w:color w:val="auto"/>
          <w:spacing w:val="-2"/>
          <w:sz w:val="24"/>
          <w:szCs w:val="24"/>
          <w:highlight w:val="none"/>
        </w:rPr>
        <w:t>磋商须知前附表</w:t>
      </w:r>
      <w:r>
        <w:rPr>
          <w:rFonts w:hint="eastAsia" w:ascii="宋体" w:hAnsi="宋体" w:eastAsia="宋体" w:cs="宋体"/>
          <w:color w:val="auto"/>
          <w:spacing w:val="-2"/>
          <w:sz w:val="24"/>
          <w:szCs w:val="24"/>
          <w:highlight w:val="none"/>
        </w:rPr>
        <w:t>”规定的提交响应文件截止时间。</w:t>
      </w:r>
    </w:p>
    <w:p w14:paraId="3E7BD588">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.2供应商必须在规定时间内将响应文件提交到“</w:t>
      </w:r>
      <w:r>
        <w:rPr>
          <w:rFonts w:hint="eastAsia" w:ascii="宋体" w:hAnsi="宋体" w:eastAsia="宋体" w:cs="宋体"/>
          <w:b/>
          <w:bCs/>
          <w:color w:val="auto"/>
          <w:spacing w:val="-2"/>
          <w:sz w:val="24"/>
          <w:szCs w:val="24"/>
          <w:highlight w:val="none"/>
        </w:rPr>
        <w:t>磋商须知前附表</w:t>
      </w:r>
      <w:r>
        <w:rPr>
          <w:rFonts w:hint="eastAsia" w:ascii="宋体" w:hAnsi="宋体" w:eastAsia="宋体" w:cs="宋体"/>
          <w:color w:val="auto"/>
          <w:sz w:val="24"/>
          <w:szCs w:val="24"/>
          <w:highlight w:val="none"/>
        </w:rPr>
        <w:t>”规定的地点</w:t>
      </w:r>
      <w:r>
        <w:rPr>
          <w:rFonts w:hint="eastAsia" w:ascii="宋体" w:hAnsi="宋体" w:eastAsia="宋体" w:cs="宋体"/>
          <w:color w:val="auto"/>
          <w:spacing w:val="-2"/>
          <w:sz w:val="24"/>
          <w:szCs w:val="24"/>
          <w:highlight w:val="none"/>
        </w:rPr>
        <w:t>。</w:t>
      </w:r>
    </w:p>
    <w:p w14:paraId="14707DC2">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bookmarkStart w:id="81" w:name="_Toc30846"/>
      <w:bookmarkStart w:id="82" w:name="_Toc436942613"/>
      <w:bookmarkStart w:id="83" w:name="_Toc25696"/>
      <w:bookmarkStart w:id="84" w:name="_Toc17710"/>
      <w:bookmarkStart w:id="85" w:name="_Toc6703"/>
      <w:bookmarkStart w:id="86" w:name="_Toc18184"/>
      <w:bookmarkStart w:id="87" w:name="_Toc20934"/>
      <w:bookmarkStart w:id="88" w:name="_Toc21756"/>
      <w:r>
        <w:rPr>
          <w:rFonts w:hint="eastAsia" w:ascii="宋体" w:hAnsi="宋体" w:eastAsia="宋体" w:cs="宋体"/>
          <w:color w:val="auto"/>
          <w:szCs w:val="28"/>
          <w:highlight w:val="none"/>
        </w:rPr>
        <w:t>五、磋商与</w:t>
      </w:r>
      <w:bookmarkEnd w:id="81"/>
      <w:bookmarkEnd w:id="82"/>
      <w:bookmarkEnd w:id="83"/>
      <w:bookmarkEnd w:id="84"/>
      <w:bookmarkEnd w:id="85"/>
      <w:bookmarkEnd w:id="86"/>
      <w:bookmarkEnd w:id="87"/>
      <w:bookmarkEnd w:id="88"/>
      <w:r>
        <w:rPr>
          <w:rFonts w:hint="eastAsia" w:ascii="宋体" w:hAnsi="宋体" w:eastAsia="宋体" w:cs="宋体"/>
          <w:color w:val="auto"/>
          <w:szCs w:val="28"/>
          <w:highlight w:val="none"/>
        </w:rPr>
        <w:t>评审</w:t>
      </w:r>
    </w:p>
    <w:p w14:paraId="6EDF005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21.</w:t>
      </w:r>
      <w:r>
        <w:rPr>
          <w:rFonts w:hint="eastAsia" w:ascii="宋体" w:hAnsi="宋体" w:eastAsia="宋体" w:cs="宋体"/>
          <w:b/>
          <w:bCs w:val="0"/>
          <w:color w:val="auto"/>
          <w:sz w:val="24"/>
          <w:szCs w:val="24"/>
          <w:highlight w:val="none"/>
        </w:rPr>
        <w:t>响应文件的解密与开启</w:t>
      </w:r>
    </w:p>
    <w:p w14:paraId="1275B15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21.1</w:t>
      </w:r>
      <w:r>
        <w:rPr>
          <w:rFonts w:hint="eastAsia" w:ascii="宋体" w:hAnsi="宋体" w:eastAsia="宋体" w:cs="宋体"/>
          <w:b w:val="0"/>
          <w:bCs/>
          <w:color w:val="auto"/>
          <w:sz w:val="24"/>
          <w:szCs w:val="24"/>
          <w:highlight w:val="none"/>
          <w:lang w:eastAsia="zh-CN"/>
        </w:rPr>
        <w:t>采购人或采购代理机构将按竞争性磋商文件的规定，在响应文件提交截止时间的同一时间和竞争性磋商文件预先确定的地点开启响应文件。</w:t>
      </w:r>
    </w:p>
    <w:p w14:paraId="42FFAF2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21.2</w:t>
      </w:r>
      <w:r>
        <w:rPr>
          <w:rFonts w:hint="eastAsia" w:ascii="宋体" w:hAnsi="宋体" w:eastAsia="宋体" w:cs="宋体"/>
          <w:b w:val="0"/>
          <w:bCs/>
          <w:color w:val="auto"/>
          <w:sz w:val="24"/>
          <w:szCs w:val="24"/>
          <w:highlight w:val="none"/>
          <w:lang w:eastAsia="zh-CN"/>
        </w:rPr>
        <w:t>本项目解密使用政采云平台。采购代理机构依托该电子交易平台发起开始解密指令，供应商须使用加密时所用的CA锁按平台提示和采购文件的规定登录到政采云平台电子开标大厅签到，并在发起解密指令之时起</w:t>
      </w:r>
      <w:r>
        <w:rPr>
          <w:rFonts w:hint="eastAsia" w:ascii="宋体" w:hAnsi="宋体" w:eastAsia="宋体" w:cs="宋体"/>
          <w:b w:val="0"/>
          <w:bCs/>
          <w:color w:val="auto"/>
          <w:sz w:val="24"/>
          <w:szCs w:val="24"/>
          <w:highlight w:val="none"/>
          <w:lang w:val="en-US" w:eastAsia="zh-CN"/>
        </w:rPr>
        <w:t>60分钟</w:t>
      </w:r>
      <w:r>
        <w:rPr>
          <w:rFonts w:hint="eastAsia" w:ascii="宋体" w:hAnsi="宋体" w:eastAsia="宋体" w:cs="宋体"/>
          <w:b w:val="0"/>
          <w:bCs/>
          <w:color w:val="auto"/>
          <w:sz w:val="24"/>
          <w:szCs w:val="24"/>
          <w:highlight w:val="none"/>
          <w:lang w:eastAsia="zh-CN"/>
        </w:rPr>
        <w:t>内完成对电子响应文件在线解密。</w:t>
      </w:r>
    </w:p>
    <w:p w14:paraId="27E4E0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21.3</w:t>
      </w:r>
      <w:r>
        <w:rPr>
          <w:rFonts w:hint="eastAsia" w:ascii="宋体" w:hAnsi="宋体" w:eastAsia="宋体" w:cs="宋体"/>
          <w:b w:val="0"/>
          <w:bCs/>
          <w:color w:val="auto"/>
          <w:sz w:val="24"/>
          <w:szCs w:val="24"/>
          <w:highlight w:val="none"/>
          <w:lang w:eastAsia="zh-CN"/>
        </w:rPr>
        <w:t>发起解密指令之时起5分钟内供应商还未进行解密的，代理机构可通知供应商，供应商未预留联系方式或预留联系方式无效，导致代理机构无法联系到供应商进行解密的，视为撤回响应文件。</w:t>
      </w:r>
    </w:p>
    <w:p w14:paraId="18738EE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21.4</w:t>
      </w:r>
      <w:r>
        <w:rPr>
          <w:rFonts w:hint="eastAsia" w:ascii="宋体" w:hAnsi="宋体" w:eastAsia="宋体" w:cs="宋体"/>
          <w:b w:val="0"/>
          <w:bCs/>
          <w:color w:val="auto"/>
          <w:sz w:val="24"/>
          <w:szCs w:val="24"/>
          <w:highlight w:val="none"/>
          <w:lang w:eastAsia="zh-CN"/>
        </w:rPr>
        <w:t>供应商应在规定的时间内对响应文件进行解密，因非系统原因导致的解密失败，视为无效响应。</w:t>
      </w:r>
    </w:p>
    <w:p w14:paraId="414C1DD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21.5</w:t>
      </w:r>
      <w:r>
        <w:rPr>
          <w:rFonts w:hint="eastAsia" w:ascii="宋体" w:hAnsi="宋体" w:eastAsia="宋体" w:cs="宋体"/>
          <w:b w:val="0"/>
          <w:bCs/>
          <w:color w:val="auto"/>
          <w:sz w:val="24"/>
          <w:szCs w:val="24"/>
          <w:highlight w:val="none"/>
          <w:lang w:eastAsia="zh-CN"/>
        </w:rPr>
        <w:t>电子交易活动的中止</w:t>
      </w:r>
    </w:p>
    <w:p w14:paraId="28BD732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采购过程中出现以下情形，导致电子交易平台无法正常运行，或者无法保证电子交易的公平、公正和安全时，采购代理机构可中止电子交易活动：</w:t>
      </w:r>
    </w:p>
    <w:p w14:paraId="6BC091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（1）电子交易平台发生故障而无法登录访问的；</w:t>
      </w:r>
    </w:p>
    <w:p w14:paraId="452E86C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（2）电子交易平台应用或数据库出现错误，不能进行正常操作的；</w:t>
      </w:r>
    </w:p>
    <w:p w14:paraId="21B5FE1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（3）电子交易平台发现严重安全漏洞，有潜在泄密危险的；</w:t>
      </w:r>
    </w:p>
    <w:p w14:paraId="00532D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（4）病毒发作导致不能进行正常操作的；</w:t>
      </w:r>
    </w:p>
    <w:p w14:paraId="2C43131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（5）其他无法保证电子交易的公平、公正和安全的情况。</w:t>
      </w:r>
    </w:p>
    <w:p w14:paraId="5A5656B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21.6</w:t>
      </w:r>
      <w:r>
        <w:rPr>
          <w:rFonts w:hint="eastAsia" w:ascii="宋体" w:hAnsi="宋体" w:eastAsia="宋体" w:cs="宋体"/>
          <w:b w:val="0"/>
          <w:bCs/>
          <w:color w:val="auto"/>
          <w:sz w:val="24"/>
          <w:szCs w:val="24"/>
          <w:highlight w:val="none"/>
          <w:lang w:eastAsia="zh-CN"/>
        </w:rPr>
        <w:t>出现</w:t>
      </w:r>
      <w:r>
        <w:rPr>
          <w:rFonts w:hint="eastAsia" w:ascii="宋体" w:hAnsi="宋体" w:eastAsia="宋体" w:cs="宋体"/>
          <w:b w:val="0"/>
          <w:bCs/>
          <w:color w:val="auto"/>
          <w:sz w:val="24"/>
          <w:szCs w:val="24"/>
          <w:highlight w:val="none"/>
          <w:lang w:val="en-US" w:eastAsia="zh-CN"/>
        </w:rPr>
        <w:t>21</w:t>
      </w:r>
      <w:r>
        <w:rPr>
          <w:rFonts w:hint="eastAsia" w:ascii="宋体" w:hAnsi="宋体" w:eastAsia="宋体" w:cs="宋体"/>
          <w:b w:val="0"/>
          <w:bCs/>
          <w:color w:val="auto"/>
          <w:sz w:val="24"/>
          <w:szCs w:val="24"/>
          <w:highlight w:val="none"/>
          <w:lang w:eastAsia="zh-CN"/>
        </w:rPr>
        <w:t>.5中情形，不影响采购公平、公正性的，采购代理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412378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21.7</w:t>
      </w:r>
      <w:r>
        <w:rPr>
          <w:rFonts w:hint="eastAsia" w:ascii="宋体" w:hAnsi="宋体" w:eastAsia="宋体" w:cs="宋体"/>
          <w:b w:val="0"/>
          <w:bCs/>
          <w:color w:val="auto"/>
          <w:sz w:val="24"/>
          <w:szCs w:val="24"/>
          <w:highlight w:val="none"/>
          <w:lang w:eastAsia="zh-CN"/>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255FFBD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21.8</w:t>
      </w:r>
      <w:r>
        <w:rPr>
          <w:rFonts w:hint="eastAsia" w:ascii="宋体" w:hAnsi="宋体" w:eastAsia="宋体" w:cs="宋体"/>
          <w:b w:val="0"/>
          <w:bCs/>
          <w:color w:val="auto"/>
          <w:sz w:val="24"/>
          <w:szCs w:val="24"/>
          <w:highlight w:val="none"/>
          <w:lang w:eastAsia="zh-CN"/>
        </w:rPr>
        <w:t>供应商不足3家的，不予解密。</w:t>
      </w:r>
    </w:p>
    <w:p w14:paraId="074DB29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21.9</w:t>
      </w:r>
      <w:r>
        <w:rPr>
          <w:rFonts w:hint="eastAsia" w:ascii="宋体" w:hAnsi="宋体" w:eastAsia="宋体" w:cs="宋体"/>
          <w:b w:val="0"/>
          <w:bCs/>
          <w:color w:val="auto"/>
          <w:sz w:val="24"/>
          <w:szCs w:val="24"/>
          <w:highlight w:val="none"/>
        </w:rPr>
        <w:t>本项目不公开报价。</w:t>
      </w:r>
    </w:p>
    <w:p w14:paraId="1702625D">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.评审</w:t>
      </w:r>
    </w:p>
    <w:p w14:paraId="3F195A24">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.1磋商小组由采购人代表和评审专家共3人以上单数组成，其中评审专家人数不得少于磋商小组成员总数的2/3。</w:t>
      </w:r>
    </w:p>
    <w:p w14:paraId="715341F2">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采购人委派代表参加磋商会议的，要向采购代理机构出具授权函。除授权代表外，采购人有权委派纪检监察等相关人员进入磋商现场，对磋商工作实施监督。</w:t>
      </w:r>
    </w:p>
    <w:p w14:paraId="29F1B2BE">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bookmarkStart w:id="89" w:name="_Toc191374422"/>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.2评审原则</w:t>
      </w:r>
      <w:bookmarkEnd w:id="89"/>
    </w:p>
    <w:p w14:paraId="1E28F5B6">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评审活动遵循公平、公正、科学和择优的原则。</w:t>
      </w:r>
    </w:p>
    <w:p w14:paraId="23C2A30C">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.3磋商程序和方法</w:t>
      </w:r>
    </w:p>
    <w:p w14:paraId="51EC6080">
      <w:pPr>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磋商小组按照第六章“</w:t>
      </w:r>
      <w:r>
        <w:rPr>
          <w:rFonts w:hint="eastAsia" w:ascii="宋体" w:hAnsi="宋体" w:eastAsia="宋体" w:cs="宋体"/>
          <w:b/>
          <w:color w:val="auto"/>
          <w:sz w:val="24"/>
          <w:szCs w:val="24"/>
          <w:highlight w:val="none"/>
          <w:lang w:val="en-US" w:eastAsia="zh-CN"/>
        </w:rPr>
        <w:t>竞争性</w:t>
      </w:r>
      <w:r>
        <w:rPr>
          <w:rFonts w:hint="eastAsia" w:ascii="宋体" w:hAnsi="宋体" w:eastAsia="宋体" w:cs="宋体"/>
          <w:b/>
          <w:color w:val="auto"/>
          <w:sz w:val="24"/>
          <w:szCs w:val="24"/>
          <w:highlight w:val="none"/>
        </w:rPr>
        <w:t>磋商</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办法</w:t>
      </w:r>
      <w:r>
        <w:rPr>
          <w:rFonts w:hint="eastAsia" w:ascii="宋体" w:hAnsi="宋体" w:eastAsia="宋体" w:cs="宋体"/>
          <w:color w:val="auto"/>
          <w:sz w:val="24"/>
          <w:szCs w:val="24"/>
          <w:highlight w:val="none"/>
        </w:rPr>
        <w:t>”规定的方法、评审因素、标准和程序对响应文件进行评审。第六章“</w:t>
      </w:r>
      <w:r>
        <w:rPr>
          <w:rFonts w:hint="eastAsia" w:ascii="宋体" w:hAnsi="宋体" w:eastAsia="宋体" w:cs="宋体"/>
          <w:b/>
          <w:color w:val="auto"/>
          <w:sz w:val="24"/>
          <w:szCs w:val="24"/>
          <w:highlight w:val="none"/>
          <w:lang w:val="en-US" w:eastAsia="zh-CN"/>
        </w:rPr>
        <w:t>竞争性</w:t>
      </w:r>
      <w:r>
        <w:rPr>
          <w:rFonts w:hint="eastAsia" w:ascii="宋体" w:hAnsi="宋体" w:eastAsia="宋体" w:cs="宋体"/>
          <w:b/>
          <w:color w:val="auto"/>
          <w:sz w:val="24"/>
          <w:szCs w:val="24"/>
          <w:highlight w:val="none"/>
        </w:rPr>
        <w:t>磋商</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办法</w:t>
      </w:r>
      <w:r>
        <w:rPr>
          <w:rFonts w:hint="eastAsia" w:ascii="宋体" w:hAnsi="宋体" w:eastAsia="宋体" w:cs="宋体"/>
          <w:color w:val="auto"/>
          <w:sz w:val="24"/>
          <w:szCs w:val="24"/>
          <w:highlight w:val="none"/>
        </w:rPr>
        <w:t>”没有规定的方法、评审因素和标准，不作为评标依据。</w:t>
      </w:r>
    </w:p>
    <w:p w14:paraId="0255D28E">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w:t>
      </w:r>
      <w:r>
        <w:rPr>
          <w:rFonts w:hint="eastAsia" w:ascii="宋体" w:hAnsi="宋体" w:eastAsia="宋体" w:cs="宋体"/>
          <w:b/>
          <w:color w:val="auto"/>
          <w:sz w:val="24"/>
          <w:szCs w:val="24"/>
          <w:highlight w:val="none"/>
          <w:lang w:val="en-US" w:eastAsia="zh-CN"/>
        </w:rPr>
        <w:t>竞争性</w:t>
      </w:r>
      <w:r>
        <w:rPr>
          <w:rFonts w:hint="eastAsia" w:ascii="宋体" w:hAnsi="宋体" w:eastAsia="宋体" w:cs="宋体"/>
          <w:b/>
          <w:color w:val="auto"/>
          <w:sz w:val="24"/>
          <w:szCs w:val="24"/>
          <w:highlight w:val="none"/>
        </w:rPr>
        <w:t>磋商</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办法</w:t>
      </w:r>
      <w:r>
        <w:rPr>
          <w:rFonts w:hint="eastAsia" w:ascii="宋体" w:hAnsi="宋体" w:eastAsia="宋体" w:cs="宋体"/>
          <w:color w:val="auto"/>
          <w:sz w:val="24"/>
          <w:szCs w:val="24"/>
          <w:highlight w:val="none"/>
        </w:rPr>
        <w:t xml:space="preserve">》中的“有效性审查”和“完整性和响应程度审查”内容即为实质性要求和条件，不满足其中任何一条将导致其响应文件无效。 </w:t>
      </w:r>
    </w:p>
    <w:p w14:paraId="39D74396">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磋商过程的保密</w:t>
      </w:r>
    </w:p>
    <w:p w14:paraId="02FA0604">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磋商中，磋商的任何一方不得透露与磋商有关的其他供应商的技术资料、价格和其他信息。磋商开始后，直到授予供应商合同止，凡是属于审查、澄清、磋商和比较的有关资料以及成交建议等均不向供应商或其他人员透露。</w:t>
      </w:r>
    </w:p>
    <w:p w14:paraId="5EAB3BBA">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.出现下列情形之一的，将重新开展采购活动 </w:t>
      </w:r>
    </w:p>
    <w:p w14:paraId="3ADB2BE6">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.1因情况变化，不再符合规定的竞争性磋商采购方式适用情形的； </w:t>
      </w:r>
    </w:p>
    <w:p w14:paraId="10037D0E">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.2出现影响采购公正的违法、违规行为的； </w:t>
      </w:r>
    </w:p>
    <w:p w14:paraId="62C4DB42">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.3在采购过程中符合要求的供应商或者报价未超过采购预算的供应商不足3家的； </w:t>
      </w:r>
    </w:p>
    <w:p w14:paraId="03E85366">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.4在采购活动中因重大变故，采购任务取消的。 </w:t>
      </w:r>
    </w:p>
    <w:p w14:paraId="0DA62259">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.磋商办法</w:t>
      </w:r>
    </w:p>
    <w:p w14:paraId="0BE6ED2F">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.1磋商办法：本项目的具体评标办法详见第六章：</w:t>
      </w:r>
      <w:r>
        <w:rPr>
          <w:rFonts w:hint="eastAsia" w:ascii="宋体" w:hAnsi="宋体" w:eastAsia="宋体" w:cs="宋体"/>
          <w:b/>
          <w:color w:val="auto"/>
          <w:sz w:val="24"/>
          <w:szCs w:val="24"/>
          <w:highlight w:val="none"/>
          <w:lang w:val="en-US" w:eastAsia="zh-CN"/>
        </w:rPr>
        <w:t>竞争性</w:t>
      </w:r>
      <w:r>
        <w:rPr>
          <w:rFonts w:hint="eastAsia" w:ascii="宋体" w:hAnsi="宋体" w:eastAsia="宋体" w:cs="宋体"/>
          <w:b/>
          <w:color w:val="auto"/>
          <w:sz w:val="24"/>
          <w:szCs w:val="24"/>
          <w:highlight w:val="none"/>
        </w:rPr>
        <w:t>磋商</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办法</w:t>
      </w:r>
      <w:r>
        <w:rPr>
          <w:rFonts w:hint="eastAsia" w:ascii="宋体" w:hAnsi="宋体" w:eastAsia="宋体" w:cs="宋体"/>
          <w:color w:val="auto"/>
          <w:sz w:val="24"/>
          <w:szCs w:val="24"/>
          <w:highlight w:val="none"/>
        </w:rPr>
        <w:t>。</w:t>
      </w:r>
    </w:p>
    <w:p w14:paraId="5DA03922">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bookmarkStart w:id="90" w:name="_Toc6061"/>
      <w:bookmarkStart w:id="91" w:name="_Toc27483"/>
      <w:bookmarkStart w:id="92" w:name="_Toc13522"/>
      <w:bookmarkStart w:id="93" w:name="_Toc13185"/>
      <w:bookmarkStart w:id="94" w:name="_Toc436942614"/>
      <w:bookmarkStart w:id="95" w:name="_Toc6521"/>
      <w:bookmarkStart w:id="96" w:name="_Toc29301"/>
      <w:bookmarkStart w:id="97" w:name="_Toc7805"/>
      <w:r>
        <w:rPr>
          <w:rFonts w:hint="eastAsia" w:ascii="宋体" w:hAnsi="宋体" w:eastAsia="宋体" w:cs="宋体"/>
          <w:color w:val="auto"/>
          <w:szCs w:val="28"/>
          <w:highlight w:val="none"/>
        </w:rPr>
        <w:t>六、成交结果</w:t>
      </w:r>
      <w:bookmarkEnd w:id="90"/>
      <w:bookmarkEnd w:id="91"/>
      <w:bookmarkEnd w:id="92"/>
      <w:bookmarkEnd w:id="93"/>
      <w:bookmarkEnd w:id="94"/>
      <w:bookmarkEnd w:id="95"/>
      <w:bookmarkEnd w:id="96"/>
      <w:bookmarkEnd w:id="97"/>
    </w:p>
    <w:p w14:paraId="19015C88">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 xml:space="preserve">.成交供应商的确定 </w:t>
      </w:r>
    </w:p>
    <w:p w14:paraId="7500C7EC">
      <w:pPr>
        <w:pStyle w:val="18"/>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 xml:space="preserve">.1评定成交的原则：响应文件能够全部满足磋商文件实质性要求且评审总得分最高。 </w:t>
      </w:r>
    </w:p>
    <w:p w14:paraId="5B8451C7">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 xml:space="preserve">.2采购人可直接授权磋商小组确定成交供应商，或依据磋商小组推荐的成交候选人确定成交供应商： 采购代理机构在评审结束后2个工作日内将评审报告送采购人确认。采购人在收到评审报告后5个工作日内，按照评审报告中推荐的成交供应商顺序确定成交供应商。 </w:t>
      </w:r>
    </w:p>
    <w:p w14:paraId="039B67AA">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 xml:space="preserve">.3最终报价超预算的供应商将不予推荐或确定。 </w:t>
      </w:r>
    </w:p>
    <w:p w14:paraId="3FF3BE2F">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.授标时更改服务内容的权力</w:t>
      </w:r>
    </w:p>
    <w:p w14:paraId="73DEFCC8">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.1采购人在授予合同时有权对“</w:t>
      </w:r>
      <w:r>
        <w:rPr>
          <w:rFonts w:hint="eastAsia" w:ascii="宋体" w:hAnsi="宋体" w:eastAsia="宋体" w:cs="宋体"/>
          <w:b/>
          <w:color w:val="auto"/>
          <w:sz w:val="24"/>
          <w:szCs w:val="24"/>
          <w:highlight w:val="none"/>
        </w:rPr>
        <w:t>采购需求</w:t>
      </w:r>
      <w:r>
        <w:rPr>
          <w:rFonts w:hint="eastAsia" w:ascii="宋体" w:hAnsi="宋体" w:eastAsia="宋体" w:cs="宋体"/>
          <w:color w:val="auto"/>
          <w:sz w:val="24"/>
          <w:szCs w:val="24"/>
          <w:highlight w:val="none"/>
        </w:rPr>
        <w:t>”中规定的服务予以增加或减少，但不得对单价或其它的条款或条件做任何改变。</w:t>
      </w:r>
    </w:p>
    <w:p w14:paraId="391C6790">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.成交通知书</w:t>
      </w:r>
    </w:p>
    <w:p w14:paraId="56CF5CA2">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.1成交供应商确定后2个工作日内，成交结果由采购代理机构在政府采购指定网站上进行公告，同时向成交供应商发出成交通知书。 </w:t>
      </w:r>
    </w:p>
    <w:p w14:paraId="280B69EC">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.2成交公告期为1个工作日。 </w:t>
      </w:r>
    </w:p>
    <w:p w14:paraId="5C76FDE1">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.3成交通知书是合同的一个组成部分。 </w:t>
      </w:r>
    </w:p>
    <w:p w14:paraId="6D1915EC">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.签订合同</w:t>
      </w:r>
    </w:p>
    <w:p w14:paraId="78AF2634">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.1成交供应商和采购人应当按照磋商文件确定的合同文本以及采购标的、规格型号、采购金额、采购数量、技术和服务要求等事项签订政府采购合同。成交供应商无正当理由拒签合同的，采购人取消其成交资格； </w:t>
      </w:r>
    </w:p>
    <w:p w14:paraId="266B49A7">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.2成交供应商因不可抗力或者自身原因不能履行政府采购合同的，采购人可以与排位在成交供应商之后第一位的成交候选人签订政府采购合同，以此类推。 </w:t>
      </w:r>
    </w:p>
    <w:p w14:paraId="292EC1A7">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3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 </w:t>
      </w:r>
    </w:p>
    <w:p w14:paraId="6368FE12">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.4磋商文件、成交供应商的响应文件及其磋商承诺、成交通知书，均作为签订合同内容的依据。 </w:t>
      </w:r>
    </w:p>
    <w:p w14:paraId="1B96FDE1">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30</w:t>
      </w:r>
      <w:r>
        <w:rPr>
          <w:rFonts w:hint="eastAsia" w:ascii="宋体" w:hAnsi="宋体" w:eastAsia="宋体" w:cs="宋体"/>
          <w:b/>
          <w:color w:val="auto"/>
          <w:sz w:val="24"/>
          <w:szCs w:val="24"/>
          <w:highlight w:val="none"/>
        </w:rPr>
        <w:t>.履约保证金</w:t>
      </w:r>
      <w:r>
        <w:rPr>
          <w:rFonts w:hint="eastAsia" w:ascii="宋体" w:hAnsi="宋体" w:eastAsia="宋体" w:cs="宋体"/>
          <w:b/>
          <w:color w:val="auto"/>
          <w:sz w:val="24"/>
          <w:szCs w:val="24"/>
          <w:highlight w:val="none"/>
          <w:lang w:eastAsia="zh-CN"/>
        </w:rPr>
        <w:t>：</w:t>
      </w:r>
      <w:bookmarkStart w:id="98" w:name="_Toc23949"/>
      <w:bookmarkStart w:id="99" w:name="_Toc4430"/>
      <w:bookmarkStart w:id="100" w:name="_Toc16469"/>
      <w:bookmarkStart w:id="101" w:name="_Toc15160"/>
      <w:bookmarkStart w:id="102" w:name="_Toc6700"/>
      <w:bookmarkStart w:id="103" w:name="_Toc23265"/>
      <w:bookmarkStart w:id="104" w:name="_Toc436942615"/>
      <w:bookmarkStart w:id="105" w:name="_Toc29721"/>
    </w:p>
    <w:p w14:paraId="61AE1DBF">
      <w:pPr>
        <w:snapToGrid/>
        <w:spacing w:before="0" w:beforeAutospacing="0" w:after="0" w:afterAutospacing="0" w:line="360" w:lineRule="auto"/>
        <w:ind w:firstLine="480" w:firstLineChars="200"/>
        <w:jc w:val="left"/>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30.1在签订采购合同前，成交供应商应向采购人提交履约保证金，履约保证金递交的金额及形式详见《供应商须知前附表》。</w:t>
      </w:r>
    </w:p>
    <w:p w14:paraId="4D979718">
      <w:pPr>
        <w:snapToGrid/>
        <w:spacing w:before="0" w:beforeAutospacing="0" w:after="0" w:afterAutospacing="0" w:line="360" w:lineRule="auto"/>
        <w:ind w:firstLine="480" w:firstLineChars="200"/>
        <w:jc w:val="left"/>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30.2 签订合同后，除因不可抗力或磋商文件认可的情形以外，成交供应商不与采购人签订合同的，视为自动放弃，采购人将没收其全部履约保证金，履约保证金不足以赔偿损失的，按实际损失赔偿。</w:t>
      </w:r>
    </w:p>
    <w:p w14:paraId="56FD2A12">
      <w:pPr>
        <w:pStyle w:val="3"/>
        <w:keepLines w:val="0"/>
        <w:pageBreakBefore w:val="0"/>
        <w:numPr>
          <w:ilvl w:val="0"/>
          <w:numId w:val="0"/>
        </w:numPr>
        <w:kinsoku/>
        <w:wordWrap/>
        <w:overflowPunct/>
        <w:topLinePunct w:val="0"/>
        <w:autoSpaceDE/>
        <w:autoSpaceDN/>
        <w:bidi w:val="0"/>
        <w:adjustRightInd/>
        <w:snapToGrid/>
        <w:spacing w:line="360" w:lineRule="auto"/>
        <w:ind w:left="0"/>
        <w:jc w:val="center"/>
        <w:rPr>
          <w:rFonts w:hint="eastAsia" w:ascii="宋体" w:hAnsi="宋体" w:eastAsia="宋体" w:cs="宋体"/>
          <w:color w:val="auto"/>
          <w:szCs w:val="28"/>
          <w:highlight w:val="none"/>
        </w:rPr>
      </w:pPr>
      <w:r>
        <w:rPr>
          <w:rFonts w:hint="eastAsia" w:ascii="宋体" w:hAnsi="宋体" w:eastAsia="宋体" w:cs="宋体"/>
          <w:color w:val="auto"/>
          <w:szCs w:val="28"/>
          <w:highlight w:val="none"/>
        </w:rPr>
        <w:t>七、其他事项</w:t>
      </w:r>
      <w:bookmarkEnd w:id="98"/>
      <w:bookmarkEnd w:id="99"/>
      <w:bookmarkEnd w:id="100"/>
      <w:bookmarkEnd w:id="101"/>
      <w:bookmarkEnd w:id="102"/>
      <w:bookmarkEnd w:id="103"/>
      <w:bookmarkEnd w:id="104"/>
      <w:bookmarkEnd w:id="105"/>
    </w:p>
    <w:p w14:paraId="2BF599D4">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.代理服务费</w:t>
      </w:r>
    </w:p>
    <w:p w14:paraId="5087EED9">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.1代理服务费向成交供应商收取，收取标准详见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7E916C33">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.2成交供应商应</w:t>
      </w:r>
      <w:r>
        <w:rPr>
          <w:rFonts w:hint="eastAsia" w:ascii="宋体" w:hAnsi="宋体" w:eastAsia="宋体" w:cs="宋体"/>
          <w:color w:val="auto"/>
          <w:sz w:val="24"/>
          <w:szCs w:val="24"/>
          <w:highlight w:val="none"/>
          <w:lang w:val="en-US" w:eastAsia="zh-CN"/>
        </w:rPr>
        <w:t>在领取</w:t>
      </w:r>
      <w:r>
        <w:rPr>
          <w:rFonts w:hint="eastAsia" w:ascii="宋体" w:hAnsi="宋体" w:eastAsia="宋体" w:cs="宋体"/>
          <w:b/>
          <w:color w:val="auto"/>
          <w:sz w:val="24"/>
          <w:szCs w:val="24"/>
          <w:highlight w:val="none"/>
        </w:rPr>
        <w:t>成交通知书”</w:t>
      </w:r>
      <w:r>
        <w:rPr>
          <w:rFonts w:hint="eastAsia" w:ascii="宋体" w:hAnsi="宋体" w:eastAsia="宋体" w:cs="宋体"/>
          <w:color w:val="auto"/>
          <w:sz w:val="24"/>
          <w:szCs w:val="24"/>
          <w:highlight w:val="none"/>
        </w:rPr>
        <w:t>前向代理机构一次性付清代理服务费。</w:t>
      </w:r>
    </w:p>
    <w:p w14:paraId="44674875">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.解释权</w:t>
      </w:r>
    </w:p>
    <w:p w14:paraId="0907F284">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本竞争性磋商文件是参照《中华人民共和国政府采购法》、《中华人民共和国政府采购法实施条例》、《政府采购竞争性磋商采购方式管理暂行办法》、《财政部关于政府采购竞争性磋商采购方式管理暂行办法有关问题的补充通知》及相关法律法规编制，解释权属采购人和代理机构。</w:t>
      </w:r>
    </w:p>
    <w:p w14:paraId="30FB3C8C">
      <w:pPr>
        <w:pStyle w:val="18"/>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需要补充的其他内容</w:t>
      </w:r>
    </w:p>
    <w:p w14:paraId="1FEB13C6">
      <w:pPr>
        <w:pStyle w:val="18"/>
        <w:keepNext w:val="0"/>
        <w:keepLines w:val="0"/>
        <w:pageBreakBefore w:val="0"/>
        <w:widowControl w:val="0"/>
        <w:kinsoku/>
        <w:wordWrap/>
        <w:overflowPunct/>
        <w:topLinePunct w:val="0"/>
        <w:autoSpaceDE/>
        <w:autoSpaceDN/>
        <w:bidi w:val="0"/>
        <w:adjustRightInd/>
        <w:snapToGrid/>
        <w:spacing w:line="360" w:lineRule="auto"/>
        <w:ind w:left="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.1需要补充的其他内容：见“</w:t>
      </w:r>
      <w:r>
        <w:rPr>
          <w:rFonts w:hint="eastAsia" w:ascii="宋体" w:hAnsi="宋体" w:eastAsia="宋体" w:cs="宋体"/>
          <w:b/>
          <w:color w:val="auto"/>
          <w:sz w:val="24"/>
          <w:szCs w:val="24"/>
          <w:highlight w:val="none"/>
        </w:rPr>
        <w:t>磋商须知前附表</w:t>
      </w:r>
      <w:r>
        <w:rPr>
          <w:rFonts w:hint="eastAsia" w:ascii="宋体" w:hAnsi="宋体" w:eastAsia="宋体" w:cs="宋体"/>
          <w:color w:val="auto"/>
          <w:sz w:val="24"/>
          <w:szCs w:val="24"/>
          <w:highlight w:val="none"/>
        </w:rPr>
        <w:t>”。</w:t>
      </w:r>
    </w:p>
    <w:p w14:paraId="70550128">
      <w:pPr>
        <w:rPr>
          <w:rFonts w:hint="eastAsia" w:ascii="宋体" w:hAnsi="宋体" w:eastAsia="宋体" w:cs="宋体"/>
          <w:color w:val="auto"/>
          <w:kern w:val="2"/>
          <w:sz w:val="32"/>
          <w:szCs w:val="32"/>
          <w:highlight w:val="none"/>
        </w:rPr>
      </w:pPr>
      <w:bookmarkStart w:id="106" w:name="_Toc11184"/>
      <w:bookmarkStart w:id="107" w:name="_Toc8243"/>
      <w:bookmarkStart w:id="108" w:name="_Toc213141090"/>
      <w:bookmarkStart w:id="109" w:name="_Toc436942616"/>
      <w:bookmarkStart w:id="110" w:name="_Toc23766"/>
      <w:bookmarkStart w:id="111" w:name="_Toc26837"/>
      <w:bookmarkStart w:id="112" w:name="_Toc27209"/>
      <w:bookmarkStart w:id="113" w:name="_Toc22792"/>
      <w:bookmarkStart w:id="114" w:name="_Toc3255"/>
      <w:bookmarkStart w:id="115" w:name="_Toc19451"/>
      <w:r>
        <w:rPr>
          <w:rFonts w:hint="eastAsia" w:ascii="宋体" w:hAnsi="宋体" w:eastAsia="宋体" w:cs="宋体"/>
          <w:color w:val="auto"/>
          <w:kern w:val="2"/>
          <w:sz w:val="32"/>
          <w:szCs w:val="32"/>
          <w:highlight w:val="none"/>
        </w:rPr>
        <w:br w:type="page"/>
      </w:r>
    </w:p>
    <w:p w14:paraId="3AC3B9D3">
      <w:pPr>
        <w:pStyle w:val="2"/>
        <w:numPr>
          <w:ilvl w:val="0"/>
          <w:numId w:val="0"/>
        </w:numPr>
        <w:ind w:right="-504" w:rightChars="-240"/>
        <w:jc w:val="center"/>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第三章</w:t>
      </w:r>
      <w:bookmarkEnd w:id="106"/>
      <w:bookmarkEnd w:id="107"/>
      <w:bookmarkEnd w:id="108"/>
      <w:bookmarkEnd w:id="109"/>
      <w:bookmarkEnd w:id="110"/>
      <w:bookmarkEnd w:id="111"/>
      <w:bookmarkEnd w:id="112"/>
      <w:bookmarkEnd w:id="113"/>
      <w:bookmarkStart w:id="116" w:name="_Toc525910984"/>
      <w:bookmarkStart w:id="117" w:name="_Toc525912762"/>
      <w:r>
        <w:rPr>
          <w:rFonts w:hint="eastAsia" w:ascii="宋体" w:hAnsi="宋体" w:eastAsia="宋体" w:cs="宋体"/>
          <w:color w:val="auto"/>
          <w:kern w:val="2"/>
          <w:sz w:val="32"/>
          <w:szCs w:val="32"/>
          <w:highlight w:val="none"/>
        </w:rPr>
        <w:t xml:space="preserve">  </w:t>
      </w:r>
      <w:bookmarkEnd w:id="114"/>
      <w:bookmarkEnd w:id="116"/>
      <w:bookmarkEnd w:id="117"/>
      <w:r>
        <w:rPr>
          <w:rFonts w:hint="eastAsia" w:ascii="宋体" w:hAnsi="宋体" w:eastAsia="宋体" w:cs="宋体"/>
          <w:color w:val="auto"/>
          <w:kern w:val="2"/>
          <w:sz w:val="32"/>
          <w:szCs w:val="32"/>
          <w:highlight w:val="none"/>
        </w:rPr>
        <w:t>合同样式及主要条款</w:t>
      </w:r>
      <w:bookmarkEnd w:id="115"/>
    </w:p>
    <w:p w14:paraId="2947F1CE">
      <w:pPr>
        <w:spacing w:line="360" w:lineRule="auto"/>
        <w:jc w:val="center"/>
        <w:rPr>
          <w:rFonts w:hint="eastAsia" w:ascii="宋体" w:hAnsi="宋体" w:eastAsia="宋体" w:cs="宋体"/>
          <w:b/>
          <w:color w:val="auto"/>
          <w:sz w:val="28"/>
          <w:szCs w:val="28"/>
          <w:highlight w:val="none"/>
        </w:rPr>
      </w:pPr>
      <w:bookmarkStart w:id="118" w:name="_Toc13232649"/>
      <w:bookmarkStart w:id="119" w:name="_Toc485056800"/>
      <w:bookmarkStart w:id="120" w:name="_Toc425154178"/>
      <w:bookmarkStart w:id="121" w:name="_Toc13513026"/>
      <w:bookmarkStart w:id="122" w:name="_Toc390181740"/>
      <w:bookmarkStart w:id="123" w:name="_Toc10464527"/>
      <w:bookmarkStart w:id="124" w:name="_Toc389995541"/>
      <w:bookmarkStart w:id="125" w:name="_Toc23049"/>
      <w:bookmarkStart w:id="126" w:name="_Toc9625288"/>
      <w:bookmarkStart w:id="127" w:name="_Toc480725553"/>
      <w:bookmarkStart w:id="128" w:name="_Toc390182667"/>
      <w:bookmarkStart w:id="129" w:name="_Toc392091846"/>
      <w:bookmarkStart w:id="130" w:name="_Toc480723225"/>
      <w:bookmarkStart w:id="131" w:name="_Toc390071496"/>
      <w:bookmarkStart w:id="132" w:name="_Toc410394848"/>
      <w:bookmarkStart w:id="133" w:name="_Toc403747095"/>
      <w:r>
        <w:rPr>
          <w:rFonts w:hint="eastAsia" w:ascii="宋体" w:hAnsi="宋体" w:eastAsia="宋体" w:cs="宋体"/>
          <w:b/>
          <w:color w:val="auto"/>
          <w:szCs w:val="32"/>
          <w:highlight w:val="none"/>
        </w:rPr>
        <w:t>（具体内容由成交供应商与采购人在签订合同时根据竞争性磋商文件与响应文件具体约定，采购人保留最终修订合同的权利，最终本合同以实际签订为准）</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8BB0E16">
      <w:pPr>
        <w:rPr>
          <w:rFonts w:hint="eastAsia" w:ascii="宋体" w:hAnsi="宋体" w:eastAsia="宋体" w:cs="宋体"/>
          <w:color w:val="auto"/>
          <w:sz w:val="28"/>
          <w:szCs w:val="28"/>
          <w:highlight w:val="none"/>
        </w:rPr>
      </w:pPr>
      <w:bookmarkStart w:id="134" w:name="_Toc1115"/>
      <w:bookmarkStart w:id="135" w:name="_Toc26172"/>
      <w:bookmarkStart w:id="136" w:name="_Toc25981"/>
      <w:bookmarkStart w:id="137" w:name="_Toc436942617"/>
      <w:bookmarkStart w:id="138" w:name="_Toc25804"/>
      <w:bookmarkStart w:id="139" w:name="_Toc806"/>
      <w:bookmarkStart w:id="140" w:name="_Toc30014"/>
      <w:bookmarkStart w:id="141" w:name="_Toc5238"/>
      <w:r>
        <w:rPr>
          <w:rFonts w:hint="eastAsia" w:ascii="宋体" w:hAnsi="宋体" w:eastAsia="宋体" w:cs="宋体"/>
          <w:color w:val="auto"/>
          <w:sz w:val="28"/>
          <w:szCs w:val="28"/>
          <w:highlight w:val="none"/>
        </w:rPr>
        <w:br w:type="page"/>
      </w:r>
    </w:p>
    <w:p w14:paraId="3D3178FA">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合同编号：                </w:t>
      </w:r>
    </w:p>
    <w:p w14:paraId="72E998A4">
      <w:pPr>
        <w:widowControl/>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编号： </w:t>
      </w:r>
    </w:p>
    <w:p w14:paraId="4457990B">
      <w:pPr>
        <w:widowControl/>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●本合同须加盖甲乙双方骑缝章有效</w:t>
      </w:r>
    </w:p>
    <w:p w14:paraId="04F35235">
      <w:pPr>
        <w:widowControl/>
        <w:jc w:val="center"/>
        <w:rPr>
          <w:rFonts w:hint="eastAsia" w:ascii="宋体" w:hAnsi="宋体" w:eastAsia="宋体" w:cs="宋体"/>
          <w:color w:val="auto"/>
          <w:sz w:val="56"/>
          <w:szCs w:val="56"/>
          <w:highlight w:val="none"/>
          <w:lang w:eastAsia="zh-CN"/>
        </w:rPr>
      </w:pPr>
    </w:p>
    <w:p w14:paraId="09BBC7F6">
      <w:pPr>
        <w:widowControl/>
        <w:jc w:val="center"/>
        <w:rPr>
          <w:rFonts w:hint="eastAsia" w:ascii="宋体" w:hAnsi="宋体" w:eastAsia="宋体" w:cs="宋体"/>
          <w:color w:val="auto"/>
          <w:sz w:val="56"/>
          <w:szCs w:val="56"/>
          <w:highlight w:val="none"/>
          <w:lang w:eastAsia="zh-CN"/>
        </w:rPr>
      </w:pPr>
      <w:r>
        <w:rPr>
          <w:rFonts w:hint="eastAsia" w:ascii="宋体" w:hAnsi="宋体" w:eastAsia="宋体" w:cs="宋体"/>
          <w:color w:val="auto"/>
          <w:sz w:val="56"/>
          <w:szCs w:val="56"/>
          <w:highlight w:val="none"/>
        </w:rPr>
        <w:t>云 南 省 政 府 采 购 </w:t>
      </w:r>
    </w:p>
    <w:p w14:paraId="7C34E477">
      <w:pPr>
        <w:pStyle w:val="11"/>
        <w:rPr>
          <w:rFonts w:hint="eastAsia" w:ascii="宋体" w:hAnsi="宋体" w:eastAsia="宋体" w:cs="宋体"/>
          <w:color w:val="auto"/>
          <w:highlight w:val="none"/>
          <w:lang w:eastAsia="zh-CN"/>
        </w:rPr>
      </w:pPr>
    </w:p>
    <w:p w14:paraId="65820400">
      <w:pPr>
        <w:widowControl/>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rPr>
        <w:t>（委托采购） </w:t>
      </w:r>
    </w:p>
    <w:p w14:paraId="790B33DA">
      <w:pPr>
        <w:pStyle w:val="11"/>
        <w:rPr>
          <w:rFonts w:hint="eastAsia" w:ascii="宋体" w:hAnsi="宋体" w:eastAsia="宋体" w:cs="宋体"/>
          <w:color w:val="auto"/>
          <w:highlight w:val="none"/>
          <w:lang w:eastAsia="zh-CN"/>
        </w:rPr>
      </w:pPr>
    </w:p>
    <w:p w14:paraId="5AE784D0">
      <w:pPr>
        <w:widowControl/>
        <w:jc w:val="center"/>
        <w:rPr>
          <w:rFonts w:hint="eastAsia" w:ascii="宋体" w:hAnsi="宋体" w:eastAsia="宋体" w:cs="宋体"/>
          <w:color w:val="auto"/>
          <w:highlight w:val="none"/>
          <w:lang w:eastAsia="zh-CN"/>
        </w:rPr>
      </w:pPr>
    </w:p>
    <w:p w14:paraId="1985769F">
      <w:pPr>
        <w:pStyle w:val="11"/>
        <w:rPr>
          <w:rFonts w:hint="eastAsia" w:ascii="宋体" w:hAnsi="宋体" w:eastAsia="宋体" w:cs="宋体"/>
          <w:color w:val="auto"/>
          <w:highlight w:val="none"/>
          <w:lang w:eastAsia="zh-CN"/>
        </w:rPr>
      </w:pPr>
    </w:p>
    <w:p w14:paraId="0DD6FA7D">
      <w:pPr>
        <w:widowControl/>
        <w:jc w:val="center"/>
        <w:rPr>
          <w:rFonts w:hint="eastAsia" w:ascii="宋体" w:hAnsi="宋体" w:eastAsia="宋体" w:cs="宋体"/>
          <w:color w:val="auto"/>
          <w:sz w:val="72"/>
          <w:szCs w:val="72"/>
          <w:highlight w:val="none"/>
          <w:lang w:eastAsia="zh-CN"/>
        </w:rPr>
      </w:pPr>
      <w:r>
        <w:rPr>
          <w:rFonts w:hint="eastAsia" w:ascii="宋体" w:hAnsi="宋体" w:eastAsia="宋体" w:cs="宋体"/>
          <w:color w:val="auto"/>
          <w:sz w:val="72"/>
          <w:szCs w:val="72"/>
          <w:highlight w:val="none"/>
        </w:rPr>
        <w:t>合 </w:t>
      </w:r>
    </w:p>
    <w:p w14:paraId="19C1680F">
      <w:pPr>
        <w:pStyle w:val="11"/>
        <w:rPr>
          <w:rFonts w:hint="eastAsia" w:ascii="宋体" w:hAnsi="宋体" w:eastAsia="宋体" w:cs="宋体"/>
          <w:color w:val="auto"/>
          <w:highlight w:val="none"/>
          <w:lang w:eastAsia="zh-CN"/>
        </w:rPr>
      </w:pPr>
    </w:p>
    <w:p w14:paraId="01388806">
      <w:pPr>
        <w:widowControl/>
        <w:jc w:val="center"/>
        <w:rPr>
          <w:rFonts w:hint="eastAsia" w:ascii="宋体" w:hAnsi="宋体" w:eastAsia="宋体" w:cs="宋体"/>
          <w:color w:val="auto"/>
          <w:sz w:val="72"/>
          <w:szCs w:val="72"/>
          <w:highlight w:val="none"/>
          <w:lang w:eastAsia="zh-CN"/>
        </w:rPr>
      </w:pPr>
      <w:r>
        <w:rPr>
          <w:rFonts w:hint="eastAsia" w:ascii="宋体" w:hAnsi="宋体" w:eastAsia="宋体" w:cs="宋体"/>
          <w:color w:val="auto"/>
          <w:sz w:val="72"/>
          <w:szCs w:val="72"/>
          <w:highlight w:val="none"/>
        </w:rPr>
        <w:t>同 </w:t>
      </w:r>
    </w:p>
    <w:p w14:paraId="532C6787">
      <w:pPr>
        <w:pStyle w:val="11"/>
        <w:rPr>
          <w:rFonts w:hint="eastAsia" w:ascii="宋体" w:hAnsi="宋体" w:eastAsia="宋体" w:cs="宋体"/>
          <w:color w:val="auto"/>
          <w:highlight w:val="none"/>
          <w:lang w:eastAsia="zh-CN"/>
        </w:rPr>
      </w:pPr>
    </w:p>
    <w:p w14:paraId="6084635D">
      <w:pPr>
        <w:widowControl/>
        <w:jc w:val="center"/>
        <w:rPr>
          <w:rFonts w:hint="eastAsia" w:ascii="宋体" w:hAnsi="宋体" w:eastAsia="宋体" w:cs="宋体"/>
          <w:color w:val="auto"/>
          <w:sz w:val="72"/>
          <w:szCs w:val="72"/>
          <w:highlight w:val="none"/>
          <w:lang w:eastAsia="zh-CN"/>
        </w:rPr>
      </w:pPr>
      <w:r>
        <w:rPr>
          <w:rFonts w:hint="eastAsia" w:ascii="宋体" w:hAnsi="宋体" w:eastAsia="宋体" w:cs="宋体"/>
          <w:color w:val="auto"/>
          <w:sz w:val="72"/>
          <w:szCs w:val="72"/>
          <w:highlight w:val="none"/>
        </w:rPr>
        <w:t>书 </w:t>
      </w:r>
    </w:p>
    <w:p w14:paraId="11179785">
      <w:pPr>
        <w:pStyle w:val="11"/>
        <w:rPr>
          <w:rFonts w:hint="eastAsia" w:ascii="宋体" w:hAnsi="宋体" w:eastAsia="宋体" w:cs="宋体"/>
          <w:color w:val="auto"/>
          <w:highlight w:val="none"/>
          <w:lang w:eastAsia="zh-CN"/>
        </w:rPr>
      </w:pPr>
    </w:p>
    <w:p w14:paraId="084E3C55">
      <w:pPr>
        <w:pStyle w:val="11"/>
        <w:rPr>
          <w:rFonts w:hint="eastAsia" w:ascii="宋体" w:hAnsi="宋体" w:eastAsia="宋体" w:cs="宋体"/>
          <w:color w:val="auto"/>
          <w:highlight w:val="none"/>
          <w:lang w:eastAsia="zh-CN"/>
        </w:rPr>
      </w:pPr>
    </w:p>
    <w:p w14:paraId="3B522115">
      <w:pPr>
        <w:pStyle w:val="11"/>
        <w:rPr>
          <w:rFonts w:hint="eastAsia" w:ascii="宋体" w:hAnsi="宋体" w:eastAsia="宋体" w:cs="宋体"/>
          <w:color w:val="auto"/>
          <w:highlight w:val="none"/>
          <w:lang w:eastAsia="zh-CN"/>
        </w:rPr>
      </w:pPr>
    </w:p>
    <w:p w14:paraId="21C436F0">
      <w:pPr>
        <w:widowControl/>
        <w:jc w:val="center"/>
        <w:rPr>
          <w:rFonts w:hint="eastAsia" w:ascii="宋体" w:hAnsi="宋体" w:eastAsia="宋体" w:cs="宋体"/>
          <w:color w:val="auto"/>
          <w:highlight w:val="none"/>
        </w:rPr>
      </w:pPr>
    </w:p>
    <w:p w14:paraId="01190E16">
      <w:pPr>
        <w:widowControl/>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签订地点：</w:t>
      </w:r>
    </w:p>
    <w:p w14:paraId="7B1E7209">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云南省财政厅　制</w:t>
      </w:r>
      <w:r>
        <w:rPr>
          <w:rFonts w:hint="eastAsia" w:ascii="宋体" w:hAnsi="宋体" w:eastAsia="宋体" w:cs="宋体"/>
          <w:color w:val="auto"/>
          <w:sz w:val="24"/>
          <w:szCs w:val="24"/>
          <w:highlight w:val="none"/>
        </w:rPr>
        <w:br w:type="page"/>
      </w:r>
    </w:p>
    <w:p w14:paraId="4CD839B5">
      <w:pPr>
        <w:widowControl/>
        <w:spacing w:line="360" w:lineRule="auto"/>
        <w:ind w:firstLine="328" w:firstLineChars="137"/>
        <w:jc w:val="left"/>
        <w:rPr>
          <w:rFonts w:hint="eastAsia" w:ascii="宋体" w:hAnsi="宋体" w:eastAsia="宋体" w:cs="宋体"/>
          <w:color w:val="auto"/>
          <w:sz w:val="24"/>
          <w:szCs w:val="24"/>
          <w:highlight w:val="none"/>
        </w:rPr>
      </w:pPr>
    </w:p>
    <w:p w14:paraId="237C653E">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甲方（采购人公章）名 称：</w:t>
      </w:r>
    </w:p>
    <w:p w14:paraId="7BB50C99">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p>
    <w:p w14:paraId="423BC92B">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p>
    <w:p w14:paraId="5BE7A0F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法定代表人或委托代理人：</w:t>
      </w:r>
    </w:p>
    <w:p w14:paraId="50AE51B5">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项目（技术）负责人：</w:t>
      </w:r>
    </w:p>
    <w:p w14:paraId="356AC547">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 话：</w:t>
      </w:r>
    </w:p>
    <w:p w14:paraId="6D9B7445">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签订日期：</w:t>
      </w:r>
    </w:p>
    <w:p w14:paraId="511D2939">
      <w:pPr>
        <w:pStyle w:val="11"/>
        <w:rPr>
          <w:rFonts w:hint="eastAsia" w:ascii="宋体" w:hAnsi="宋体" w:eastAsia="宋体" w:cs="宋体"/>
          <w:color w:val="auto"/>
          <w:highlight w:val="none"/>
          <w:lang w:eastAsia="zh-CN"/>
        </w:rPr>
      </w:pPr>
    </w:p>
    <w:p w14:paraId="44D6EA63">
      <w:pPr>
        <w:pStyle w:val="11"/>
        <w:rPr>
          <w:rFonts w:hint="eastAsia" w:ascii="宋体" w:hAnsi="宋体" w:eastAsia="宋体" w:cs="宋体"/>
          <w:color w:val="auto"/>
          <w:highlight w:val="none"/>
          <w:lang w:eastAsia="zh-CN"/>
        </w:rPr>
      </w:pPr>
    </w:p>
    <w:p w14:paraId="12EF1098">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乙方（供应商公章）名 称：</w:t>
      </w:r>
    </w:p>
    <w:p w14:paraId="2FF14D1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p>
    <w:p w14:paraId="171E9F95">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邮 编：</w:t>
      </w:r>
    </w:p>
    <w:p w14:paraId="12A4A165">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法定代表人或委托代理人：</w:t>
      </w:r>
    </w:p>
    <w:p w14:paraId="440B5823">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经办人：</w:t>
      </w:r>
    </w:p>
    <w:p w14:paraId="3D31139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 话：</w:t>
      </w:r>
    </w:p>
    <w:p w14:paraId="4D17FD1F">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签订日期：</w:t>
      </w:r>
    </w:p>
    <w:p w14:paraId="35173E0E">
      <w:pPr>
        <w:pStyle w:val="11"/>
        <w:rPr>
          <w:rFonts w:hint="eastAsia" w:ascii="宋体" w:hAnsi="宋体" w:eastAsia="宋体" w:cs="宋体"/>
          <w:color w:val="auto"/>
          <w:highlight w:val="none"/>
          <w:lang w:eastAsia="zh-CN"/>
        </w:rPr>
      </w:pPr>
    </w:p>
    <w:p w14:paraId="59FA2D59">
      <w:pPr>
        <w:pStyle w:val="11"/>
        <w:rPr>
          <w:rFonts w:hint="eastAsia" w:ascii="宋体" w:hAnsi="宋体" w:eastAsia="宋体" w:cs="宋体"/>
          <w:color w:val="auto"/>
          <w:highlight w:val="none"/>
          <w:lang w:eastAsia="zh-CN"/>
        </w:rPr>
      </w:pPr>
    </w:p>
    <w:p w14:paraId="1A00C4A4">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丙方（鉴证方公章）名 称：</w:t>
      </w:r>
    </w:p>
    <w:p w14:paraId="09317A5B">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p>
    <w:p w14:paraId="70A9E88C">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邮 编：</w:t>
      </w:r>
    </w:p>
    <w:p w14:paraId="4C3F72CB">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法定代表人或委托代理人：</w:t>
      </w:r>
    </w:p>
    <w:p w14:paraId="36AA6A3F">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经办人： </w:t>
      </w:r>
    </w:p>
    <w:p w14:paraId="2DEAE4E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p w14:paraId="7B05BD5B">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FFDA9C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年</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月</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（采购人名称）   </w:t>
      </w:r>
      <w:r>
        <w:rPr>
          <w:rFonts w:hint="eastAsia" w:ascii="宋体" w:hAnsi="宋体" w:eastAsia="宋体" w:cs="宋体"/>
          <w:sz w:val="24"/>
          <w:szCs w:val="24"/>
          <w:highlight w:val="none"/>
        </w:rPr>
        <w:t>以</w:t>
      </w:r>
      <w:r>
        <w:rPr>
          <w:rFonts w:hint="eastAsia" w:ascii="宋体" w:hAnsi="宋体" w:eastAsia="宋体" w:cs="宋体"/>
          <w:sz w:val="24"/>
          <w:szCs w:val="24"/>
          <w:highlight w:val="none"/>
          <w:u w:val="single"/>
        </w:rPr>
        <w:t xml:space="preserve">   （政府采购方式）  </w:t>
      </w:r>
      <w:r>
        <w:rPr>
          <w:rFonts w:hint="eastAsia" w:ascii="宋体" w:hAnsi="宋体" w:eastAsia="宋体" w:cs="宋体"/>
          <w:sz w:val="24"/>
          <w:szCs w:val="24"/>
          <w:highlight w:val="none"/>
        </w:rPr>
        <w:t>对</w:t>
      </w:r>
      <w:r>
        <w:rPr>
          <w:rFonts w:hint="eastAsia" w:ascii="宋体" w:hAnsi="宋体" w:eastAsia="宋体" w:cs="宋体"/>
          <w:sz w:val="24"/>
          <w:szCs w:val="24"/>
          <w:highlight w:val="none"/>
          <w:u w:val="single"/>
        </w:rPr>
        <w:t xml:space="preserve">   （同前页项目名称）   </w:t>
      </w:r>
      <w:r>
        <w:rPr>
          <w:rFonts w:hint="eastAsia" w:ascii="宋体" w:hAnsi="宋体" w:eastAsia="宋体" w:cs="宋体"/>
          <w:sz w:val="24"/>
          <w:szCs w:val="24"/>
          <w:highlight w:val="none"/>
        </w:rPr>
        <w:t>项目进行了采购。经</w:t>
      </w:r>
      <w:r>
        <w:rPr>
          <w:rFonts w:hint="eastAsia" w:ascii="宋体" w:hAnsi="宋体" w:eastAsia="宋体" w:cs="宋体"/>
          <w:sz w:val="24"/>
          <w:szCs w:val="24"/>
          <w:highlight w:val="none"/>
          <w:u w:val="single"/>
        </w:rPr>
        <w:t xml:space="preserve">   （相关评定主体名称）   </w:t>
      </w:r>
      <w:r>
        <w:rPr>
          <w:rFonts w:hint="eastAsia" w:ascii="宋体" w:hAnsi="宋体" w:eastAsia="宋体" w:cs="宋体"/>
          <w:sz w:val="24"/>
          <w:szCs w:val="24"/>
          <w:highlight w:val="none"/>
        </w:rPr>
        <w:t>评定，</w:t>
      </w:r>
      <w:r>
        <w:rPr>
          <w:rFonts w:hint="eastAsia" w:ascii="宋体" w:hAnsi="宋体" w:eastAsia="宋体" w:cs="宋体"/>
          <w:sz w:val="24"/>
          <w:szCs w:val="24"/>
          <w:highlight w:val="none"/>
          <w:u w:val="single"/>
        </w:rPr>
        <w:t xml:space="preserve">   （中标供应商名称） </w:t>
      </w:r>
      <w:r>
        <w:rPr>
          <w:rFonts w:hint="eastAsia" w:ascii="宋体" w:hAnsi="宋体" w:eastAsia="宋体" w:cs="宋体"/>
          <w:sz w:val="24"/>
          <w:szCs w:val="24"/>
          <w:highlight w:val="none"/>
        </w:rPr>
        <w:t>为该项目中标供应商。现于中标通知书发出之日起三十日内，按照采购文件确定的事项签订本合同。</w:t>
      </w:r>
    </w:p>
    <w:p w14:paraId="2ECA5350">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sz w:val="24"/>
          <w:szCs w:val="24"/>
          <w:highlight w:val="none"/>
          <w:u w:val="single"/>
        </w:rPr>
        <w:t xml:space="preserve">   （采购人名称）   </w:t>
      </w:r>
      <w:r>
        <w:rPr>
          <w:rFonts w:hint="eastAsia" w:ascii="宋体" w:hAnsi="宋体" w:eastAsia="宋体" w:cs="宋体"/>
          <w:sz w:val="24"/>
          <w:szCs w:val="24"/>
          <w:highlight w:val="none"/>
          <w:lang w:val="zh-CN"/>
        </w:rPr>
        <w:t>(以下简称：甲方)和</w:t>
      </w:r>
      <w:r>
        <w:rPr>
          <w:rFonts w:hint="eastAsia" w:ascii="宋体" w:hAnsi="宋体" w:eastAsia="宋体" w:cs="宋体"/>
          <w:sz w:val="24"/>
          <w:szCs w:val="24"/>
          <w:highlight w:val="none"/>
          <w:u w:val="single"/>
        </w:rPr>
        <w:t xml:space="preserve">   （中标供应商名称）   </w:t>
      </w:r>
      <w:r>
        <w:rPr>
          <w:rFonts w:hint="eastAsia" w:ascii="宋体" w:hAnsi="宋体" w:eastAsia="宋体" w:cs="宋体"/>
          <w:sz w:val="24"/>
          <w:szCs w:val="24"/>
          <w:highlight w:val="none"/>
          <w:lang w:val="zh-CN"/>
        </w:rPr>
        <w:t>(以下简称：乙方)协商一致，约定以下合同</w:t>
      </w:r>
      <w:r>
        <w:rPr>
          <w:rFonts w:hint="eastAsia" w:ascii="宋体" w:hAnsi="宋体" w:eastAsia="宋体" w:cs="宋体"/>
          <w:sz w:val="24"/>
          <w:szCs w:val="24"/>
          <w:highlight w:val="none"/>
        </w:rPr>
        <w:t>条款，以兹共同遵守、全面履行。</w:t>
      </w:r>
    </w:p>
    <w:p w14:paraId="75227267">
      <w:pPr>
        <w:spacing w:line="560" w:lineRule="exact"/>
        <w:ind w:firstLine="482" w:firstLineChars="200"/>
        <w:rPr>
          <w:rFonts w:hint="eastAsia" w:ascii="宋体" w:hAnsi="宋体" w:eastAsia="宋体" w:cs="宋体"/>
          <w:b/>
          <w:sz w:val="24"/>
          <w:szCs w:val="24"/>
          <w:highlight w:val="none"/>
        </w:rPr>
      </w:pPr>
      <w:bookmarkStart w:id="142" w:name="_Toc28855"/>
      <w:bookmarkStart w:id="143" w:name="_Toc15367"/>
      <w:bookmarkStart w:id="144" w:name="_Toc20421"/>
      <w:bookmarkStart w:id="145" w:name="_Toc22967"/>
      <w:bookmarkStart w:id="146" w:name="_Toc19273"/>
      <w:r>
        <w:rPr>
          <w:rFonts w:hint="eastAsia" w:ascii="宋体" w:hAnsi="宋体" w:eastAsia="宋体" w:cs="宋体"/>
          <w:b/>
          <w:sz w:val="24"/>
          <w:szCs w:val="24"/>
          <w:highlight w:val="none"/>
        </w:rPr>
        <w:t>1.1 合同组成部分</w:t>
      </w:r>
      <w:bookmarkEnd w:id="142"/>
      <w:bookmarkEnd w:id="143"/>
      <w:bookmarkEnd w:id="144"/>
      <w:bookmarkEnd w:id="145"/>
      <w:bookmarkEnd w:id="146"/>
    </w:p>
    <w:p w14:paraId="47AF88D5">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768C19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 本合同及其补充合同、变更协议；</w:t>
      </w:r>
    </w:p>
    <w:p w14:paraId="16AC4AD5">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 成交通知书；</w:t>
      </w:r>
    </w:p>
    <w:p w14:paraId="7B58D3EF">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1.1.3 响应文件（含澄清或者说明文件）；</w:t>
      </w:r>
    </w:p>
    <w:p w14:paraId="1B54F7B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1.1.4 竞争性磋商文件（含澄清或者修改文件）；</w:t>
      </w:r>
    </w:p>
    <w:p w14:paraId="1AA08F0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1.1.5 其他相关采购文件。</w:t>
      </w:r>
    </w:p>
    <w:p w14:paraId="5E29CADA">
      <w:pPr>
        <w:spacing w:line="560" w:lineRule="exact"/>
        <w:ind w:firstLine="482" w:firstLineChars="200"/>
        <w:rPr>
          <w:rFonts w:hint="eastAsia" w:ascii="宋体" w:hAnsi="宋体" w:eastAsia="宋体" w:cs="宋体"/>
          <w:b/>
          <w:sz w:val="24"/>
          <w:szCs w:val="24"/>
          <w:highlight w:val="none"/>
        </w:rPr>
      </w:pPr>
      <w:bookmarkStart w:id="147" w:name="_Toc18585"/>
      <w:bookmarkStart w:id="148" w:name="_Toc6773"/>
      <w:bookmarkStart w:id="149" w:name="_Toc2918"/>
      <w:bookmarkStart w:id="150" w:name="_Toc6311"/>
      <w:bookmarkStart w:id="151" w:name="_Toc22185"/>
      <w:r>
        <w:rPr>
          <w:rFonts w:hint="eastAsia" w:ascii="宋体" w:hAnsi="宋体" w:eastAsia="宋体" w:cs="宋体"/>
          <w:b/>
          <w:sz w:val="24"/>
          <w:szCs w:val="24"/>
          <w:highlight w:val="none"/>
        </w:rPr>
        <w:t>1.2 标的</w:t>
      </w:r>
      <w:bookmarkEnd w:id="147"/>
      <w:bookmarkEnd w:id="148"/>
      <w:bookmarkEnd w:id="149"/>
      <w:bookmarkEnd w:id="150"/>
      <w:bookmarkEnd w:id="151"/>
    </w:p>
    <w:p w14:paraId="04F52F68">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1.2.1 标的名称：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3B86F1C">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1.2.2 标的数量：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5E481773">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 标的质量：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25C5CBC">
      <w:pPr>
        <w:spacing w:line="560" w:lineRule="exact"/>
        <w:ind w:firstLine="482" w:firstLineChars="200"/>
        <w:rPr>
          <w:rFonts w:hint="eastAsia" w:ascii="宋体" w:hAnsi="宋体" w:eastAsia="宋体" w:cs="宋体"/>
          <w:b/>
          <w:sz w:val="24"/>
          <w:szCs w:val="24"/>
          <w:highlight w:val="none"/>
        </w:rPr>
      </w:pPr>
      <w:bookmarkStart w:id="152" w:name="_Toc21124"/>
      <w:bookmarkStart w:id="153" w:name="_Toc4929"/>
      <w:bookmarkStart w:id="154" w:name="_Toc13918"/>
      <w:bookmarkStart w:id="155" w:name="_Toc5635"/>
      <w:bookmarkStart w:id="156" w:name="_Toc1386"/>
      <w:r>
        <w:rPr>
          <w:rFonts w:hint="eastAsia" w:ascii="宋体" w:hAnsi="宋体" w:eastAsia="宋体" w:cs="宋体"/>
          <w:b/>
          <w:sz w:val="24"/>
          <w:szCs w:val="24"/>
          <w:highlight w:val="none"/>
        </w:rPr>
        <w:t>1.3 价款</w:t>
      </w:r>
      <w:bookmarkEnd w:id="152"/>
      <w:bookmarkEnd w:id="153"/>
      <w:bookmarkEnd w:id="154"/>
      <w:bookmarkEnd w:id="155"/>
      <w:bookmarkEnd w:id="156"/>
    </w:p>
    <w:p w14:paraId="3213C20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本合同总价为：¥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w:t>
      </w:r>
    </w:p>
    <w:p w14:paraId="37FEFB5A">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分项价格：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BB2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A5B435A">
            <w:pPr>
              <w:pStyle w:val="108"/>
              <w:spacing w:line="56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402" w:type="dxa"/>
            <w:noWrap w:val="0"/>
            <w:vAlign w:val="center"/>
          </w:tcPr>
          <w:p w14:paraId="1DA660E3">
            <w:pPr>
              <w:pStyle w:val="108"/>
              <w:spacing w:line="560" w:lineRule="exact"/>
              <w:ind w:firstLine="20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分项名称</w:t>
            </w:r>
          </w:p>
        </w:tc>
        <w:tc>
          <w:tcPr>
            <w:tcW w:w="2552" w:type="dxa"/>
            <w:noWrap w:val="0"/>
            <w:vAlign w:val="center"/>
          </w:tcPr>
          <w:p w14:paraId="11177217">
            <w:pPr>
              <w:pStyle w:val="108"/>
              <w:spacing w:line="56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分项价格</w:t>
            </w:r>
          </w:p>
        </w:tc>
      </w:tr>
      <w:tr w14:paraId="6109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764CEFB">
            <w:pPr>
              <w:pStyle w:val="108"/>
              <w:spacing w:line="560" w:lineRule="exact"/>
              <w:ind w:firstLine="200"/>
              <w:jc w:val="center"/>
              <w:rPr>
                <w:rFonts w:hint="eastAsia" w:ascii="宋体" w:hAnsi="宋体" w:eastAsia="宋体" w:cs="宋体"/>
                <w:color w:val="000000"/>
                <w:sz w:val="24"/>
                <w:szCs w:val="24"/>
                <w:highlight w:val="none"/>
              </w:rPr>
            </w:pPr>
          </w:p>
        </w:tc>
        <w:tc>
          <w:tcPr>
            <w:tcW w:w="3402" w:type="dxa"/>
            <w:noWrap w:val="0"/>
            <w:vAlign w:val="center"/>
          </w:tcPr>
          <w:p w14:paraId="077C6995">
            <w:pPr>
              <w:pStyle w:val="108"/>
              <w:spacing w:line="560" w:lineRule="exact"/>
              <w:ind w:firstLine="200"/>
              <w:jc w:val="center"/>
              <w:rPr>
                <w:rFonts w:hint="eastAsia" w:ascii="宋体" w:hAnsi="宋体" w:eastAsia="宋体" w:cs="宋体"/>
                <w:color w:val="000000"/>
                <w:sz w:val="24"/>
                <w:szCs w:val="24"/>
                <w:highlight w:val="none"/>
              </w:rPr>
            </w:pPr>
          </w:p>
        </w:tc>
        <w:tc>
          <w:tcPr>
            <w:tcW w:w="2552" w:type="dxa"/>
            <w:noWrap w:val="0"/>
            <w:vAlign w:val="center"/>
          </w:tcPr>
          <w:p w14:paraId="62EFBDDF">
            <w:pPr>
              <w:pStyle w:val="108"/>
              <w:spacing w:line="560" w:lineRule="exact"/>
              <w:ind w:firstLine="200"/>
              <w:jc w:val="center"/>
              <w:rPr>
                <w:rFonts w:hint="eastAsia" w:ascii="宋体" w:hAnsi="宋体" w:eastAsia="宋体" w:cs="宋体"/>
                <w:color w:val="000000"/>
                <w:sz w:val="24"/>
                <w:szCs w:val="24"/>
                <w:highlight w:val="none"/>
              </w:rPr>
            </w:pPr>
          </w:p>
        </w:tc>
      </w:tr>
      <w:tr w14:paraId="00A7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5D22D7F">
            <w:pPr>
              <w:pStyle w:val="108"/>
              <w:spacing w:line="560" w:lineRule="exact"/>
              <w:ind w:firstLine="200"/>
              <w:jc w:val="center"/>
              <w:rPr>
                <w:rFonts w:hint="eastAsia" w:ascii="宋体" w:hAnsi="宋体" w:eastAsia="宋体" w:cs="宋体"/>
                <w:color w:val="000000"/>
                <w:sz w:val="24"/>
                <w:szCs w:val="24"/>
                <w:highlight w:val="none"/>
              </w:rPr>
            </w:pPr>
          </w:p>
        </w:tc>
        <w:tc>
          <w:tcPr>
            <w:tcW w:w="3402" w:type="dxa"/>
            <w:noWrap w:val="0"/>
            <w:vAlign w:val="center"/>
          </w:tcPr>
          <w:p w14:paraId="719F40D1">
            <w:pPr>
              <w:pStyle w:val="108"/>
              <w:spacing w:line="560" w:lineRule="exact"/>
              <w:ind w:firstLine="200"/>
              <w:jc w:val="center"/>
              <w:rPr>
                <w:rFonts w:hint="eastAsia" w:ascii="宋体" w:hAnsi="宋体" w:eastAsia="宋体" w:cs="宋体"/>
                <w:color w:val="000000"/>
                <w:sz w:val="24"/>
                <w:szCs w:val="24"/>
                <w:highlight w:val="none"/>
              </w:rPr>
            </w:pPr>
          </w:p>
        </w:tc>
        <w:tc>
          <w:tcPr>
            <w:tcW w:w="2552" w:type="dxa"/>
            <w:noWrap w:val="0"/>
            <w:vAlign w:val="center"/>
          </w:tcPr>
          <w:p w14:paraId="649D8AAD">
            <w:pPr>
              <w:pStyle w:val="108"/>
              <w:spacing w:line="560" w:lineRule="exact"/>
              <w:ind w:firstLine="200"/>
              <w:jc w:val="center"/>
              <w:rPr>
                <w:rFonts w:hint="eastAsia" w:ascii="宋体" w:hAnsi="宋体" w:eastAsia="宋体" w:cs="宋体"/>
                <w:color w:val="000000"/>
                <w:sz w:val="24"/>
                <w:szCs w:val="24"/>
                <w:highlight w:val="none"/>
              </w:rPr>
            </w:pPr>
          </w:p>
        </w:tc>
      </w:tr>
      <w:tr w14:paraId="18C6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5D872B2">
            <w:pPr>
              <w:pStyle w:val="108"/>
              <w:spacing w:line="560" w:lineRule="exact"/>
              <w:ind w:firstLine="200"/>
              <w:jc w:val="center"/>
              <w:rPr>
                <w:rFonts w:hint="eastAsia" w:ascii="宋体" w:hAnsi="宋体" w:eastAsia="宋体" w:cs="宋体"/>
                <w:color w:val="000000"/>
                <w:sz w:val="24"/>
                <w:szCs w:val="24"/>
                <w:highlight w:val="none"/>
              </w:rPr>
            </w:pPr>
          </w:p>
        </w:tc>
        <w:tc>
          <w:tcPr>
            <w:tcW w:w="3402" w:type="dxa"/>
            <w:noWrap w:val="0"/>
            <w:vAlign w:val="center"/>
          </w:tcPr>
          <w:p w14:paraId="14A4A527">
            <w:pPr>
              <w:pStyle w:val="108"/>
              <w:spacing w:line="560" w:lineRule="exact"/>
              <w:ind w:firstLine="200"/>
              <w:jc w:val="center"/>
              <w:rPr>
                <w:rFonts w:hint="eastAsia" w:ascii="宋体" w:hAnsi="宋体" w:eastAsia="宋体" w:cs="宋体"/>
                <w:color w:val="000000"/>
                <w:sz w:val="24"/>
                <w:szCs w:val="24"/>
                <w:highlight w:val="none"/>
              </w:rPr>
            </w:pPr>
          </w:p>
        </w:tc>
        <w:tc>
          <w:tcPr>
            <w:tcW w:w="2552" w:type="dxa"/>
            <w:noWrap w:val="0"/>
            <w:vAlign w:val="center"/>
          </w:tcPr>
          <w:p w14:paraId="0FF26F92">
            <w:pPr>
              <w:pStyle w:val="108"/>
              <w:spacing w:line="560" w:lineRule="exact"/>
              <w:ind w:firstLine="200"/>
              <w:jc w:val="center"/>
              <w:rPr>
                <w:rFonts w:hint="eastAsia" w:ascii="宋体" w:hAnsi="宋体" w:eastAsia="宋体" w:cs="宋体"/>
                <w:color w:val="000000"/>
                <w:sz w:val="24"/>
                <w:szCs w:val="24"/>
                <w:highlight w:val="none"/>
              </w:rPr>
            </w:pPr>
          </w:p>
        </w:tc>
      </w:tr>
      <w:tr w14:paraId="139A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3F4998">
            <w:pPr>
              <w:pStyle w:val="108"/>
              <w:spacing w:line="560" w:lineRule="exact"/>
              <w:ind w:firstLine="200"/>
              <w:jc w:val="center"/>
              <w:rPr>
                <w:rFonts w:hint="eastAsia" w:ascii="宋体" w:hAnsi="宋体" w:eastAsia="宋体" w:cs="宋体"/>
                <w:color w:val="000000"/>
                <w:sz w:val="24"/>
                <w:szCs w:val="24"/>
                <w:highlight w:val="none"/>
              </w:rPr>
            </w:pPr>
          </w:p>
        </w:tc>
        <w:tc>
          <w:tcPr>
            <w:tcW w:w="3402" w:type="dxa"/>
            <w:noWrap w:val="0"/>
            <w:vAlign w:val="center"/>
          </w:tcPr>
          <w:p w14:paraId="3E530660">
            <w:pPr>
              <w:pStyle w:val="108"/>
              <w:spacing w:line="560" w:lineRule="exact"/>
              <w:ind w:firstLine="200"/>
              <w:jc w:val="center"/>
              <w:rPr>
                <w:rFonts w:hint="eastAsia" w:ascii="宋体" w:hAnsi="宋体" w:eastAsia="宋体" w:cs="宋体"/>
                <w:color w:val="000000"/>
                <w:sz w:val="24"/>
                <w:szCs w:val="24"/>
                <w:highlight w:val="none"/>
              </w:rPr>
            </w:pPr>
          </w:p>
        </w:tc>
        <w:tc>
          <w:tcPr>
            <w:tcW w:w="2552" w:type="dxa"/>
            <w:noWrap w:val="0"/>
            <w:vAlign w:val="center"/>
          </w:tcPr>
          <w:p w14:paraId="54197BC5">
            <w:pPr>
              <w:pStyle w:val="108"/>
              <w:spacing w:line="560" w:lineRule="exact"/>
              <w:ind w:firstLine="200"/>
              <w:jc w:val="center"/>
              <w:rPr>
                <w:rFonts w:hint="eastAsia" w:ascii="宋体" w:hAnsi="宋体" w:eastAsia="宋体" w:cs="宋体"/>
                <w:color w:val="000000"/>
                <w:sz w:val="24"/>
                <w:szCs w:val="24"/>
                <w:highlight w:val="none"/>
              </w:rPr>
            </w:pPr>
          </w:p>
        </w:tc>
      </w:tr>
      <w:tr w14:paraId="4EF8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0F1717B">
            <w:pPr>
              <w:pStyle w:val="108"/>
              <w:spacing w:line="560" w:lineRule="exact"/>
              <w:ind w:firstLine="20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总价</w:t>
            </w:r>
          </w:p>
        </w:tc>
        <w:tc>
          <w:tcPr>
            <w:tcW w:w="2552" w:type="dxa"/>
            <w:noWrap w:val="0"/>
            <w:vAlign w:val="center"/>
          </w:tcPr>
          <w:p w14:paraId="6620BE24">
            <w:pPr>
              <w:pStyle w:val="108"/>
              <w:spacing w:line="560" w:lineRule="exact"/>
              <w:ind w:firstLine="200"/>
              <w:jc w:val="center"/>
              <w:rPr>
                <w:rFonts w:hint="eastAsia" w:ascii="宋体" w:hAnsi="宋体" w:eastAsia="宋体" w:cs="宋体"/>
                <w:color w:val="000000"/>
                <w:sz w:val="24"/>
                <w:szCs w:val="24"/>
                <w:highlight w:val="none"/>
              </w:rPr>
            </w:pPr>
          </w:p>
        </w:tc>
      </w:tr>
    </w:tbl>
    <w:p w14:paraId="4A90EC51">
      <w:pPr>
        <w:spacing w:line="560" w:lineRule="exact"/>
        <w:ind w:firstLine="482" w:firstLineChars="200"/>
        <w:rPr>
          <w:rFonts w:hint="eastAsia" w:ascii="宋体" w:hAnsi="宋体" w:eastAsia="宋体" w:cs="宋体"/>
          <w:b/>
          <w:sz w:val="24"/>
          <w:szCs w:val="24"/>
          <w:highlight w:val="none"/>
        </w:rPr>
      </w:pPr>
      <w:bookmarkStart w:id="157" w:name="_Toc26916"/>
      <w:bookmarkStart w:id="158" w:name="_Toc30506"/>
      <w:bookmarkStart w:id="159" w:name="_Toc30158"/>
      <w:bookmarkStart w:id="160" w:name="_Toc14993"/>
      <w:bookmarkStart w:id="161" w:name="_Toc3654"/>
      <w:r>
        <w:rPr>
          <w:rFonts w:hint="eastAsia" w:ascii="宋体" w:hAnsi="宋体" w:eastAsia="宋体" w:cs="宋体"/>
          <w:b/>
          <w:sz w:val="24"/>
          <w:szCs w:val="24"/>
          <w:highlight w:val="none"/>
        </w:rPr>
        <w:t>1.4 付款方式和发票开具方式</w:t>
      </w:r>
      <w:bookmarkEnd w:id="157"/>
      <w:bookmarkEnd w:id="158"/>
      <w:bookmarkEnd w:id="159"/>
      <w:bookmarkEnd w:id="160"/>
      <w:bookmarkEnd w:id="161"/>
    </w:p>
    <w:p w14:paraId="6571BCD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1.4.1付款方式：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D1AA993">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1.4.2 发票开具方式：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C2DAB2D">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支付方式数据表格</w:t>
      </w:r>
    </w:p>
    <w:tbl>
      <w:tblPr>
        <w:tblStyle w:val="35"/>
        <w:tblpPr w:leftFromText="180" w:rightFromText="180" w:vertAnchor="text" w:horzAnchor="page" w:tblpX="1688" w:tblpY="355"/>
        <w:tblOverlap w:val="never"/>
        <w:tblW w:w="505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456"/>
        <w:gridCol w:w="1689"/>
        <w:gridCol w:w="6715"/>
      </w:tblGrid>
      <w:tr w14:paraId="3CDEE8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4" w:hRule="atLeast"/>
          <w:tblHeader/>
        </w:trPr>
        <w:tc>
          <w:tcPr>
            <w:tcW w:w="738" w:type="pct"/>
            <w:tcBorders>
              <w:top w:val="outset" w:color="auto" w:sz="6" w:space="0"/>
              <w:left w:val="outset" w:color="auto" w:sz="6" w:space="0"/>
              <w:bottom w:val="outset" w:color="auto" w:sz="6" w:space="0"/>
              <w:right w:val="outset" w:color="auto" w:sz="6" w:space="0"/>
            </w:tcBorders>
            <w:shd w:val="clear" w:color="auto" w:fill="auto"/>
            <w:vAlign w:val="center"/>
          </w:tcPr>
          <w:p w14:paraId="3D901E4D">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支付期次</w:t>
            </w:r>
          </w:p>
        </w:tc>
        <w:tc>
          <w:tcPr>
            <w:tcW w:w="856" w:type="pct"/>
            <w:tcBorders>
              <w:top w:val="outset" w:color="auto" w:sz="6" w:space="0"/>
              <w:left w:val="outset" w:color="auto" w:sz="6" w:space="0"/>
              <w:bottom w:val="outset" w:color="auto" w:sz="6" w:space="0"/>
              <w:right w:val="outset" w:color="auto" w:sz="6" w:space="0"/>
            </w:tcBorders>
            <w:shd w:val="clear" w:color="auto" w:fill="auto"/>
            <w:vAlign w:val="center"/>
          </w:tcPr>
          <w:p w14:paraId="4FB39CD4">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支付比例(%)</w:t>
            </w:r>
          </w:p>
        </w:tc>
        <w:tc>
          <w:tcPr>
            <w:tcW w:w="3404" w:type="pct"/>
            <w:tcBorders>
              <w:top w:val="outset" w:color="auto" w:sz="6" w:space="0"/>
              <w:left w:val="outset" w:color="auto" w:sz="6" w:space="0"/>
              <w:bottom w:val="outset" w:color="auto" w:sz="6" w:space="0"/>
              <w:right w:val="outset" w:color="auto" w:sz="6" w:space="0"/>
            </w:tcBorders>
            <w:shd w:val="clear" w:color="auto" w:fill="auto"/>
            <w:vAlign w:val="center"/>
          </w:tcPr>
          <w:p w14:paraId="0FD29618">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支付期次说明</w:t>
            </w:r>
          </w:p>
        </w:tc>
      </w:tr>
      <w:tr w14:paraId="271FCE1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4" w:hRule="atLeast"/>
        </w:trPr>
        <w:tc>
          <w:tcPr>
            <w:tcW w:w="738" w:type="pct"/>
            <w:tcBorders>
              <w:top w:val="outset" w:color="auto" w:sz="6" w:space="0"/>
              <w:left w:val="outset" w:color="auto" w:sz="6" w:space="0"/>
              <w:bottom w:val="outset" w:color="auto" w:sz="6" w:space="0"/>
              <w:right w:val="outset" w:color="auto" w:sz="6" w:space="0"/>
            </w:tcBorders>
            <w:shd w:val="clear" w:color="auto" w:fill="auto"/>
            <w:vAlign w:val="center"/>
          </w:tcPr>
          <w:p w14:paraId="3E44514A">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856" w:type="pct"/>
            <w:tcBorders>
              <w:top w:val="outset" w:color="auto" w:sz="6" w:space="0"/>
              <w:left w:val="outset" w:color="auto" w:sz="6" w:space="0"/>
              <w:bottom w:val="outset" w:color="auto" w:sz="6" w:space="0"/>
              <w:right w:val="outset" w:color="auto" w:sz="6" w:space="0"/>
            </w:tcBorders>
            <w:shd w:val="clear" w:color="auto" w:fill="auto"/>
            <w:vAlign w:val="center"/>
          </w:tcPr>
          <w:p w14:paraId="5A1B604E">
            <w:pPr>
              <w:pStyle w:val="11"/>
              <w:spacing w:line="360" w:lineRule="auto"/>
              <w:rPr>
                <w:rFonts w:hint="eastAsia" w:ascii="宋体" w:hAnsi="宋体" w:eastAsia="宋体" w:cs="宋体"/>
                <w:kern w:val="2"/>
                <w:sz w:val="24"/>
                <w:szCs w:val="24"/>
                <w:highlight w:val="none"/>
                <w:lang w:val="en-US" w:eastAsia="zh-CN" w:bidi="ar-SA"/>
              </w:rPr>
            </w:pPr>
          </w:p>
        </w:tc>
        <w:tc>
          <w:tcPr>
            <w:tcW w:w="3404" w:type="pct"/>
            <w:tcBorders>
              <w:top w:val="outset" w:color="auto" w:sz="6" w:space="0"/>
              <w:left w:val="outset" w:color="auto" w:sz="6" w:space="0"/>
              <w:bottom w:val="outset" w:color="auto" w:sz="6" w:space="0"/>
              <w:right w:val="outset" w:color="auto" w:sz="6" w:space="0"/>
            </w:tcBorders>
            <w:shd w:val="clear" w:color="auto" w:fill="auto"/>
            <w:vAlign w:val="center"/>
          </w:tcPr>
          <w:p w14:paraId="17EB3C75">
            <w:pPr>
              <w:pStyle w:val="11"/>
              <w:spacing w:line="360" w:lineRule="auto"/>
              <w:rPr>
                <w:rFonts w:hint="eastAsia" w:ascii="宋体" w:hAnsi="宋体" w:eastAsia="宋体" w:cs="宋体"/>
                <w:kern w:val="2"/>
                <w:sz w:val="24"/>
                <w:szCs w:val="24"/>
                <w:highlight w:val="none"/>
                <w:lang w:val="en-US" w:eastAsia="zh-CN" w:bidi="ar-SA"/>
              </w:rPr>
            </w:pPr>
          </w:p>
        </w:tc>
      </w:tr>
      <w:tr w14:paraId="485B2D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09" w:hRule="atLeast"/>
        </w:trPr>
        <w:tc>
          <w:tcPr>
            <w:tcW w:w="738" w:type="pct"/>
            <w:tcBorders>
              <w:top w:val="outset" w:color="auto" w:sz="6" w:space="0"/>
              <w:left w:val="outset" w:color="auto" w:sz="6" w:space="0"/>
              <w:bottom w:val="outset" w:color="auto" w:sz="6" w:space="0"/>
              <w:right w:val="outset" w:color="auto" w:sz="6" w:space="0"/>
            </w:tcBorders>
            <w:shd w:val="clear" w:color="auto" w:fill="auto"/>
            <w:vAlign w:val="center"/>
          </w:tcPr>
          <w:p w14:paraId="24EC2F26">
            <w:pPr>
              <w:pStyle w:val="11"/>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856" w:type="pct"/>
            <w:tcBorders>
              <w:top w:val="outset" w:color="auto" w:sz="6" w:space="0"/>
              <w:left w:val="outset" w:color="auto" w:sz="6" w:space="0"/>
              <w:bottom w:val="outset" w:color="auto" w:sz="6" w:space="0"/>
              <w:right w:val="outset" w:color="auto" w:sz="6" w:space="0"/>
            </w:tcBorders>
            <w:shd w:val="clear" w:color="auto" w:fill="auto"/>
            <w:vAlign w:val="center"/>
          </w:tcPr>
          <w:p w14:paraId="5ABC2C7D">
            <w:pPr>
              <w:pStyle w:val="11"/>
              <w:spacing w:line="360" w:lineRule="auto"/>
              <w:rPr>
                <w:rFonts w:hint="eastAsia" w:ascii="宋体" w:hAnsi="宋体" w:eastAsia="宋体" w:cs="宋体"/>
                <w:kern w:val="2"/>
                <w:sz w:val="24"/>
                <w:szCs w:val="24"/>
                <w:highlight w:val="none"/>
                <w:lang w:val="en-US" w:eastAsia="zh-CN" w:bidi="ar-SA"/>
              </w:rPr>
            </w:pPr>
          </w:p>
        </w:tc>
        <w:tc>
          <w:tcPr>
            <w:tcW w:w="3404" w:type="pct"/>
            <w:tcBorders>
              <w:top w:val="outset" w:color="auto" w:sz="6" w:space="0"/>
              <w:left w:val="outset" w:color="auto" w:sz="6" w:space="0"/>
              <w:bottom w:val="outset" w:color="auto" w:sz="6" w:space="0"/>
              <w:right w:val="outset" w:color="auto" w:sz="6" w:space="0"/>
            </w:tcBorders>
            <w:shd w:val="clear" w:color="auto" w:fill="auto"/>
            <w:vAlign w:val="center"/>
          </w:tcPr>
          <w:p w14:paraId="40B9D604">
            <w:pPr>
              <w:pStyle w:val="11"/>
              <w:spacing w:line="360" w:lineRule="auto"/>
              <w:rPr>
                <w:rFonts w:hint="eastAsia" w:ascii="宋体" w:hAnsi="宋体" w:eastAsia="宋体" w:cs="宋体"/>
                <w:kern w:val="2"/>
                <w:sz w:val="24"/>
                <w:szCs w:val="24"/>
                <w:highlight w:val="none"/>
                <w:lang w:val="en-US" w:eastAsia="zh-CN" w:bidi="ar-SA"/>
              </w:rPr>
            </w:pPr>
          </w:p>
        </w:tc>
      </w:tr>
    </w:tbl>
    <w:p w14:paraId="6439B40C">
      <w:pPr>
        <w:spacing w:line="560" w:lineRule="exact"/>
        <w:ind w:firstLine="482" w:firstLineChars="200"/>
        <w:rPr>
          <w:rFonts w:hint="eastAsia" w:ascii="宋体" w:hAnsi="宋体" w:eastAsia="宋体" w:cs="宋体"/>
          <w:b/>
          <w:sz w:val="24"/>
          <w:szCs w:val="24"/>
          <w:highlight w:val="none"/>
        </w:rPr>
      </w:pPr>
      <w:bookmarkStart w:id="162" w:name="_Toc11108"/>
      <w:bookmarkStart w:id="163" w:name="_Toc4760"/>
      <w:bookmarkStart w:id="164" w:name="_Toc31421"/>
      <w:bookmarkStart w:id="165" w:name="_Toc3625"/>
      <w:bookmarkStart w:id="166" w:name="_Toc8772"/>
      <w:r>
        <w:rPr>
          <w:rFonts w:hint="eastAsia" w:ascii="宋体" w:hAnsi="宋体" w:eastAsia="宋体" w:cs="宋体"/>
          <w:b/>
          <w:sz w:val="24"/>
          <w:szCs w:val="24"/>
          <w:highlight w:val="none"/>
        </w:rPr>
        <w:t>1</w:t>
      </w:r>
    </w:p>
    <w:p w14:paraId="56C63981">
      <w:pPr>
        <w:spacing w:line="560" w:lineRule="exact"/>
        <w:ind w:firstLine="482" w:firstLineChars="200"/>
        <w:rPr>
          <w:rFonts w:hint="eastAsia" w:ascii="宋体" w:hAnsi="宋体" w:eastAsia="宋体" w:cs="宋体"/>
          <w:b/>
          <w:sz w:val="24"/>
          <w:szCs w:val="24"/>
          <w:highlight w:val="none"/>
        </w:rPr>
      </w:pPr>
    </w:p>
    <w:p w14:paraId="0D6A3043">
      <w:pPr>
        <w:spacing w:line="560" w:lineRule="exact"/>
        <w:ind w:firstLine="482" w:firstLineChars="200"/>
        <w:rPr>
          <w:rFonts w:hint="eastAsia" w:ascii="宋体" w:hAnsi="宋体" w:eastAsia="宋体" w:cs="宋体"/>
          <w:b/>
          <w:sz w:val="24"/>
          <w:szCs w:val="24"/>
          <w:highlight w:val="none"/>
        </w:rPr>
      </w:pPr>
    </w:p>
    <w:p w14:paraId="5724588D">
      <w:pPr>
        <w:spacing w:line="560" w:lineRule="exact"/>
        <w:ind w:firstLine="482" w:firstLineChars="200"/>
        <w:rPr>
          <w:rFonts w:hint="eastAsia" w:ascii="宋体" w:hAnsi="宋体" w:eastAsia="宋体" w:cs="宋体"/>
          <w:b/>
          <w:sz w:val="24"/>
          <w:szCs w:val="24"/>
          <w:highlight w:val="none"/>
        </w:rPr>
      </w:pPr>
    </w:p>
    <w:p w14:paraId="28FA0E6F">
      <w:pPr>
        <w:spacing w:line="560" w:lineRule="exact"/>
        <w:ind w:firstLine="482" w:firstLineChars="200"/>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1</w:t>
      </w:r>
      <w:r>
        <w:rPr>
          <w:rFonts w:hint="eastAsia" w:ascii="宋体" w:hAnsi="宋体" w:eastAsia="宋体" w:cs="宋体"/>
          <w:b/>
          <w:sz w:val="24"/>
          <w:szCs w:val="24"/>
          <w:highlight w:val="none"/>
        </w:rPr>
        <w:t>.5 履行期限、地点和方式</w:t>
      </w:r>
      <w:bookmarkEnd w:id="162"/>
      <w:bookmarkEnd w:id="163"/>
      <w:bookmarkEnd w:id="164"/>
      <w:bookmarkEnd w:id="165"/>
      <w:bookmarkEnd w:id="166"/>
    </w:p>
    <w:p w14:paraId="7B720E7B">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1.5.1 履行期限：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16B93B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1.5.2 履行地点：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873E00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1.5.3 履行方式：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58B1711">
      <w:pPr>
        <w:spacing w:line="560" w:lineRule="exact"/>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1.6交货</w:t>
      </w:r>
    </w:p>
    <w:p w14:paraId="0910B678">
      <w:pPr>
        <w:spacing w:line="560" w:lineRule="exact"/>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1.6.1乙方在合同签订后</w:t>
      </w:r>
      <w:r>
        <w:rPr>
          <w:rFonts w:hint="eastAsia" w:ascii="宋体" w:hAnsi="宋体" w:cs="宋体"/>
          <w:b w:val="0"/>
          <w:kern w:val="2"/>
          <w:sz w:val="24"/>
          <w:szCs w:val="24"/>
          <w:highlight w:val="none"/>
          <w:lang w:val="en-US" w:eastAsia="zh-CN" w:bidi="ar-SA"/>
        </w:rPr>
        <w:t xml:space="preserve"> </w:t>
      </w:r>
      <w:r>
        <w:rPr>
          <w:rFonts w:hint="eastAsia" w:ascii="宋体" w:hAnsi="宋体" w:eastAsia="宋体" w:cs="宋体"/>
          <w:b w:val="0"/>
          <w:kern w:val="2"/>
          <w:sz w:val="24"/>
          <w:szCs w:val="24"/>
          <w:highlight w:val="none"/>
          <w:lang w:val="en-US" w:eastAsia="zh-CN" w:bidi="ar-SA"/>
        </w:rPr>
        <w:t>个日历内配送到甲方指定地点，如甲方另有配送要求，按甲方要求完成配送。</w:t>
      </w:r>
    </w:p>
    <w:p w14:paraId="304937A7">
      <w:pPr>
        <w:pStyle w:val="3"/>
        <w:numPr>
          <w:ilvl w:val="1"/>
          <w:numId w:val="0"/>
        </w:numPr>
        <w:tabs>
          <w:tab w:val="clear" w:pos="1021"/>
        </w:tabs>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1.6.2交货时间：合同签订后，成交人在接到采购人出具的书面供货通知后，成交人在 个工作日内供货并通过采购人验收。</w:t>
      </w:r>
    </w:p>
    <w:p w14:paraId="16F74899">
      <w:pPr>
        <w:pStyle w:val="3"/>
        <w:numPr>
          <w:ilvl w:val="1"/>
          <w:numId w:val="0"/>
        </w:numPr>
        <w:tabs>
          <w:tab w:val="clear" w:pos="1021"/>
        </w:tabs>
        <w:ind w:left="425" w:leftChars="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1.6.3最终交货：货物经采购人验收合格即为最终交货。</w:t>
      </w:r>
    </w:p>
    <w:p w14:paraId="7B5179EC">
      <w:pPr>
        <w:pStyle w:val="3"/>
        <w:numPr>
          <w:ilvl w:val="1"/>
          <w:numId w:val="0"/>
        </w:numPr>
        <w:tabs>
          <w:tab w:val="clear" w:pos="1021"/>
        </w:tabs>
        <w:ind w:left="425" w:leftChars="0"/>
        <w:rPr>
          <w:rFonts w:hint="eastAsia" w:ascii="宋体" w:hAnsi="宋体" w:eastAsia="宋体" w:cs="宋体"/>
          <w:highlight w:val="none"/>
        </w:rPr>
      </w:pPr>
      <w:r>
        <w:rPr>
          <w:rFonts w:hint="eastAsia" w:ascii="宋体" w:hAnsi="宋体" w:eastAsia="宋体" w:cs="宋体"/>
          <w:b w:val="0"/>
          <w:kern w:val="2"/>
          <w:sz w:val="24"/>
          <w:szCs w:val="24"/>
          <w:highlight w:val="none"/>
          <w:lang w:val="en-US" w:eastAsia="zh-CN" w:bidi="ar-SA"/>
        </w:rPr>
        <w:t>1.6.4验收前所有各项费用均由中标人承担。</w:t>
      </w:r>
    </w:p>
    <w:p w14:paraId="7BD7FCEB">
      <w:pPr>
        <w:spacing w:line="560" w:lineRule="exact"/>
        <w:ind w:firstLine="482" w:firstLineChars="200"/>
        <w:rPr>
          <w:rFonts w:hint="eastAsia" w:ascii="宋体" w:hAnsi="宋体" w:eastAsia="宋体" w:cs="宋体"/>
          <w:b/>
          <w:sz w:val="24"/>
          <w:szCs w:val="24"/>
          <w:highlight w:val="none"/>
        </w:rPr>
      </w:pPr>
      <w:bookmarkStart w:id="167" w:name="_Toc5698"/>
      <w:bookmarkStart w:id="168" w:name="_Toc8586"/>
      <w:bookmarkStart w:id="169" w:name="_Toc3079"/>
      <w:bookmarkStart w:id="170" w:name="_Toc24662"/>
      <w:bookmarkStart w:id="171" w:name="_Toc2375"/>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7</w:t>
      </w:r>
      <w:r>
        <w:rPr>
          <w:rFonts w:hint="eastAsia" w:ascii="宋体" w:hAnsi="宋体" w:eastAsia="宋体" w:cs="宋体"/>
          <w:b/>
          <w:sz w:val="24"/>
          <w:szCs w:val="24"/>
          <w:highlight w:val="none"/>
        </w:rPr>
        <w:t xml:space="preserve"> 违约责任</w:t>
      </w:r>
      <w:bookmarkEnd w:id="167"/>
      <w:bookmarkEnd w:id="168"/>
      <w:bookmarkEnd w:id="169"/>
      <w:bookmarkEnd w:id="170"/>
      <w:bookmarkEnd w:id="171"/>
    </w:p>
    <w:p w14:paraId="3CBBCAA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 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%计算，最高限额为本合同总价的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%；迟延履行的违约金计算数额达到前述最高限额之日起，甲方有权在要求乙方支付违约金的同时，书面通知乙方解除本合同；</w:t>
      </w:r>
    </w:p>
    <w:p w14:paraId="2C288ED3">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除不可抗力外，如果甲方没有按照本合同约定的付款方式付款，那么乙方可要求甲方支付违约金，违约金按每迟延付款一日的应付而未付款的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%计算，最高限额为本合同总价的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%；迟延付款的违约金计算数额达到前述最高限额之日起，乙方有权在要求甲方支付违约金的同时，书面通知甲方解除本合同；</w:t>
      </w:r>
    </w:p>
    <w:p w14:paraId="7F5CE28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1FC01EAF">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BF71AC1">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DD8A00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.6 如果出现政府采购监督管理部门在处理投诉事项期间，书面通知甲方暂停采购活动的情形，或者询问或质疑事项可能影响中标结果的，导致甲方中止履行合同的情形，均不视为甲方违约。</w:t>
      </w:r>
    </w:p>
    <w:p w14:paraId="3C2A1889">
      <w:pPr>
        <w:spacing w:line="560" w:lineRule="exact"/>
        <w:ind w:firstLine="482" w:firstLineChars="200"/>
        <w:rPr>
          <w:rFonts w:hint="eastAsia" w:ascii="宋体" w:hAnsi="宋体" w:eastAsia="宋体" w:cs="宋体"/>
          <w:b/>
          <w:sz w:val="24"/>
          <w:szCs w:val="24"/>
          <w:highlight w:val="none"/>
        </w:rPr>
      </w:pPr>
      <w:bookmarkStart w:id="172" w:name="_Toc30329"/>
      <w:bookmarkStart w:id="173" w:name="_Toc9497"/>
      <w:bookmarkStart w:id="174" w:name="_Toc26807"/>
      <w:bookmarkStart w:id="175" w:name="_Toc32454"/>
      <w:bookmarkStart w:id="176" w:name="_Toc18683"/>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8</w:t>
      </w:r>
      <w:r>
        <w:rPr>
          <w:rFonts w:hint="eastAsia" w:ascii="宋体" w:hAnsi="宋体" w:eastAsia="宋体" w:cs="宋体"/>
          <w:b/>
          <w:sz w:val="24"/>
          <w:szCs w:val="24"/>
          <w:highlight w:val="none"/>
        </w:rPr>
        <w:t>合同争议的解决</w:t>
      </w:r>
      <w:bookmarkEnd w:id="172"/>
      <w:bookmarkEnd w:id="173"/>
      <w:bookmarkEnd w:id="174"/>
      <w:bookmarkEnd w:id="175"/>
      <w:bookmarkEnd w:id="176"/>
    </w:p>
    <w:p w14:paraId="32704806">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种方式解决：</w:t>
      </w:r>
    </w:p>
    <w:p w14:paraId="4699F19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 将争议提交</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仲裁委员会依申请仲裁时其现行有效的仲裁规则裁决；</w:t>
      </w:r>
    </w:p>
    <w:p w14:paraId="5CDD3D9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 向</w:t>
      </w:r>
      <w:r>
        <w:rPr>
          <w:rFonts w:hint="eastAsia" w:ascii="宋体" w:hAnsi="宋体" w:eastAsia="宋体" w:cs="宋体"/>
          <w:sz w:val="24"/>
          <w:szCs w:val="24"/>
          <w:highlight w:val="none"/>
          <w:u w:val="single"/>
        </w:rPr>
        <w:t xml:space="preserve"> （被告住所地、合同履行地、合同签订地、原告住所地、标的物所在地等与争议有实际联系的地点中选出的人民法院名称）</w:t>
      </w:r>
      <w:r>
        <w:rPr>
          <w:rFonts w:hint="eastAsia" w:ascii="宋体" w:hAnsi="宋体" w:eastAsia="宋体" w:cs="宋体"/>
          <w:sz w:val="24"/>
          <w:szCs w:val="24"/>
          <w:highlight w:val="none"/>
        </w:rPr>
        <w:t>人民法院起诉。</w:t>
      </w:r>
    </w:p>
    <w:p w14:paraId="243E86E7">
      <w:pPr>
        <w:spacing w:line="560" w:lineRule="exact"/>
        <w:ind w:firstLine="482" w:firstLineChars="200"/>
        <w:rPr>
          <w:rFonts w:hint="eastAsia" w:ascii="宋体" w:hAnsi="宋体" w:eastAsia="宋体" w:cs="宋体"/>
          <w:b/>
          <w:sz w:val="24"/>
          <w:szCs w:val="24"/>
          <w:highlight w:val="none"/>
        </w:rPr>
      </w:pPr>
      <w:bookmarkStart w:id="177" w:name="_Toc23784"/>
      <w:bookmarkStart w:id="178" w:name="_Toc15827"/>
      <w:bookmarkStart w:id="179" w:name="_Toc12273"/>
      <w:bookmarkStart w:id="180" w:name="_Toc16417"/>
      <w:bookmarkStart w:id="181" w:name="_Toc26227"/>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9</w:t>
      </w:r>
      <w:r>
        <w:rPr>
          <w:rFonts w:hint="eastAsia" w:ascii="宋体" w:hAnsi="宋体" w:eastAsia="宋体" w:cs="宋体"/>
          <w:b/>
          <w:sz w:val="24"/>
          <w:szCs w:val="24"/>
          <w:highlight w:val="none"/>
        </w:rPr>
        <w:t>合同生效</w:t>
      </w:r>
      <w:bookmarkEnd w:id="177"/>
      <w:bookmarkEnd w:id="178"/>
      <w:bookmarkEnd w:id="179"/>
      <w:bookmarkEnd w:id="180"/>
      <w:bookmarkEnd w:id="181"/>
    </w:p>
    <w:p w14:paraId="73303081">
      <w:pPr>
        <w:spacing w:line="560" w:lineRule="exact"/>
        <w:ind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本合同自双方当事人盖章或者签字时生效。</w:t>
      </w:r>
    </w:p>
    <w:p w14:paraId="2A1E1D96">
      <w:pPr>
        <w:spacing w:line="560" w:lineRule="exact"/>
        <w:rPr>
          <w:rFonts w:hint="eastAsia" w:ascii="宋体" w:hAnsi="宋体" w:eastAsia="宋体" w:cs="宋体"/>
          <w:b/>
          <w:sz w:val="24"/>
          <w:szCs w:val="24"/>
          <w:highlight w:val="none"/>
        </w:rPr>
      </w:pPr>
      <w:bookmarkStart w:id="182" w:name="_Toc331685783"/>
    </w:p>
    <w:p w14:paraId="69E82588">
      <w:pPr>
        <w:pStyle w:val="104"/>
        <w:spacing w:line="560" w:lineRule="exact"/>
        <w:ind w:firstLine="200"/>
        <w:jc w:val="center"/>
        <w:rPr>
          <w:rFonts w:hint="eastAsia" w:ascii="宋体" w:hAnsi="宋体" w:eastAsia="宋体" w:cs="宋体"/>
          <w:b/>
          <w:szCs w:val="24"/>
          <w:highlight w:val="none"/>
        </w:rPr>
      </w:pPr>
      <w:r>
        <w:rPr>
          <w:rFonts w:hint="eastAsia" w:ascii="宋体" w:hAnsi="宋体" w:eastAsia="宋体" w:cs="宋体"/>
          <w:b/>
          <w:szCs w:val="24"/>
          <w:highlight w:val="none"/>
        </w:rPr>
        <w:br w:type="page"/>
      </w:r>
      <w:r>
        <w:rPr>
          <w:rFonts w:hint="eastAsia" w:ascii="宋体" w:hAnsi="宋体" w:eastAsia="宋体" w:cs="宋体"/>
          <w:b/>
          <w:szCs w:val="24"/>
          <w:highlight w:val="none"/>
        </w:rPr>
        <w:t>第二部分 合同一般条款</w:t>
      </w:r>
      <w:bookmarkEnd w:id="182"/>
    </w:p>
    <w:p w14:paraId="2B016AF3">
      <w:pPr>
        <w:spacing w:line="560" w:lineRule="exact"/>
        <w:ind w:firstLine="482" w:firstLineChars="200"/>
        <w:rPr>
          <w:rFonts w:hint="eastAsia" w:ascii="宋体" w:hAnsi="宋体" w:eastAsia="宋体" w:cs="宋体"/>
          <w:b/>
          <w:sz w:val="24"/>
          <w:szCs w:val="24"/>
          <w:highlight w:val="none"/>
        </w:rPr>
      </w:pPr>
      <w:bookmarkStart w:id="183" w:name="_Ref467379195"/>
      <w:bookmarkStart w:id="184" w:name="_Ref467379094"/>
      <w:bookmarkStart w:id="185" w:name="_Ref467379205"/>
      <w:bookmarkStart w:id="186" w:name="_Ref467378499"/>
      <w:bookmarkStart w:id="187" w:name="_Ref467378404"/>
      <w:bookmarkStart w:id="188" w:name="_Toc259093669"/>
      <w:bookmarkStart w:id="189" w:name="_Ref467379225"/>
      <w:bookmarkStart w:id="190" w:name="_Toc25079"/>
      <w:bookmarkStart w:id="191" w:name="_Toc14021"/>
      <w:bookmarkStart w:id="192" w:name="_Toc487900349"/>
      <w:bookmarkStart w:id="193" w:name="_Toc279701240"/>
      <w:bookmarkStart w:id="194" w:name="_Toc31297"/>
      <w:bookmarkStart w:id="195" w:name="_Toc19680"/>
      <w:bookmarkStart w:id="196" w:name="_Ref467379101"/>
      <w:bookmarkStart w:id="197" w:name="_Ref467379109"/>
      <w:bookmarkStart w:id="198" w:name="_Toc5228"/>
      <w:bookmarkStart w:id="199" w:name="_Ref467379214"/>
      <w:bookmarkStart w:id="200" w:name="_Ref467378463"/>
      <w:r>
        <w:rPr>
          <w:rFonts w:hint="eastAsia" w:ascii="宋体" w:hAnsi="宋体" w:eastAsia="宋体" w:cs="宋体"/>
          <w:b/>
          <w:sz w:val="24"/>
          <w:szCs w:val="24"/>
          <w:highlight w:val="none"/>
        </w:rPr>
        <w:t>2.1 定义</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3C24781">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本合同中的下列词语应按以下内容进行解释：</w:t>
      </w:r>
    </w:p>
    <w:p w14:paraId="55B60700">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 “合同”系指采购人和中标供应商签订的载明双方当事人所达成的协议，并包括所有的附件、附录和构成合同的其他文件。</w:t>
      </w:r>
    </w:p>
    <w:p w14:paraId="6848420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2.1.2 “合同价”系指根据合同约定，中标供应商在完全履行合同义务后，采购人应支付给中标供应商的价格。</w:t>
      </w:r>
    </w:p>
    <w:p w14:paraId="5FF579E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2.1.3 “服务”系指中标供应商根据合同约定应向采购人履行的除货物和工程以外的其他政府采购对象，包括采购人自身需要的服务和向社会公众提供的公共服务。</w:t>
      </w:r>
    </w:p>
    <w:p w14:paraId="168E0AC9">
      <w:pPr>
        <w:spacing w:line="560" w:lineRule="exact"/>
        <w:ind w:firstLine="480" w:firstLineChars="200"/>
        <w:rPr>
          <w:rFonts w:hint="eastAsia" w:ascii="宋体" w:hAnsi="宋体" w:eastAsia="宋体" w:cs="宋体"/>
          <w:sz w:val="24"/>
          <w:szCs w:val="24"/>
          <w:highlight w:val="none"/>
        </w:rPr>
      </w:pPr>
      <w:bookmarkStart w:id="201" w:name="_Ref467378840"/>
      <w:r>
        <w:rPr>
          <w:rFonts w:hint="eastAsia" w:ascii="宋体" w:hAnsi="宋体" w:eastAsia="宋体" w:cs="宋体"/>
          <w:sz w:val="24"/>
          <w:szCs w:val="24"/>
          <w:highlight w:val="none"/>
        </w:rPr>
        <w:t>2.1.4 “甲方”系指与中标供应商签署合同的采购人</w:t>
      </w:r>
      <w:bookmarkEnd w:id="201"/>
      <w:r>
        <w:rPr>
          <w:rFonts w:hint="eastAsia" w:ascii="宋体" w:hAnsi="宋体" w:eastAsia="宋体" w:cs="宋体"/>
          <w:sz w:val="24"/>
          <w:szCs w:val="24"/>
          <w:highlight w:val="none"/>
        </w:rPr>
        <w:t>；采购人委托采购代理机构代表其与乙方签订合同的，采购人的授权委托书作为合同附件。</w:t>
      </w:r>
    </w:p>
    <w:p w14:paraId="05934954">
      <w:pPr>
        <w:spacing w:line="560" w:lineRule="exact"/>
        <w:ind w:firstLine="480" w:firstLineChars="200"/>
        <w:rPr>
          <w:rFonts w:hint="eastAsia" w:ascii="宋体" w:hAnsi="宋体" w:eastAsia="宋体" w:cs="宋体"/>
          <w:sz w:val="24"/>
          <w:szCs w:val="24"/>
          <w:highlight w:val="none"/>
        </w:rPr>
      </w:pPr>
      <w:bookmarkStart w:id="202" w:name="_Ref467379400"/>
      <w:r>
        <w:rPr>
          <w:rFonts w:hint="eastAsia" w:ascii="宋体" w:hAnsi="宋体" w:eastAsia="宋体" w:cs="宋体"/>
          <w:sz w:val="24"/>
          <w:szCs w:val="24"/>
          <w:highlight w:val="none"/>
        </w:rPr>
        <w:t>2.1.5 “乙方”系指根据合同约定提供服务的中标供应商</w:t>
      </w:r>
      <w:bookmarkEnd w:id="202"/>
      <w:r>
        <w:rPr>
          <w:rFonts w:hint="eastAsia" w:ascii="宋体" w:hAnsi="宋体" w:eastAsia="宋体" w:cs="宋体"/>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0614B7A">
      <w:pPr>
        <w:spacing w:line="560" w:lineRule="exact"/>
        <w:ind w:firstLine="480" w:firstLineChars="200"/>
        <w:rPr>
          <w:rFonts w:hint="eastAsia" w:ascii="宋体" w:hAnsi="宋体" w:eastAsia="宋体" w:cs="宋体"/>
          <w:sz w:val="24"/>
          <w:szCs w:val="24"/>
          <w:highlight w:val="none"/>
        </w:rPr>
      </w:pPr>
      <w:bookmarkStart w:id="203" w:name="_Ref467379436"/>
      <w:r>
        <w:rPr>
          <w:rFonts w:hint="eastAsia" w:ascii="宋体" w:hAnsi="宋体" w:eastAsia="宋体" w:cs="宋体"/>
          <w:sz w:val="24"/>
          <w:szCs w:val="24"/>
          <w:highlight w:val="none"/>
        </w:rPr>
        <w:t>2.1.6 “现场”系指合同约定提供服务的地点。</w:t>
      </w:r>
      <w:bookmarkEnd w:id="203"/>
    </w:p>
    <w:p w14:paraId="1DA83D52">
      <w:pPr>
        <w:spacing w:line="560" w:lineRule="exact"/>
        <w:ind w:firstLine="482" w:firstLineChars="200"/>
        <w:rPr>
          <w:rFonts w:hint="eastAsia" w:ascii="宋体" w:hAnsi="宋体" w:eastAsia="宋体" w:cs="宋体"/>
          <w:b/>
          <w:sz w:val="24"/>
          <w:szCs w:val="24"/>
          <w:highlight w:val="none"/>
        </w:rPr>
      </w:pPr>
      <w:bookmarkStart w:id="204" w:name="_Toc23289"/>
      <w:bookmarkStart w:id="205" w:name="_Toc16752"/>
      <w:bookmarkStart w:id="206" w:name="_Toc487900350"/>
      <w:bookmarkStart w:id="207" w:name="_Toc279701241"/>
      <w:bookmarkStart w:id="208" w:name="_Toc3769"/>
      <w:bookmarkStart w:id="209" w:name="_Toc31402"/>
      <w:bookmarkStart w:id="210" w:name="_Toc19539"/>
      <w:bookmarkStart w:id="211" w:name="_Toc259093670"/>
      <w:r>
        <w:rPr>
          <w:rFonts w:hint="eastAsia" w:ascii="宋体" w:hAnsi="宋体" w:eastAsia="宋体" w:cs="宋体"/>
          <w:b/>
          <w:sz w:val="24"/>
          <w:szCs w:val="24"/>
          <w:highlight w:val="none"/>
        </w:rPr>
        <w:t>2.2 技术规范</w:t>
      </w:r>
      <w:bookmarkEnd w:id="204"/>
      <w:bookmarkEnd w:id="205"/>
      <w:bookmarkEnd w:id="206"/>
      <w:bookmarkEnd w:id="207"/>
      <w:bookmarkEnd w:id="208"/>
      <w:bookmarkEnd w:id="209"/>
      <w:bookmarkEnd w:id="210"/>
      <w:bookmarkEnd w:id="211"/>
    </w:p>
    <w:p w14:paraId="1B995FC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6B11B4B">
      <w:pPr>
        <w:spacing w:line="560" w:lineRule="exact"/>
        <w:ind w:firstLine="482" w:firstLineChars="200"/>
        <w:rPr>
          <w:rFonts w:hint="eastAsia" w:ascii="宋体" w:hAnsi="宋体" w:eastAsia="宋体" w:cs="宋体"/>
          <w:b/>
          <w:sz w:val="24"/>
          <w:szCs w:val="24"/>
          <w:highlight w:val="none"/>
        </w:rPr>
      </w:pPr>
      <w:bookmarkStart w:id="212" w:name="_Toc4133"/>
      <w:bookmarkStart w:id="213" w:name="_Toc259093671"/>
      <w:bookmarkStart w:id="214" w:name="_Toc27945"/>
      <w:bookmarkStart w:id="215" w:name="_Toc487900351"/>
      <w:bookmarkStart w:id="216" w:name="_Toc9161"/>
      <w:bookmarkStart w:id="217" w:name="_Toc279701242"/>
      <w:bookmarkStart w:id="218" w:name="_Toc13673"/>
      <w:bookmarkStart w:id="219" w:name="_Toc12412"/>
      <w:r>
        <w:rPr>
          <w:rFonts w:hint="eastAsia" w:ascii="宋体" w:hAnsi="宋体" w:eastAsia="宋体" w:cs="宋体"/>
          <w:b/>
          <w:sz w:val="24"/>
          <w:szCs w:val="24"/>
          <w:highlight w:val="none"/>
        </w:rPr>
        <w:t>2.3 知识产权</w:t>
      </w:r>
      <w:bookmarkEnd w:id="212"/>
      <w:bookmarkEnd w:id="213"/>
      <w:bookmarkEnd w:id="214"/>
      <w:bookmarkEnd w:id="215"/>
      <w:bookmarkEnd w:id="216"/>
      <w:bookmarkEnd w:id="217"/>
      <w:bookmarkEnd w:id="218"/>
      <w:bookmarkEnd w:id="219"/>
    </w:p>
    <w:p w14:paraId="7732CD0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4A6C977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2.3.2 合同涉及技术成果的归属和收益的分成办法的，详见</w:t>
      </w:r>
      <w:r>
        <w:rPr>
          <w:rFonts w:hint="eastAsia" w:ascii="宋体" w:hAnsi="宋体" w:eastAsia="宋体" w:cs="宋体"/>
          <w:b/>
          <w:i w:val="0"/>
          <w:iCs/>
          <w:sz w:val="24"/>
          <w:szCs w:val="24"/>
          <w:highlight w:val="none"/>
          <w:u w:val="single"/>
        </w:rPr>
        <w:t>合同专用条款</w:t>
      </w:r>
      <w:r>
        <w:rPr>
          <w:rFonts w:hint="eastAsia" w:ascii="宋体" w:hAnsi="宋体" w:eastAsia="宋体" w:cs="宋体"/>
          <w:sz w:val="24"/>
          <w:szCs w:val="24"/>
          <w:highlight w:val="none"/>
        </w:rPr>
        <w:t>。</w:t>
      </w:r>
    </w:p>
    <w:p w14:paraId="453077AE">
      <w:pPr>
        <w:spacing w:line="56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2.4 履约检查和问题反馈</w:t>
      </w:r>
    </w:p>
    <w:p w14:paraId="6F17B0AB">
      <w:pPr>
        <w:spacing w:line="560" w:lineRule="exact"/>
        <w:ind w:firstLine="480" w:firstLineChars="200"/>
        <w:rPr>
          <w:rFonts w:hint="eastAsia" w:ascii="宋体" w:hAnsi="宋体" w:eastAsia="宋体" w:cs="宋体"/>
          <w:sz w:val="24"/>
          <w:szCs w:val="24"/>
          <w:highlight w:val="none"/>
        </w:rPr>
      </w:pPr>
      <w:bookmarkStart w:id="220" w:name="_Ref467379657"/>
      <w:r>
        <w:rPr>
          <w:rFonts w:hint="eastAsia" w:ascii="宋体" w:hAnsi="宋体" w:eastAsia="宋体" w:cs="宋体"/>
          <w:sz w:val="24"/>
          <w:szCs w:val="24"/>
          <w:highlight w:val="none"/>
        </w:rPr>
        <w:t>2.4.1</w:t>
      </w:r>
      <w:bookmarkEnd w:id="220"/>
      <w:bookmarkStart w:id="221" w:name="_Toc186431854"/>
      <w:bookmarkStart w:id="222" w:name="_Ref467379807"/>
      <w:bookmarkStart w:id="223" w:name="_Toc259093676"/>
      <w:bookmarkStart w:id="224" w:name="_Ref467379793"/>
      <w:bookmarkStart w:id="225" w:name="_Toc279701247"/>
      <w:bookmarkStart w:id="226" w:name="_Toc487900357"/>
      <w:r>
        <w:rPr>
          <w:rFonts w:hint="eastAsia" w:ascii="宋体" w:hAnsi="宋体" w:eastAsia="宋体" w:cs="宋体"/>
          <w:sz w:val="24"/>
          <w:szCs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1309C64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2.4.2 合同履行期间，甲方有权将履行过程中出现的问题反馈给乙方，双方当事人应以书面形式约定需要完善和改进的内容</w:t>
      </w:r>
      <w:bookmarkEnd w:id="221"/>
      <w:bookmarkStart w:id="227" w:name="_Toc186431855"/>
      <w:r>
        <w:rPr>
          <w:rFonts w:hint="eastAsia" w:ascii="宋体" w:hAnsi="宋体" w:eastAsia="宋体" w:cs="宋体"/>
          <w:sz w:val="24"/>
          <w:szCs w:val="24"/>
          <w:highlight w:val="none"/>
        </w:rPr>
        <w:t>。</w:t>
      </w:r>
    </w:p>
    <w:bookmarkEnd w:id="227"/>
    <w:p w14:paraId="7770D654">
      <w:pPr>
        <w:spacing w:line="560" w:lineRule="exact"/>
        <w:ind w:firstLine="482" w:firstLineChars="200"/>
        <w:rPr>
          <w:rFonts w:hint="eastAsia" w:ascii="宋体" w:hAnsi="宋体" w:eastAsia="宋体" w:cs="宋体"/>
          <w:b/>
          <w:sz w:val="24"/>
          <w:szCs w:val="24"/>
          <w:highlight w:val="none"/>
        </w:rPr>
      </w:pPr>
      <w:bookmarkStart w:id="228" w:name="_Toc31233"/>
      <w:bookmarkStart w:id="229" w:name="_Toc26555"/>
      <w:bookmarkStart w:id="230" w:name="_Toc15447"/>
      <w:bookmarkStart w:id="231" w:name="_Toc32670"/>
      <w:bookmarkStart w:id="232" w:name="_Toc22011"/>
      <w:r>
        <w:rPr>
          <w:rFonts w:hint="eastAsia" w:ascii="宋体" w:hAnsi="宋体" w:eastAsia="宋体" w:cs="宋体"/>
          <w:b/>
          <w:sz w:val="24"/>
          <w:szCs w:val="24"/>
          <w:highlight w:val="none"/>
        </w:rPr>
        <w:t>2.5 结算方式和付款条件</w:t>
      </w:r>
      <w:bookmarkEnd w:id="222"/>
      <w:bookmarkEnd w:id="223"/>
      <w:bookmarkEnd w:id="224"/>
      <w:bookmarkEnd w:id="225"/>
      <w:bookmarkEnd w:id="226"/>
      <w:bookmarkEnd w:id="228"/>
      <w:bookmarkEnd w:id="229"/>
      <w:bookmarkEnd w:id="230"/>
      <w:bookmarkEnd w:id="231"/>
      <w:bookmarkEnd w:id="232"/>
    </w:p>
    <w:p w14:paraId="5F5C312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详见</w:t>
      </w:r>
      <w:r>
        <w:rPr>
          <w:rFonts w:hint="eastAsia" w:ascii="宋体" w:hAnsi="宋体" w:eastAsia="宋体" w:cs="宋体"/>
          <w:b/>
          <w:i w:val="0"/>
          <w:iCs/>
          <w:sz w:val="24"/>
          <w:szCs w:val="24"/>
          <w:highlight w:val="none"/>
          <w:u w:val="single"/>
        </w:rPr>
        <w:t>合同专用条款</w:t>
      </w:r>
      <w:r>
        <w:rPr>
          <w:rFonts w:hint="eastAsia" w:ascii="宋体" w:hAnsi="宋体" w:eastAsia="宋体" w:cs="宋体"/>
          <w:sz w:val="24"/>
          <w:szCs w:val="24"/>
          <w:highlight w:val="none"/>
        </w:rPr>
        <w:t>。</w:t>
      </w:r>
    </w:p>
    <w:p w14:paraId="53A84E21">
      <w:pPr>
        <w:spacing w:line="560" w:lineRule="exact"/>
        <w:ind w:firstLine="482" w:firstLineChars="200"/>
        <w:rPr>
          <w:rFonts w:hint="eastAsia" w:ascii="宋体" w:hAnsi="宋体" w:eastAsia="宋体" w:cs="宋体"/>
          <w:b/>
          <w:sz w:val="24"/>
          <w:szCs w:val="24"/>
          <w:highlight w:val="none"/>
        </w:rPr>
      </w:pPr>
      <w:bookmarkStart w:id="233" w:name="_Toc487900358"/>
      <w:bookmarkStart w:id="234" w:name="_Toc259093677"/>
      <w:bookmarkStart w:id="235" w:name="_Ref467379923"/>
      <w:bookmarkStart w:id="236" w:name="_Toc279701248"/>
      <w:bookmarkStart w:id="237" w:name="_Ref467379852"/>
      <w:bookmarkStart w:id="238" w:name="_Ref467379863"/>
      <w:bookmarkStart w:id="239" w:name="_Toc13154"/>
      <w:bookmarkStart w:id="240" w:name="_Toc30507"/>
      <w:bookmarkStart w:id="241" w:name="_Toc13467"/>
      <w:bookmarkStart w:id="242" w:name="_Toc16163"/>
      <w:bookmarkStart w:id="243" w:name="_Toc18990"/>
      <w:r>
        <w:rPr>
          <w:rFonts w:hint="eastAsia" w:ascii="宋体" w:hAnsi="宋体" w:eastAsia="宋体" w:cs="宋体"/>
          <w:b/>
          <w:sz w:val="24"/>
          <w:szCs w:val="24"/>
          <w:highlight w:val="none"/>
        </w:rPr>
        <w:t>2.6 技术资料</w:t>
      </w:r>
      <w:bookmarkEnd w:id="233"/>
      <w:bookmarkEnd w:id="234"/>
      <w:bookmarkEnd w:id="235"/>
      <w:bookmarkEnd w:id="236"/>
      <w:bookmarkEnd w:id="237"/>
      <w:bookmarkEnd w:id="238"/>
      <w:r>
        <w:rPr>
          <w:rFonts w:hint="eastAsia" w:ascii="宋体" w:hAnsi="宋体" w:eastAsia="宋体" w:cs="宋体"/>
          <w:b/>
          <w:sz w:val="24"/>
          <w:szCs w:val="24"/>
          <w:highlight w:val="none"/>
        </w:rPr>
        <w:t>和保密义务</w:t>
      </w:r>
      <w:bookmarkEnd w:id="239"/>
      <w:bookmarkEnd w:id="240"/>
      <w:bookmarkEnd w:id="241"/>
      <w:bookmarkEnd w:id="242"/>
      <w:bookmarkEnd w:id="243"/>
    </w:p>
    <w:p w14:paraId="7F7B3D3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2.6.1 乙方有权依据合同约定和项目需要，向甲方了解有关情况，调阅有关资料等，甲方应予积极配合；</w:t>
      </w:r>
    </w:p>
    <w:p w14:paraId="4E22CA8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2.6.2 乙方有义务妥善保管和保护由甲方提供的前款信息和资料等；</w:t>
      </w:r>
    </w:p>
    <w:p w14:paraId="2D7DE63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744C931">
      <w:pPr>
        <w:spacing w:line="560" w:lineRule="exact"/>
        <w:ind w:firstLine="482" w:firstLineChars="200"/>
        <w:rPr>
          <w:rFonts w:hint="eastAsia" w:ascii="宋体" w:hAnsi="宋体" w:eastAsia="宋体" w:cs="宋体"/>
          <w:b/>
          <w:sz w:val="24"/>
          <w:szCs w:val="24"/>
          <w:highlight w:val="none"/>
        </w:rPr>
      </w:pPr>
      <w:bookmarkStart w:id="244" w:name="_Toc19069"/>
      <w:bookmarkStart w:id="245" w:name="_Toc279701252"/>
      <w:bookmarkStart w:id="246" w:name="_Toc259093681"/>
      <w:bookmarkStart w:id="247" w:name="_Toc487900362"/>
      <w:r>
        <w:rPr>
          <w:rFonts w:hint="eastAsia" w:ascii="宋体" w:hAnsi="宋体" w:eastAsia="宋体" w:cs="宋体"/>
          <w:b/>
          <w:sz w:val="24"/>
          <w:szCs w:val="24"/>
          <w:highlight w:val="none"/>
        </w:rPr>
        <w:t>2.7 质量保证</w:t>
      </w:r>
      <w:bookmarkEnd w:id="244"/>
    </w:p>
    <w:p w14:paraId="3282FD8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2.7.1 乙方应建立和完善履行合同的内部质量保证体系，并提供相关内部规章制度给甲方，以便甲方进行监督检查；</w:t>
      </w:r>
    </w:p>
    <w:p w14:paraId="319DA4B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2.7.2 乙方应保证履行合同的人员数量和素质、软件和硬件设备的配置、场地、环境和设施等满足全面履行合同的要求，并应接受甲方的监督检查。</w:t>
      </w:r>
    </w:p>
    <w:p w14:paraId="13946209">
      <w:pPr>
        <w:spacing w:line="560" w:lineRule="exact"/>
        <w:ind w:firstLine="482" w:firstLineChars="200"/>
        <w:rPr>
          <w:rFonts w:hint="eastAsia" w:ascii="宋体" w:hAnsi="宋体" w:eastAsia="宋体" w:cs="宋体"/>
          <w:b/>
          <w:sz w:val="24"/>
          <w:szCs w:val="24"/>
          <w:highlight w:val="none"/>
        </w:rPr>
      </w:pPr>
      <w:bookmarkStart w:id="248" w:name="_Toc22267"/>
      <w:r>
        <w:rPr>
          <w:rFonts w:hint="eastAsia" w:ascii="宋体" w:hAnsi="宋体" w:eastAsia="宋体" w:cs="宋体"/>
          <w:b/>
          <w:sz w:val="24"/>
          <w:szCs w:val="24"/>
          <w:highlight w:val="none"/>
        </w:rPr>
        <w:t>2.8 延迟</w:t>
      </w:r>
      <w:bookmarkEnd w:id="245"/>
      <w:bookmarkEnd w:id="246"/>
      <w:bookmarkEnd w:id="247"/>
      <w:r>
        <w:rPr>
          <w:rFonts w:hint="eastAsia" w:ascii="宋体" w:hAnsi="宋体" w:eastAsia="宋体" w:cs="宋体"/>
          <w:b/>
          <w:sz w:val="24"/>
          <w:szCs w:val="24"/>
          <w:highlight w:val="none"/>
        </w:rPr>
        <w:t>履行</w:t>
      </w:r>
      <w:bookmarkEnd w:id="248"/>
    </w:p>
    <w:p w14:paraId="0446215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4DDF82D0">
      <w:pPr>
        <w:spacing w:line="560" w:lineRule="exact"/>
        <w:ind w:firstLine="482" w:firstLineChars="200"/>
        <w:rPr>
          <w:rFonts w:hint="eastAsia" w:ascii="宋体" w:hAnsi="宋体" w:eastAsia="宋体" w:cs="宋体"/>
          <w:b/>
          <w:sz w:val="24"/>
          <w:szCs w:val="24"/>
          <w:highlight w:val="none"/>
        </w:rPr>
      </w:pPr>
      <w:bookmarkStart w:id="249" w:name="_Toc487900364"/>
      <w:bookmarkStart w:id="250" w:name="_Ref467378121"/>
      <w:bookmarkStart w:id="251" w:name="_Toc279701254"/>
      <w:bookmarkStart w:id="252" w:name="_Toc259093683"/>
      <w:r>
        <w:rPr>
          <w:rFonts w:hint="eastAsia" w:ascii="宋体" w:hAnsi="宋体" w:eastAsia="宋体" w:cs="宋体"/>
          <w:b/>
          <w:sz w:val="24"/>
          <w:szCs w:val="24"/>
          <w:highlight w:val="none"/>
        </w:rPr>
        <w:t>2.9 合同变更</w:t>
      </w:r>
    </w:p>
    <w:p w14:paraId="1937A0B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14:paraId="3D39F16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2.9.2 合同继续履行将损害国家利益和社会公共利益的，双方当事人应当以书面形式变更合同。有过错的一方应当承担赔偿责任，双方当事人都有过错的，各自承担相应的责任。</w:t>
      </w:r>
      <w:bookmarkStart w:id="253" w:name="_Toc279701259"/>
      <w:bookmarkStart w:id="254" w:name="_Toc259093688"/>
      <w:bookmarkStart w:id="255" w:name="_Toc487900369"/>
    </w:p>
    <w:p w14:paraId="047D8D24">
      <w:pPr>
        <w:spacing w:line="560" w:lineRule="exact"/>
        <w:ind w:firstLine="482" w:firstLineChars="200"/>
        <w:rPr>
          <w:rFonts w:hint="eastAsia" w:ascii="宋体" w:hAnsi="宋体" w:eastAsia="宋体" w:cs="宋体"/>
          <w:b/>
          <w:sz w:val="24"/>
          <w:szCs w:val="24"/>
          <w:highlight w:val="none"/>
        </w:rPr>
      </w:pPr>
      <w:bookmarkStart w:id="256" w:name="_Toc42"/>
      <w:bookmarkStart w:id="257" w:name="_Toc26689"/>
      <w:bookmarkStart w:id="258" w:name="_Toc10663"/>
      <w:bookmarkStart w:id="259" w:name="_Toc21830"/>
      <w:bookmarkStart w:id="260" w:name="_Toc23368"/>
      <w:r>
        <w:rPr>
          <w:rFonts w:hint="eastAsia" w:ascii="宋体" w:hAnsi="宋体" w:eastAsia="宋体" w:cs="宋体"/>
          <w:b/>
          <w:sz w:val="24"/>
          <w:szCs w:val="24"/>
          <w:highlight w:val="none"/>
        </w:rPr>
        <w:t>2.10 合同转让</w:t>
      </w:r>
      <w:bookmarkEnd w:id="253"/>
      <w:bookmarkEnd w:id="254"/>
      <w:bookmarkEnd w:id="255"/>
      <w:r>
        <w:rPr>
          <w:rFonts w:hint="eastAsia" w:ascii="宋体" w:hAnsi="宋体" w:eastAsia="宋体" w:cs="宋体"/>
          <w:b/>
          <w:sz w:val="24"/>
          <w:szCs w:val="24"/>
          <w:highlight w:val="none"/>
        </w:rPr>
        <w:t>和分包</w:t>
      </w:r>
      <w:bookmarkEnd w:id="256"/>
      <w:bookmarkEnd w:id="257"/>
      <w:bookmarkEnd w:id="258"/>
      <w:bookmarkEnd w:id="259"/>
      <w:bookmarkEnd w:id="260"/>
    </w:p>
    <w:p w14:paraId="2CA5597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705778">
      <w:pPr>
        <w:spacing w:line="560" w:lineRule="exact"/>
        <w:ind w:firstLine="482" w:firstLineChars="200"/>
        <w:rPr>
          <w:rFonts w:hint="eastAsia" w:ascii="宋体" w:hAnsi="宋体" w:eastAsia="宋体" w:cs="宋体"/>
          <w:b/>
          <w:sz w:val="24"/>
          <w:szCs w:val="24"/>
          <w:highlight w:val="none"/>
        </w:rPr>
      </w:pPr>
      <w:bookmarkStart w:id="261" w:name="_Toc26633"/>
      <w:bookmarkStart w:id="262" w:name="_Toc25571"/>
      <w:bookmarkStart w:id="263" w:name="_Toc14371"/>
      <w:bookmarkStart w:id="264" w:name="_Toc4720"/>
      <w:bookmarkStart w:id="265" w:name="_Toc32494"/>
      <w:r>
        <w:rPr>
          <w:rFonts w:hint="eastAsia" w:ascii="宋体" w:hAnsi="宋体" w:eastAsia="宋体" w:cs="宋体"/>
          <w:b/>
          <w:sz w:val="24"/>
          <w:szCs w:val="24"/>
          <w:highlight w:val="none"/>
        </w:rPr>
        <w:t>2.11 不可抗力</w:t>
      </w:r>
      <w:bookmarkEnd w:id="261"/>
      <w:bookmarkEnd w:id="262"/>
      <w:bookmarkEnd w:id="263"/>
      <w:bookmarkEnd w:id="264"/>
      <w:bookmarkEnd w:id="265"/>
    </w:p>
    <w:p w14:paraId="74A6CE8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2.11.1如果任何一方遭遇法律规定的不可抗力，致使合同履行受阻时，履行合同的期限应予延长，延长的期限应相当于不可抗力所影响的时间；</w:t>
      </w:r>
    </w:p>
    <w:p w14:paraId="51283B2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2.11.2 因不可抗力致使不能实现合同目的的，当事人可以解除合同；</w:t>
      </w:r>
    </w:p>
    <w:p w14:paraId="0F53CBF1">
      <w:pPr>
        <w:spacing w:line="560" w:lineRule="exact"/>
        <w:ind w:firstLine="480" w:firstLineChars="200"/>
        <w:rPr>
          <w:rFonts w:hint="eastAsia" w:ascii="宋体" w:hAnsi="宋体" w:eastAsia="宋体" w:cs="宋体"/>
          <w:i w:val="0"/>
          <w:iCs/>
          <w:sz w:val="24"/>
          <w:szCs w:val="24"/>
          <w:highlight w:val="none"/>
        </w:rPr>
      </w:pPr>
      <w:r>
        <w:rPr>
          <w:rFonts w:hint="eastAsia" w:ascii="宋体" w:hAnsi="宋体" w:eastAsia="宋体" w:cs="宋体"/>
          <w:sz w:val="24"/>
          <w:szCs w:val="24"/>
          <w:highlight w:val="none"/>
        </w:rPr>
        <w:t>2.11.3 因不可抗力致使合同有变更必要的，双方当事人应在</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约定时间内以书面形式变更合同；</w:t>
      </w:r>
    </w:p>
    <w:p w14:paraId="5604470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i w:val="0"/>
          <w:iCs/>
          <w:sz w:val="24"/>
          <w:szCs w:val="24"/>
          <w:highlight w:val="none"/>
        </w:rPr>
        <w:t>2.11.4受不可抗力影响的一方在不可抗力发生后，应在</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约定时间内以书面形式通知对方当事人，并在</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约定时间内，将有关部门</w:t>
      </w:r>
      <w:r>
        <w:rPr>
          <w:rFonts w:hint="eastAsia" w:ascii="宋体" w:hAnsi="宋体" w:eastAsia="宋体" w:cs="宋体"/>
          <w:sz w:val="24"/>
          <w:szCs w:val="24"/>
          <w:highlight w:val="none"/>
        </w:rPr>
        <w:t>出具的证明文件送达对方当事人。</w:t>
      </w:r>
    </w:p>
    <w:p w14:paraId="6B918773">
      <w:pPr>
        <w:spacing w:line="560" w:lineRule="exact"/>
        <w:ind w:firstLine="482" w:firstLineChars="200"/>
        <w:rPr>
          <w:rFonts w:hint="eastAsia" w:ascii="宋体" w:hAnsi="宋体" w:eastAsia="宋体" w:cs="宋体"/>
          <w:b/>
          <w:sz w:val="24"/>
          <w:szCs w:val="24"/>
          <w:highlight w:val="none"/>
        </w:rPr>
      </w:pPr>
      <w:bookmarkStart w:id="266" w:name="_Toc14115"/>
      <w:bookmarkStart w:id="267" w:name="_Toc487900365"/>
      <w:bookmarkStart w:id="268" w:name="_Toc259093684"/>
      <w:bookmarkStart w:id="269" w:name="_Toc24465"/>
      <w:bookmarkStart w:id="270" w:name="_Toc3638"/>
      <w:bookmarkStart w:id="271" w:name="_Toc25783"/>
      <w:bookmarkStart w:id="272" w:name="_Toc23854"/>
      <w:bookmarkStart w:id="273" w:name="_Toc279701255"/>
      <w:r>
        <w:rPr>
          <w:rFonts w:hint="eastAsia" w:ascii="宋体" w:hAnsi="宋体" w:eastAsia="宋体" w:cs="宋体"/>
          <w:b/>
          <w:sz w:val="24"/>
          <w:szCs w:val="24"/>
          <w:highlight w:val="none"/>
        </w:rPr>
        <w:t>2.12 税费</w:t>
      </w:r>
      <w:bookmarkEnd w:id="266"/>
      <w:bookmarkEnd w:id="267"/>
      <w:bookmarkEnd w:id="268"/>
      <w:bookmarkEnd w:id="269"/>
      <w:bookmarkEnd w:id="270"/>
      <w:bookmarkEnd w:id="271"/>
      <w:bookmarkEnd w:id="272"/>
      <w:bookmarkEnd w:id="273"/>
    </w:p>
    <w:p w14:paraId="585D119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与合同有关的一切税费，均按照中华人民共和国法律的相关规定缴纳。</w:t>
      </w:r>
    </w:p>
    <w:p w14:paraId="423693BA">
      <w:pPr>
        <w:spacing w:line="560" w:lineRule="exact"/>
        <w:ind w:firstLine="482" w:firstLineChars="200"/>
        <w:rPr>
          <w:rFonts w:hint="eastAsia" w:ascii="宋体" w:hAnsi="宋体" w:eastAsia="宋体" w:cs="宋体"/>
          <w:b/>
          <w:sz w:val="24"/>
          <w:szCs w:val="24"/>
          <w:highlight w:val="none"/>
        </w:rPr>
      </w:pPr>
      <w:bookmarkStart w:id="274" w:name="_Toc487900368"/>
      <w:bookmarkStart w:id="275" w:name="_Toc259093687"/>
      <w:bookmarkStart w:id="276" w:name="_Toc7315"/>
      <w:bookmarkStart w:id="277" w:name="_Toc14814"/>
      <w:bookmarkStart w:id="278" w:name="_Toc30105"/>
      <w:bookmarkStart w:id="279" w:name="_Toc279701258"/>
      <w:bookmarkStart w:id="280" w:name="_Toc26883"/>
      <w:bookmarkStart w:id="281" w:name="_Toc25525"/>
      <w:r>
        <w:rPr>
          <w:rFonts w:hint="eastAsia" w:ascii="宋体" w:hAnsi="宋体" w:eastAsia="宋体" w:cs="宋体"/>
          <w:b/>
          <w:sz w:val="24"/>
          <w:szCs w:val="24"/>
          <w:highlight w:val="none"/>
        </w:rPr>
        <w:t>2.13 乙方破产</w:t>
      </w:r>
      <w:bookmarkEnd w:id="274"/>
      <w:bookmarkEnd w:id="275"/>
      <w:bookmarkEnd w:id="276"/>
      <w:bookmarkEnd w:id="277"/>
      <w:bookmarkEnd w:id="278"/>
      <w:bookmarkEnd w:id="279"/>
      <w:bookmarkEnd w:id="280"/>
      <w:bookmarkEnd w:id="281"/>
    </w:p>
    <w:p w14:paraId="2AF6249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90EE81">
      <w:pPr>
        <w:spacing w:line="560" w:lineRule="exact"/>
        <w:ind w:firstLine="482" w:firstLineChars="200"/>
        <w:rPr>
          <w:rFonts w:hint="eastAsia" w:ascii="宋体" w:hAnsi="宋体" w:eastAsia="宋体" w:cs="宋体"/>
          <w:b/>
          <w:sz w:val="24"/>
          <w:szCs w:val="24"/>
          <w:highlight w:val="none"/>
        </w:rPr>
      </w:pPr>
      <w:bookmarkStart w:id="282" w:name="_Toc23323"/>
      <w:bookmarkStart w:id="283" w:name="_Toc1123"/>
      <w:bookmarkStart w:id="284" w:name="_Toc2016"/>
      <w:r>
        <w:rPr>
          <w:rFonts w:hint="eastAsia" w:ascii="宋体" w:hAnsi="宋体" w:eastAsia="宋体" w:cs="宋体"/>
          <w:b/>
          <w:sz w:val="24"/>
          <w:szCs w:val="24"/>
          <w:highlight w:val="none"/>
        </w:rPr>
        <w:t>2.14 合同中止、终止</w:t>
      </w:r>
      <w:bookmarkEnd w:id="282"/>
      <w:bookmarkEnd w:id="283"/>
      <w:bookmarkEnd w:id="284"/>
    </w:p>
    <w:p w14:paraId="37A126B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2.14.1 双方当事人不得擅自中止或者终止合同；</w:t>
      </w:r>
    </w:p>
    <w:p w14:paraId="2ADF83C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5B3AFC97">
      <w:pPr>
        <w:spacing w:line="560" w:lineRule="exact"/>
        <w:ind w:firstLine="482" w:firstLineChars="200"/>
        <w:rPr>
          <w:rFonts w:hint="eastAsia" w:ascii="宋体" w:hAnsi="宋体" w:eastAsia="宋体" w:cs="宋体"/>
          <w:b/>
          <w:sz w:val="24"/>
          <w:szCs w:val="24"/>
          <w:highlight w:val="none"/>
        </w:rPr>
      </w:pPr>
      <w:bookmarkStart w:id="285" w:name="_Toc1969"/>
      <w:bookmarkStart w:id="286" w:name="_Toc17363"/>
      <w:bookmarkStart w:id="287" w:name="_Toc14525"/>
      <w:r>
        <w:rPr>
          <w:rFonts w:hint="eastAsia" w:ascii="宋体" w:hAnsi="宋体" w:eastAsia="宋体" w:cs="宋体"/>
          <w:b/>
          <w:sz w:val="24"/>
          <w:szCs w:val="24"/>
          <w:highlight w:val="none"/>
        </w:rPr>
        <w:t>2.15 检验和验收</w:t>
      </w:r>
      <w:bookmarkEnd w:id="285"/>
      <w:bookmarkEnd w:id="286"/>
      <w:bookmarkEnd w:id="287"/>
    </w:p>
    <w:p w14:paraId="69F91757">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2.15.1 乙方按照</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的约定，定期提交服务报告，甲方按照</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的</w:t>
      </w:r>
      <w:r>
        <w:rPr>
          <w:rFonts w:hint="eastAsia" w:ascii="宋体" w:hAnsi="宋体" w:eastAsia="宋体" w:cs="宋体"/>
          <w:sz w:val="24"/>
          <w:szCs w:val="24"/>
          <w:highlight w:val="none"/>
        </w:rPr>
        <w:t>约定进行定期验收；</w:t>
      </w:r>
    </w:p>
    <w:p w14:paraId="70BE03C5">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B083392">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2.15.3 检验和验收标准、程序等具体内容以及前述验收书的效力详见</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sz w:val="24"/>
          <w:szCs w:val="24"/>
          <w:highlight w:val="none"/>
        </w:rPr>
        <w:t>。</w:t>
      </w:r>
    </w:p>
    <w:bookmarkEnd w:id="249"/>
    <w:bookmarkEnd w:id="250"/>
    <w:bookmarkEnd w:id="251"/>
    <w:bookmarkEnd w:id="252"/>
    <w:p w14:paraId="494825CD">
      <w:pPr>
        <w:spacing w:line="560" w:lineRule="exact"/>
        <w:ind w:firstLine="482" w:firstLineChars="200"/>
        <w:rPr>
          <w:rFonts w:hint="eastAsia" w:ascii="宋体" w:hAnsi="宋体" w:eastAsia="宋体" w:cs="宋体"/>
          <w:b/>
          <w:sz w:val="24"/>
          <w:szCs w:val="24"/>
          <w:highlight w:val="none"/>
        </w:rPr>
      </w:pPr>
      <w:bookmarkStart w:id="288" w:name="_Toc259093690"/>
      <w:bookmarkStart w:id="289" w:name="_Toc279701261"/>
      <w:bookmarkStart w:id="290" w:name="_Toc487900371"/>
      <w:bookmarkStart w:id="291" w:name="_Toc9808"/>
      <w:bookmarkStart w:id="292" w:name="_Toc2308"/>
      <w:bookmarkStart w:id="293" w:name="_Toc31892"/>
      <w:bookmarkStart w:id="294" w:name="_Toc12666"/>
      <w:bookmarkStart w:id="295" w:name="_Toc25198"/>
      <w:r>
        <w:rPr>
          <w:rFonts w:hint="eastAsia" w:ascii="宋体" w:hAnsi="宋体" w:eastAsia="宋体" w:cs="宋体"/>
          <w:b/>
          <w:sz w:val="24"/>
          <w:szCs w:val="24"/>
          <w:highlight w:val="none"/>
        </w:rPr>
        <w:t>2.16 通知</w:t>
      </w:r>
      <w:bookmarkEnd w:id="288"/>
      <w:bookmarkEnd w:id="289"/>
      <w:bookmarkEnd w:id="290"/>
      <w:r>
        <w:rPr>
          <w:rFonts w:hint="eastAsia" w:ascii="宋体" w:hAnsi="宋体" w:eastAsia="宋体" w:cs="宋体"/>
          <w:b/>
          <w:sz w:val="24"/>
          <w:szCs w:val="24"/>
          <w:highlight w:val="none"/>
        </w:rPr>
        <w:t>和送达</w:t>
      </w:r>
      <w:bookmarkEnd w:id="291"/>
      <w:bookmarkEnd w:id="292"/>
      <w:bookmarkEnd w:id="293"/>
      <w:bookmarkEnd w:id="294"/>
      <w:bookmarkEnd w:id="295"/>
    </w:p>
    <w:p w14:paraId="748E9B61">
      <w:pPr>
        <w:spacing w:line="560" w:lineRule="exact"/>
        <w:ind w:firstLine="480" w:firstLineChars="200"/>
        <w:rPr>
          <w:rFonts w:hint="eastAsia" w:ascii="宋体" w:hAnsi="宋体" w:eastAsia="宋体" w:cs="宋体"/>
          <w:sz w:val="24"/>
          <w:szCs w:val="24"/>
          <w:highlight w:val="none"/>
        </w:rPr>
      </w:pPr>
      <w:bookmarkStart w:id="296" w:name="_Toc7073"/>
      <w:bookmarkStart w:id="297" w:name="_Toc29220"/>
      <w:bookmarkStart w:id="298" w:name="_Toc279701262"/>
      <w:bookmarkStart w:id="299" w:name="_Toc259093691"/>
      <w:bookmarkStart w:id="300" w:name="_Toc487900372"/>
      <w:r>
        <w:rPr>
          <w:rFonts w:hint="eastAsia" w:ascii="宋体" w:hAnsi="宋体" w:eastAsia="宋体" w:cs="宋体"/>
          <w:sz w:val="24"/>
          <w:szCs w:val="24"/>
          <w:highlight w:val="none"/>
        </w:rPr>
        <w:t>2.16.1 任何一方因履行合同而以合同第一部分尾部所列明的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发出的所有通知、文件、材料，均视为已向对方当事人送达；任何一方变更上述送达方式或者地址的，应于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个工作日内书面通知对方当事人，在对方当事人收到有关变更通知之前，变更前的约定送达方式或者地址仍视为有效。</w:t>
      </w:r>
      <w:bookmarkEnd w:id="296"/>
      <w:bookmarkEnd w:id="297"/>
    </w:p>
    <w:p w14:paraId="40BE6FCE">
      <w:pPr>
        <w:spacing w:line="560" w:lineRule="exact"/>
        <w:ind w:firstLine="480" w:firstLineChars="200"/>
        <w:rPr>
          <w:rFonts w:hint="eastAsia" w:ascii="宋体" w:hAnsi="宋体" w:eastAsia="宋体" w:cs="宋体"/>
          <w:sz w:val="24"/>
          <w:szCs w:val="24"/>
          <w:highlight w:val="none"/>
        </w:rPr>
      </w:pPr>
      <w:bookmarkStart w:id="301" w:name="_Toc27674"/>
      <w:bookmarkStart w:id="302" w:name="_Toc18401"/>
      <w:r>
        <w:rPr>
          <w:rFonts w:hint="eastAsia" w:ascii="宋体" w:hAnsi="宋体" w:eastAsia="宋体" w:cs="宋体"/>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301"/>
      <w:bookmarkEnd w:id="302"/>
    </w:p>
    <w:bookmarkEnd w:id="298"/>
    <w:bookmarkEnd w:id="299"/>
    <w:bookmarkEnd w:id="300"/>
    <w:p w14:paraId="1281024D">
      <w:pPr>
        <w:spacing w:line="560" w:lineRule="exact"/>
        <w:ind w:firstLine="482" w:firstLineChars="200"/>
        <w:rPr>
          <w:rFonts w:hint="eastAsia" w:ascii="宋体" w:hAnsi="宋体" w:eastAsia="宋体" w:cs="宋体"/>
          <w:b/>
          <w:sz w:val="24"/>
          <w:szCs w:val="24"/>
          <w:highlight w:val="none"/>
        </w:rPr>
      </w:pPr>
      <w:bookmarkStart w:id="303" w:name="_Toc27644"/>
      <w:bookmarkStart w:id="304" w:name="_Toc28906"/>
      <w:bookmarkStart w:id="305" w:name="_Toc5063"/>
      <w:bookmarkStart w:id="306" w:name="_Toc20808"/>
      <w:bookmarkStart w:id="307" w:name="_Toc259093692"/>
      <w:bookmarkStart w:id="308" w:name="_Toc279701263"/>
      <w:bookmarkStart w:id="309" w:name="_Toc487900373"/>
      <w:r>
        <w:rPr>
          <w:rFonts w:hint="eastAsia" w:ascii="宋体" w:hAnsi="宋体" w:eastAsia="宋体" w:cs="宋体"/>
          <w:b/>
          <w:sz w:val="24"/>
          <w:szCs w:val="24"/>
          <w:highlight w:val="none"/>
        </w:rPr>
        <w:t>2.17 合同使用的文字和适用的法律</w:t>
      </w:r>
      <w:bookmarkEnd w:id="303"/>
      <w:bookmarkEnd w:id="304"/>
      <w:bookmarkEnd w:id="305"/>
      <w:bookmarkEnd w:id="306"/>
      <w:bookmarkEnd w:id="307"/>
      <w:bookmarkEnd w:id="308"/>
      <w:bookmarkEnd w:id="309"/>
    </w:p>
    <w:p w14:paraId="693CED70">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2.17.1 合同使用汉语书就、变更和解释；</w:t>
      </w:r>
    </w:p>
    <w:p w14:paraId="520DD78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2.17.2 合同适用中华人民共和国法律。</w:t>
      </w:r>
    </w:p>
    <w:p w14:paraId="3F16F66F">
      <w:pPr>
        <w:spacing w:line="560" w:lineRule="exact"/>
        <w:ind w:firstLine="482" w:firstLineChars="200"/>
        <w:rPr>
          <w:rFonts w:hint="eastAsia" w:ascii="宋体" w:hAnsi="宋体" w:eastAsia="宋体" w:cs="宋体"/>
          <w:b/>
          <w:sz w:val="24"/>
          <w:szCs w:val="24"/>
          <w:highlight w:val="none"/>
        </w:rPr>
      </w:pPr>
      <w:bookmarkStart w:id="310" w:name="_Toc1492"/>
      <w:bookmarkStart w:id="311" w:name="_Toc22266"/>
      <w:bookmarkStart w:id="312" w:name="_Toc27127"/>
      <w:bookmarkStart w:id="313" w:name="_Toc259093693"/>
      <w:bookmarkStart w:id="314" w:name="_Toc279701264"/>
      <w:bookmarkStart w:id="315" w:name="_Toc30096"/>
      <w:bookmarkStart w:id="316" w:name="_Toc27403"/>
      <w:bookmarkStart w:id="317" w:name="_Toc487900374"/>
      <w:r>
        <w:rPr>
          <w:rFonts w:hint="eastAsia" w:ascii="宋体" w:hAnsi="宋体" w:eastAsia="宋体" w:cs="宋体"/>
          <w:b/>
          <w:sz w:val="24"/>
          <w:szCs w:val="24"/>
          <w:highlight w:val="none"/>
        </w:rPr>
        <w:t>2.18 履约保证金</w:t>
      </w:r>
      <w:bookmarkEnd w:id="310"/>
      <w:bookmarkEnd w:id="311"/>
      <w:bookmarkEnd w:id="312"/>
      <w:bookmarkEnd w:id="313"/>
      <w:bookmarkEnd w:id="314"/>
      <w:bookmarkEnd w:id="315"/>
      <w:bookmarkEnd w:id="316"/>
    </w:p>
    <w:p w14:paraId="7CAE0C50">
      <w:pPr>
        <w:spacing w:line="560" w:lineRule="exact"/>
        <w:ind w:firstLine="480" w:firstLineChars="200"/>
        <w:rPr>
          <w:rFonts w:hint="eastAsia" w:ascii="宋体" w:hAnsi="宋体" w:eastAsia="宋体" w:cs="宋体"/>
          <w:i w:val="0"/>
          <w:iCs/>
          <w:sz w:val="24"/>
          <w:szCs w:val="24"/>
          <w:highlight w:val="none"/>
        </w:rPr>
      </w:pPr>
      <w:r>
        <w:rPr>
          <w:rFonts w:hint="eastAsia" w:ascii="宋体" w:hAnsi="宋体" w:eastAsia="宋体" w:cs="宋体"/>
          <w:sz w:val="24"/>
          <w:szCs w:val="24"/>
          <w:highlight w:val="none"/>
        </w:rPr>
        <w:t>2.18.1 采购文件要求乙方提交履约保证金的，乙方应按</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约定的方式，以支票、汇票、本票或者金融机构、担保机构出具的保函等非现金形式，提交不超过合同价10%的履约保证金；</w:t>
      </w:r>
    </w:p>
    <w:p w14:paraId="12FBA82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i w:val="0"/>
          <w:iCs/>
          <w:sz w:val="24"/>
          <w:szCs w:val="24"/>
          <w:highlight w:val="none"/>
        </w:rPr>
        <w:t>2.18.2 履约保证金在</w:t>
      </w:r>
      <w:r>
        <w:rPr>
          <w:rFonts w:hint="eastAsia" w:ascii="宋体" w:hAnsi="宋体" w:eastAsia="宋体" w:cs="宋体"/>
          <w:b/>
          <w:i w:val="0"/>
          <w:iCs/>
          <w:sz w:val="24"/>
          <w:szCs w:val="24"/>
          <w:highlight w:val="none"/>
          <w:u w:val="single"/>
        </w:rPr>
        <w:t>合同专用条款</w:t>
      </w:r>
      <w:r>
        <w:rPr>
          <w:rFonts w:hint="eastAsia" w:ascii="宋体" w:hAnsi="宋体" w:eastAsia="宋体" w:cs="宋体"/>
          <w:i w:val="0"/>
          <w:iCs/>
          <w:sz w:val="24"/>
          <w:szCs w:val="24"/>
          <w:highlight w:val="none"/>
        </w:rPr>
        <w:t>约定期间内不予退</w:t>
      </w:r>
      <w:r>
        <w:rPr>
          <w:rFonts w:hint="eastAsia" w:ascii="宋体" w:hAnsi="宋体" w:eastAsia="宋体" w:cs="宋体"/>
          <w:sz w:val="24"/>
          <w:szCs w:val="24"/>
          <w:highlight w:val="none"/>
        </w:rPr>
        <w:t>还或者应完全有效，前述约定期间届满之日起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个工作日内，甲方应将履约保证金退还乙方；</w:t>
      </w:r>
    </w:p>
    <w:p w14:paraId="73F865E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317"/>
    <w:p w14:paraId="5FDD2FEB">
      <w:pPr>
        <w:spacing w:line="56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2.19 合同份数</w:t>
      </w:r>
    </w:p>
    <w:p w14:paraId="2ECE9706">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合同份数按</w:t>
      </w:r>
      <w:r>
        <w:rPr>
          <w:rFonts w:hint="eastAsia" w:ascii="宋体" w:hAnsi="宋体" w:eastAsia="宋体" w:cs="宋体"/>
          <w:b/>
          <w:i w:val="0"/>
          <w:iCs/>
          <w:sz w:val="24"/>
          <w:szCs w:val="24"/>
          <w:highlight w:val="none"/>
          <w:u w:val="single"/>
        </w:rPr>
        <w:t>合同专用条款</w:t>
      </w:r>
      <w:r>
        <w:rPr>
          <w:rFonts w:hint="eastAsia" w:ascii="宋体" w:hAnsi="宋体" w:eastAsia="宋体" w:cs="宋体"/>
          <w:sz w:val="24"/>
          <w:szCs w:val="24"/>
          <w:highlight w:val="none"/>
        </w:rPr>
        <w:t>规定，每份均具有同等法律效力。</w:t>
      </w:r>
    </w:p>
    <w:p w14:paraId="1EA931EA">
      <w:pPr>
        <w:pStyle w:val="104"/>
        <w:spacing w:line="560" w:lineRule="exact"/>
        <w:ind w:firstLine="0"/>
        <w:jc w:val="center"/>
        <w:rPr>
          <w:rFonts w:hint="eastAsia" w:ascii="宋体" w:hAnsi="宋体" w:eastAsia="宋体" w:cs="宋体"/>
          <w:b/>
          <w:szCs w:val="24"/>
          <w:highlight w:val="none"/>
        </w:rPr>
      </w:pPr>
      <w:r>
        <w:rPr>
          <w:rFonts w:hint="eastAsia" w:ascii="宋体" w:hAnsi="宋体" w:eastAsia="宋体" w:cs="宋体"/>
          <w:szCs w:val="24"/>
          <w:highlight w:val="none"/>
        </w:rPr>
        <w:br w:type="page"/>
      </w:r>
      <w:r>
        <w:rPr>
          <w:rFonts w:hint="eastAsia" w:ascii="宋体" w:hAnsi="宋体" w:eastAsia="宋体" w:cs="宋体"/>
          <w:b/>
          <w:szCs w:val="24"/>
          <w:highlight w:val="none"/>
        </w:rPr>
        <w:t>第三部分  合同专用条款</w:t>
      </w:r>
    </w:p>
    <w:p w14:paraId="5E41C68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具体内容由采购人与成交人签订合同时商定）。</w:t>
      </w:r>
    </w:p>
    <w:p w14:paraId="6B08C9D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tbl>
      <w:tblPr>
        <w:tblStyle w:val="35"/>
        <w:tblW w:w="0" w:type="auto"/>
        <w:tblInd w:w="-207" w:type="dxa"/>
        <w:tblLayout w:type="fixed"/>
        <w:tblCellMar>
          <w:top w:w="0" w:type="dxa"/>
          <w:left w:w="108" w:type="dxa"/>
          <w:bottom w:w="0" w:type="dxa"/>
          <w:right w:w="108" w:type="dxa"/>
        </w:tblCellMar>
      </w:tblPr>
      <w:tblGrid>
        <w:gridCol w:w="4326"/>
        <w:gridCol w:w="5018"/>
      </w:tblGrid>
      <w:tr w14:paraId="0E0F921D">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209D1652">
            <w:pPr>
              <w:spacing w:line="420" w:lineRule="exact"/>
              <w:ind w:left="-420" w:leftChars="-200" w:firstLine="1626" w:firstLineChars="675"/>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甲方(采购人)名      称：</w:t>
            </w:r>
          </w:p>
        </w:tc>
        <w:tc>
          <w:tcPr>
            <w:tcW w:w="5018" w:type="dxa"/>
            <w:tcBorders>
              <w:top w:val="single" w:color="FFFFFF" w:sz="4" w:space="0"/>
              <w:left w:val="nil"/>
              <w:bottom w:val="single" w:color="FFFFFF" w:sz="4" w:space="0"/>
              <w:right w:val="single" w:color="FFFFFF" w:sz="4" w:space="0"/>
            </w:tcBorders>
            <w:noWrap w:val="0"/>
            <w:vAlign w:val="top"/>
          </w:tcPr>
          <w:p w14:paraId="4C17FBF4">
            <w:pPr>
              <w:spacing w:line="420" w:lineRule="exact"/>
              <w:rPr>
                <w:rFonts w:hint="eastAsia" w:ascii="宋体" w:hAnsi="宋体" w:eastAsia="宋体" w:cs="宋体"/>
                <w:b/>
                <w:bCs/>
                <w:kern w:val="2"/>
                <w:sz w:val="24"/>
                <w:szCs w:val="24"/>
                <w:highlight w:val="none"/>
              </w:rPr>
            </w:pPr>
          </w:p>
        </w:tc>
      </w:tr>
      <w:tr w14:paraId="3A668E2E">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794AA4E0">
            <w:pPr>
              <w:spacing w:line="42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地      址：</w:t>
            </w:r>
          </w:p>
        </w:tc>
        <w:tc>
          <w:tcPr>
            <w:tcW w:w="5018" w:type="dxa"/>
            <w:tcBorders>
              <w:top w:val="single" w:color="FFFFFF" w:sz="4" w:space="0"/>
              <w:left w:val="nil"/>
              <w:bottom w:val="single" w:color="FFFFFF" w:sz="4" w:space="0"/>
              <w:right w:val="single" w:color="FFFFFF" w:sz="4" w:space="0"/>
            </w:tcBorders>
            <w:noWrap w:val="0"/>
            <w:vAlign w:val="top"/>
          </w:tcPr>
          <w:p w14:paraId="0EA9E275">
            <w:pPr>
              <w:spacing w:line="420" w:lineRule="exact"/>
              <w:rPr>
                <w:rFonts w:hint="eastAsia" w:ascii="宋体" w:hAnsi="宋体" w:eastAsia="宋体" w:cs="宋体"/>
                <w:b/>
                <w:bCs/>
                <w:kern w:val="2"/>
                <w:sz w:val="24"/>
                <w:szCs w:val="24"/>
                <w:highlight w:val="none"/>
              </w:rPr>
            </w:pPr>
          </w:p>
        </w:tc>
      </w:tr>
      <w:tr w14:paraId="432FDE80">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1C2694E6">
            <w:pPr>
              <w:spacing w:line="42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邮      编：</w:t>
            </w:r>
          </w:p>
        </w:tc>
        <w:tc>
          <w:tcPr>
            <w:tcW w:w="5018" w:type="dxa"/>
            <w:tcBorders>
              <w:top w:val="single" w:color="FFFFFF" w:sz="4" w:space="0"/>
              <w:left w:val="nil"/>
              <w:bottom w:val="single" w:color="FFFFFF" w:sz="4" w:space="0"/>
              <w:right w:val="single" w:color="FFFFFF" w:sz="4" w:space="0"/>
            </w:tcBorders>
            <w:noWrap w:val="0"/>
            <w:vAlign w:val="top"/>
          </w:tcPr>
          <w:p w14:paraId="73A8AA6F">
            <w:pPr>
              <w:spacing w:line="420" w:lineRule="exact"/>
              <w:rPr>
                <w:rFonts w:hint="eastAsia" w:ascii="宋体" w:hAnsi="宋体" w:eastAsia="宋体" w:cs="宋体"/>
                <w:b/>
                <w:bCs/>
                <w:kern w:val="2"/>
                <w:sz w:val="24"/>
                <w:szCs w:val="24"/>
                <w:highlight w:val="none"/>
              </w:rPr>
            </w:pPr>
          </w:p>
        </w:tc>
      </w:tr>
      <w:tr w14:paraId="72249107">
        <w:tblPrEx>
          <w:tblCellMar>
            <w:top w:w="0" w:type="dxa"/>
            <w:left w:w="108" w:type="dxa"/>
            <w:bottom w:w="0" w:type="dxa"/>
            <w:right w:w="108" w:type="dxa"/>
          </w:tblCellMar>
        </w:tblPrEx>
        <w:trPr>
          <w:trHeight w:val="415"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3E8E24C7">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法定代表人：</w:t>
            </w:r>
          </w:p>
        </w:tc>
        <w:tc>
          <w:tcPr>
            <w:tcW w:w="5018" w:type="dxa"/>
            <w:tcBorders>
              <w:top w:val="single" w:color="FFFFFF" w:sz="4" w:space="0"/>
              <w:left w:val="nil"/>
              <w:bottom w:val="single" w:color="FFFFFF" w:sz="4" w:space="0"/>
              <w:right w:val="single" w:color="FFFFFF" w:sz="4" w:space="0"/>
            </w:tcBorders>
            <w:noWrap w:val="0"/>
            <w:vAlign w:val="top"/>
          </w:tcPr>
          <w:p w14:paraId="18AE5BD1">
            <w:pPr>
              <w:spacing w:line="420" w:lineRule="exact"/>
              <w:rPr>
                <w:rFonts w:hint="eastAsia" w:ascii="宋体" w:hAnsi="宋体" w:eastAsia="宋体" w:cs="宋体"/>
                <w:b/>
                <w:bCs/>
                <w:kern w:val="2"/>
                <w:sz w:val="24"/>
                <w:szCs w:val="24"/>
                <w:highlight w:val="none"/>
              </w:rPr>
            </w:pPr>
          </w:p>
        </w:tc>
      </w:tr>
      <w:tr w14:paraId="4EF0B7E6">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5566B59">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委托代理人：</w:t>
            </w:r>
          </w:p>
        </w:tc>
        <w:tc>
          <w:tcPr>
            <w:tcW w:w="5018" w:type="dxa"/>
            <w:tcBorders>
              <w:top w:val="single" w:color="FFFFFF" w:sz="4" w:space="0"/>
              <w:left w:val="nil"/>
              <w:bottom w:val="single" w:color="FFFFFF" w:sz="4" w:space="0"/>
              <w:right w:val="single" w:color="FFFFFF" w:sz="4" w:space="0"/>
            </w:tcBorders>
            <w:noWrap w:val="0"/>
            <w:vAlign w:val="top"/>
          </w:tcPr>
          <w:p w14:paraId="35704D6D">
            <w:pPr>
              <w:spacing w:line="420" w:lineRule="exact"/>
              <w:rPr>
                <w:rFonts w:hint="eastAsia" w:ascii="宋体" w:hAnsi="宋体" w:eastAsia="宋体" w:cs="宋体"/>
                <w:b/>
                <w:bCs/>
                <w:kern w:val="2"/>
                <w:sz w:val="24"/>
                <w:szCs w:val="24"/>
                <w:highlight w:val="none"/>
                <w:u w:val="single"/>
              </w:rPr>
            </w:pPr>
          </w:p>
        </w:tc>
      </w:tr>
      <w:tr w14:paraId="66F0745B">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3C9DE3BB">
            <w:pPr>
              <w:wordWrap w:val="0"/>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电      话：</w:t>
            </w:r>
          </w:p>
        </w:tc>
        <w:tc>
          <w:tcPr>
            <w:tcW w:w="5018" w:type="dxa"/>
            <w:tcBorders>
              <w:top w:val="single" w:color="FFFFFF" w:sz="4" w:space="0"/>
              <w:left w:val="nil"/>
              <w:bottom w:val="single" w:color="FFFFFF" w:sz="4" w:space="0"/>
              <w:right w:val="single" w:color="FFFFFF" w:sz="4" w:space="0"/>
            </w:tcBorders>
            <w:noWrap w:val="0"/>
            <w:vAlign w:val="top"/>
          </w:tcPr>
          <w:p w14:paraId="09FB171F">
            <w:pPr>
              <w:spacing w:line="420" w:lineRule="exact"/>
              <w:rPr>
                <w:rFonts w:hint="eastAsia" w:ascii="宋体" w:hAnsi="宋体" w:eastAsia="宋体" w:cs="宋体"/>
                <w:b/>
                <w:bCs/>
                <w:kern w:val="2"/>
                <w:sz w:val="24"/>
                <w:szCs w:val="24"/>
                <w:highlight w:val="none"/>
                <w:u w:val="single"/>
              </w:rPr>
            </w:pPr>
          </w:p>
        </w:tc>
      </w:tr>
      <w:tr w14:paraId="76C50011">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744DEE94">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 xml:space="preserve">        开 户 银行：</w:t>
            </w:r>
          </w:p>
        </w:tc>
        <w:tc>
          <w:tcPr>
            <w:tcW w:w="5018" w:type="dxa"/>
            <w:tcBorders>
              <w:top w:val="single" w:color="FFFFFF" w:sz="4" w:space="0"/>
              <w:left w:val="nil"/>
              <w:bottom w:val="single" w:color="FFFFFF" w:sz="4" w:space="0"/>
              <w:right w:val="single" w:color="FFFFFF" w:sz="4" w:space="0"/>
            </w:tcBorders>
            <w:noWrap w:val="0"/>
            <w:vAlign w:val="top"/>
          </w:tcPr>
          <w:p w14:paraId="6C4CC844">
            <w:pPr>
              <w:spacing w:line="420" w:lineRule="exact"/>
              <w:rPr>
                <w:rFonts w:hint="eastAsia" w:ascii="宋体" w:hAnsi="宋体" w:eastAsia="宋体" w:cs="宋体"/>
                <w:b/>
                <w:bCs/>
                <w:kern w:val="2"/>
                <w:sz w:val="24"/>
                <w:szCs w:val="24"/>
                <w:highlight w:val="none"/>
                <w:u w:val="single"/>
              </w:rPr>
            </w:pPr>
          </w:p>
        </w:tc>
      </w:tr>
      <w:tr w14:paraId="2F97659A">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44E8F7C8">
            <w:pPr>
              <w:spacing w:line="42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账      号：</w:t>
            </w:r>
          </w:p>
        </w:tc>
        <w:tc>
          <w:tcPr>
            <w:tcW w:w="5018" w:type="dxa"/>
            <w:tcBorders>
              <w:top w:val="single" w:color="FFFFFF" w:sz="4" w:space="0"/>
              <w:left w:val="nil"/>
              <w:bottom w:val="single" w:color="FFFFFF" w:sz="4" w:space="0"/>
              <w:right w:val="single" w:color="FFFFFF" w:sz="4" w:space="0"/>
            </w:tcBorders>
            <w:noWrap w:val="0"/>
            <w:vAlign w:val="top"/>
          </w:tcPr>
          <w:p w14:paraId="59150526">
            <w:pPr>
              <w:spacing w:line="420" w:lineRule="exact"/>
              <w:rPr>
                <w:rFonts w:hint="eastAsia" w:ascii="宋体" w:hAnsi="宋体" w:eastAsia="宋体" w:cs="宋体"/>
                <w:b/>
                <w:bCs/>
                <w:kern w:val="2"/>
                <w:sz w:val="24"/>
                <w:szCs w:val="24"/>
                <w:highlight w:val="none"/>
                <w:u w:val="single"/>
              </w:rPr>
            </w:pPr>
          </w:p>
        </w:tc>
      </w:tr>
      <w:tr w14:paraId="49FD6069">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6C6D307">
            <w:pPr>
              <w:spacing w:line="420" w:lineRule="exact"/>
              <w:rPr>
                <w:rFonts w:hint="eastAsia" w:ascii="宋体" w:hAnsi="宋体" w:eastAsia="宋体" w:cs="宋体"/>
                <w:b/>
                <w:bCs/>
                <w:kern w:val="2"/>
                <w:sz w:val="24"/>
                <w:szCs w:val="24"/>
                <w:highlight w:val="none"/>
              </w:rPr>
            </w:pPr>
          </w:p>
        </w:tc>
        <w:tc>
          <w:tcPr>
            <w:tcW w:w="5018" w:type="dxa"/>
            <w:tcBorders>
              <w:top w:val="single" w:color="FFFFFF" w:sz="4" w:space="0"/>
              <w:left w:val="nil"/>
              <w:bottom w:val="single" w:color="FFFFFF" w:sz="4" w:space="0"/>
              <w:right w:val="single" w:color="FFFFFF" w:sz="4" w:space="0"/>
            </w:tcBorders>
            <w:noWrap w:val="0"/>
            <w:vAlign w:val="top"/>
          </w:tcPr>
          <w:p w14:paraId="0281350A">
            <w:pPr>
              <w:spacing w:line="420" w:lineRule="exact"/>
              <w:rPr>
                <w:rFonts w:hint="eastAsia" w:ascii="宋体" w:hAnsi="宋体" w:eastAsia="宋体" w:cs="宋体"/>
                <w:b/>
                <w:bCs/>
                <w:kern w:val="2"/>
                <w:sz w:val="24"/>
                <w:szCs w:val="24"/>
                <w:highlight w:val="none"/>
              </w:rPr>
            </w:pPr>
          </w:p>
        </w:tc>
      </w:tr>
      <w:tr w14:paraId="78C195DB">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4F56C7ED">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乙方(</w:t>
            </w:r>
            <w:r>
              <w:rPr>
                <w:rFonts w:hint="eastAsia" w:ascii="宋体" w:hAnsi="宋体" w:cs="宋体"/>
                <w:b/>
                <w:bCs/>
                <w:kern w:val="2"/>
                <w:sz w:val="24"/>
                <w:szCs w:val="24"/>
                <w:highlight w:val="none"/>
                <w:lang w:val="en-US" w:eastAsia="zh-CN"/>
              </w:rPr>
              <w:t>供应商</w:t>
            </w:r>
            <w:r>
              <w:rPr>
                <w:rFonts w:hint="eastAsia" w:ascii="宋体" w:hAnsi="宋体" w:eastAsia="宋体" w:cs="宋体"/>
                <w:b/>
                <w:bCs/>
                <w:kern w:val="2"/>
                <w:sz w:val="24"/>
                <w:szCs w:val="24"/>
                <w:highlight w:val="none"/>
              </w:rPr>
              <w:t>)名      称：</w:t>
            </w:r>
          </w:p>
        </w:tc>
        <w:tc>
          <w:tcPr>
            <w:tcW w:w="5018" w:type="dxa"/>
            <w:tcBorders>
              <w:top w:val="single" w:color="FFFFFF" w:sz="4" w:space="0"/>
              <w:left w:val="nil"/>
              <w:bottom w:val="single" w:color="FFFFFF" w:sz="4" w:space="0"/>
              <w:right w:val="single" w:color="FFFFFF" w:sz="4" w:space="0"/>
            </w:tcBorders>
            <w:noWrap w:val="0"/>
            <w:vAlign w:val="top"/>
          </w:tcPr>
          <w:p w14:paraId="36D195B0">
            <w:pPr>
              <w:spacing w:line="420" w:lineRule="exact"/>
              <w:rPr>
                <w:rFonts w:hint="eastAsia" w:ascii="宋体" w:hAnsi="宋体" w:eastAsia="宋体" w:cs="宋体"/>
                <w:b/>
                <w:bCs/>
                <w:kern w:val="2"/>
                <w:sz w:val="24"/>
                <w:szCs w:val="24"/>
                <w:highlight w:val="none"/>
              </w:rPr>
            </w:pPr>
          </w:p>
        </w:tc>
      </w:tr>
      <w:tr w14:paraId="37748A7F">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C9F3097">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地      址：</w:t>
            </w:r>
          </w:p>
        </w:tc>
        <w:tc>
          <w:tcPr>
            <w:tcW w:w="5018" w:type="dxa"/>
            <w:tcBorders>
              <w:top w:val="single" w:color="FFFFFF" w:sz="4" w:space="0"/>
              <w:left w:val="nil"/>
              <w:bottom w:val="single" w:color="FFFFFF" w:sz="4" w:space="0"/>
              <w:right w:val="single" w:color="FFFFFF" w:sz="4" w:space="0"/>
            </w:tcBorders>
            <w:noWrap w:val="0"/>
            <w:vAlign w:val="top"/>
          </w:tcPr>
          <w:p w14:paraId="6F208E8D">
            <w:pPr>
              <w:spacing w:line="420" w:lineRule="exact"/>
              <w:rPr>
                <w:rFonts w:hint="eastAsia" w:ascii="宋体" w:hAnsi="宋体" w:eastAsia="宋体" w:cs="宋体"/>
                <w:b/>
                <w:bCs/>
                <w:kern w:val="2"/>
                <w:sz w:val="24"/>
                <w:szCs w:val="24"/>
                <w:highlight w:val="none"/>
              </w:rPr>
            </w:pPr>
          </w:p>
        </w:tc>
      </w:tr>
      <w:tr w14:paraId="58624E2D">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3D44100E">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邮      编：</w:t>
            </w:r>
          </w:p>
        </w:tc>
        <w:tc>
          <w:tcPr>
            <w:tcW w:w="5018" w:type="dxa"/>
            <w:tcBorders>
              <w:top w:val="single" w:color="FFFFFF" w:sz="4" w:space="0"/>
              <w:left w:val="nil"/>
              <w:bottom w:val="single" w:color="FFFFFF" w:sz="4" w:space="0"/>
              <w:right w:val="single" w:color="FFFFFF" w:sz="4" w:space="0"/>
            </w:tcBorders>
            <w:noWrap w:val="0"/>
            <w:vAlign w:val="top"/>
          </w:tcPr>
          <w:p w14:paraId="24408C36">
            <w:pPr>
              <w:spacing w:line="420" w:lineRule="exact"/>
              <w:rPr>
                <w:rFonts w:hint="eastAsia" w:ascii="宋体" w:hAnsi="宋体" w:eastAsia="宋体" w:cs="宋体"/>
                <w:b/>
                <w:bCs/>
                <w:kern w:val="2"/>
                <w:sz w:val="24"/>
                <w:szCs w:val="24"/>
                <w:highlight w:val="none"/>
              </w:rPr>
            </w:pPr>
          </w:p>
        </w:tc>
      </w:tr>
      <w:tr w14:paraId="43764FD3">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F88DB0F">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法定代表人：</w:t>
            </w:r>
          </w:p>
        </w:tc>
        <w:tc>
          <w:tcPr>
            <w:tcW w:w="5018" w:type="dxa"/>
            <w:tcBorders>
              <w:top w:val="single" w:color="FFFFFF" w:sz="4" w:space="0"/>
              <w:left w:val="nil"/>
              <w:bottom w:val="single" w:color="FFFFFF" w:sz="4" w:space="0"/>
              <w:right w:val="single" w:color="FFFFFF" w:sz="4" w:space="0"/>
            </w:tcBorders>
            <w:noWrap w:val="0"/>
            <w:vAlign w:val="top"/>
          </w:tcPr>
          <w:p w14:paraId="2A576784">
            <w:pPr>
              <w:spacing w:line="420" w:lineRule="exact"/>
              <w:rPr>
                <w:rFonts w:hint="eastAsia" w:ascii="宋体" w:hAnsi="宋体" w:eastAsia="宋体" w:cs="宋体"/>
                <w:b/>
                <w:bCs/>
                <w:kern w:val="2"/>
                <w:sz w:val="24"/>
                <w:szCs w:val="24"/>
                <w:highlight w:val="none"/>
              </w:rPr>
            </w:pPr>
          </w:p>
        </w:tc>
      </w:tr>
      <w:tr w14:paraId="60AFEE4E">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D97890C">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委托代理人：</w:t>
            </w:r>
          </w:p>
        </w:tc>
        <w:tc>
          <w:tcPr>
            <w:tcW w:w="5018" w:type="dxa"/>
            <w:tcBorders>
              <w:top w:val="single" w:color="FFFFFF" w:sz="4" w:space="0"/>
              <w:left w:val="nil"/>
              <w:bottom w:val="single" w:color="FFFFFF" w:sz="4" w:space="0"/>
              <w:right w:val="single" w:color="FFFFFF" w:sz="4" w:space="0"/>
            </w:tcBorders>
            <w:noWrap w:val="0"/>
            <w:vAlign w:val="top"/>
          </w:tcPr>
          <w:p w14:paraId="7E7CF533">
            <w:pPr>
              <w:spacing w:line="420" w:lineRule="exact"/>
              <w:rPr>
                <w:rFonts w:hint="eastAsia" w:ascii="宋体" w:hAnsi="宋体" w:eastAsia="宋体" w:cs="宋体"/>
                <w:b/>
                <w:bCs/>
                <w:kern w:val="2"/>
                <w:sz w:val="24"/>
                <w:szCs w:val="24"/>
                <w:highlight w:val="none"/>
              </w:rPr>
            </w:pPr>
          </w:p>
        </w:tc>
      </w:tr>
      <w:tr w14:paraId="16A71B2E">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579C5F08">
            <w:pPr>
              <w:autoSpaceDE w:val="0"/>
              <w:autoSpaceDN w:val="0"/>
              <w:adjustRightInd w:val="0"/>
              <w:spacing w:line="46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电      话：</w:t>
            </w:r>
          </w:p>
        </w:tc>
        <w:tc>
          <w:tcPr>
            <w:tcW w:w="5018" w:type="dxa"/>
            <w:tcBorders>
              <w:top w:val="single" w:color="FFFFFF" w:sz="4" w:space="0"/>
              <w:left w:val="nil"/>
              <w:bottom w:val="single" w:color="FFFFFF" w:sz="4" w:space="0"/>
              <w:right w:val="single" w:color="FFFFFF" w:sz="4" w:space="0"/>
            </w:tcBorders>
            <w:noWrap w:val="0"/>
            <w:vAlign w:val="top"/>
          </w:tcPr>
          <w:p w14:paraId="2B61EC95">
            <w:pPr>
              <w:spacing w:line="420" w:lineRule="exact"/>
              <w:rPr>
                <w:rFonts w:hint="eastAsia" w:ascii="宋体" w:hAnsi="宋体" w:eastAsia="宋体" w:cs="宋体"/>
                <w:b/>
                <w:bCs/>
                <w:kern w:val="2"/>
                <w:sz w:val="24"/>
                <w:szCs w:val="24"/>
                <w:highlight w:val="none"/>
              </w:rPr>
            </w:pPr>
          </w:p>
        </w:tc>
      </w:tr>
      <w:tr w14:paraId="704CC962">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0D180A3F">
            <w:pPr>
              <w:spacing w:line="420" w:lineRule="exac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ab/>
            </w:r>
            <w:r>
              <w:rPr>
                <w:rFonts w:hint="eastAsia" w:ascii="宋体" w:hAnsi="宋体" w:eastAsia="宋体" w:cs="宋体"/>
                <w:b/>
                <w:bCs/>
                <w:kern w:val="2"/>
                <w:sz w:val="24"/>
                <w:szCs w:val="24"/>
                <w:highlight w:val="none"/>
              </w:rPr>
              <w:t xml:space="preserve">                  开 户 银 行：</w:t>
            </w:r>
          </w:p>
        </w:tc>
        <w:tc>
          <w:tcPr>
            <w:tcW w:w="5018" w:type="dxa"/>
            <w:tcBorders>
              <w:top w:val="single" w:color="FFFFFF" w:sz="4" w:space="0"/>
              <w:left w:val="nil"/>
              <w:bottom w:val="single" w:color="FFFFFF" w:sz="4" w:space="0"/>
              <w:right w:val="single" w:color="FFFFFF" w:sz="4" w:space="0"/>
            </w:tcBorders>
            <w:noWrap w:val="0"/>
            <w:vAlign w:val="top"/>
          </w:tcPr>
          <w:p w14:paraId="2BF7BEA0">
            <w:pPr>
              <w:spacing w:line="420" w:lineRule="exact"/>
              <w:rPr>
                <w:rFonts w:hint="eastAsia" w:ascii="宋体" w:hAnsi="宋体" w:eastAsia="宋体" w:cs="宋体"/>
                <w:b/>
                <w:bCs/>
                <w:kern w:val="2"/>
                <w:sz w:val="24"/>
                <w:szCs w:val="24"/>
                <w:highlight w:val="none"/>
              </w:rPr>
            </w:pPr>
          </w:p>
        </w:tc>
      </w:tr>
      <w:tr w14:paraId="49003B89">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76E02927">
            <w:pPr>
              <w:spacing w:line="420" w:lineRule="exact"/>
              <w:jc w:val="right"/>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账      号：</w:t>
            </w:r>
          </w:p>
        </w:tc>
        <w:tc>
          <w:tcPr>
            <w:tcW w:w="5018" w:type="dxa"/>
            <w:tcBorders>
              <w:top w:val="single" w:color="FFFFFF" w:sz="4" w:space="0"/>
              <w:left w:val="nil"/>
              <w:bottom w:val="single" w:color="FFFFFF" w:sz="4" w:space="0"/>
              <w:right w:val="single" w:color="FFFFFF" w:sz="4" w:space="0"/>
            </w:tcBorders>
            <w:noWrap w:val="0"/>
            <w:vAlign w:val="top"/>
          </w:tcPr>
          <w:p w14:paraId="76C209D0">
            <w:pPr>
              <w:spacing w:line="420" w:lineRule="exact"/>
              <w:rPr>
                <w:rFonts w:hint="eastAsia" w:ascii="宋体" w:hAnsi="宋体" w:eastAsia="宋体" w:cs="宋体"/>
                <w:b/>
                <w:bCs/>
                <w:kern w:val="2"/>
                <w:sz w:val="24"/>
                <w:szCs w:val="24"/>
                <w:highlight w:val="none"/>
              </w:rPr>
            </w:pPr>
          </w:p>
        </w:tc>
      </w:tr>
      <w:tr w14:paraId="4F344CA2">
        <w:tblPrEx>
          <w:tblCellMar>
            <w:top w:w="0" w:type="dxa"/>
            <w:left w:w="108" w:type="dxa"/>
            <w:bottom w:w="0" w:type="dxa"/>
            <w:right w:w="108" w:type="dxa"/>
          </w:tblCellMar>
        </w:tblPrEx>
        <w:trPr>
          <w:trHeight w:val="454" w:hRule="atLeast"/>
        </w:trPr>
        <w:tc>
          <w:tcPr>
            <w:tcW w:w="4326" w:type="dxa"/>
            <w:tcBorders>
              <w:top w:val="single" w:color="FFFFFF" w:sz="4" w:space="0"/>
              <w:left w:val="single" w:color="FFFFFF" w:sz="4" w:space="0"/>
              <w:bottom w:val="single" w:color="FFFFFF" w:sz="4" w:space="0"/>
              <w:right w:val="single" w:color="FFFFFF" w:sz="4" w:space="0"/>
            </w:tcBorders>
            <w:noWrap w:val="0"/>
            <w:vAlign w:val="top"/>
          </w:tcPr>
          <w:p w14:paraId="35AE649D">
            <w:pPr>
              <w:spacing w:line="420" w:lineRule="exact"/>
              <w:rPr>
                <w:rFonts w:hint="eastAsia" w:ascii="宋体" w:hAnsi="宋体" w:eastAsia="宋体" w:cs="宋体"/>
                <w:b/>
                <w:bCs/>
                <w:kern w:val="2"/>
                <w:sz w:val="24"/>
                <w:szCs w:val="24"/>
                <w:highlight w:val="none"/>
              </w:rPr>
            </w:pPr>
          </w:p>
        </w:tc>
        <w:tc>
          <w:tcPr>
            <w:tcW w:w="5018" w:type="dxa"/>
            <w:tcBorders>
              <w:top w:val="single" w:color="FFFFFF" w:sz="4" w:space="0"/>
              <w:left w:val="nil"/>
              <w:bottom w:val="single" w:color="FFFFFF" w:sz="4" w:space="0"/>
              <w:right w:val="single" w:color="FFFFFF" w:sz="4" w:space="0"/>
            </w:tcBorders>
            <w:noWrap w:val="0"/>
            <w:vAlign w:val="top"/>
          </w:tcPr>
          <w:p w14:paraId="5F595B8D">
            <w:pPr>
              <w:spacing w:line="420" w:lineRule="exact"/>
              <w:rPr>
                <w:rFonts w:hint="eastAsia" w:ascii="宋体" w:hAnsi="宋体" w:eastAsia="宋体" w:cs="宋体"/>
                <w:b/>
                <w:bCs/>
                <w:kern w:val="2"/>
                <w:sz w:val="24"/>
                <w:szCs w:val="24"/>
                <w:highlight w:val="none"/>
              </w:rPr>
            </w:pPr>
          </w:p>
        </w:tc>
      </w:tr>
    </w:tbl>
    <w:p w14:paraId="55458CD7">
      <w:pPr>
        <w:widowControl/>
        <w:spacing w:line="360" w:lineRule="auto"/>
        <w:ind w:firstLine="480" w:firstLineChars="200"/>
        <w:rPr>
          <w:rFonts w:hint="eastAsia" w:ascii="宋体" w:hAnsi="宋体" w:eastAsia="宋体" w:cs="宋体"/>
          <w:color w:val="auto"/>
          <w:sz w:val="24"/>
          <w:szCs w:val="24"/>
          <w:highlight w:val="none"/>
        </w:rPr>
      </w:pPr>
    </w:p>
    <w:p w14:paraId="21738A3E">
      <w:pPr>
        <w:keepNext w:val="0"/>
        <w:keepLines w:val="0"/>
        <w:pageBreakBefore w:val="0"/>
        <w:kinsoku/>
        <w:wordWrap/>
        <w:overflowPunct/>
        <w:topLinePunct w:val="0"/>
        <w:autoSpaceDE/>
        <w:autoSpaceDN/>
        <w:bidi w:val="0"/>
        <w:snapToGrid/>
        <w:spacing w:line="480" w:lineRule="exact"/>
        <w:ind w:firstLine="420" w:firstLineChars="200"/>
        <w:textAlignment w:val="auto"/>
        <w:rPr>
          <w:rFonts w:hint="eastAsia" w:ascii="宋体" w:hAnsi="宋体" w:eastAsia="宋体" w:cs="宋体"/>
          <w:color w:val="auto"/>
          <w:sz w:val="21"/>
          <w:szCs w:val="21"/>
          <w:highlight w:val="none"/>
        </w:rPr>
      </w:pPr>
    </w:p>
    <w:p w14:paraId="38F36508">
      <w:pP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br w:type="page"/>
      </w:r>
    </w:p>
    <w:p w14:paraId="19241660">
      <w:pPr>
        <w:pStyle w:val="2"/>
        <w:numPr>
          <w:ilvl w:val="0"/>
          <w:numId w:val="0"/>
        </w:numPr>
        <w:jc w:val="center"/>
        <w:rPr>
          <w:rFonts w:hint="eastAsia" w:ascii="宋体" w:hAnsi="宋体" w:eastAsia="宋体" w:cs="宋体"/>
          <w:color w:val="auto"/>
          <w:kern w:val="2"/>
          <w:sz w:val="32"/>
          <w:szCs w:val="32"/>
          <w:highlight w:val="none"/>
        </w:rPr>
      </w:pPr>
      <w:bookmarkStart w:id="318" w:name="_Toc30993"/>
      <w:r>
        <w:rPr>
          <w:rFonts w:hint="eastAsia" w:ascii="宋体" w:hAnsi="宋体" w:eastAsia="宋体" w:cs="宋体"/>
          <w:color w:val="auto"/>
          <w:kern w:val="2"/>
          <w:sz w:val="32"/>
          <w:szCs w:val="32"/>
          <w:highlight w:val="none"/>
        </w:rPr>
        <w:t>第四章  响应文件格式</w:t>
      </w:r>
      <w:bookmarkEnd w:id="134"/>
      <w:bookmarkEnd w:id="135"/>
      <w:bookmarkEnd w:id="136"/>
      <w:bookmarkEnd w:id="137"/>
      <w:bookmarkEnd w:id="138"/>
      <w:bookmarkEnd w:id="139"/>
      <w:bookmarkEnd w:id="140"/>
      <w:bookmarkEnd w:id="141"/>
      <w:bookmarkEnd w:id="318"/>
    </w:p>
    <w:p w14:paraId="71B3F854">
      <w:pPr>
        <w:pStyle w:val="18"/>
        <w:spacing w:line="500" w:lineRule="exact"/>
        <w:jc w:val="center"/>
        <w:rPr>
          <w:rFonts w:hint="eastAsia" w:ascii="宋体" w:hAnsi="宋体" w:eastAsia="宋体" w:cs="宋体"/>
          <w:b/>
          <w:color w:val="auto"/>
          <w:sz w:val="24"/>
          <w:highlight w:val="none"/>
        </w:rPr>
      </w:pPr>
    </w:p>
    <w:p w14:paraId="5049260C">
      <w:pPr>
        <w:pStyle w:val="18"/>
        <w:spacing w:line="500" w:lineRule="exact"/>
        <w:jc w:val="center"/>
        <w:rPr>
          <w:rFonts w:hint="eastAsia" w:ascii="宋体" w:hAnsi="宋体" w:eastAsia="宋体" w:cs="宋体"/>
          <w:b/>
          <w:color w:val="auto"/>
          <w:sz w:val="24"/>
          <w:highlight w:val="none"/>
        </w:rPr>
      </w:pPr>
    </w:p>
    <w:p w14:paraId="3DF8D905">
      <w:pPr>
        <w:pStyle w:val="18"/>
        <w:spacing w:line="500" w:lineRule="exact"/>
        <w:jc w:val="center"/>
        <w:rPr>
          <w:rFonts w:hint="eastAsia" w:ascii="宋体" w:hAnsi="宋体" w:eastAsia="宋体" w:cs="宋体"/>
          <w:b/>
          <w:color w:val="auto"/>
          <w:sz w:val="24"/>
          <w:highlight w:val="none"/>
        </w:rPr>
      </w:pPr>
    </w:p>
    <w:p w14:paraId="0ED0E069">
      <w:pPr>
        <w:jc w:val="center"/>
        <w:rPr>
          <w:rFonts w:hint="eastAsia" w:ascii="宋体" w:hAnsi="宋体" w:cs="宋体"/>
          <w:b/>
          <w:color w:val="auto"/>
          <w:sz w:val="40"/>
          <w:szCs w:val="40"/>
          <w:highlight w:val="none"/>
          <w:lang w:eastAsia="zh-CN"/>
        </w:rPr>
      </w:pPr>
      <w:bookmarkStart w:id="319" w:name="_Toc14167_WPSOffice_Level2"/>
      <w:bookmarkStart w:id="320" w:name="_Toc1265_WPSOffice_Level2"/>
      <w:bookmarkStart w:id="321" w:name="_Toc18324_WPSOffice_Level2"/>
      <w:r>
        <w:rPr>
          <w:rFonts w:hint="eastAsia" w:ascii="宋体" w:hAnsi="宋体" w:cs="宋体"/>
          <w:b/>
          <w:color w:val="auto"/>
          <w:sz w:val="40"/>
          <w:szCs w:val="40"/>
          <w:highlight w:val="none"/>
          <w:lang w:eastAsia="zh-CN"/>
        </w:rPr>
        <w:t>德钦县2026年高原特色优质绿色农产品品牌建设项目</w:t>
      </w:r>
    </w:p>
    <w:p w14:paraId="49A2F9F2">
      <w:pPr>
        <w:jc w:val="center"/>
        <w:rPr>
          <w:rFonts w:hint="eastAsia" w:ascii="宋体" w:hAnsi="宋体" w:cs="宋体"/>
          <w:b/>
          <w:color w:val="auto"/>
          <w:sz w:val="40"/>
          <w:szCs w:val="40"/>
          <w:highlight w:val="none"/>
          <w:lang w:eastAsia="zh-CN"/>
        </w:rPr>
      </w:pPr>
    </w:p>
    <w:p w14:paraId="3D34404B">
      <w:pPr>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响   应   文   件</w:t>
      </w:r>
      <w:bookmarkEnd w:id="319"/>
      <w:bookmarkEnd w:id="320"/>
      <w:bookmarkEnd w:id="321"/>
    </w:p>
    <w:p w14:paraId="03CE5AE7">
      <w:pPr>
        <w:pStyle w:val="18"/>
        <w:spacing w:line="780" w:lineRule="exact"/>
        <w:jc w:val="center"/>
        <w:rPr>
          <w:rFonts w:hint="eastAsia" w:ascii="宋体" w:hAnsi="宋体" w:eastAsia="宋体" w:cs="宋体"/>
          <w:b/>
          <w:color w:val="auto"/>
          <w:sz w:val="24"/>
          <w:highlight w:val="none"/>
        </w:rPr>
      </w:pPr>
    </w:p>
    <w:p w14:paraId="556B84B5">
      <w:pPr>
        <w:pStyle w:val="18"/>
        <w:spacing w:line="500" w:lineRule="exact"/>
        <w:jc w:val="center"/>
        <w:rPr>
          <w:rFonts w:hint="eastAsia" w:ascii="宋体" w:hAnsi="宋体" w:eastAsia="宋体" w:cs="宋体"/>
          <w:b/>
          <w:color w:val="auto"/>
          <w:sz w:val="28"/>
          <w:szCs w:val="28"/>
          <w:highlight w:val="none"/>
          <w:u w:val="single"/>
        </w:rPr>
      </w:pPr>
      <w:bookmarkStart w:id="322" w:name="_Toc1714_WPSOffice_Level2"/>
      <w:bookmarkStart w:id="323" w:name="_Toc26949_WPSOffice_Level2"/>
      <w:bookmarkStart w:id="324" w:name="_Toc15009_WPSOffice_Level2"/>
      <w:r>
        <w:rPr>
          <w:rFonts w:hint="eastAsia" w:ascii="宋体" w:hAnsi="宋体" w:eastAsia="宋体" w:cs="宋体"/>
          <w:b/>
          <w:color w:val="auto"/>
          <w:sz w:val="28"/>
          <w:szCs w:val="28"/>
          <w:highlight w:val="none"/>
        </w:rPr>
        <w:t>项目编号：</w:t>
      </w:r>
      <w:bookmarkEnd w:id="322"/>
      <w:bookmarkEnd w:id="323"/>
      <w:bookmarkEnd w:id="324"/>
    </w:p>
    <w:p w14:paraId="546C13EF">
      <w:pPr>
        <w:pStyle w:val="18"/>
        <w:spacing w:line="500" w:lineRule="exact"/>
        <w:jc w:val="center"/>
        <w:rPr>
          <w:rFonts w:hint="eastAsia" w:ascii="宋体" w:hAnsi="宋体" w:eastAsia="宋体" w:cs="宋体"/>
          <w:b/>
          <w:color w:val="auto"/>
          <w:sz w:val="24"/>
          <w:highlight w:val="none"/>
        </w:rPr>
      </w:pPr>
    </w:p>
    <w:p w14:paraId="2A9DD83A">
      <w:pPr>
        <w:pStyle w:val="18"/>
        <w:spacing w:line="500" w:lineRule="exact"/>
        <w:jc w:val="center"/>
        <w:rPr>
          <w:rFonts w:hint="eastAsia" w:ascii="宋体" w:hAnsi="宋体" w:eastAsia="宋体" w:cs="宋体"/>
          <w:b/>
          <w:color w:val="auto"/>
          <w:sz w:val="24"/>
          <w:highlight w:val="none"/>
        </w:rPr>
      </w:pPr>
    </w:p>
    <w:p w14:paraId="3D008821">
      <w:pPr>
        <w:pStyle w:val="18"/>
        <w:spacing w:line="500" w:lineRule="exact"/>
        <w:jc w:val="center"/>
        <w:rPr>
          <w:rFonts w:hint="eastAsia" w:ascii="宋体" w:hAnsi="宋体" w:eastAsia="宋体" w:cs="宋体"/>
          <w:b/>
          <w:color w:val="auto"/>
          <w:sz w:val="24"/>
          <w:highlight w:val="none"/>
        </w:rPr>
      </w:pPr>
    </w:p>
    <w:p w14:paraId="27AF55F4">
      <w:pPr>
        <w:pStyle w:val="18"/>
        <w:spacing w:line="500" w:lineRule="exact"/>
        <w:jc w:val="center"/>
        <w:rPr>
          <w:rFonts w:hint="eastAsia" w:ascii="宋体" w:hAnsi="宋体" w:eastAsia="宋体" w:cs="宋体"/>
          <w:b/>
          <w:color w:val="auto"/>
          <w:sz w:val="24"/>
          <w:highlight w:val="none"/>
        </w:rPr>
      </w:pPr>
    </w:p>
    <w:p w14:paraId="7973A3CF">
      <w:pPr>
        <w:pStyle w:val="18"/>
        <w:spacing w:line="500" w:lineRule="exact"/>
        <w:rPr>
          <w:rFonts w:hint="eastAsia" w:ascii="宋体" w:hAnsi="宋体" w:eastAsia="宋体" w:cs="宋体"/>
          <w:b/>
          <w:color w:val="auto"/>
          <w:sz w:val="24"/>
          <w:highlight w:val="none"/>
        </w:rPr>
      </w:pPr>
    </w:p>
    <w:p w14:paraId="1A674EB7">
      <w:pPr>
        <w:pStyle w:val="18"/>
        <w:spacing w:line="500" w:lineRule="exact"/>
        <w:jc w:val="center"/>
        <w:rPr>
          <w:rFonts w:hint="eastAsia" w:ascii="宋体" w:hAnsi="宋体" w:eastAsia="宋体" w:cs="宋体"/>
          <w:b/>
          <w:color w:val="auto"/>
          <w:sz w:val="24"/>
          <w:highlight w:val="none"/>
        </w:rPr>
      </w:pPr>
    </w:p>
    <w:p w14:paraId="1FD504DA">
      <w:pPr>
        <w:spacing w:line="360" w:lineRule="auto"/>
        <w:ind w:firstLine="1400" w:firstLineChars="500"/>
        <w:rPr>
          <w:rFonts w:hint="eastAsia" w:ascii="宋体" w:hAnsi="宋体" w:eastAsia="宋体" w:cs="宋体"/>
          <w:color w:val="auto"/>
          <w:sz w:val="28"/>
          <w:szCs w:val="28"/>
          <w:highlight w:val="none"/>
        </w:rPr>
      </w:pPr>
      <w:bookmarkStart w:id="325" w:name="_Toc14989_WPSOffice_Level2"/>
      <w:bookmarkStart w:id="326" w:name="_Toc6248_WPSOffice_Level2"/>
      <w:bookmarkStart w:id="327" w:name="_Toc24521_WPSOffice_Level2"/>
      <w:r>
        <w:rPr>
          <w:rFonts w:hint="eastAsia" w:ascii="宋体" w:hAnsi="宋体" w:eastAsia="宋体" w:cs="宋体"/>
          <w:color w:val="auto"/>
          <w:sz w:val="28"/>
          <w:szCs w:val="28"/>
          <w:highlight w:val="none"/>
        </w:rPr>
        <w:t>供应商：</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(盖章)</w:t>
      </w:r>
      <w:bookmarkEnd w:id="325"/>
      <w:bookmarkEnd w:id="326"/>
      <w:bookmarkEnd w:id="327"/>
    </w:p>
    <w:p w14:paraId="29000BC4">
      <w:pPr>
        <w:pStyle w:val="18"/>
        <w:spacing w:line="360" w:lineRule="auto"/>
        <w:ind w:firstLine="1400" w:firstLineChars="500"/>
        <w:rPr>
          <w:rFonts w:hint="eastAsia" w:ascii="宋体" w:hAnsi="宋体" w:eastAsia="宋体" w:cs="宋体"/>
          <w:color w:val="auto"/>
          <w:sz w:val="28"/>
          <w:szCs w:val="28"/>
          <w:highlight w:val="none"/>
        </w:rPr>
      </w:pPr>
      <w:bookmarkStart w:id="328" w:name="_Toc9162_WPSOffice_Level2"/>
      <w:bookmarkStart w:id="329" w:name="_Toc19562_WPSOffice_Level2"/>
      <w:bookmarkStart w:id="330" w:name="_Toc21464_WPSOffice_Level2"/>
      <w:r>
        <w:rPr>
          <w:rFonts w:hint="eastAsia" w:ascii="宋体" w:hAnsi="宋体" w:eastAsia="宋体" w:cs="宋体"/>
          <w:color w:val="auto"/>
          <w:sz w:val="28"/>
          <w:szCs w:val="28"/>
          <w:highlight w:val="none"/>
        </w:rPr>
        <w:t>法定代表人或其委托代理人：</w:t>
      </w:r>
      <w:bookmarkEnd w:id="328"/>
      <w:bookmarkEnd w:id="329"/>
      <w:bookmarkEnd w:id="330"/>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（签字或盖章）</w:t>
      </w:r>
    </w:p>
    <w:p w14:paraId="704CEF18">
      <w:pPr>
        <w:pStyle w:val="18"/>
        <w:spacing w:line="360" w:lineRule="auto"/>
        <w:ind w:firstLine="1400" w:firstLineChars="5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18AB087">
      <w:pPr>
        <w:rPr>
          <w:rFonts w:hint="eastAsia" w:ascii="宋体" w:hAnsi="宋体" w:eastAsia="宋体" w:cs="宋体"/>
          <w:b/>
          <w:bCs/>
          <w:color w:val="auto"/>
          <w:sz w:val="32"/>
          <w:szCs w:val="32"/>
          <w:highlight w:val="none"/>
          <w:lang w:val="en-US" w:eastAsia="zh-CN"/>
        </w:rPr>
      </w:pPr>
      <w:r>
        <w:rPr>
          <w:rFonts w:hint="eastAsia" w:ascii="宋体" w:hAnsi="宋体" w:eastAsia="宋体" w:cs="宋体"/>
          <w:color w:val="auto"/>
          <w:sz w:val="24"/>
          <w:highlight w:val="none"/>
        </w:rPr>
        <w:br w:type="page"/>
      </w:r>
      <w:bookmarkStart w:id="331" w:name="_Toc24390299"/>
      <w:bookmarkStart w:id="332" w:name="_Toc366144104"/>
      <w:bookmarkStart w:id="333" w:name="_Toc7660"/>
      <w:bookmarkStart w:id="334" w:name="_Toc425171851"/>
      <w:bookmarkStart w:id="335" w:name="_Toc11003"/>
      <w:bookmarkStart w:id="336" w:name="_Toc22805"/>
      <w:bookmarkStart w:id="337" w:name="_Toc25780"/>
    </w:p>
    <w:p w14:paraId="2CB87257">
      <w:pPr>
        <w:pStyle w:val="3"/>
        <w:numPr>
          <w:ilvl w:val="0"/>
          <w:numId w:val="3"/>
        </w:numPr>
        <w:jc w:val="center"/>
        <w:rPr>
          <w:rFonts w:hint="eastAsia" w:ascii="宋体" w:hAnsi="宋体" w:eastAsia="宋体" w:cs="宋体"/>
          <w:color w:val="auto"/>
          <w:szCs w:val="28"/>
          <w:highlight w:val="none"/>
        </w:rPr>
      </w:pPr>
      <w:r>
        <w:rPr>
          <w:rFonts w:hint="eastAsia" w:ascii="宋体" w:hAnsi="宋体" w:eastAsia="宋体" w:cs="宋体"/>
          <w:color w:val="auto"/>
          <w:szCs w:val="28"/>
          <w:highlight w:val="none"/>
        </w:rPr>
        <w:t>竞争性磋商报价一览表</w:t>
      </w:r>
    </w:p>
    <w:p w14:paraId="2E12BBC3">
      <w:pPr>
        <w:rPr>
          <w:rFonts w:hint="eastAsia" w:ascii="宋体" w:hAnsi="宋体" w:eastAsia="宋体" w:cs="宋体"/>
          <w:color w:val="auto"/>
          <w:sz w:val="24"/>
          <w:szCs w:val="24"/>
          <w:highlight w:val="none"/>
        </w:rPr>
      </w:pPr>
    </w:p>
    <w:p w14:paraId="0C090CB2">
      <w:pPr>
        <w:rPr>
          <w:rFonts w:hint="eastAsia"/>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德钦县2026年高原特色优质绿色农产品品牌建设项目</w:t>
      </w:r>
    </w:p>
    <w:tbl>
      <w:tblPr>
        <w:tblStyle w:val="35"/>
        <w:tblpPr w:leftFromText="180" w:rightFromText="180" w:vertAnchor="text" w:horzAnchor="page" w:tblpX="1096" w:tblpY="462"/>
        <w:tblOverlap w:val="never"/>
        <w:tblW w:w="98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4271"/>
        <w:gridCol w:w="3093"/>
      </w:tblGrid>
      <w:tr w14:paraId="3653D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2467" w:type="dxa"/>
            <w:tcBorders>
              <w:tl2br w:val="nil"/>
              <w:tr2bl w:val="nil"/>
            </w:tcBorders>
            <w:vAlign w:val="center"/>
          </w:tcPr>
          <w:p w14:paraId="57799861">
            <w:pPr>
              <w:pStyle w:val="7"/>
              <w:spacing w:line="48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容</w:t>
            </w:r>
          </w:p>
        </w:tc>
        <w:tc>
          <w:tcPr>
            <w:tcW w:w="4271" w:type="dxa"/>
            <w:tcBorders>
              <w:tl2br w:val="nil"/>
              <w:tr2bl w:val="nil"/>
            </w:tcBorders>
            <w:vAlign w:val="center"/>
          </w:tcPr>
          <w:p w14:paraId="6729F799">
            <w:pPr>
              <w:pStyle w:val="7"/>
              <w:spacing w:line="48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诺</w:t>
            </w:r>
          </w:p>
        </w:tc>
        <w:tc>
          <w:tcPr>
            <w:tcW w:w="3093" w:type="dxa"/>
            <w:tcBorders>
              <w:tl2br w:val="nil"/>
              <w:tr2bl w:val="nil"/>
            </w:tcBorders>
            <w:vAlign w:val="center"/>
          </w:tcPr>
          <w:p w14:paraId="4C353C43">
            <w:pPr>
              <w:pStyle w:val="7"/>
              <w:spacing w:line="48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注</w:t>
            </w:r>
          </w:p>
        </w:tc>
      </w:tr>
      <w:tr w14:paraId="5FB80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2467" w:type="dxa"/>
            <w:tcBorders>
              <w:tl2br w:val="nil"/>
              <w:tr2bl w:val="nil"/>
            </w:tcBorders>
            <w:vAlign w:val="center"/>
          </w:tcPr>
          <w:p w14:paraId="7DA185A7">
            <w:pPr>
              <w:pStyle w:val="7"/>
              <w:spacing w:line="480" w:lineRule="exact"/>
              <w:ind w:firstLine="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报价</w:t>
            </w:r>
          </w:p>
        </w:tc>
        <w:tc>
          <w:tcPr>
            <w:tcW w:w="4271" w:type="dxa"/>
            <w:tcBorders>
              <w:tl2br w:val="nil"/>
              <w:tr2bl w:val="nil"/>
            </w:tcBorders>
            <w:vAlign w:val="center"/>
          </w:tcPr>
          <w:p w14:paraId="7040ACC2">
            <w:pPr>
              <w:pStyle w:val="7"/>
              <w:spacing w:line="480" w:lineRule="exact"/>
              <w:ind w:left="0" w:leftChars="0" w:firstLine="0" w:firstLineChars="0"/>
              <w:jc w:val="both"/>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小写：</w:t>
            </w:r>
          </w:p>
          <w:p w14:paraId="4628F195">
            <w:pPr>
              <w:pStyle w:val="7"/>
              <w:spacing w:line="480" w:lineRule="exact"/>
              <w:ind w:left="0" w:leftChars="0" w:firstLine="0" w:firstLineChars="0"/>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大写：</w:t>
            </w:r>
          </w:p>
        </w:tc>
        <w:tc>
          <w:tcPr>
            <w:tcW w:w="3093" w:type="dxa"/>
            <w:tcBorders>
              <w:tl2br w:val="nil"/>
              <w:tr2bl w:val="nil"/>
            </w:tcBorders>
            <w:vAlign w:val="center"/>
          </w:tcPr>
          <w:p w14:paraId="2F387DAC">
            <w:pPr>
              <w:pStyle w:val="7"/>
              <w:spacing w:line="480" w:lineRule="exact"/>
              <w:ind w:left="0" w:leftChars="0" w:firstLine="0" w:firstLineChars="0"/>
              <w:jc w:val="center"/>
              <w:rPr>
                <w:rFonts w:hint="eastAsia" w:ascii="宋体" w:hAnsi="宋体" w:eastAsia="宋体" w:cs="宋体"/>
                <w:color w:val="auto"/>
                <w:sz w:val="24"/>
                <w:szCs w:val="24"/>
                <w:highlight w:val="none"/>
              </w:rPr>
            </w:pPr>
          </w:p>
        </w:tc>
      </w:tr>
      <w:tr w14:paraId="01DD6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11" w:hRule="atLeast"/>
        </w:trPr>
        <w:tc>
          <w:tcPr>
            <w:tcW w:w="2467" w:type="dxa"/>
            <w:tcBorders>
              <w:tl2br w:val="nil"/>
              <w:tr2bl w:val="nil"/>
            </w:tcBorders>
            <w:vAlign w:val="center"/>
          </w:tcPr>
          <w:p w14:paraId="3C0209F9">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合同履行期限</w:t>
            </w:r>
          </w:p>
        </w:tc>
        <w:tc>
          <w:tcPr>
            <w:tcW w:w="4271" w:type="dxa"/>
            <w:tcBorders>
              <w:tl2br w:val="nil"/>
              <w:tr2bl w:val="nil"/>
            </w:tcBorders>
            <w:vAlign w:val="center"/>
          </w:tcPr>
          <w:p w14:paraId="6B7A6B9C">
            <w:pPr>
              <w:pStyle w:val="7"/>
              <w:spacing w:line="480" w:lineRule="exact"/>
              <w:ind w:firstLine="352" w:firstLineChars="147"/>
              <w:rPr>
                <w:rFonts w:hint="eastAsia" w:ascii="宋体" w:hAnsi="宋体" w:eastAsia="宋体" w:cs="宋体"/>
                <w:color w:val="auto"/>
                <w:sz w:val="24"/>
                <w:szCs w:val="24"/>
                <w:highlight w:val="none"/>
              </w:rPr>
            </w:pPr>
          </w:p>
        </w:tc>
        <w:tc>
          <w:tcPr>
            <w:tcW w:w="3093" w:type="dxa"/>
            <w:tcBorders>
              <w:tl2br w:val="nil"/>
              <w:tr2bl w:val="nil"/>
            </w:tcBorders>
            <w:vAlign w:val="center"/>
          </w:tcPr>
          <w:p w14:paraId="6518E4E0">
            <w:pPr>
              <w:pStyle w:val="7"/>
              <w:spacing w:line="480" w:lineRule="exact"/>
              <w:ind w:firstLine="352" w:firstLineChars="147"/>
              <w:rPr>
                <w:rFonts w:hint="eastAsia" w:ascii="宋体" w:hAnsi="宋体" w:eastAsia="宋体" w:cs="宋体"/>
                <w:color w:val="auto"/>
                <w:sz w:val="24"/>
                <w:szCs w:val="24"/>
                <w:highlight w:val="none"/>
              </w:rPr>
            </w:pPr>
          </w:p>
        </w:tc>
      </w:tr>
      <w:tr w14:paraId="1C082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4" w:hRule="atLeast"/>
        </w:trPr>
        <w:tc>
          <w:tcPr>
            <w:tcW w:w="2467" w:type="dxa"/>
            <w:tcBorders>
              <w:tl2br w:val="nil"/>
              <w:tr2bl w:val="nil"/>
            </w:tcBorders>
            <w:vAlign w:val="center"/>
          </w:tcPr>
          <w:p w14:paraId="72CF2A2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服务质量</w:t>
            </w:r>
            <w:r>
              <w:rPr>
                <w:rFonts w:hint="eastAsia" w:ascii="宋体" w:hAnsi="宋体" w:eastAsia="宋体" w:cs="宋体"/>
                <w:color w:val="auto"/>
                <w:kern w:val="0"/>
                <w:sz w:val="24"/>
                <w:szCs w:val="24"/>
                <w:highlight w:val="none"/>
                <w:lang w:val="en-US" w:eastAsia="zh-CN"/>
              </w:rPr>
              <w:t>要求</w:t>
            </w:r>
          </w:p>
        </w:tc>
        <w:tc>
          <w:tcPr>
            <w:tcW w:w="4271" w:type="dxa"/>
            <w:tcBorders>
              <w:tl2br w:val="nil"/>
              <w:tr2bl w:val="nil"/>
            </w:tcBorders>
            <w:vAlign w:val="center"/>
          </w:tcPr>
          <w:p w14:paraId="2BAB41BA">
            <w:pPr>
              <w:pStyle w:val="7"/>
              <w:spacing w:line="480" w:lineRule="exact"/>
              <w:ind w:firstLine="352" w:firstLineChars="147"/>
              <w:rPr>
                <w:rFonts w:hint="eastAsia" w:ascii="宋体" w:hAnsi="宋体" w:eastAsia="宋体" w:cs="宋体"/>
                <w:color w:val="auto"/>
                <w:sz w:val="24"/>
                <w:szCs w:val="24"/>
                <w:highlight w:val="none"/>
              </w:rPr>
            </w:pPr>
          </w:p>
        </w:tc>
        <w:tc>
          <w:tcPr>
            <w:tcW w:w="3093" w:type="dxa"/>
            <w:tcBorders>
              <w:tl2br w:val="nil"/>
              <w:tr2bl w:val="nil"/>
            </w:tcBorders>
            <w:vAlign w:val="center"/>
          </w:tcPr>
          <w:p w14:paraId="2F8E0C80">
            <w:pPr>
              <w:pStyle w:val="7"/>
              <w:spacing w:line="480" w:lineRule="exact"/>
              <w:ind w:firstLine="352" w:firstLineChars="147"/>
              <w:rPr>
                <w:rFonts w:hint="eastAsia" w:ascii="宋体" w:hAnsi="宋体" w:eastAsia="宋体" w:cs="宋体"/>
                <w:color w:val="auto"/>
                <w:sz w:val="24"/>
                <w:szCs w:val="24"/>
                <w:highlight w:val="none"/>
              </w:rPr>
            </w:pPr>
          </w:p>
        </w:tc>
      </w:tr>
      <w:tr w14:paraId="096FA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4" w:hRule="atLeast"/>
        </w:trPr>
        <w:tc>
          <w:tcPr>
            <w:tcW w:w="2467" w:type="dxa"/>
            <w:tcBorders>
              <w:tl2br w:val="nil"/>
              <w:tr2bl w:val="nil"/>
            </w:tcBorders>
            <w:vAlign w:val="center"/>
          </w:tcPr>
          <w:p w14:paraId="3FDC74D5">
            <w:pPr>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备注</w:t>
            </w:r>
          </w:p>
        </w:tc>
        <w:tc>
          <w:tcPr>
            <w:tcW w:w="7364" w:type="dxa"/>
            <w:gridSpan w:val="2"/>
            <w:tcBorders>
              <w:tl2br w:val="nil"/>
              <w:tr2bl w:val="nil"/>
            </w:tcBorders>
            <w:vAlign w:val="center"/>
          </w:tcPr>
          <w:p w14:paraId="475CA208">
            <w:pPr>
              <w:pStyle w:val="7"/>
              <w:spacing w:line="480" w:lineRule="exact"/>
              <w:ind w:firstLine="352" w:firstLineChars="147"/>
              <w:rPr>
                <w:rFonts w:hint="eastAsia" w:ascii="宋体" w:hAnsi="宋体" w:eastAsia="宋体" w:cs="宋体"/>
                <w:color w:val="auto"/>
                <w:sz w:val="24"/>
                <w:szCs w:val="24"/>
                <w:highlight w:val="none"/>
              </w:rPr>
            </w:pPr>
          </w:p>
        </w:tc>
      </w:tr>
    </w:tbl>
    <w:p w14:paraId="79289A65">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16A33EEA">
      <w:pPr>
        <w:tabs>
          <w:tab w:val="left" w:pos="0"/>
        </w:tabs>
        <w:spacing w:line="480" w:lineRule="exact"/>
        <w:ind w:right="-210" w:firstLine="235" w:firstLineChars="98"/>
        <w:rPr>
          <w:rFonts w:hint="eastAsia" w:ascii="宋体" w:hAnsi="宋体" w:eastAsia="宋体" w:cs="宋体"/>
          <w:color w:val="auto"/>
          <w:sz w:val="24"/>
          <w:szCs w:val="24"/>
          <w:highlight w:val="none"/>
        </w:rPr>
      </w:pPr>
      <w:bookmarkStart w:id="389" w:name="_GoBack"/>
      <w:bookmarkEnd w:id="389"/>
    </w:p>
    <w:p w14:paraId="650F57E4">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219704C1">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3647BFF4">
      <w:pPr>
        <w:tabs>
          <w:tab w:val="left" w:pos="0"/>
        </w:tabs>
        <w:spacing w:line="480" w:lineRule="auto"/>
        <w:ind w:right="-210"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15351BD3">
      <w:pPr>
        <w:tabs>
          <w:tab w:val="left" w:pos="0"/>
        </w:tabs>
        <w:spacing w:line="480" w:lineRule="auto"/>
        <w:ind w:right="-210"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4C10C256">
      <w:pPr>
        <w:tabs>
          <w:tab w:val="left" w:pos="0"/>
        </w:tabs>
        <w:spacing w:line="480" w:lineRule="auto"/>
        <w:ind w:right="-210"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4C2BE1F">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54640743">
      <w:pPr>
        <w:pStyle w:val="3"/>
        <w:numPr>
          <w:ilvl w:val="1"/>
          <w:numId w:val="0"/>
        </w:numPr>
        <w:jc w:val="cente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二、竞争性磋商报价函格式部分</w:t>
      </w:r>
    </w:p>
    <w:p w14:paraId="48F5DBF4">
      <w:pPr>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竞争性磋商报价函</w:t>
      </w:r>
    </w:p>
    <w:p w14:paraId="2278CB5A">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（采购人名称） </w:t>
      </w:r>
      <w:r>
        <w:rPr>
          <w:rFonts w:hint="eastAsia" w:ascii="宋体" w:hAnsi="宋体" w:eastAsia="宋体" w:cs="宋体"/>
          <w:color w:val="auto"/>
          <w:sz w:val="24"/>
          <w:szCs w:val="24"/>
          <w:highlight w:val="none"/>
        </w:rPr>
        <w:t>：</w:t>
      </w:r>
    </w:p>
    <w:p w14:paraId="1923798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w:t>
      </w:r>
      <w:r>
        <w:rPr>
          <w:rFonts w:hint="eastAsia" w:ascii="宋体" w:hAnsi="宋体" w:eastAsia="宋体" w:cs="宋体"/>
          <w:color w:val="auto"/>
          <w:sz w:val="24"/>
          <w:szCs w:val="24"/>
          <w:highlight w:val="none"/>
          <w:u w:val="single"/>
        </w:rPr>
        <w:t xml:space="preserve">（采购项目名称）  </w:t>
      </w:r>
      <w:r>
        <w:rPr>
          <w:rFonts w:hint="eastAsia" w:ascii="宋体" w:hAnsi="宋体" w:eastAsia="宋体" w:cs="宋体"/>
          <w:color w:val="auto"/>
          <w:sz w:val="24"/>
          <w:szCs w:val="24"/>
          <w:highlight w:val="none"/>
        </w:rPr>
        <w:t>项目竞争性磋商文件的要求，正式授权下述签字人</w:t>
      </w:r>
      <w:r>
        <w:rPr>
          <w:rFonts w:hint="eastAsia" w:ascii="宋体" w:hAnsi="宋体" w:eastAsia="宋体" w:cs="宋体"/>
          <w:color w:val="auto"/>
          <w:sz w:val="24"/>
          <w:szCs w:val="24"/>
          <w:highlight w:val="none"/>
          <w:u w:val="single"/>
        </w:rPr>
        <w:t xml:space="preserve">   （姓名和职务） </w:t>
      </w:r>
      <w:r>
        <w:rPr>
          <w:rFonts w:hint="eastAsia" w:ascii="宋体" w:hAnsi="宋体" w:eastAsia="宋体" w:cs="宋体"/>
          <w:color w:val="auto"/>
          <w:sz w:val="24"/>
          <w:szCs w:val="24"/>
          <w:highlight w:val="none"/>
        </w:rPr>
        <w:t>全权代表</w:t>
      </w:r>
      <w:r>
        <w:rPr>
          <w:rFonts w:hint="eastAsia" w:ascii="宋体" w:hAnsi="宋体" w:eastAsia="宋体" w:cs="宋体"/>
          <w:color w:val="auto"/>
          <w:sz w:val="24"/>
          <w:szCs w:val="24"/>
          <w:highlight w:val="none"/>
          <w:u w:val="single"/>
        </w:rPr>
        <w:t xml:space="preserve">   （供应商全称）   </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（采购项目名称）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磋商，并提交响应文件。</w:t>
      </w:r>
    </w:p>
    <w:p w14:paraId="67B31B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据此函，签字人兹宣布同意如下：</w:t>
      </w:r>
    </w:p>
    <w:p w14:paraId="503D70B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1.按竞争性磋商文件采购要求，我单位报价见《竞争性磋商报价一览表》。</w:t>
      </w:r>
    </w:p>
    <w:p w14:paraId="238DA32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2.竞争性磋商有效期为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日历天，自竞争性磋商截止时间算起。我方同意在规定的竞争性磋商有效期遵循本响应文件，并在规定的竞争性磋商有效期满之前均具有约束力。如果我方响应文件被接受，则至合同履行完为止，本函保持有效。</w:t>
      </w:r>
    </w:p>
    <w:p w14:paraId="41655A8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3.我方承诺已经具备《中华人民共和国政府采购法》及《中华人民共和国政府采购法实施条例》</w:t>
      </w:r>
      <w:r>
        <w:rPr>
          <w:rFonts w:hint="eastAsia" w:ascii="宋体" w:hAnsi="宋体" w:eastAsia="宋体" w:cs="宋体"/>
          <w:color w:val="auto"/>
          <w:sz w:val="24"/>
          <w:szCs w:val="24"/>
          <w:highlight w:val="none"/>
          <w:lang w:eastAsia="zh-CN"/>
        </w:rPr>
        <w:t>、《财政部关于印发&lt;政府采购竞争性磋商采购方式管理暂行办法&gt;的通知》</w:t>
      </w:r>
      <w:r>
        <w:rPr>
          <w:rFonts w:hint="eastAsia" w:ascii="宋体" w:hAnsi="宋体" w:eastAsia="宋体" w:cs="宋体"/>
          <w:color w:val="auto"/>
          <w:sz w:val="24"/>
          <w:szCs w:val="24"/>
          <w:highlight w:val="none"/>
        </w:rPr>
        <w:t>中规定的参加政府采购活动的供应商应当具备的条件。</w:t>
      </w:r>
    </w:p>
    <w:p w14:paraId="07C638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4.如我方响应文件被接受，将保证在合同有效期内承担合同规定的责任义务。</w:t>
      </w:r>
    </w:p>
    <w:p w14:paraId="50BF31F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5.如我方响应文件被接受，将提供优质的服务。</w:t>
      </w:r>
    </w:p>
    <w:p w14:paraId="6BD48A1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6.我方已详细审核竞争性磋商文件，我方知道必须放弃提出含糊不清或误解问题的权利。</w:t>
      </w:r>
    </w:p>
    <w:p w14:paraId="2A0B2CA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7.同意应贵方要求提供与本磋商有关的任何数据或资料。</w:t>
      </w:r>
    </w:p>
    <w:p w14:paraId="787EC63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.我方完全理解贵方不一定要接受最低报价的供应商为中标人的行为。</w:t>
      </w:r>
    </w:p>
    <w:p w14:paraId="043ED703">
      <w:pPr>
        <w:spacing w:line="360" w:lineRule="auto"/>
        <w:ind w:firstLine="480" w:firstLineChars="200"/>
        <w:rPr>
          <w:rFonts w:hint="eastAsia" w:ascii="宋体" w:hAnsi="宋体" w:eastAsia="宋体" w:cs="宋体"/>
          <w:color w:val="auto"/>
          <w:sz w:val="24"/>
          <w:szCs w:val="24"/>
          <w:highlight w:val="none"/>
        </w:rPr>
      </w:pPr>
    </w:p>
    <w:p w14:paraId="2E585C2C">
      <w:pPr>
        <w:spacing w:line="360" w:lineRule="auto"/>
        <w:ind w:left="2310" w:leftChars="1100"/>
        <w:rPr>
          <w:rFonts w:hint="eastAsia" w:ascii="宋体" w:hAnsi="宋体" w:eastAsia="宋体" w:cs="宋体"/>
          <w:color w:val="auto"/>
          <w:sz w:val="24"/>
          <w:szCs w:val="24"/>
          <w:highlight w:val="none"/>
        </w:rPr>
      </w:pPr>
    </w:p>
    <w:p w14:paraId="05D93E7B">
      <w:pPr>
        <w:spacing w:line="360" w:lineRule="auto"/>
        <w:ind w:left="2310" w:leftChars="1100"/>
        <w:rPr>
          <w:rFonts w:hint="eastAsia" w:ascii="宋体" w:hAnsi="宋体" w:eastAsia="宋体" w:cs="宋体"/>
          <w:color w:val="auto"/>
          <w:sz w:val="24"/>
          <w:szCs w:val="24"/>
          <w:highlight w:val="none"/>
        </w:rPr>
      </w:pPr>
    </w:p>
    <w:p w14:paraId="0D38F32F">
      <w:pPr>
        <w:spacing w:line="360" w:lineRule="auto"/>
        <w:ind w:left="2310" w:leftChars="1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0263046E">
      <w:pPr>
        <w:spacing w:line="360" w:lineRule="auto"/>
        <w:ind w:left="2310" w:leftChars="1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5E22EA8A">
      <w:pPr>
        <w:spacing w:line="360" w:lineRule="auto"/>
        <w:ind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602A203C">
      <w:pPr>
        <w:spacing w:line="360" w:lineRule="auto"/>
        <w:ind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p>
    <w:p w14:paraId="0C282B2F">
      <w:pPr>
        <w:spacing w:line="360" w:lineRule="auto"/>
        <w:ind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BE84263">
      <w:pPr>
        <w:rPr>
          <w:rFonts w:hint="eastAsia" w:ascii="宋体" w:hAnsi="宋体" w:eastAsia="宋体" w:cs="宋体"/>
          <w:b/>
          <w:color w:val="auto"/>
          <w:kern w:val="2"/>
          <w:sz w:val="28"/>
          <w:szCs w:val="28"/>
          <w:highlight w:val="none"/>
          <w:lang w:val="en-US" w:eastAsia="zh-CN" w:bidi="ar-SA"/>
        </w:rPr>
      </w:pPr>
      <w:bookmarkStart w:id="338" w:name="_Toc144974860"/>
      <w:bookmarkStart w:id="339" w:name="_Toc247527831"/>
      <w:bookmarkStart w:id="340" w:name="_Toc455687359"/>
      <w:bookmarkStart w:id="341" w:name="_Toc247514283"/>
      <w:bookmarkStart w:id="342" w:name="_Toc152045791"/>
      <w:bookmarkStart w:id="343" w:name="_Toc152042580"/>
      <w:r>
        <w:rPr>
          <w:rFonts w:hint="eastAsia" w:ascii="宋体" w:hAnsi="宋体" w:eastAsia="宋体" w:cs="宋体"/>
          <w:b/>
          <w:color w:val="auto"/>
          <w:kern w:val="2"/>
          <w:sz w:val="28"/>
          <w:szCs w:val="28"/>
          <w:highlight w:val="none"/>
          <w:lang w:val="en-US" w:eastAsia="zh-CN" w:bidi="ar-SA"/>
        </w:rPr>
        <w:br w:type="page"/>
      </w:r>
    </w:p>
    <w:p w14:paraId="7C88BEAB">
      <w:pPr>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三、法定代表人身份证明</w:t>
      </w:r>
      <w:bookmarkEnd w:id="338"/>
      <w:bookmarkEnd w:id="339"/>
      <w:bookmarkEnd w:id="340"/>
      <w:bookmarkEnd w:id="341"/>
      <w:bookmarkEnd w:id="342"/>
      <w:bookmarkEnd w:id="343"/>
    </w:p>
    <w:p w14:paraId="3B11CE2F">
      <w:pPr>
        <w:spacing w:line="560" w:lineRule="exact"/>
        <w:rPr>
          <w:rFonts w:hint="eastAsia" w:ascii="宋体" w:hAnsi="宋体" w:eastAsia="宋体" w:cs="宋体"/>
          <w:color w:val="auto"/>
          <w:szCs w:val="21"/>
          <w:highlight w:val="none"/>
        </w:rPr>
      </w:pPr>
    </w:p>
    <w:p w14:paraId="1DD2E62B">
      <w:pPr>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供应商名称： </w:t>
      </w:r>
      <w:r>
        <w:rPr>
          <w:rFonts w:hint="eastAsia" w:ascii="宋体" w:hAnsi="宋体" w:eastAsia="宋体" w:cs="宋体"/>
          <w:color w:val="auto"/>
          <w:sz w:val="24"/>
          <w:szCs w:val="24"/>
          <w:highlight w:val="none"/>
          <w:u w:val="single"/>
        </w:rPr>
        <w:t xml:space="preserve">                            </w:t>
      </w:r>
    </w:p>
    <w:p w14:paraId="367415F2">
      <w:pPr>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p>
    <w:p w14:paraId="527AD62C">
      <w:pPr>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p>
    <w:p w14:paraId="12360024">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F64669C">
      <w:pPr>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rPr>
        <w:t xml:space="preserve">                               </w:t>
      </w:r>
    </w:p>
    <w:p w14:paraId="3E0494B8">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031C1C00">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w:t>
      </w:r>
    </w:p>
    <w:p w14:paraId="5950A75B">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62F50B9E">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C1D474C">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附：法定代表人身份证复印件（正反面）。</w:t>
      </w:r>
    </w:p>
    <w:p w14:paraId="23F47A91">
      <w:pPr>
        <w:spacing w:line="440" w:lineRule="exact"/>
        <w:rPr>
          <w:rFonts w:hint="eastAsia" w:ascii="宋体" w:hAnsi="宋体" w:eastAsia="宋体" w:cs="宋体"/>
          <w:color w:val="auto"/>
          <w:sz w:val="24"/>
          <w:szCs w:val="24"/>
          <w:highlight w:val="none"/>
        </w:rPr>
      </w:pPr>
    </w:p>
    <w:p w14:paraId="26C6AE7D">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ABC1585">
      <w:pPr>
        <w:spacing w:line="440" w:lineRule="exact"/>
        <w:rPr>
          <w:rFonts w:hint="eastAsia" w:ascii="宋体" w:hAnsi="宋体" w:eastAsia="宋体" w:cs="宋体"/>
          <w:color w:val="auto"/>
          <w:sz w:val="24"/>
          <w:szCs w:val="24"/>
          <w:highlight w:val="none"/>
        </w:rPr>
      </w:pPr>
    </w:p>
    <w:p w14:paraId="1E35543A">
      <w:pPr>
        <w:spacing w:line="440" w:lineRule="exact"/>
        <w:ind w:firstLine="5040" w:firstLineChars="2100"/>
        <w:rPr>
          <w:rFonts w:hint="eastAsia" w:ascii="宋体" w:hAnsi="宋体" w:eastAsia="宋体" w:cs="宋体"/>
          <w:color w:val="auto"/>
          <w:sz w:val="24"/>
          <w:szCs w:val="24"/>
          <w:highlight w:val="none"/>
        </w:rPr>
      </w:pPr>
    </w:p>
    <w:p w14:paraId="4F536BC0">
      <w:pPr>
        <w:spacing w:line="440" w:lineRule="exact"/>
        <w:ind w:firstLine="4080" w:firstLineChars="17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7ED38CC1">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67B6AD2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br w:type="page"/>
      </w:r>
    </w:p>
    <w:p w14:paraId="5F307B6C">
      <w:pPr>
        <w:pStyle w:val="3"/>
        <w:numPr>
          <w:ilvl w:val="1"/>
          <w:numId w:val="0"/>
        </w:numPr>
        <w:jc w:val="center"/>
        <w:rPr>
          <w:rFonts w:hint="eastAsia" w:ascii="宋体" w:hAnsi="宋体" w:eastAsia="宋体" w:cs="宋体"/>
          <w:color w:val="auto"/>
          <w:szCs w:val="28"/>
          <w:highlight w:val="none"/>
          <w:lang w:val="en-US" w:eastAsia="zh-CN"/>
        </w:rPr>
      </w:pPr>
      <w:bookmarkStart w:id="344" w:name="_Toc152045792"/>
      <w:bookmarkStart w:id="345" w:name="_Toc247527832"/>
      <w:bookmarkStart w:id="346" w:name="_Toc455687360"/>
      <w:bookmarkStart w:id="347" w:name="_Toc152042581"/>
      <w:bookmarkStart w:id="348" w:name="_Toc144974861"/>
      <w:bookmarkStart w:id="349" w:name="_Toc247514284"/>
      <w:r>
        <w:rPr>
          <w:rFonts w:hint="eastAsia" w:ascii="宋体" w:hAnsi="宋体" w:eastAsia="宋体" w:cs="宋体"/>
          <w:color w:val="auto"/>
          <w:szCs w:val="28"/>
          <w:highlight w:val="none"/>
          <w:lang w:val="en-US" w:eastAsia="zh-CN"/>
        </w:rPr>
        <w:t>四、授权委托书</w:t>
      </w:r>
      <w:bookmarkEnd w:id="344"/>
      <w:bookmarkEnd w:id="345"/>
      <w:bookmarkEnd w:id="346"/>
      <w:bookmarkEnd w:id="347"/>
      <w:bookmarkEnd w:id="348"/>
      <w:bookmarkEnd w:id="349"/>
    </w:p>
    <w:p w14:paraId="33087DA3">
      <w:pPr>
        <w:topLinePunct/>
        <w:spacing w:line="360" w:lineRule="auto"/>
        <w:ind w:firstLine="420" w:firstLineChars="200"/>
        <w:rPr>
          <w:rFonts w:hint="eastAsia" w:ascii="宋体" w:hAnsi="宋体" w:eastAsia="宋体" w:cs="宋体"/>
          <w:color w:val="auto"/>
          <w:szCs w:val="21"/>
          <w:highlight w:val="none"/>
        </w:rPr>
      </w:pPr>
    </w:p>
    <w:p w14:paraId="2E030EAE">
      <w:pPr>
        <w:topLinePunct/>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rPr>
        <w:t>竞争性磋商响应文件、签订合同和处理有关事宜，其法律后果由我方承担。</w:t>
      </w:r>
    </w:p>
    <w:p w14:paraId="09FF740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868769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0671EA0F">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附：授权委托代理人身份证复印件（正反面）</w:t>
      </w:r>
    </w:p>
    <w:p w14:paraId="06A3EB5F">
      <w:pPr>
        <w:spacing w:line="440" w:lineRule="exact"/>
        <w:rPr>
          <w:rFonts w:hint="eastAsia" w:ascii="宋体" w:hAnsi="宋体" w:eastAsia="宋体" w:cs="宋体"/>
          <w:color w:val="auto"/>
          <w:sz w:val="24"/>
          <w:szCs w:val="24"/>
          <w:highlight w:val="none"/>
        </w:rPr>
      </w:pPr>
    </w:p>
    <w:p w14:paraId="60B97912">
      <w:pPr>
        <w:spacing w:line="480" w:lineRule="auto"/>
        <w:rPr>
          <w:rFonts w:hint="eastAsia" w:ascii="宋体" w:hAnsi="宋体" w:eastAsia="宋体" w:cs="宋体"/>
          <w:color w:val="auto"/>
          <w:sz w:val="24"/>
          <w:szCs w:val="24"/>
          <w:highlight w:val="none"/>
        </w:rPr>
      </w:pPr>
    </w:p>
    <w:p w14:paraId="7D9F1D35">
      <w:pPr>
        <w:spacing w:line="480" w:lineRule="auto"/>
        <w:ind w:firstLine="4080" w:firstLineChars="1700"/>
        <w:rPr>
          <w:rFonts w:hint="eastAsia" w:ascii="宋体" w:hAnsi="宋体" w:eastAsia="宋体" w:cs="宋体"/>
          <w:color w:val="auto"/>
          <w:sz w:val="24"/>
          <w:szCs w:val="24"/>
          <w:highlight w:val="none"/>
        </w:rPr>
      </w:pPr>
    </w:p>
    <w:p w14:paraId="5C495C9A">
      <w:pPr>
        <w:spacing w:line="480" w:lineRule="auto"/>
        <w:ind w:firstLine="4080" w:firstLineChars="1700"/>
        <w:rPr>
          <w:rFonts w:hint="eastAsia" w:ascii="宋体" w:hAnsi="宋体" w:eastAsia="宋体" w:cs="宋体"/>
          <w:color w:val="auto"/>
          <w:sz w:val="24"/>
          <w:szCs w:val="24"/>
          <w:highlight w:val="none"/>
        </w:rPr>
      </w:pPr>
    </w:p>
    <w:p w14:paraId="6602B548">
      <w:pPr>
        <w:spacing w:line="480" w:lineRule="auto"/>
        <w:ind w:firstLine="2400" w:firstLineChars="1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  应  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2560B073">
      <w:pPr>
        <w:spacing w:line="480" w:lineRule="auto"/>
        <w:ind w:firstLine="2400" w:firstLineChars="1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23290729">
      <w:pPr>
        <w:spacing w:line="480" w:lineRule="auto"/>
        <w:ind w:firstLine="2400" w:firstLineChars="1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142D7D31">
      <w:pPr>
        <w:spacing w:line="480" w:lineRule="auto"/>
        <w:ind w:firstLine="2400" w:firstLineChars="1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（签字） </w:t>
      </w:r>
    </w:p>
    <w:p w14:paraId="5E575E79">
      <w:pPr>
        <w:spacing w:line="480" w:lineRule="auto"/>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7782D026">
      <w:pPr>
        <w:spacing w:line="480" w:lineRule="auto"/>
        <w:ind w:firstLine="2400" w:firstLineChars="1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ED9DC7D">
      <w:pPr>
        <w:spacing w:line="440" w:lineRule="exact"/>
        <w:rPr>
          <w:rFonts w:hint="eastAsia" w:ascii="宋体" w:hAnsi="宋体" w:eastAsia="宋体" w:cs="宋体"/>
          <w:color w:val="auto"/>
          <w:szCs w:val="21"/>
          <w:highlight w:val="none"/>
        </w:rPr>
      </w:pPr>
    </w:p>
    <w:p w14:paraId="4E917EF9">
      <w:pPr>
        <w:rPr>
          <w:rFonts w:hint="eastAsia" w:ascii="宋体" w:hAnsi="宋体" w:eastAsia="宋体" w:cs="宋体"/>
          <w:bCs/>
          <w:color w:val="auto"/>
          <w:sz w:val="32"/>
          <w:szCs w:val="36"/>
          <w:highlight w:val="none"/>
        </w:rPr>
      </w:pPr>
      <w:r>
        <w:rPr>
          <w:rFonts w:hint="eastAsia" w:ascii="宋体" w:hAnsi="宋体" w:eastAsia="宋体" w:cs="宋体"/>
          <w:bCs/>
          <w:color w:val="auto"/>
          <w:sz w:val="32"/>
          <w:szCs w:val="36"/>
          <w:highlight w:val="none"/>
        </w:rPr>
        <w:br w:type="page"/>
      </w:r>
    </w:p>
    <w:p w14:paraId="68F73C05">
      <w:pPr>
        <w:pStyle w:val="3"/>
        <w:numPr>
          <w:ilvl w:val="1"/>
          <w:numId w:val="0"/>
        </w:numPr>
        <w:jc w:val="cente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五、供应商基本情况表</w:t>
      </w:r>
    </w:p>
    <w:tbl>
      <w:tblPr>
        <w:tblStyle w:val="35"/>
        <w:tblpPr w:leftFromText="180" w:rightFromText="180" w:vertAnchor="text" w:horzAnchor="page" w:tblpX="1387" w:tblpY="214"/>
        <w:tblOverlap w:val="never"/>
        <w:tblW w:w="9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120"/>
        <w:gridCol w:w="2421"/>
        <w:gridCol w:w="1191"/>
        <w:gridCol w:w="2590"/>
      </w:tblGrid>
      <w:tr w14:paraId="42383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150" w:type="dxa"/>
            <w:tcBorders>
              <w:tl2br w:val="nil"/>
              <w:tr2bl w:val="nil"/>
            </w:tcBorders>
            <w:vAlign w:val="center"/>
          </w:tcPr>
          <w:p w14:paraId="113B8F9B">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tc>
        <w:tc>
          <w:tcPr>
            <w:tcW w:w="7322" w:type="dxa"/>
            <w:gridSpan w:val="4"/>
            <w:tcBorders>
              <w:tl2br w:val="nil"/>
              <w:tr2bl w:val="nil"/>
            </w:tcBorders>
            <w:vAlign w:val="center"/>
          </w:tcPr>
          <w:p w14:paraId="5F2B2322">
            <w:pPr>
              <w:spacing w:line="400" w:lineRule="exact"/>
              <w:rPr>
                <w:rFonts w:hint="eastAsia" w:ascii="宋体" w:hAnsi="宋体" w:eastAsia="宋体" w:cs="宋体"/>
                <w:color w:val="auto"/>
                <w:sz w:val="24"/>
                <w:szCs w:val="24"/>
                <w:highlight w:val="none"/>
              </w:rPr>
            </w:pPr>
          </w:p>
        </w:tc>
      </w:tr>
      <w:tr w14:paraId="0126B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150" w:type="dxa"/>
            <w:tcBorders>
              <w:tl2br w:val="nil"/>
              <w:tr2bl w:val="nil"/>
            </w:tcBorders>
            <w:vAlign w:val="center"/>
          </w:tcPr>
          <w:p w14:paraId="4A58DA4B">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541" w:type="dxa"/>
            <w:gridSpan w:val="2"/>
            <w:tcBorders>
              <w:tl2br w:val="nil"/>
              <w:tr2bl w:val="nil"/>
            </w:tcBorders>
            <w:vAlign w:val="center"/>
          </w:tcPr>
          <w:p w14:paraId="4035BCB1">
            <w:pPr>
              <w:spacing w:line="400" w:lineRule="exact"/>
              <w:rPr>
                <w:rFonts w:hint="eastAsia" w:ascii="宋体" w:hAnsi="宋体" w:eastAsia="宋体" w:cs="宋体"/>
                <w:color w:val="auto"/>
                <w:sz w:val="24"/>
                <w:szCs w:val="24"/>
                <w:highlight w:val="none"/>
              </w:rPr>
            </w:pPr>
          </w:p>
        </w:tc>
        <w:tc>
          <w:tcPr>
            <w:tcW w:w="1191" w:type="dxa"/>
            <w:tcBorders>
              <w:tl2br w:val="nil"/>
              <w:tr2bl w:val="nil"/>
            </w:tcBorders>
            <w:vAlign w:val="center"/>
          </w:tcPr>
          <w:p w14:paraId="56EB1E80">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590" w:type="dxa"/>
            <w:tcBorders>
              <w:tl2br w:val="nil"/>
              <w:tr2bl w:val="nil"/>
            </w:tcBorders>
            <w:vAlign w:val="center"/>
          </w:tcPr>
          <w:p w14:paraId="3BACDA15">
            <w:pPr>
              <w:spacing w:line="400" w:lineRule="exact"/>
              <w:rPr>
                <w:rFonts w:hint="eastAsia" w:ascii="宋体" w:hAnsi="宋体" w:eastAsia="宋体" w:cs="宋体"/>
                <w:color w:val="auto"/>
                <w:sz w:val="24"/>
                <w:szCs w:val="24"/>
                <w:highlight w:val="none"/>
              </w:rPr>
            </w:pPr>
          </w:p>
        </w:tc>
      </w:tr>
      <w:tr w14:paraId="51762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150" w:type="dxa"/>
            <w:vMerge w:val="restart"/>
            <w:tcBorders>
              <w:tl2br w:val="nil"/>
              <w:tr2bl w:val="nil"/>
            </w:tcBorders>
            <w:vAlign w:val="center"/>
          </w:tcPr>
          <w:p w14:paraId="0D64CD41">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120" w:type="dxa"/>
            <w:tcBorders>
              <w:tl2br w:val="nil"/>
              <w:tr2bl w:val="nil"/>
            </w:tcBorders>
            <w:vAlign w:val="center"/>
          </w:tcPr>
          <w:p w14:paraId="1F55EB92">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421" w:type="dxa"/>
            <w:tcBorders>
              <w:tl2br w:val="nil"/>
              <w:tr2bl w:val="nil"/>
            </w:tcBorders>
            <w:vAlign w:val="center"/>
          </w:tcPr>
          <w:p w14:paraId="0EADA787">
            <w:pPr>
              <w:spacing w:line="400" w:lineRule="exact"/>
              <w:jc w:val="center"/>
              <w:rPr>
                <w:rFonts w:hint="eastAsia" w:ascii="宋体" w:hAnsi="宋体" w:eastAsia="宋体" w:cs="宋体"/>
                <w:color w:val="auto"/>
                <w:sz w:val="24"/>
                <w:szCs w:val="24"/>
                <w:highlight w:val="none"/>
              </w:rPr>
            </w:pPr>
          </w:p>
        </w:tc>
        <w:tc>
          <w:tcPr>
            <w:tcW w:w="1191" w:type="dxa"/>
            <w:tcBorders>
              <w:tl2br w:val="nil"/>
              <w:tr2bl w:val="nil"/>
            </w:tcBorders>
            <w:vAlign w:val="center"/>
          </w:tcPr>
          <w:p w14:paraId="7835B2A7">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tc>
        <w:tc>
          <w:tcPr>
            <w:tcW w:w="2590" w:type="dxa"/>
            <w:tcBorders>
              <w:tl2br w:val="nil"/>
              <w:tr2bl w:val="nil"/>
            </w:tcBorders>
            <w:vAlign w:val="center"/>
          </w:tcPr>
          <w:p w14:paraId="12CBF425">
            <w:pPr>
              <w:spacing w:line="400" w:lineRule="exact"/>
              <w:jc w:val="center"/>
              <w:rPr>
                <w:rFonts w:hint="eastAsia" w:ascii="宋体" w:hAnsi="宋体" w:eastAsia="宋体" w:cs="宋体"/>
                <w:color w:val="auto"/>
                <w:sz w:val="24"/>
                <w:szCs w:val="24"/>
                <w:highlight w:val="none"/>
              </w:rPr>
            </w:pPr>
          </w:p>
        </w:tc>
      </w:tr>
      <w:tr w14:paraId="362F5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2150" w:type="dxa"/>
            <w:vMerge w:val="continue"/>
            <w:tcBorders>
              <w:tl2br w:val="nil"/>
              <w:tr2bl w:val="nil"/>
            </w:tcBorders>
            <w:vAlign w:val="center"/>
          </w:tcPr>
          <w:p w14:paraId="73F0AAEE">
            <w:pPr>
              <w:spacing w:line="400" w:lineRule="exact"/>
              <w:jc w:val="center"/>
              <w:rPr>
                <w:rFonts w:hint="eastAsia" w:ascii="宋体" w:hAnsi="宋体" w:eastAsia="宋体" w:cs="宋体"/>
                <w:color w:val="auto"/>
                <w:sz w:val="24"/>
                <w:szCs w:val="24"/>
                <w:highlight w:val="none"/>
              </w:rPr>
            </w:pPr>
          </w:p>
        </w:tc>
        <w:tc>
          <w:tcPr>
            <w:tcW w:w="1120" w:type="dxa"/>
            <w:tcBorders>
              <w:tl2br w:val="nil"/>
              <w:tr2bl w:val="nil"/>
            </w:tcBorders>
            <w:vAlign w:val="center"/>
          </w:tcPr>
          <w:p w14:paraId="7D35A9ED">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tc>
        <w:tc>
          <w:tcPr>
            <w:tcW w:w="2421" w:type="dxa"/>
            <w:tcBorders>
              <w:tl2br w:val="nil"/>
              <w:tr2bl w:val="nil"/>
            </w:tcBorders>
            <w:vAlign w:val="center"/>
          </w:tcPr>
          <w:p w14:paraId="3B7D2182">
            <w:pPr>
              <w:spacing w:line="400" w:lineRule="exact"/>
              <w:jc w:val="center"/>
              <w:rPr>
                <w:rFonts w:hint="eastAsia" w:ascii="宋体" w:hAnsi="宋体" w:eastAsia="宋体" w:cs="宋体"/>
                <w:color w:val="auto"/>
                <w:sz w:val="24"/>
                <w:szCs w:val="24"/>
                <w:highlight w:val="none"/>
              </w:rPr>
            </w:pPr>
          </w:p>
        </w:tc>
        <w:tc>
          <w:tcPr>
            <w:tcW w:w="1191" w:type="dxa"/>
            <w:tcBorders>
              <w:tl2br w:val="nil"/>
              <w:tr2bl w:val="nil"/>
            </w:tcBorders>
            <w:vAlign w:val="center"/>
          </w:tcPr>
          <w:p w14:paraId="04F9D896">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  址</w:t>
            </w:r>
          </w:p>
        </w:tc>
        <w:tc>
          <w:tcPr>
            <w:tcW w:w="2590" w:type="dxa"/>
            <w:tcBorders>
              <w:tl2br w:val="nil"/>
              <w:tr2bl w:val="nil"/>
            </w:tcBorders>
            <w:vAlign w:val="center"/>
          </w:tcPr>
          <w:p w14:paraId="6919EC83">
            <w:pPr>
              <w:spacing w:line="400" w:lineRule="exact"/>
              <w:jc w:val="center"/>
              <w:rPr>
                <w:rFonts w:hint="eastAsia" w:ascii="宋体" w:hAnsi="宋体" w:eastAsia="宋体" w:cs="宋体"/>
                <w:color w:val="auto"/>
                <w:sz w:val="24"/>
                <w:szCs w:val="24"/>
                <w:highlight w:val="none"/>
              </w:rPr>
            </w:pPr>
          </w:p>
        </w:tc>
      </w:tr>
      <w:tr w14:paraId="36315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50" w:type="dxa"/>
            <w:tcBorders>
              <w:tl2br w:val="nil"/>
              <w:tr2bl w:val="nil"/>
            </w:tcBorders>
            <w:vAlign w:val="center"/>
          </w:tcPr>
          <w:p w14:paraId="0996D4DE">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120" w:type="dxa"/>
            <w:tcBorders>
              <w:tl2br w:val="nil"/>
              <w:tr2bl w:val="nil"/>
            </w:tcBorders>
            <w:vAlign w:val="center"/>
          </w:tcPr>
          <w:p w14:paraId="41374E46">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2421" w:type="dxa"/>
            <w:tcBorders>
              <w:tl2br w:val="nil"/>
              <w:tr2bl w:val="nil"/>
            </w:tcBorders>
            <w:vAlign w:val="center"/>
          </w:tcPr>
          <w:p w14:paraId="49EFC5A0">
            <w:pPr>
              <w:spacing w:line="400" w:lineRule="exact"/>
              <w:jc w:val="center"/>
              <w:rPr>
                <w:rFonts w:hint="eastAsia" w:ascii="宋体" w:hAnsi="宋体" w:eastAsia="宋体" w:cs="宋体"/>
                <w:color w:val="auto"/>
                <w:sz w:val="24"/>
                <w:szCs w:val="24"/>
                <w:highlight w:val="none"/>
              </w:rPr>
            </w:pPr>
          </w:p>
        </w:tc>
        <w:tc>
          <w:tcPr>
            <w:tcW w:w="1191" w:type="dxa"/>
            <w:tcBorders>
              <w:tl2br w:val="nil"/>
              <w:tr2bl w:val="nil"/>
            </w:tcBorders>
            <w:vAlign w:val="center"/>
          </w:tcPr>
          <w:p w14:paraId="611D3603">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tc>
        <w:tc>
          <w:tcPr>
            <w:tcW w:w="2590" w:type="dxa"/>
            <w:tcBorders>
              <w:tl2br w:val="nil"/>
              <w:tr2bl w:val="nil"/>
            </w:tcBorders>
            <w:vAlign w:val="center"/>
          </w:tcPr>
          <w:p w14:paraId="2871AD95">
            <w:pPr>
              <w:spacing w:line="400" w:lineRule="exact"/>
              <w:rPr>
                <w:rFonts w:hint="eastAsia" w:ascii="宋体" w:hAnsi="宋体" w:eastAsia="宋体" w:cs="宋体"/>
                <w:color w:val="auto"/>
                <w:sz w:val="24"/>
                <w:szCs w:val="24"/>
                <w:highlight w:val="none"/>
              </w:rPr>
            </w:pPr>
          </w:p>
        </w:tc>
      </w:tr>
      <w:tr w14:paraId="6D9F1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50" w:type="dxa"/>
            <w:tcBorders>
              <w:tl2br w:val="nil"/>
              <w:tr2bl w:val="nil"/>
            </w:tcBorders>
            <w:vAlign w:val="center"/>
          </w:tcPr>
          <w:p w14:paraId="48F9F7FA">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3541" w:type="dxa"/>
            <w:gridSpan w:val="2"/>
            <w:tcBorders>
              <w:tl2br w:val="nil"/>
              <w:tr2bl w:val="nil"/>
            </w:tcBorders>
            <w:vAlign w:val="center"/>
          </w:tcPr>
          <w:p w14:paraId="54DEF74F">
            <w:pPr>
              <w:spacing w:line="400" w:lineRule="exact"/>
              <w:rPr>
                <w:rFonts w:hint="eastAsia" w:ascii="宋体" w:hAnsi="宋体" w:eastAsia="宋体" w:cs="宋体"/>
                <w:color w:val="auto"/>
                <w:sz w:val="24"/>
                <w:szCs w:val="24"/>
                <w:highlight w:val="none"/>
              </w:rPr>
            </w:pPr>
          </w:p>
        </w:tc>
        <w:tc>
          <w:tcPr>
            <w:tcW w:w="3781" w:type="dxa"/>
            <w:gridSpan w:val="2"/>
            <w:tcBorders>
              <w:tl2br w:val="nil"/>
              <w:tr2bl w:val="nil"/>
            </w:tcBorders>
            <w:vAlign w:val="center"/>
          </w:tcPr>
          <w:p w14:paraId="57CCF603">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r>
      <w:tr w14:paraId="06536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2150" w:type="dxa"/>
            <w:tcBorders>
              <w:tl2br w:val="nil"/>
              <w:tr2bl w:val="nil"/>
            </w:tcBorders>
            <w:vAlign w:val="center"/>
          </w:tcPr>
          <w:p w14:paraId="6FB7C622">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营业执照号</w:t>
            </w:r>
          </w:p>
        </w:tc>
        <w:tc>
          <w:tcPr>
            <w:tcW w:w="7322" w:type="dxa"/>
            <w:gridSpan w:val="4"/>
            <w:tcBorders>
              <w:tl2br w:val="nil"/>
              <w:tr2bl w:val="nil"/>
            </w:tcBorders>
            <w:vAlign w:val="center"/>
          </w:tcPr>
          <w:p w14:paraId="348CC9FE">
            <w:pPr>
              <w:spacing w:line="400" w:lineRule="exact"/>
              <w:rPr>
                <w:rFonts w:hint="eastAsia" w:ascii="宋体" w:hAnsi="宋体" w:eastAsia="宋体" w:cs="宋体"/>
                <w:color w:val="auto"/>
                <w:sz w:val="24"/>
                <w:szCs w:val="24"/>
                <w:highlight w:val="none"/>
              </w:rPr>
            </w:pPr>
          </w:p>
        </w:tc>
      </w:tr>
      <w:tr w14:paraId="4AE36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2150" w:type="dxa"/>
            <w:tcBorders>
              <w:tl2br w:val="nil"/>
              <w:tr2bl w:val="nil"/>
            </w:tcBorders>
            <w:vAlign w:val="center"/>
          </w:tcPr>
          <w:p w14:paraId="0C67B35F">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7322" w:type="dxa"/>
            <w:gridSpan w:val="4"/>
            <w:tcBorders>
              <w:tl2br w:val="nil"/>
              <w:tr2bl w:val="nil"/>
            </w:tcBorders>
            <w:vAlign w:val="center"/>
          </w:tcPr>
          <w:p w14:paraId="4A1B8ADC">
            <w:pPr>
              <w:spacing w:line="400" w:lineRule="exact"/>
              <w:rPr>
                <w:rFonts w:hint="eastAsia" w:ascii="宋体" w:hAnsi="宋体" w:eastAsia="宋体" w:cs="宋体"/>
                <w:color w:val="auto"/>
                <w:sz w:val="24"/>
                <w:szCs w:val="24"/>
                <w:highlight w:val="none"/>
              </w:rPr>
            </w:pPr>
          </w:p>
        </w:tc>
      </w:tr>
      <w:tr w14:paraId="2D175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2150" w:type="dxa"/>
            <w:tcBorders>
              <w:tl2br w:val="nil"/>
              <w:tr2bl w:val="nil"/>
            </w:tcBorders>
            <w:vAlign w:val="center"/>
          </w:tcPr>
          <w:p w14:paraId="7F8490AA">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7322" w:type="dxa"/>
            <w:gridSpan w:val="4"/>
            <w:tcBorders>
              <w:tl2br w:val="nil"/>
              <w:tr2bl w:val="nil"/>
            </w:tcBorders>
            <w:vAlign w:val="center"/>
          </w:tcPr>
          <w:p w14:paraId="10AF0229">
            <w:pPr>
              <w:spacing w:line="400" w:lineRule="exact"/>
              <w:rPr>
                <w:rFonts w:hint="eastAsia" w:ascii="宋体" w:hAnsi="宋体" w:eastAsia="宋体" w:cs="宋体"/>
                <w:color w:val="auto"/>
                <w:sz w:val="24"/>
                <w:szCs w:val="24"/>
                <w:highlight w:val="none"/>
              </w:rPr>
            </w:pPr>
          </w:p>
        </w:tc>
      </w:tr>
      <w:tr w14:paraId="4DB59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2150" w:type="dxa"/>
            <w:tcBorders>
              <w:tl2br w:val="nil"/>
              <w:tr2bl w:val="nil"/>
            </w:tcBorders>
            <w:vAlign w:val="center"/>
          </w:tcPr>
          <w:p w14:paraId="798259D4">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7322" w:type="dxa"/>
            <w:gridSpan w:val="4"/>
            <w:tcBorders>
              <w:tl2br w:val="nil"/>
              <w:tr2bl w:val="nil"/>
            </w:tcBorders>
            <w:vAlign w:val="center"/>
          </w:tcPr>
          <w:p w14:paraId="1AB56687">
            <w:pPr>
              <w:spacing w:line="400" w:lineRule="exact"/>
              <w:rPr>
                <w:rFonts w:hint="eastAsia" w:ascii="宋体" w:hAnsi="宋体" w:eastAsia="宋体" w:cs="宋体"/>
                <w:color w:val="auto"/>
                <w:sz w:val="24"/>
                <w:szCs w:val="24"/>
                <w:highlight w:val="none"/>
              </w:rPr>
            </w:pPr>
          </w:p>
        </w:tc>
      </w:tr>
      <w:tr w14:paraId="3D9C9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150" w:type="dxa"/>
            <w:tcBorders>
              <w:tl2br w:val="nil"/>
              <w:tr2bl w:val="nil"/>
            </w:tcBorders>
            <w:vAlign w:val="center"/>
          </w:tcPr>
          <w:p w14:paraId="4F779034">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7322" w:type="dxa"/>
            <w:gridSpan w:val="4"/>
            <w:tcBorders>
              <w:tl2br w:val="nil"/>
              <w:tr2bl w:val="nil"/>
            </w:tcBorders>
            <w:vAlign w:val="center"/>
          </w:tcPr>
          <w:p w14:paraId="0A2340AB">
            <w:pPr>
              <w:spacing w:line="400" w:lineRule="exact"/>
              <w:rPr>
                <w:rFonts w:hint="eastAsia" w:ascii="宋体" w:hAnsi="宋体" w:eastAsia="宋体" w:cs="宋体"/>
                <w:color w:val="auto"/>
                <w:sz w:val="24"/>
                <w:szCs w:val="24"/>
                <w:highlight w:val="none"/>
              </w:rPr>
            </w:pPr>
          </w:p>
        </w:tc>
      </w:tr>
    </w:tbl>
    <w:p w14:paraId="47DAC61C">
      <w:pPr>
        <w:ind w:firstLine="480" w:firstLineChars="200"/>
        <w:rPr>
          <w:rFonts w:hint="eastAsia" w:ascii="宋体" w:hAnsi="宋体" w:eastAsia="宋体" w:cs="宋体"/>
          <w:bCs/>
          <w:color w:val="auto"/>
          <w:sz w:val="32"/>
          <w:szCs w:val="36"/>
          <w:highlight w:val="none"/>
        </w:rPr>
      </w:pPr>
      <w:r>
        <w:rPr>
          <w:rFonts w:hint="eastAsia" w:ascii="宋体" w:hAnsi="宋体" w:eastAsia="宋体" w:cs="宋体"/>
          <w:bCs/>
          <w:color w:val="auto"/>
          <w:sz w:val="24"/>
          <w:szCs w:val="24"/>
          <w:highlight w:val="none"/>
        </w:rPr>
        <w:br w:type="page"/>
      </w:r>
    </w:p>
    <w:p w14:paraId="5D537D6E">
      <w:pPr>
        <w:pStyle w:val="3"/>
        <w:numPr>
          <w:ilvl w:val="1"/>
          <w:numId w:val="0"/>
        </w:numPr>
        <w:jc w:val="cente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六、供应商相关证明资料</w:t>
      </w:r>
    </w:p>
    <w:p w14:paraId="130C2C1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p>
    <w:p w14:paraId="17A2AF1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pacing w:val="0"/>
          <w:w w:val="100"/>
          <w:kern w:val="0"/>
          <w:position w:val="0"/>
          <w:sz w:val="24"/>
          <w:szCs w:val="24"/>
          <w:highlight w:val="none"/>
          <w:lang w:val="en-US" w:eastAsia="zh-CN"/>
        </w:rPr>
        <w:t>具有独立承担民事责任的能力，提供法人或其他组织或自然人的营业执照或其他证明材料（提供合法登记证明文件）</w:t>
      </w:r>
      <w:r>
        <w:rPr>
          <w:rFonts w:hint="eastAsia" w:ascii="宋体" w:hAnsi="宋体" w:eastAsia="宋体" w:cs="宋体"/>
          <w:color w:val="auto"/>
          <w:sz w:val="24"/>
          <w:szCs w:val="24"/>
          <w:highlight w:val="none"/>
          <w:lang w:val="en-US" w:eastAsia="zh-CN"/>
        </w:rPr>
        <w:t>；</w:t>
      </w:r>
    </w:p>
    <w:p w14:paraId="567D59D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1.2具有良好的商业信誉和健全的财务会计制度：</w:t>
      </w:r>
    </w:p>
    <w:p w14:paraId="6874E4F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1.2.1供应商未被列入“信用中国”网站（www.creditchina.gov.cn）公布的“失信被执行人”、“重大税收违法失信主体”、“政府采购严重违法失信行为记录名单”；未被列入“中国政府采购网”（www.ccgp.gov.cn）公布的“政府采购严重违法失信行为信息记录”名单</w:t>
      </w:r>
      <w:r>
        <w:rPr>
          <w:rFonts w:hint="eastAsia" w:ascii="宋体" w:hAnsi="宋体" w:eastAsia="宋体" w:cs="宋体"/>
          <w:color w:val="auto"/>
          <w:spacing w:val="0"/>
          <w:w w:val="100"/>
          <w:kern w:val="0"/>
          <w:position w:val="0"/>
          <w:sz w:val="24"/>
          <w:szCs w:val="24"/>
          <w:highlight w:val="none"/>
          <w:lang w:val="en-US" w:eastAsia="zh-CN"/>
        </w:rPr>
        <w:t>（以采购代理机构于投标（响应）截止时间当天查询结果为准，如相关失信记录已失效，供应商需提供相关证明资料）</w:t>
      </w:r>
      <w:r>
        <w:rPr>
          <w:rFonts w:hint="eastAsia" w:ascii="宋体" w:hAnsi="宋体" w:eastAsia="宋体" w:cs="宋体"/>
          <w:color w:val="auto"/>
          <w:sz w:val="24"/>
          <w:szCs w:val="24"/>
          <w:highlight w:val="none"/>
          <w:lang w:val="en-US" w:eastAsia="zh-CN"/>
        </w:rPr>
        <w:t>；提供具有良好的商业信誉承诺书（格式自拟）；</w:t>
      </w:r>
    </w:p>
    <w:p w14:paraId="495EF4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i w:val="0"/>
          <w:iCs w:val="0"/>
          <w:kern w:val="2"/>
          <w:sz w:val="24"/>
          <w:szCs w:val="24"/>
          <w:highlight w:val="none"/>
          <w:lang w:val="en-US" w:eastAsia="zh-CN" w:bidi="ar"/>
        </w:rPr>
        <w:t>具有良好的商业信誉和健全的财务会计制度。投标人须提供</w:t>
      </w:r>
      <w:r>
        <w:rPr>
          <w:rFonts w:hint="eastAsia" w:ascii="宋体" w:hAnsi="宋体" w:eastAsia="宋体" w:cs="宋体"/>
          <w:i w:val="0"/>
          <w:iCs w:val="0"/>
          <w:color w:val="auto"/>
          <w:kern w:val="2"/>
          <w:sz w:val="24"/>
          <w:szCs w:val="24"/>
          <w:highlight w:val="none"/>
          <w:u w:val="none"/>
          <w:lang w:val="en-US" w:eastAsia="zh-CN" w:bidi="ar"/>
        </w:rPr>
        <w:t>2023</w:t>
      </w:r>
      <w:r>
        <w:rPr>
          <w:rFonts w:hint="eastAsia" w:ascii="宋体" w:hAnsi="宋体" w:eastAsia="宋体" w:cs="宋体"/>
          <w:i w:val="0"/>
          <w:iCs w:val="0"/>
          <w:color w:val="auto"/>
          <w:kern w:val="2"/>
          <w:sz w:val="24"/>
          <w:szCs w:val="24"/>
          <w:highlight w:val="none"/>
          <w:lang w:val="en-US" w:eastAsia="zh-CN" w:bidi="ar"/>
        </w:rPr>
        <w:t>年或2024年经</w:t>
      </w:r>
      <w:r>
        <w:rPr>
          <w:rFonts w:hint="eastAsia" w:ascii="宋体" w:hAnsi="宋体" w:cs="宋体"/>
          <w:i w:val="0"/>
          <w:iCs w:val="0"/>
          <w:color w:val="auto"/>
          <w:kern w:val="2"/>
          <w:sz w:val="24"/>
          <w:szCs w:val="24"/>
          <w:highlight w:val="none"/>
          <w:lang w:val="en-US" w:eastAsia="zh-CN" w:bidi="ar"/>
        </w:rPr>
        <w:t>审计的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告</w:t>
      </w:r>
      <w:r>
        <w:rPr>
          <w:rFonts w:hint="eastAsia" w:ascii="宋体" w:hAnsi="宋体" w:eastAsia="宋体" w:cs="宋体"/>
          <w:i w:val="0"/>
          <w:iCs w:val="0"/>
          <w:color w:val="auto"/>
          <w:kern w:val="2"/>
          <w:sz w:val="24"/>
          <w:szCs w:val="24"/>
          <w:highlight w:val="none"/>
          <w:lang w:val="en-US" w:eastAsia="zh-CN" w:bidi="ar"/>
        </w:rPr>
        <w:t>(包括资产负债表、利润表、现金流量表)，新成立不满</w:t>
      </w:r>
      <w:r>
        <w:rPr>
          <w:rFonts w:hint="eastAsia" w:ascii="宋体" w:hAnsi="宋体" w:eastAsia="宋体" w:cs="宋体"/>
          <w:i w:val="0"/>
          <w:iCs w:val="0"/>
          <w:color w:val="auto"/>
          <w:kern w:val="2"/>
          <w:sz w:val="24"/>
          <w:szCs w:val="24"/>
          <w:highlight w:val="none"/>
          <w:u w:val="single"/>
          <w:lang w:val="en-US" w:eastAsia="zh-CN" w:bidi="ar"/>
        </w:rPr>
        <w:t>1</w:t>
      </w:r>
      <w:r>
        <w:rPr>
          <w:rFonts w:hint="eastAsia" w:ascii="宋体" w:hAnsi="宋体" w:eastAsia="宋体" w:cs="宋体"/>
          <w:i w:val="0"/>
          <w:iCs w:val="0"/>
          <w:color w:val="auto"/>
          <w:kern w:val="2"/>
          <w:sz w:val="24"/>
          <w:szCs w:val="24"/>
          <w:highlight w:val="none"/>
          <w:lang w:val="en-US" w:eastAsia="zh-CN" w:bidi="ar"/>
        </w:rPr>
        <w:t>年的投标人提供自成立至今</w:t>
      </w:r>
      <w:r>
        <w:rPr>
          <w:rFonts w:hint="eastAsia" w:ascii="宋体" w:hAnsi="宋体" w:cs="宋体"/>
          <w:i w:val="0"/>
          <w:iCs w:val="0"/>
          <w:color w:val="auto"/>
          <w:kern w:val="2"/>
          <w:sz w:val="24"/>
          <w:szCs w:val="24"/>
          <w:highlight w:val="none"/>
          <w:lang w:val="en-US" w:eastAsia="zh-CN" w:bidi="ar"/>
        </w:rPr>
        <w:t>的</w:t>
      </w:r>
      <w:r>
        <w:rPr>
          <w:rFonts w:hint="eastAsia" w:ascii="宋体" w:hAnsi="宋体" w:eastAsia="宋体" w:cs="宋体"/>
          <w:i w:val="0"/>
          <w:iCs w:val="0"/>
          <w:color w:val="auto"/>
          <w:kern w:val="2"/>
          <w:sz w:val="24"/>
          <w:szCs w:val="24"/>
          <w:highlight w:val="none"/>
          <w:lang w:val="en-US" w:eastAsia="zh-CN" w:bidi="ar"/>
        </w:rPr>
        <w:t>财务报</w:t>
      </w:r>
      <w:r>
        <w:rPr>
          <w:rFonts w:hint="eastAsia" w:ascii="宋体" w:hAnsi="宋体" w:cs="宋体"/>
          <w:i w:val="0"/>
          <w:iCs w:val="0"/>
          <w:color w:val="auto"/>
          <w:kern w:val="2"/>
          <w:sz w:val="24"/>
          <w:szCs w:val="24"/>
          <w:highlight w:val="none"/>
          <w:lang w:val="en-US" w:eastAsia="zh-CN" w:bidi="ar"/>
        </w:rPr>
        <w:t>表，注：根据《关于加强审计报告查验工作的通知》（财会〔2023〕15 号）规定，在2022年10月以后出具的审计报告须在注册会计师行业统一监管平台（网址：</w:t>
      </w:r>
      <w:r>
        <w:rPr>
          <w:rFonts w:hint="eastAsia" w:ascii="宋体" w:hAnsi="宋体" w:cs="宋体"/>
          <w:i w:val="0"/>
          <w:iCs w:val="0"/>
          <w:color w:val="auto"/>
          <w:kern w:val="2"/>
          <w:sz w:val="24"/>
          <w:szCs w:val="24"/>
          <w:highlight w:val="none"/>
          <w:lang w:val="en-US" w:eastAsia="zh-CN" w:bidi="ar"/>
        </w:rPr>
        <w:fldChar w:fldCharType="begin"/>
      </w:r>
      <w:r>
        <w:rPr>
          <w:rFonts w:hint="eastAsia" w:ascii="宋体" w:hAnsi="宋体" w:cs="宋体"/>
          <w:i w:val="0"/>
          <w:iCs w:val="0"/>
          <w:color w:val="auto"/>
          <w:kern w:val="2"/>
          <w:sz w:val="24"/>
          <w:szCs w:val="24"/>
          <w:highlight w:val="none"/>
          <w:lang w:val="en-US" w:eastAsia="zh-CN" w:bidi="ar"/>
        </w:rPr>
        <w:instrText xml:space="preserve"> HYPERLINK "http://acc.mof.gov.cn" </w:instrText>
      </w:r>
      <w:r>
        <w:rPr>
          <w:rFonts w:hint="eastAsia" w:ascii="宋体" w:hAnsi="宋体" w:cs="宋体"/>
          <w:i w:val="0"/>
          <w:iCs w:val="0"/>
          <w:color w:val="auto"/>
          <w:kern w:val="2"/>
          <w:sz w:val="24"/>
          <w:szCs w:val="24"/>
          <w:highlight w:val="none"/>
          <w:lang w:val="en-US" w:eastAsia="zh-CN" w:bidi="ar"/>
        </w:rPr>
        <w:fldChar w:fldCharType="separate"/>
      </w:r>
      <w:r>
        <w:rPr>
          <w:rFonts w:hint="eastAsia" w:ascii="宋体" w:hAnsi="宋体" w:cs="宋体"/>
          <w:i w:val="0"/>
          <w:iCs w:val="0"/>
          <w:color w:val="auto"/>
          <w:kern w:val="2"/>
          <w:sz w:val="24"/>
          <w:szCs w:val="24"/>
          <w:highlight w:val="none"/>
          <w:lang w:val="en-US" w:eastAsia="zh-CN" w:bidi="ar"/>
        </w:rPr>
        <w:t>http://acc.mof.gov.cn</w:t>
      </w:r>
      <w:r>
        <w:rPr>
          <w:rFonts w:hint="eastAsia" w:ascii="宋体" w:hAnsi="宋体" w:cs="宋体"/>
          <w:i w:val="0"/>
          <w:iCs w:val="0"/>
          <w:color w:val="auto"/>
          <w:kern w:val="2"/>
          <w:sz w:val="24"/>
          <w:szCs w:val="24"/>
          <w:highlight w:val="none"/>
          <w:lang w:val="en-US" w:eastAsia="zh-CN" w:bidi="ar"/>
        </w:rPr>
        <w:fldChar w:fldCharType="end"/>
      </w:r>
      <w:r>
        <w:rPr>
          <w:rFonts w:hint="eastAsia" w:ascii="宋体" w:hAnsi="宋体" w:cs="宋体"/>
          <w:i w:val="0"/>
          <w:iCs w:val="0"/>
          <w:color w:val="auto"/>
          <w:kern w:val="2"/>
          <w:sz w:val="24"/>
          <w:szCs w:val="24"/>
          <w:highlight w:val="none"/>
          <w:lang w:val="en-US" w:eastAsia="zh-CN" w:bidi="ar"/>
        </w:rPr>
        <w:t>）取得赋码，未取得赋码的财务报告视为无效。成立不满1年的，提供成立至今经企业自身出具的合法有效的财务报表或银行资信证明即可，不对备案赋码作要求</w:t>
      </w:r>
      <w:r>
        <w:rPr>
          <w:rFonts w:hint="eastAsia" w:ascii="宋体" w:hAnsi="宋体" w:eastAsia="宋体" w:cs="宋体"/>
          <w:color w:val="auto"/>
          <w:sz w:val="24"/>
          <w:szCs w:val="24"/>
          <w:highlight w:val="none"/>
          <w:lang w:val="en-US" w:eastAsia="zh-CN"/>
        </w:rPr>
        <w:t>；</w:t>
      </w:r>
    </w:p>
    <w:p w14:paraId="2D79D40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1.3具有履行合同所必需的设备和专业技术能力：提供具有履行合同所必需的设备和专业技术能力相关证明材料（格式自拟）（提供证明材料或承诺书）；</w:t>
      </w:r>
    </w:p>
    <w:p w14:paraId="0B1D7F4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1.4有依法缴纳税收和社会保障资金的良好记录：提供202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4月至响应文件递交截止时间前任意连续3个月依法缴纳税收和缴纳社会保障资金的证明；成立不足3个月的提供自成立以来依法缴纳税收和缴纳社会保障资金的证明；如依法免税或不需要缴纳社会保障资金的，提供相应文件证明；新成立的企业无需提供（提供要求资料复印件）；</w:t>
      </w:r>
    </w:p>
    <w:p w14:paraId="16B61D5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参加政府采购活动前三年内，在经营活动中没有违法记录：供应商须提供参加政府采购活动前3年内在经营活动中没有重大违法记录的书面声明（重大违法记录是指供应商因违法经营受到刑事处罚或者责令停产停业、吊销许可证或者执照、较大数额罚款等行政处罚）（格式自拟）（提供书面声明）；</w:t>
      </w:r>
    </w:p>
    <w:p w14:paraId="53D0E3E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1.6法律、行政法规规定的其他条件（提供承诺书）。</w:t>
      </w:r>
    </w:p>
    <w:p w14:paraId="2549A7C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2.本项目的特定资格要求：无</w:t>
      </w:r>
    </w:p>
    <w:p w14:paraId="2D8273B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3.根据《中华人民共和国政府采购法实施条例》第十八条规定，单位负责人为同一人或者存在直接控股、管理关系的不同供应商，不得参加同一合同项下的政府采购活动（提供承诺书）。</w:t>
      </w:r>
    </w:p>
    <w:p w14:paraId="3F263319">
      <w:pP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br w:type="page"/>
      </w:r>
    </w:p>
    <w:p w14:paraId="15FEFAC7">
      <w:pPr>
        <w:pStyle w:val="3"/>
        <w:numPr>
          <w:ilvl w:val="1"/>
          <w:numId w:val="0"/>
        </w:numPr>
        <w:jc w:val="center"/>
        <w:rPr>
          <w:rFonts w:hint="eastAsia" w:ascii="宋体" w:hAnsi="宋体" w:eastAsia="宋体" w:cs="宋体"/>
          <w:color w:val="auto"/>
          <w:szCs w:val="28"/>
          <w:highlight w:val="none"/>
          <w:lang w:val="en-US" w:eastAsia="zh-CN"/>
        </w:rPr>
      </w:pPr>
      <w:bookmarkStart w:id="350" w:name="_Toc312150772"/>
      <w:bookmarkStart w:id="351" w:name="_Toc290632840"/>
      <w:r>
        <w:rPr>
          <w:rFonts w:hint="eastAsia" w:ascii="宋体" w:hAnsi="宋体" w:eastAsia="宋体" w:cs="宋体"/>
          <w:color w:val="auto"/>
          <w:szCs w:val="28"/>
          <w:highlight w:val="none"/>
          <w:lang w:val="en-US" w:eastAsia="zh-CN"/>
        </w:rPr>
        <w:t>七、类似业绩情况表</w:t>
      </w:r>
    </w:p>
    <w:tbl>
      <w:tblPr>
        <w:tblStyle w:val="35"/>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48"/>
        <w:gridCol w:w="2036"/>
        <w:gridCol w:w="1215"/>
        <w:gridCol w:w="1705"/>
        <w:gridCol w:w="1321"/>
        <w:gridCol w:w="1396"/>
        <w:gridCol w:w="1018"/>
      </w:tblGrid>
      <w:tr w14:paraId="4472408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948" w:type="dxa"/>
            <w:noWrap w:val="0"/>
            <w:vAlign w:val="center"/>
          </w:tcPr>
          <w:p w14:paraId="642D3264">
            <w:pPr>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2036" w:type="dxa"/>
            <w:noWrap w:val="0"/>
            <w:vAlign w:val="center"/>
          </w:tcPr>
          <w:p w14:paraId="5E72D591">
            <w:pPr>
              <w:jc w:val="center"/>
              <w:rPr>
                <w:rFonts w:hint="eastAsia" w:ascii="宋体" w:hAnsi="宋体" w:eastAsia="宋体" w:cs="宋体"/>
                <w:b/>
                <w:sz w:val="24"/>
                <w:highlight w:val="none"/>
              </w:rPr>
            </w:pPr>
            <w:r>
              <w:rPr>
                <w:rFonts w:hint="eastAsia" w:ascii="宋体" w:hAnsi="宋体" w:eastAsia="宋体" w:cs="宋体"/>
                <w:b/>
                <w:sz w:val="24"/>
                <w:highlight w:val="none"/>
              </w:rPr>
              <w:t>合同名称</w:t>
            </w:r>
          </w:p>
        </w:tc>
        <w:tc>
          <w:tcPr>
            <w:tcW w:w="1215" w:type="dxa"/>
            <w:noWrap w:val="0"/>
            <w:vAlign w:val="center"/>
          </w:tcPr>
          <w:p w14:paraId="5C2CEEF7">
            <w:pPr>
              <w:jc w:val="center"/>
              <w:rPr>
                <w:rFonts w:hint="eastAsia" w:ascii="宋体" w:hAnsi="宋体" w:eastAsia="宋体" w:cs="宋体"/>
                <w:b/>
                <w:sz w:val="24"/>
                <w:highlight w:val="none"/>
              </w:rPr>
            </w:pPr>
            <w:r>
              <w:rPr>
                <w:rFonts w:hint="eastAsia" w:ascii="宋体" w:hAnsi="宋体" w:eastAsia="宋体" w:cs="宋体"/>
                <w:b/>
                <w:sz w:val="24"/>
                <w:highlight w:val="none"/>
              </w:rPr>
              <w:t>合同总价</w:t>
            </w:r>
          </w:p>
        </w:tc>
        <w:tc>
          <w:tcPr>
            <w:tcW w:w="1705" w:type="dxa"/>
            <w:noWrap w:val="0"/>
            <w:vAlign w:val="center"/>
          </w:tcPr>
          <w:p w14:paraId="2B6472BA">
            <w:pPr>
              <w:jc w:val="center"/>
              <w:rPr>
                <w:rFonts w:hint="eastAsia" w:ascii="宋体" w:hAnsi="宋体" w:eastAsia="宋体" w:cs="宋体"/>
                <w:b/>
                <w:sz w:val="24"/>
                <w:highlight w:val="none"/>
              </w:rPr>
            </w:pPr>
            <w:r>
              <w:rPr>
                <w:rFonts w:hint="eastAsia" w:ascii="宋体" w:hAnsi="宋体" w:eastAsia="宋体" w:cs="宋体"/>
                <w:b/>
                <w:sz w:val="24"/>
                <w:highlight w:val="none"/>
              </w:rPr>
              <w:t>业主单位名称</w:t>
            </w:r>
          </w:p>
        </w:tc>
        <w:tc>
          <w:tcPr>
            <w:tcW w:w="1321" w:type="dxa"/>
            <w:noWrap w:val="0"/>
            <w:vAlign w:val="top"/>
          </w:tcPr>
          <w:p w14:paraId="6AABC8C5">
            <w:pPr>
              <w:jc w:val="center"/>
              <w:rPr>
                <w:rFonts w:hint="eastAsia" w:ascii="宋体" w:hAnsi="宋体" w:eastAsia="宋体" w:cs="宋体"/>
                <w:b/>
                <w:sz w:val="24"/>
                <w:highlight w:val="none"/>
              </w:rPr>
            </w:pPr>
            <w:r>
              <w:rPr>
                <w:rFonts w:hint="eastAsia" w:ascii="宋体" w:hAnsi="宋体" w:eastAsia="宋体" w:cs="宋体"/>
                <w:b/>
                <w:sz w:val="24"/>
                <w:highlight w:val="none"/>
              </w:rPr>
              <w:t>业主单位联系人及联系电话</w:t>
            </w:r>
          </w:p>
        </w:tc>
        <w:tc>
          <w:tcPr>
            <w:tcW w:w="1396" w:type="dxa"/>
            <w:noWrap w:val="0"/>
            <w:vAlign w:val="center"/>
          </w:tcPr>
          <w:p w14:paraId="467FE745">
            <w:pPr>
              <w:jc w:val="center"/>
              <w:rPr>
                <w:rFonts w:hint="eastAsia" w:ascii="宋体" w:hAnsi="宋体" w:eastAsia="宋体" w:cs="宋体"/>
                <w:b/>
                <w:sz w:val="24"/>
                <w:highlight w:val="none"/>
              </w:rPr>
            </w:pPr>
            <w:r>
              <w:rPr>
                <w:rFonts w:hint="eastAsia" w:ascii="宋体" w:hAnsi="宋体" w:eastAsia="宋体" w:cs="宋体"/>
                <w:b/>
                <w:sz w:val="24"/>
                <w:highlight w:val="none"/>
              </w:rPr>
              <w:t>签订合同时间</w:t>
            </w:r>
          </w:p>
        </w:tc>
        <w:tc>
          <w:tcPr>
            <w:tcW w:w="1018" w:type="dxa"/>
            <w:noWrap w:val="0"/>
            <w:vAlign w:val="center"/>
          </w:tcPr>
          <w:p w14:paraId="2800733E">
            <w:pPr>
              <w:jc w:val="center"/>
              <w:rPr>
                <w:rFonts w:hint="eastAsia" w:ascii="宋体" w:hAnsi="宋体" w:eastAsia="宋体" w:cs="宋体"/>
                <w:b/>
                <w:sz w:val="24"/>
                <w:highlight w:val="none"/>
              </w:rPr>
            </w:pPr>
            <w:r>
              <w:rPr>
                <w:rFonts w:hint="eastAsia" w:ascii="宋体" w:hAnsi="宋体" w:eastAsia="宋体" w:cs="宋体"/>
                <w:b/>
                <w:sz w:val="24"/>
                <w:highlight w:val="none"/>
              </w:rPr>
              <w:t>备注</w:t>
            </w:r>
          </w:p>
        </w:tc>
      </w:tr>
      <w:tr w14:paraId="1D6135B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58C71D11">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036" w:type="dxa"/>
            <w:noWrap w:val="0"/>
            <w:vAlign w:val="center"/>
          </w:tcPr>
          <w:p w14:paraId="60EC3A04">
            <w:pPr>
              <w:jc w:val="center"/>
              <w:rPr>
                <w:rFonts w:hint="eastAsia" w:ascii="宋体" w:hAnsi="宋体" w:eastAsia="宋体" w:cs="宋体"/>
                <w:sz w:val="24"/>
                <w:highlight w:val="none"/>
              </w:rPr>
            </w:pPr>
          </w:p>
        </w:tc>
        <w:tc>
          <w:tcPr>
            <w:tcW w:w="1215" w:type="dxa"/>
            <w:noWrap w:val="0"/>
            <w:vAlign w:val="center"/>
          </w:tcPr>
          <w:p w14:paraId="68707C4B">
            <w:pPr>
              <w:jc w:val="center"/>
              <w:rPr>
                <w:rFonts w:hint="eastAsia" w:ascii="宋体" w:hAnsi="宋体" w:eastAsia="宋体" w:cs="宋体"/>
                <w:sz w:val="24"/>
                <w:highlight w:val="none"/>
              </w:rPr>
            </w:pPr>
          </w:p>
        </w:tc>
        <w:tc>
          <w:tcPr>
            <w:tcW w:w="1705" w:type="dxa"/>
            <w:noWrap w:val="0"/>
            <w:vAlign w:val="center"/>
          </w:tcPr>
          <w:p w14:paraId="0C966097">
            <w:pPr>
              <w:jc w:val="center"/>
              <w:rPr>
                <w:rFonts w:hint="eastAsia" w:ascii="宋体" w:hAnsi="宋体" w:eastAsia="宋体" w:cs="宋体"/>
                <w:sz w:val="24"/>
                <w:highlight w:val="none"/>
              </w:rPr>
            </w:pPr>
          </w:p>
        </w:tc>
        <w:tc>
          <w:tcPr>
            <w:tcW w:w="1321" w:type="dxa"/>
            <w:noWrap w:val="0"/>
            <w:vAlign w:val="top"/>
          </w:tcPr>
          <w:p w14:paraId="2F98D825">
            <w:pPr>
              <w:jc w:val="center"/>
              <w:rPr>
                <w:rFonts w:hint="eastAsia" w:ascii="宋体" w:hAnsi="宋体" w:eastAsia="宋体" w:cs="宋体"/>
                <w:sz w:val="24"/>
                <w:highlight w:val="none"/>
              </w:rPr>
            </w:pPr>
          </w:p>
        </w:tc>
        <w:tc>
          <w:tcPr>
            <w:tcW w:w="1396" w:type="dxa"/>
            <w:noWrap w:val="0"/>
            <w:vAlign w:val="center"/>
          </w:tcPr>
          <w:p w14:paraId="2BBC2C2C">
            <w:pPr>
              <w:jc w:val="center"/>
              <w:rPr>
                <w:rFonts w:hint="eastAsia" w:ascii="宋体" w:hAnsi="宋体" w:eastAsia="宋体" w:cs="宋体"/>
                <w:sz w:val="24"/>
                <w:highlight w:val="none"/>
              </w:rPr>
            </w:pPr>
          </w:p>
        </w:tc>
        <w:tc>
          <w:tcPr>
            <w:tcW w:w="1018" w:type="dxa"/>
            <w:noWrap w:val="0"/>
            <w:vAlign w:val="center"/>
          </w:tcPr>
          <w:p w14:paraId="3739CE38">
            <w:pPr>
              <w:jc w:val="center"/>
              <w:rPr>
                <w:rFonts w:hint="eastAsia" w:ascii="宋体" w:hAnsi="宋体" w:eastAsia="宋体" w:cs="宋体"/>
                <w:sz w:val="24"/>
                <w:highlight w:val="none"/>
              </w:rPr>
            </w:pPr>
          </w:p>
        </w:tc>
      </w:tr>
      <w:tr w14:paraId="5C199F5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7E86A6C5">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036" w:type="dxa"/>
            <w:noWrap w:val="0"/>
            <w:vAlign w:val="center"/>
          </w:tcPr>
          <w:p w14:paraId="2E52F127">
            <w:pPr>
              <w:jc w:val="center"/>
              <w:rPr>
                <w:rFonts w:hint="eastAsia" w:ascii="宋体" w:hAnsi="宋体" w:eastAsia="宋体" w:cs="宋体"/>
                <w:sz w:val="24"/>
                <w:highlight w:val="none"/>
              </w:rPr>
            </w:pPr>
          </w:p>
        </w:tc>
        <w:tc>
          <w:tcPr>
            <w:tcW w:w="1215" w:type="dxa"/>
            <w:noWrap w:val="0"/>
            <w:vAlign w:val="center"/>
          </w:tcPr>
          <w:p w14:paraId="560AFA8B">
            <w:pPr>
              <w:jc w:val="center"/>
              <w:rPr>
                <w:rFonts w:hint="eastAsia" w:ascii="宋体" w:hAnsi="宋体" w:eastAsia="宋体" w:cs="宋体"/>
                <w:sz w:val="24"/>
                <w:highlight w:val="none"/>
              </w:rPr>
            </w:pPr>
          </w:p>
        </w:tc>
        <w:tc>
          <w:tcPr>
            <w:tcW w:w="1705" w:type="dxa"/>
            <w:noWrap w:val="0"/>
            <w:vAlign w:val="center"/>
          </w:tcPr>
          <w:p w14:paraId="0AFF890C">
            <w:pPr>
              <w:rPr>
                <w:rFonts w:hint="eastAsia" w:ascii="宋体" w:hAnsi="宋体" w:eastAsia="宋体" w:cs="宋体"/>
                <w:sz w:val="24"/>
                <w:highlight w:val="none"/>
              </w:rPr>
            </w:pPr>
            <w:r>
              <w:rPr>
                <w:rFonts w:hint="eastAsia" w:ascii="宋体" w:hAnsi="宋体" w:eastAsia="宋体" w:cs="宋体"/>
                <w:sz w:val="24"/>
                <w:highlight w:val="none"/>
              </w:rPr>
              <w:t xml:space="preserve">      </w:t>
            </w:r>
          </w:p>
        </w:tc>
        <w:tc>
          <w:tcPr>
            <w:tcW w:w="1321" w:type="dxa"/>
            <w:noWrap w:val="0"/>
            <w:vAlign w:val="top"/>
          </w:tcPr>
          <w:p w14:paraId="7B51F265">
            <w:pPr>
              <w:jc w:val="center"/>
              <w:rPr>
                <w:rFonts w:hint="eastAsia" w:ascii="宋体" w:hAnsi="宋体" w:eastAsia="宋体" w:cs="宋体"/>
                <w:sz w:val="24"/>
                <w:highlight w:val="none"/>
              </w:rPr>
            </w:pPr>
          </w:p>
        </w:tc>
        <w:tc>
          <w:tcPr>
            <w:tcW w:w="1396" w:type="dxa"/>
            <w:noWrap w:val="0"/>
            <w:vAlign w:val="center"/>
          </w:tcPr>
          <w:p w14:paraId="62E97935">
            <w:pPr>
              <w:jc w:val="center"/>
              <w:rPr>
                <w:rFonts w:hint="eastAsia" w:ascii="宋体" w:hAnsi="宋体" w:eastAsia="宋体" w:cs="宋体"/>
                <w:sz w:val="24"/>
                <w:highlight w:val="none"/>
              </w:rPr>
            </w:pPr>
          </w:p>
        </w:tc>
        <w:tc>
          <w:tcPr>
            <w:tcW w:w="1018" w:type="dxa"/>
            <w:noWrap w:val="0"/>
            <w:vAlign w:val="center"/>
          </w:tcPr>
          <w:p w14:paraId="3D71B6A3">
            <w:pPr>
              <w:jc w:val="center"/>
              <w:rPr>
                <w:rFonts w:hint="eastAsia" w:ascii="宋体" w:hAnsi="宋体" w:eastAsia="宋体" w:cs="宋体"/>
                <w:sz w:val="24"/>
                <w:highlight w:val="none"/>
              </w:rPr>
            </w:pPr>
          </w:p>
        </w:tc>
      </w:tr>
      <w:tr w14:paraId="68233B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5F5194C3">
            <w:pPr>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2036" w:type="dxa"/>
            <w:noWrap w:val="0"/>
            <w:vAlign w:val="center"/>
          </w:tcPr>
          <w:p w14:paraId="4CDD9851">
            <w:pPr>
              <w:jc w:val="center"/>
              <w:rPr>
                <w:rFonts w:hint="eastAsia" w:ascii="宋体" w:hAnsi="宋体" w:eastAsia="宋体" w:cs="宋体"/>
                <w:sz w:val="24"/>
                <w:highlight w:val="none"/>
              </w:rPr>
            </w:pPr>
          </w:p>
        </w:tc>
        <w:tc>
          <w:tcPr>
            <w:tcW w:w="1215" w:type="dxa"/>
            <w:noWrap w:val="0"/>
            <w:vAlign w:val="center"/>
          </w:tcPr>
          <w:p w14:paraId="2287707E">
            <w:pPr>
              <w:jc w:val="center"/>
              <w:rPr>
                <w:rFonts w:hint="eastAsia" w:ascii="宋体" w:hAnsi="宋体" w:eastAsia="宋体" w:cs="宋体"/>
                <w:sz w:val="24"/>
                <w:highlight w:val="none"/>
              </w:rPr>
            </w:pPr>
          </w:p>
        </w:tc>
        <w:tc>
          <w:tcPr>
            <w:tcW w:w="1705" w:type="dxa"/>
            <w:noWrap w:val="0"/>
            <w:vAlign w:val="center"/>
          </w:tcPr>
          <w:p w14:paraId="623DE8A8">
            <w:pPr>
              <w:jc w:val="center"/>
              <w:rPr>
                <w:rFonts w:hint="eastAsia" w:ascii="宋体" w:hAnsi="宋体" w:eastAsia="宋体" w:cs="宋体"/>
                <w:sz w:val="24"/>
                <w:highlight w:val="none"/>
              </w:rPr>
            </w:pPr>
          </w:p>
        </w:tc>
        <w:tc>
          <w:tcPr>
            <w:tcW w:w="1321" w:type="dxa"/>
            <w:noWrap w:val="0"/>
            <w:vAlign w:val="top"/>
          </w:tcPr>
          <w:p w14:paraId="4FAC8376">
            <w:pPr>
              <w:jc w:val="center"/>
              <w:rPr>
                <w:rFonts w:hint="eastAsia" w:ascii="宋体" w:hAnsi="宋体" w:eastAsia="宋体" w:cs="宋体"/>
                <w:sz w:val="24"/>
                <w:highlight w:val="none"/>
              </w:rPr>
            </w:pPr>
          </w:p>
        </w:tc>
        <w:tc>
          <w:tcPr>
            <w:tcW w:w="1396" w:type="dxa"/>
            <w:noWrap w:val="0"/>
            <w:vAlign w:val="center"/>
          </w:tcPr>
          <w:p w14:paraId="7C651120">
            <w:pPr>
              <w:jc w:val="center"/>
              <w:rPr>
                <w:rFonts w:hint="eastAsia" w:ascii="宋体" w:hAnsi="宋体" w:eastAsia="宋体" w:cs="宋体"/>
                <w:sz w:val="24"/>
                <w:highlight w:val="none"/>
              </w:rPr>
            </w:pPr>
          </w:p>
        </w:tc>
        <w:tc>
          <w:tcPr>
            <w:tcW w:w="1018" w:type="dxa"/>
            <w:noWrap w:val="0"/>
            <w:vAlign w:val="center"/>
          </w:tcPr>
          <w:p w14:paraId="26C784A3">
            <w:pPr>
              <w:jc w:val="center"/>
              <w:rPr>
                <w:rFonts w:hint="eastAsia" w:ascii="宋体" w:hAnsi="宋体" w:eastAsia="宋体" w:cs="宋体"/>
                <w:sz w:val="24"/>
                <w:highlight w:val="none"/>
              </w:rPr>
            </w:pPr>
          </w:p>
        </w:tc>
      </w:tr>
      <w:tr w14:paraId="35C525E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5C12815A">
            <w:pPr>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2036" w:type="dxa"/>
            <w:noWrap w:val="0"/>
            <w:vAlign w:val="center"/>
          </w:tcPr>
          <w:p w14:paraId="290F77F4">
            <w:pPr>
              <w:jc w:val="center"/>
              <w:rPr>
                <w:rFonts w:hint="eastAsia" w:ascii="宋体" w:hAnsi="宋体" w:eastAsia="宋体" w:cs="宋体"/>
                <w:sz w:val="24"/>
                <w:highlight w:val="none"/>
              </w:rPr>
            </w:pPr>
          </w:p>
        </w:tc>
        <w:tc>
          <w:tcPr>
            <w:tcW w:w="1215" w:type="dxa"/>
            <w:noWrap w:val="0"/>
            <w:vAlign w:val="center"/>
          </w:tcPr>
          <w:p w14:paraId="37AF87F0">
            <w:pPr>
              <w:jc w:val="center"/>
              <w:rPr>
                <w:rFonts w:hint="eastAsia" w:ascii="宋体" w:hAnsi="宋体" w:eastAsia="宋体" w:cs="宋体"/>
                <w:sz w:val="24"/>
                <w:highlight w:val="none"/>
              </w:rPr>
            </w:pPr>
          </w:p>
        </w:tc>
        <w:tc>
          <w:tcPr>
            <w:tcW w:w="1705" w:type="dxa"/>
            <w:noWrap w:val="0"/>
            <w:vAlign w:val="center"/>
          </w:tcPr>
          <w:p w14:paraId="1853E58D">
            <w:pPr>
              <w:jc w:val="center"/>
              <w:rPr>
                <w:rFonts w:hint="eastAsia" w:ascii="宋体" w:hAnsi="宋体" w:eastAsia="宋体" w:cs="宋体"/>
                <w:sz w:val="24"/>
                <w:highlight w:val="none"/>
              </w:rPr>
            </w:pPr>
          </w:p>
        </w:tc>
        <w:tc>
          <w:tcPr>
            <w:tcW w:w="1321" w:type="dxa"/>
            <w:noWrap w:val="0"/>
            <w:vAlign w:val="top"/>
          </w:tcPr>
          <w:p w14:paraId="5CC2FCA1">
            <w:pPr>
              <w:jc w:val="center"/>
              <w:rPr>
                <w:rFonts w:hint="eastAsia" w:ascii="宋体" w:hAnsi="宋体" w:eastAsia="宋体" w:cs="宋体"/>
                <w:sz w:val="24"/>
                <w:highlight w:val="none"/>
              </w:rPr>
            </w:pPr>
          </w:p>
        </w:tc>
        <w:tc>
          <w:tcPr>
            <w:tcW w:w="1396" w:type="dxa"/>
            <w:noWrap w:val="0"/>
            <w:vAlign w:val="center"/>
          </w:tcPr>
          <w:p w14:paraId="79B03177">
            <w:pPr>
              <w:jc w:val="center"/>
              <w:rPr>
                <w:rFonts w:hint="eastAsia" w:ascii="宋体" w:hAnsi="宋体" w:eastAsia="宋体" w:cs="宋体"/>
                <w:sz w:val="24"/>
                <w:highlight w:val="none"/>
              </w:rPr>
            </w:pPr>
          </w:p>
        </w:tc>
        <w:tc>
          <w:tcPr>
            <w:tcW w:w="1018" w:type="dxa"/>
            <w:noWrap w:val="0"/>
            <w:vAlign w:val="center"/>
          </w:tcPr>
          <w:p w14:paraId="2313CDFA">
            <w:pPr>
              <w:jc w:val="center"/>
              <w:rPr>
                <w:rFonts w:hint="eastAsia" w:ascii="宋体" w:hAnsi="宋体" w:eastAsia="宋体" w:cs="宋体"/>
                <w:sz w:val="24"/>
                <w:highlight w:val="none"/>
              </w:rPr>
            </w:pPr>
          </w:p>
        </w:tc>
      </w:tr>
      <w:tr w14:paraId="5D66AB0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55A96E4A">
            <w:pPr>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2036" w:type="dxa"/>
            <w:noWrap w:val="0"/>
            <w:vAlign w:val="center"/>
          </w:tcPr>
          <w:p w14:paraId="14160903">
            <w:pPr>
              <w:jc w:val="center"/>
              <w:rPr>
                <w:rFonts w:hint="eastAsia" w:ascii="宋体" w:hAnsi="宋体" w:eastAsia="宋体" w:cs="宋体"/>
                <w:sz w:val="24"/>
                <w:highlight w:val="none"/>
              </w:rPr>
            </w:pPr>
          </w:p>
        </w:tc>
        <w:tc>
          <w:tcPr>
            <w:tcW w:w="1215" w:type="dxa"/>
            <w:noWrap w:val="0"/>
            <w:vAlign w:val="center"/>
          </w:tcPr>
          <w:p w14:paraId="4AFB946B">
            <w:pPr>
              <w:jc w:val="center"/>
              <w:rPr>
                <w:rFonts w:hint="eastAsia" w:ascii="宋体" w:hAnsi="宋体" w:eastAsia="宋体" w:cs="宋体"/>
                <w:sz w:val="24"/>
                <w:highlight w:val="none"/>
              </w:rPr>
            </w:pPr>
          </w:p>
        </w:tc>
        <w:tc>
          <w:tcPr>
            <w:tcW w:w="1705" w:type="dxa"/>
            <w:noWrap w:val="0"/>
            <w:vAlign w:val="center"/>
          </w:tcPr>
          <w:p w14:paraId="2F573EED">
            <w:pPr>
              <w:jc w:val="center"/>
              <w:rPr>
                <w:rFonts w:hint="eastAsia" w:ascii="宋体" w:hAnsi="宋体" w:eastAsia="宋体" w:cs="宋体"/>
                <w:sz w:val="24"/>
                <w:highlight w:val="none"/>
              </w:rPr>
            </w:pPr>
          </w:p>
        </w:tc>
        <w:tc>
          <w:tcPr>
            <w:tcW w:w="1321" w:type="dxa"/>
            <w:noWrap w:val="0"/>
            <w:vAlign w:val="top"/>
          </w:tcPr>
          <w:p w14:paraId="079BEFFC">
            <w:pPr>
              <w:jc w:val="center"/>
              <w:rPr>
                <w:rFonts w:hint="eastAsia" w:ascii="宋体" w:hAnsi="宋体" w:eastAsia="宋体" w:cs="宋体"/>
                <w:sz w:val="24"/>
                <w:highlight w:val="none"/>
              </w:rPr>
            </w:pPr>
          </w:p>
        </w:tc>
        <w:tc>
          <w:tcPr>
            <w:tcW w:w="1396" w:type="dxa"/>
            <w:noWrap w:val="0"/>
            <w:vAlign w:val="center"/>
          </w:tcPr>
          <w:p w14:paraId="78AC4CE5">
            <w:pPr>
              <w:jc w:val="center"/>
              <w:rPr>
                <w:rFonts w:hint="eastAsia" w:ascii="宋体" w:hAnsi="宋体" w:eastAsia="宋体" w:cs="宋体"/>
                <w:sz w:val="24"/>
                <w:highlight w:val="none"/>
              </w:rPr>
            </w:pPr>
          </w:p>
        </w:tc>
        <w:tc>
          <w:tcPr>
            <w:tcW w:w="1018" w:type="dxa"/>
            <w:noWrap w:val="0"/>
            <w:vAlign w:val="center"/>
          </w:tcPr>
          <w:p w14:paraId="5FAB8402">
            <w:pPr>
              <w:jc w:val="center"/>
              <w:rPr>
                <w:rFonts w:hint="eastAsia" w:ascii="宋体" w:hAnsi="宋体" w:eastAsia="宋体" w:cs="宋体"/>
                <w:sz w:val="24"/>
                <w:highlight w:val="none"/>
              </w:rPr>
            </w:pPr>
          </w:p>
        </w:tc>
      </w:tr>
      <w:tr w14:paraId="0990173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8" w:type="dxa"/>
            <w:noWrap w:val="0"/>
            <w:vAlign w:val="center"/>
          </w:tcPr>
          <w:p w14:paraId="18D81019">
            <w:pPr>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2036" w:type="dxa"/>
            <w:noWrap w:val="0"/>
            <w:vAlign w:val="center"/>
          </w:tcPr>
          <w:p w14:paraId="79DE7960">
            <w:pPr>
              <w:jc w:val="center"/>
              <w:rPr>
                <w:rFonts w:hint="eastAsia" w:ascii="宋体" w:hAnsi="宋体" w:eastAsia="宋体" w:cs="宋体"/>
                <w:sz w:val="24"/>
                <w:highlight w:val="none"/>
              </w:rPr>
            </w:pPr>
          </w:p>
        </w:tc>
        <w:tc>
          <w:tcPr>
            <w:tcW w:w="1215" w:type="dxa"/>
            <w:noWrap w:val="0"/>
            <w:vAlign w:val="center"/>
          </w:tcPr>
          <w:p w14:paraId="62112FC3">
            <w:pPr>
              <w:jc w:val="center"/>
              <w:rPr>
                <w:rFonts w:hint="eastAsia" w:ascii="宋体" w:hAnsi="宋体" w:eastAsia="宋体" w:cs="宋体"/>
                <w:sz w:val="24"/>
                <w:highlight w:val="none"/>
              </w:rPr>
            </w:pPr>
          </w:p>
        </w:tc>
        <w:tc>
          <w:tcPr>
            <w:tcW w:w="1705" w:type="dxa"/>
            <w:noWrap w:val="0"/>
            <w:vAlign w:val="center"/>
          </w:tcPr>
          <w:p w14:paraId="0D209C3F">
            <w:pPr>
              <w:jc w:val="center"/>
              <w:rPr>
                <w:rFonts w:hint="eastAsia" w:ascii="宋体" w:hAnsi="宋体" w:eastAsia="宋体" w:cs="宋体"/>
                <w:sz w:val="24"/>
                <w:highlight w:val="none"/>
              </w:rPr>
            </w:pPr>
          </w:p>
        </w:tc>
        <w:tc>
          <w:tcPr>
            <w:tcW w:w="1321" w:type="dxa"/>
            <w:noWrap w:val="0"/>
            <w:vAlign w:val="top"/>
          </w:tcPr>
          <w:p w14:paraId="213754CF">
            <w:pPr>
              <w:jc w:val="center"/>
              <w:rPr>
                <w:rFonts w:hint="eastAsia" w:ascii="宋体" w:hAnsi="宋体" w:eastAsia="宋体" w:cs="宋体"/>
                <w:sz w:val="24"/>
                <w:highlight w:val="none"/>
              </w:rPr>
            </w:pPr>
          </w:p>
        </w:tc>
        <w:tc>
          <w:tcPr>
            <w:tcW w:w="1396" w:type="dxa"/>
            <w:noWrap w:val="0"/>
            <w:vAlign w:val="center"/>
          </w:tcPr>
          <w:p w14:paraId="2D374119">
            <w:pPr>
              <w:jc w:val="center"/>
              <w:rPr>
                <w:rFonts w:hint="eastAsia" w:ascii="宋体" w:hAnsi="宋体" w:eastAsia="宋体" w:cs="宋体"/>
                <w:sz w:val="24"/>
                <w:highlight w:val="none"/>
              </w:rPr>
            </w:pPr>
          </w:p>
        </w:tc>
        <w:tc>
          <w:tcPr>
            <w:tcW w:w="1018" w:type="dxa"/>
            <w:noWrap w:val="0"/>
            <w:vAlign w:val="center"/>
          </w:tcPr>
          <w:p w14:paraId="064FDCF1">
            <w:pPr>
              <w:jc w:val="center"/>
              <w:rPr>
                <w:rFonts w:hint="eastAsia" w:ascii="宋体" w:hAnsi="宋体" w:eastAsia="宋体" w:cs="宋体"/>
                <w:sz w:val="24"/>
                <w:highlight w:val="none"/>
              </w:rPr>
            </w:pPr>
          </w:p>
        </w:tc>
      </w:tr>
    </w:tbl>
    <w:p w14:paraId="5C86C682">
      <w:pPr>
        <w:spacing w:before="114" w:line="219" w:lineRule="auto"/>
        <w:outlineLvl w:val="9"/>
        <w:rPr>
          <w:rFonts w:hint="eastAsia" w:ascii="宋体" w:hAnsi="宋体" w:eastAsia="宋体" w:cs="宋体"/>
          <w:b w:val="0"/>
          <w:bCs w:val="0"/>
          <w:color w:val="auto"/>
          <w:spacing w:val="-1"/>
          <w:sz w:val="24"/>
          <w:szCs w:val="24"/>
          <w:highlight w:val="none"/>
          <w14:textOutline w14:w="4358" w14:cap="sq" w14:cmpd="sng">
            <w14:solidFill>
              <w14:srgbClr w14:val="000000"/>
            </w14:solidFill>
            <w14:prstDash w14:val="solid"/>
            <w14:bevel/>
          </w14:textOutline>
        </w:rPr>
      </w:pPr>
      <w:r>
        <w:rPr>
          <w:rFonts w:hint="eastAsia" w:ascii="宋体" w:hAnsi="宋体" w:eastAsia="宋体" w:cs="宋体"/>
          <w:b w:val="0"/>
          <w:bCs w:val="0"/>
          <w:color w:val="auto"/>
          <w:spacing w:val="-1"/>
          <w:sz w:val="24"/>
          <w:szCs w:val="24"/>
          <w:highlight w:val="none"/>
          <w14:textOutline w14:w="4358" w14:cap="sq" w14:cmpd="sng">
            <w14:solidFill>
              <w14:srgbClr w14:val="000000"/>
            </w14:solidFill>
            <w14:prstDash w14:val="solid"/>
            <w14:bevel/>
          </w14:textOutline>
        </w:rPr>
        <w:t>注：</w:t>
      </w:r>
      <w:r>
        <w:rPr>
          <w:rFonts w:hint="eastAsia" w:ascii="宋体" w:hAnsi="宋体" w:eastAsia="宋体" w:cs="宋体"/>
          <w:b w:val="0"/>
          <w:bCs w:val="0"/>
          <w:color w:val="auto"/>
          <w:spacing w:val="-1"/>
          <w:sz w:val="24"/>
          <w:szCs w:val="24"/>
          <w:highlight w:val="none"/>
          <w:lang w:val="en-US" w:eastAsia="zh-CN"/>
          <w14:textOutline w14:w="4358" w14:cap="sq" w14:cmpd="sng">
            <w14:solidFill>
              <w14:srgbClr w14:val="000000"/>
            </w14:solidFill>
            <w14:prstDash w14:val="solid"/>
            <w14:bevel/>
          </w14:textOutline>
        </w:rPr>
        <w:t>供应商</w:t>
      </w:r>
      <w:r>
        <w:rPr>
          <w:rFonts w:hint="eastAsia" w:ascii="宋体" w:hAnsi="宋体" w:eastAsia="宋体" w:cs="宋体"/>
          <w:b w:val="0"/>
          <w:bCs w:val="0"/>
          <w:color w:val="auto"/>
          <w:spacing w:val="-1"/>
          <w:sz w:val="24"/>
          <w:szCs w:val="24"/>
          <w:highlight w:val="none"/>
          <w:lang w:val="zh-CN" w:eastAsia="zh-CN"/>
          <w14:textOutline w14:w="4358" w14:cap="sq" w14:cmpd="sng">
            <w14:solidFill>
              <w14:srgbClr w14:val="000000"/>
            </w14:solidFill>
            <w14:prstDash w14:val="solid"/>
            <w14:bevel/>
          </w14:textOutline>
        </w:rPr>
        <w:t>须提供类似项目业绩的合同或中标/成交通知书扫描件证明材料，无证明材料或未按要求提供证明材料或证明材料无法体现内容的，不予认可。日期以合同签订日期或中标/成交通知书日期为准</w:t>
      </w:r>
      <w:r>
        <w:rPr>
          <w:rFonts w:hint="eastAsia" w:ascii="宋体" w:hAnsi="宋体" w:eastAsia="宋体" w:cs="宋体"/>
          <w:b w:val="0"/>
          <w:bCs w:val="0"/>
          <w:color w:val="auto"/>
          <w:spacing w:val="-1"/>
          <w:sz w:val="24"/>
          <w:szCs w:val="24"/>
          <w:highlight w:val="none"/>
          <w:lang w:val="en-US" w:eastAsia="zh-CN"/>
          <w14:textOutline w14:w="4358" w14:cap="sq" w14:cmpd="sng">
            <w14:solidFill>
              <w14:srgbClr w14:val="000000"/>
            </w14:solidFill>
            <w14:prstDash w14:val="solid"/>
            <w14:bevel/>
          </w14:textOutline>
        </w:rPr>
        <w:t>。</w:t>
      </w:r>
    </w:p>
    <w:p w14:paraId="089C3045">
      <w:pPr>
        <w:pStyle w:val="7"/>
        <w:spacing w:line="480" w:lineRule="exact"/>
        <w:ind w:firstLine="600" w:firstLineChars="250"/>
        <w:rPr>
          <w:rFonts w:hint="eastAsia" w:ascii="宋体" w:hAnsi="宋体" w:eastAsia="宋体" w:cs="宋体"/>
          <w:color w:val="auto"/>
          <w:sz w:val="24"/>
          <w:szCs w:val="24"/>
          <w:highlight w:val="none"/>
        </w:rPr>
      </w:pPr>
    </w:p>
    <w:p w14:paraId="52F9296B">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4BEE7604">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76F7EC15">
      <w:pPr>
        <w:tabs>
          <w:tab w:val="left" w:pos="0"/>
        </w:tabs>
        <w:spacing w:line="480" w:lineRule="auto"/>
        <w:ind w:right="-210"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（盖章）</w:t>
      </w:r>
    </w:p>
    <w:p w14:paraId="5DCA3C1F">
      <w:pPr>
        <w:tabs>
          <w:tab w:val="left" w:pos="0"/>
        </w:tabs>
        <w:spacing w:line="480" w:lineRule="auto"/>
        <w:ind w:right="-210"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0BF17481">
      <w:pPr>
        <w:tabs>
          <w:tab w:val="left" w:pos="0"/>
        </w:tabs>
        <w:spacing w:line="480" w:lineRule="auto"/>
        <w:ind w:right="-210"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B10BC2A">
      <w:pPr>
        <w:rPr>
          <w:rFonts w:hint="eastAsia" w:ascii="宋体" w:hAnsi="宋体" w:eastAsia="宋体" w:cs="宋体"/>
          <w:b/>
          <w:bCs w:val="0"/>
          <w:color w:val="auto"/>
          <w:kern w:val="2"/>
          <w:sz w:val="28"/>
          <w:szCs w:val="28"/>
          <w:highlight w:val="none"/>
          <w:lang w:val="en-US" w:eastAsia="zh-CN" w:bidi="ar-SA"/>
        </w:rPr>
      </w:pPr>
      <w:r>
        <w:rPr>
          <w:rFonts w:hint="eastAsia" w:ascii="宋体" w:hAnsi="宋体" w:eastAsia="宋体" w:cs="宋体"/>
          <w:b/>
          <w:bCs w:val="0"/>
          <w:color w:val="auto"/>
          <w:kern w:val="2"/>
          <w:sz w:val="28"/>
          <w:szCs w:val="28"/>
          <w:highlight w:val="none"/>
          <w:lang w:val="en-US" w:eastAsia="zh-CN" w:bidi="ar-SA"/>
        </w:rPr>
        <w:br w:type="page"/>
      </w:r>
    </w:p>
    <w:p w14:paraId="6F1D61FF">
      <w:pPr>
        <w:pStyle w:val="3"/>
        <w:numPr>
          <w:ilvl w:val="0"/>
          <w:numId w:val="0"/>
        </w:numPr>
        <w:ind w:firstLine="3373" w:firstLineChars="1200"/>
        <w:jc w:val="both"/>
        <w:rPr>
          <w:rFonts w:hint="eastAsia" w:ascii="宋体" w:hAnsi="宋体" w:eastAsia="宋体" w:cs="宋体"/>
          <w:b/>
          <w:bCs w:val="0"/>
          <w:color w:val="auto"/>
          <w:szCs w:val="28"/>
          <w:highlight w:val="none"/>
          <w:lang w:val="en-US" w:eastAsia="zh-CN"/>
        </w:rPr>
      </w:pPr>
      <w:r>
        <w:rPr>
          <w:rFonts w:hint="eastAsia" w:ascii="宋体" w:hAnsi="宋体" w:eastAsia="宋体" w:cs="宋体"/>
          <w:b/>
          <w:bCs w:val="0"/>
          <w:color w:val="auto"/>
          <w:kern w:val="2"/>
          <w:sz w:val="28"/>
          <w:szCs w:val="28"/>
          <w:highlight w:val="none"/>
          <w:lang w:val="en-US" w:eastAsia="zh-CN" w:bidi="ar-SA"/>
        </w:rPr>
        <w:t>八、服务方案评审</w:t>
      </w:r>
    </w:p>
    <w:p w14:paraId="7168327B">
      <w:pPr>
        <w:pStyle w:val="3"/>
        <w:numPr>
          <w:ilvl w:val="1"/>
          <w:numId w:val="0"/>
        </w:numPr>
        <w:ind w:leftChars="0" w:firstLine="3373" w:firstLineChars="1200"/>
        <w:jc w:val="both"/>
        <w:rPr>
          <w:rFonts w:hint="eastAsia" w:ascii="宋体" w:hAnsi="宋体" w:eastAsia="宋体" w:cs="宋体"/>
          <w:b/>
          <w:bCs w:val="0"/>
          <w:color w:val="auto"/>
          <w:szCs w:val="28"/>
          <w:highlight w:val="none"/>
          <w:lang w:val="en-US" w:eastAsia="zh-CN"/>
        </w:rPr>
      </w:pPr>
      <w:r>
        <w:rPr>
          <w:rFonts w:hint="eastAsia" w:ascii="宋体" w:hAnsi="宋体" w:eastAsia="宋体" w:cs="宋体"/>
          <w:b/>
          <w:bCs w:val="0"/>
          <w:color w:val="auto"/>
          <w:szCs w:val="28"/>
          <w:highlight w:val="none"/>
          <w:lang w:val="en-US" w:eastAsia="zh-CN"/>
        </w:rPr>
        <w:t>九、进度计划周期安排及保障措施评审</w:t>
      </w:r>
    </w:p>
    <w:p w14:paraId="625A2E22">
      <w:pPr>
        <w:pStyle w:val="3"/>
        <w:numPr>
          <w:ilvl w:val="1"/>
          <w:numId w:val="0"/>
        </w:numPr>
        <w:ind w:leftChars="0" w:firstLine="3373" w:firstLineChars="1200"/>
        <w:jc w:val="both"/>
        <w:rPr>
          <w:rFonts w:hint="eastAsia" w:ascii="宋体" w:hAnsi="宋体" w:eastAsia="宋体" w:cs="宋体"/>
          <w:b/>
          <w:bCs w:val="0"/>
          <w:color w:val="auto"/>
          <w:szCs w:val="28"/>
          <w:highlight w:val="none"/>
          <w:lang w:val="en-US" w:eastAsia="zh-CN"/>
        </w:rPr>
      </w:pPr>
      <w:r>
        <w:rPr>
          <w:rFonts w:hint="eastAsia" w:ascii="宋体" w:hAnsi="宋体" w:eastAsia="宋体" w:cs="宋体"/>
          <w:b/>
          <w:bCs w:val="0"/>
          <w:color w:val="auto"/>
          <w:szCs w:val="28"/>
          <w:highlight w:val="none"/>
          <w:lang w:val="en-US" w:eastAsia="zh-CN"/>
        </w:rPr>
        <w:t>十、服务质量承诺及保证措施评审</w:t>
      </w:r>
    </w:p>
    <w:p w14:paraId="549E50F0">
      <w:pPr>
        <w:ind w:firstLine="3373" w:firstLineChars="1200"/>
        <w:rPr>
          <w:rFonts w:hint="eastAsia" w:ascii="宋体" w:hAnsi="宋体" w:eastAsia="宋体" w:cs="宋体"/>
          <w:b/>
          <w:bCs w:val="0"/>
          <w:color w:val="auto"/>
          <w:kern w:val="2"/>
          <w:sz w:val="28"/>
          <w:szCs w:val="28"/>
          <w:highlight w:val="none"/>
          <w:lang w:val="en-US" w:eastAsia="zh-CN" w:bidi="ar-SA"/>
        </w:rPr>
      </w:pPr>
      <w:r>
        <w:rPr>
          <w:rFonts w:hint="eastAsia" w:ascii="宋体" w:hAnsi="宋体" w:eastAsia="宋体" w:cs="宋体"/>
          <w:b/>
          <w:bCs w:val="0"/>
          <w:color w:val="auto"/>
          <w:kern w:val="2"/>
          <w:sz w:val="28"/>
          <w:szCs w:val="28"/>
          <w:highlight w:val="none"/>
          <w:lang w:val="en-US" w:eastAsia="zh-CN" w:bidi="ar-SA"/>
        </w:rPr>
        <w:t>十</w:t>
      </w:r>
      <w:r>
        <w:rPr>
          <w:rFonts w:hint="eastAsia" w:ascii="宋体" w:hAnsi="宋体" w:cs="宋体"/>
          <w:b/>
          <w:bCs w:val="0"/>
          <w:color w:val="auto"/>
          <w:kern w:val="2"/>
          <w:sz w:val="28"/>
          <w:szCs w:val="28"/>
          <w:highlight w:val="none"/>
          <w:lang w:val="en-US" w:eastAsia="zh-CN" w:bidi="ar-SA"/>
        </w:rPr>
        <w:t>一</w:t>
      </w:r>
      <w:r>
        <w:rPr>
          <w:rFonts w:hint="eastAsia" w:ascii="宋体" w:hAnsi="宋体" w:eastAsia="宋体" w:cs="宋体"/>
          <w:b/>
          <w:bCs w:val="0"/>
          <w:color w:val="auto"/>
          <w:kern w:val="2"/>
          <w:sz w:val="28"/>
          <w:szCs w:val="28"/>
          <w:highlight w:val="none"/>
          <w:lang w:val="en-US" w:eastAsia="zh-CN" w:bidi="ar-SA"/>
        </w:rPr>
        <w:t>、后续服务方案评审</w:t>
      </w:r>
    </w:p>
    <w:p w14:paraId="3007FD17">
      <w:pPr>
        <w:ind w:firstLine="3373" w:firstLineChars="1200"/>
        <w:rPr>
          <w:rFonts w:hint="eastAsia" w:ascii="宋体" w:hAnsi="宋体" w:cs="宋体"/>
          <w:b/>
          <w:bCs w:val="0"/>
          <w:color w:val="auto"/>
          <w:kern w:val="2"/>
          <w:sz w:val="28"/>
          <w:szCs w:val="28"/>
          <w:highlight w:val="none"/>
          <w:lang w:val="en-US" w:eastAsia="zh-CN" w:bidi="ar-SA"/>
        </w:rPr>
      </w:pPr>
      <w:r>
        <w:rPr>
          <w:rFonts w:hint="eastAsia" w:ascii="宋体" w:hAnsi="宋体" w:cs="宋体"/>
          <w:b/>
          <w:bCs w:val="0"/>
          <w:color w:val="auto"/>
          <w:kern w:val="2"/>
          <w:sz w:val="28"/>
          <w:szCs w:val="28"/>
          <w:highlight w:val="none"/>
          <w:lang w:val="en-US" w:eastAsia="zh-CN" w:bidi="ar-SA"/>
        </w:rPr>
        <w:t>十二、项目实施保障措施评审</w:t>
      </w:r>
    </w:p>
    <w:p w14:paraId="6963E1BE">
      <w:pPr>
        <w:ind w:firstLine="3373" w:firstLineChars="1200"/>
        <w:rPr>
          <w:rFonts w:hint="default" w:ascii="宋体" w:hAnsi="宋体" w:cs="宋体"/>
          <w:b/>
          <w:bCs w:val="0"/>
          <w:color w:val="auto"/>
          <w:kern w:val="2"/>
          <w:sz w:val="28"/>
          <w:szCs w:val="28"/>
          <w:highlight w:val="none"/>
          <w:lang w:val="en-US" w:eastAsia="zh-CN" w:bidi="ar-SA"/>
        </w:rPr>
      </w:pPr>
      <w:r>
        <w:rPr>
          <w:rFonts w:hint="eastAsia" w:ascii="宋体" w:hAnsi="宋体" w:cs="宋体"/>
          <w:b/>
          <w:bCs w:val="0"/>
          <w:color w:val="auto"/>
          <w:kern w:val="2"/>
          <w:sz w:val="28"/>
          <w:szCs w:val="28"/>
          <w:highlight w:val="none"/>
          <w:lang w:val="en-US" w:eastAsia="zh-CN" w:bidi="ar-SA"/>
        </w:rPr>
        <w:t>十三、项目人员配置评审</w:t>
      </w:r>
    </w:p>
    <w:p w14:paraId="43AD3A59">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59528A95">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34881B82">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5705088B">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4303E112">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0FA2E4D8">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13C2CA79">
      <w:pPr>
        <w:tabs>
          <w:tab w:val="left" w:pos="0"/>
        </w:tabs>
        <w:spacing w:line="480" w:lineRule="exact"/>
        <w:ind w:right="-210" w:firstLine="488" w:firstLineChars="200"/>
        <w:rPr>
          <w:rFonts w:hint="eastAsia" w:ascii="宋体" w:hAnsi="宋体" w:eastAsia="宋体" w:cs="宋体"/>
          <w:color w:val="auto"/>
          <w:spacing w:val="2"/>
          <w:sz w:val="24"/>
          <w:szCs w:val="24"/>
          <w:highlight w:val="none"/>
          <w:lang w:val="en-US" w:eastAsia="zh-CN"/>
        </w:rPr>
      </w:pPr>
    </w:p>
    <w:p w14:paraId="60300DE7">
      <w:pPr>
        <w:tabs>
          <w:tab w:val="left" w:pos="0"/>
        </w:tabs>
        <w:spacing w:line="480" w:lineRule="exact"/>
        <w:ind w:right="-210"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val="en-US" w:eastAsia="zh-CN"/>
        </w:rPr>
        <w:t>注：具体</w:t>
      </w:r>
      <w:r>
        <w:rPr>
          <w:rFonts w:hint="eastAsia" w:ascii="宋体" w:hAnsi="宋体" w:eastAsia="宋体" w:cs="宋体"/>
          <w:b/>
          <w:bCs/>
          <w:color w:val="auto"/>
          <w:spacing w:val="2"/>
          <w:sz w:val="24"/>
          <w:szCs w:val="24"/>
          <w:highlight w:val="none"/>
        </w:rPr>
        <w:t>请各供应商认真查看</w:t>
      </w:r>
      <w:r>
        <w:rPr>
          <w:rFonts w:hint="eastAsia" w:ascii="宋体" w:hAnsi="宋体" w:eastAsia="宋体" w:cs="宋体"/>
          <w:b/>
          <w:bCs/>
          <w:color w:val="auto"/>
          <w:spacing w:val="2"/>
          <w:sz w:val="24"/>
          <w:szCs w:val="24"/>
          <w:highlight w:val="none"/>
          <w:lang w:val="en-US" w:eastAsia="zh-CN"/>
        </w:rPr>
        <w:t>《</w:t>
      </w:r>
      <w:r>
        <w:rPr>
          <w:rFonts w:hint="eastAsia" w:ascii="宋体" w:hAnsi="宋体" w:eastAsia="宋体" w:cs="宋体"/>
          <w:b/>
          <w:bCs/>
          <w:color w:val="auto"/>
          <w:spacing w:val="2"/>
          <w:sz w:val="24"/>
          <w:szCs w:val="24"/>
          <w:highlight w:val="none"/>
        </w:rPr>
        <w:t>竞争性磋商文件</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rPr>
        <w:t>第</w:t>
      </w:r>
      <w:r>
        <w:rPr>
          <w:rFonts w:hint="eastAsia" w:ascii="宋体" w:hAnsi="宋体" w:eastAsia="宋体" w:cs="宋体"/>
          <w:b/>
          <w:bCs/>
          <w:color w:val="auto"/>
          <w:spacing w:val="2"/>
          <w:sz w:val="24"/>
          <w:szCs w:val="24"/>
          <w:highlight w:val="none"/>
          <w:lang w:val="en-US" w:eastAsia="zh-CN"/>
        </w:rPr>
        <w:t>六</w:t>
      </w:r>
      <w:r>
        <w:rPr>
          <w:rFonts w:hint="eastAsia" w:ascii="宋体" w:hAnsi="宋体" w:eastAsia="宋体" w:cs="宋体"/>
          <w:b/>
          <w:bCs/>
          <w:color w:val="auto"/>
          <w:spacing w:val="2"/>
          <w:sz w:val="24"/>
          <w:szCs w:val="24"/>
          <w:highlight w:val="none"/>
        </w:rPr>
        <w:t>章“</w:t>
      </w:r>
      <w:r>
        <w:rPr>
          <w:rFonts w:hint="eastAsia" w:ascii="宋体" w:hAnsi="宋体" w:eastAsia="宋体" w:cs="宋体"/>
          <w:b/>
          <w:bCs/>
          <w:color w:val="auto"/>
          <w:spacing w:val="2"/>
          <w:sz w:val="24"/>
          <w:szCs w:val="24"/>
          <w:highlight w:val="none"/>
          <w:lang w:val="en-US" w:eastAsia="zh-CN"/>
        </w:rPr>
        <w:t>竞争性</w:t>
      </w:r>
      <w:r>
        <w:rPr>
          <w:rFonts w:hint="eastAsia" w:ascii="宋体" w:hAnsi="宋体" w:eastAsia="宋体" w:cs="宋体"/>
          <w:b/>
          <w:bCs/>
          <w:color w:val="auto"/>
          <w:spacing w:val="2"/>
          <w:sz w:val="24"/>
          <w:szCs w:val="24"/>
          <w:highlight w:val="none"/>
        </w:rPr>
        <w:t>磋商</w:t>
      </w:r>
      <w:r>
        <w:rPr>
          <w:rFonts w:hint="eastAsia" w:ascii="宋体" w:hAnsi="宋体" w:eastAsia="宋体" w:cs="宋体"/>
          <w:b/>
          <w:bCs/>
          <w:color w:val="auto"/>
          <w:spacing w:val="2"/>
          <w:sz w:val="24"/>
          <w:szCs w:val="24"/>
          <w:highlight w:val="none"/>
          <w:lang w:val="en-US" w:eastAsia="zh-CN"/>
        </w:rPr>
        <w:t>评审</w:t>
      </w:r>
      <w:r>
        <w:rPr>
          <w:rFonts w:hint="eastAsia" w:ascii="宋体" w:hAnsi="宋体" w:eastAsia="宋体" w:cs="宋体"/>
          <w:b/>
          <w:bCs/>
          <w:color w:val="auto"/>
          <w:spacing w:val="2"/>
          <w:sz w:val="24"/>
          <w:szCs w:val="24"/>
          <w:highlight w:val="none"/>
        </w:rPr>
        <w:t>办法</w:t>
      </w:r>
      <w:r>
        <w:rPr>
          <w:rFonts w:hint="eastAsia" w:ascii="宋体" w:hAnsi="宋体" w:eastAsia="宋体" w:cs="宋体"/>
          <w:b/>
          <w:bCs/>
          <w:color w:val="auto"/>
          <w:spacing w:val="-100"/>
          <w:sz w:val="24"/>
          <w:szCs w:val="24"/>
          <w:highlight w:val="none"/>
        </w:rPr>
        <w:t xml:space="preserve"> </w:t>
      </w:r>
      <w:r>
        <w:rPr>
          <w:rFonts w:hint="eastAsia" w:ascii="宋体" w:hAnsi="宋体" w:eastAsia="宋体" w:cs="宋体"/>
          <w:b/>
          <w:bCs/>
          <w:color w:val="auto"/>
          <w:spacing w:val="1"/>
          <w:sz w:val="24"/>
          <w:szCs w:val="24"/>
          <w:highlight w:val="none"/>
        </w:rPr>
        <w:t>”技术部分评</w:t>
      </w:r>
      <w:r>
        <w:rPr>
          <w:rFonts w:hint="eastAsia" w:ascii="宋体" w:hAnsi="宋体" w:eastAsia="宋体" w:cs="宋体"/>
          <w:b/>
          <w:bCs/>
          <w:color w:val="auto"/>
          <w:spacing w:val="2"/>
          <w:sz w:val="24"/>
          <w:szCs w:val="24"/>
          <w:highlight w:val="none"/>
        </w:rPr>
        <w:t>审因素和标准，根据竞争性磋商文件的要求并结合自身情况编制方案</w:t>
      </w:r>
      <w:r>
        <w:rPr>
          <w:rFonts w:hint="eastAsia" w:ascii="宋体" w:hAnsi="宋体" w:eastAsia="宋体" w:cs="宋体"/>
          <w:b/>
          <w:bCs/>
          <w:color w:val="auto"/>
          <w:spacing w:val="-2"/>
          <w:sz w:val="24"/>
          <w:szCs w:val="24"/>
          <w:highlight w:val="none"/>
        </w:rPr>
        <w:t>，格式由供应商自拟。</w:t>
      </w:r>
    </w:p>
    <w:p w14:paraId="0607A9DA">
      <w:pPr>
        <w:tabs>
          <w:tab w:val="left" w:pos="0"/>
        </w:tabs>
        <w:spacing w:line="480" w:lineRule="exact"/>
        <w:ind w:right="-210" w:firstLine="235" w:firstLineChars="98"/>
        <w:rPr>
          <w:rFonts w:hint="eastAsia" w:ascii="宋体" w:hAnsi="宋体" w:eastAsia="宋体" w:cs="宋体"/>
          <w:color w:val="auto"/>
          <w:sz w:val="24"/>
          <w:szCs w:val="24"/>
          <w:highlight w:val="none"/>
        </w:rPr>
      </w:pPr>
    </w:p>
    <w:p w14:paraId="191DB9DE">
      <w:pP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br w:type="page"/>
      </w:r>
    </w:p>
    <w:bookmarkEnd w:id="331"/>
    <w:bookmarkEnd w:id="332"/>
    <w:bookmarkEnd w:id="333"/>
    <w:bookmarkEnd w:id="334"/>
    <w:bookmarkEnd w:id="335"/>
    <w:bookmarkEnd w:id="336"/>
    <w:bookmarkEnd w:id="337"/>
    <w:bookmarkEnd w:id="350"/>
    <w:bookmarkEnd w:id="351"/>
    <w:p w14:paraId="44931FF3">
      <w:pPr>
        <w:pStyle w:val="3"/>
        <w:numPr>
          <w:ilvl w:val="1"/>
          <w:numId w:val="0"/>
        </w:numPr>
        <w:jc w:val="cente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十四、落实的政府采购政策证明文件</w:t>
      </w:r>
      <w:bookmarkStart w:id="352" w:name="_Toc444762287"/>
      <w:bookmarkStart w:id="353" w:name="_Toc446063427"/>
      <w:bookmarkStart w:id="354" w:name="_Toc19707"/>
      <w:bookmarkStart w:id="355" w:name="_Toc466019119"/>
    </w:p>
    <w:bookmarkEnd w:id="352"/>
    <w:bookmarkEnd w:id="353"/>
    <w:bookmarkEnd w:id="354"/>
    <w:bookmarkEnd w:id="355"/>
    <w:p w14:paraId="335B1BA2">
      <w:pPr>
        <w:keepNext/>
        <w:keepLines/>
        <w:widowControl w:val="0"/>
        <w:numPr>
          <w:ilvl w:val="1"/>
          <w:numId w:val="0"/>
        </w:numPr>
        <w:adjustRightInd/>
        <w:spacing w:before="260" w:after="260" w:line="415" w:lineRule="auto"/>
        <w:jc w:val="center"/>
        <w:textAlignment w:val="auto"/>
        <w:outlineLvl w:val="1"/>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（一）中小企业声明函（服务）</w:t>
      </w:r>
    </w:p>
    <w:p w14:paraId="6E832949">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本公司郑重声明，根据《政府采购促进中小企业发展管理办法》（财库﹝2020﹞46 号）的规定，本公司参加</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（单位名称）的（项目名称）</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采购活动，服务全部由符合政策要求的中小企业承接。</w:t>
      </w:r>
    </w:p>
    <w:p w14:paraId="1F42463A">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1.（标的名称）</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，属于（采购文件中明确的所属行业）</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；（承接）企业为（企业名称）</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 万元，资产总额为 </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（中型企业、小型企业、微型企业）；</w:t>
      </w:r>
    </w:p>
    <w:p w14:paraId="461B56AC">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3963CCD9">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14:paraId="057641E6">
      <w:pPr>
        <w:keepNext w:val="0"/>
        <w:keepLines w:val="0"/>
        <w:pageBreakBefore w:val="0"/>
        <w:widowControl/>
        <w:suppressLineNumbers w:val="0"/>
        <w:kinsoku/>
        <w:wordWrap/>
        <w:overflowPunct/>
        <w:topLinePunct w:val="0"/>
        <w:autoSpaceDE/>
        <w:autoSpaceDN/>
        <w:bidi w:val="0"/>
        <w:adjustRightInd/>
        <w:snapToGrid/>
        <w:spacing w:line="360" w:lineRule="auto"/>
        <w:ind w:left="0" w:firstLine="4320" w:firstLineChars="1800"/>
        <w:jc w:val="both"/>
        <w:textAlignment w:val="auto"/>
        <w:rPr>
          <w:rFonts w:hint="eastAsia" w:ascii="宋体" w:hAnsi="宋体" w:eastAsia="宋体" w:cs="宋体"/>
          <w:i w:val="0"/>
          <w:iCs w:val="0"/>
          <w:color w:val="auto"/>
          <w:kern w:val="0"/>
          <w:sz w:val="24"/>
          <w:szCs w:val="24"/>
          <w:highlight w:val="none"/>
          <w:lang w:val="en-US" w:eastAsia="zh-CN" w:bidi="ar"/>
        </w:rPr>
      </w:pPr>
    </w:p>
    <w:p w14:paraId="496D4D10">
      <w:pPr>
        <w:keepNext w:val="0"/>
        <w:keepLines w:val="0"/>
        <w:pageBreakBefore w:val="0"/>
        <w:widowControl/>
        <w:suppressLineNumbers w:val="0"/>
        <w:kinsoku/>
        <w:wordWrap/>
        <w:overflowPunct/>
        <w:topLinePunct w:val="0"/>
        <w:autoSpaceDE/>
        <w:autoSpaceDN/>
        <w:bidi w:val="0"/>
        <w:adjustRightInd/>
        <w:snapToGrid/>
        <w:spacing w:line="360" w:lineRule="auto"/>
        <w:ind w:left="0" w:firstLine="4320" w:firstLineChars="18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企业名称（盖章）： </w:t>
      </w:r>
    </w:p>
    <w:p w14:paraId="48081949">
      <w:pPr>
        <w:keepNext w:val="0"/>
        <w:keepLines w:val="0"/>
        <w:pageBreakBefore w:val="0"/>
        <w:widowControl/>
        <w:suppressLineNumbers w:val="0"/>
        <w:kinsoku/>
        <w:wordWrap/>
        <w:overflowPunct/>
        <w:topLinePunct w:val="0"/>
        <w:autoSpaceDE/>
        <w:autoSpaceDN/>
        <w:bidi w:val="0"/>
        <w:adjustRightInd/>
        <w:snapToGrid/>
        <w:spacing w:line="240" w:lineRule="auto"/>
        <w:ind w:firstLine="4320" w:firstLineChars="1800"/>
        <w:jc w:val="both"/>
        <w:textAlignment w:val="auto"/>
        <w:rPr>
          <w:rFonts w:hint="eastAsia" w:ascii="宋体" w:hAnsi="宋体" w:eastAsia="宋体" w:cs="宋体"/>
          <w:i w:val="0"/>
          <w:iCs w:val="0"/>
          <w:color w:val="auto"/>
          <w:kern w:val="0"/>
          <w:sz w:val="24"/>
          <w:szCs w:val="24"/>
          <w:highlight w:val="none"/>
          <w:lang w:val="en-US" w:eastAsia="zh-CN" w:bidi="ar"/>
        </w:rPr>
      </w:pPr>
    </w:p>
    <w:p w14:paraId="23E11179">
      <w:pPr>
        <w:keepNext w:val="0"/>
        <w:keepLines w:val="0"/>
        <w:pageBreakBefore w:val="0"/>
        <w:widowControl/>
        <w:suppressLineNumbers w:val="0"/>
        <w:kinsoku/>
        <w:wordWrap/>
        <w:overflowPunct/>
        <w:topLinePunct w:val="0"/>
        <w:autoSpaceDE/>
        <w:autoSpaceDN/>
        <w:bidi w:val="0"/>
        <w:adjustRightInd/>
        <w:snapToGrid/>
        <w:spacing w:line="240" w:lineRule="auto"/>
        <w:ind w:firstLine="4320" w:firstLineChars="18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bidi="ar"/>
        </w:rPr>
        <w:t>日    期：</w:t>
      </w:r>
    </w:p>
    <w:p w14:paraId="4FB890F5">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p>
    <w:p w14:paraId="7BA52857">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p>
    <w:p w14:paraId="368F9753">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p>
    <w:p w14:paraId="23B1B36C">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p>
    <w:p w14:paraId="0FDD823D">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p>
    <w:p w14:paraId="7B97FF20">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注：</w:t>
      </w: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rPr>
        <w:t>从业人员、营业收入、资产总额填报上一年度数据，无上一年度数据的新成立企业可不填报。</w:t>
      </w:r>
    </w:p>
    <w:p w14:paraId="3C65714B">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2"/>
        <w:jc w:val="both"/>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rPr>
        <w:t>中小企业应当按照《政府采购促进中小企业发展管理办法》（财库〔2020〕46号）规定和《中小企业划型标准规定》（工信部联企业〔2011〕300号），如实填写并提交《中小企业声明函》。</w:t>
      </w:r>
    </w:p>
    <w:p w14:paraId="09119BA0">
      <w:pPr>
        <w:keepNext w:val="0"/>
        <w:keepLines w:val="0"/>
        <w:pageBreakBefore w:val="0"/>
        <w:widowControl/>
        <w:shd w:val="clear" w:color="auto" w:fill="FFFFFF"/>
        <w:kinsoku/>
        <w:wordWrap/>
        <w:overflowPunct/>
        <w:topLinePunct w:val="0"/>
        <w:autoSpaceDE w:val="0"/>
        <w:autoSpaceDN w:val="0"/>
        <w:bidi w:val="0"/>
        <w:adjustRightInd/>
        <w:snapToGrid/>
        <w:spacing w:beforeAutospacing="0" w:afterAutospacing="0" w:line="360" w:lineRule="auto"/>
        <w:ind w:firstLine="482"/>
        <w:jc w:val="both"/>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3.本次项目中小企业划分标准属于行业为“其他未列明行业”。</w:t>
      </w:r>
    </w:p>
    <w:p w14:paraId="373DB850">
      <w:pPr>
        <w:rPr>
          <w:rFonts w:hint="eastAsia" w:ascii="宋体" w:hAnsi="宋体" w:eastAsia="宋体" w:cs="宋体"/>
          <w:b/>
          <w:bCs/>
          <w:color w:val="auto"/>
          <w:kern w:val="2"/>
          <w:sz w:val="28"/>
          <w:szCs w:val="28"/>
          <w:highlight w:val="none"/>
          <w:lang w:val="en-US" w:eastAsia="zh-CN" w:bidi="ar-SA"/>
        </w:rPr>
      </w:pPr>
      <w:bookmarkStart w:id="356" w:name="_Toc94191371"/>
      <w:bookmarkStart w:id="357" w:name="_Toc11988"/>
      <w:r>
        <w:rPr>
          <w:rFonts w:hint="eastAsia" w:ascii="宋体" w:hAnsi="宋体" w:eastAsia="宋体" w:cs="宋体"/>
          <w:b/>
          <w:bCs/>
          <w:color w:val="auto"/>
          <w:kern w:val="2"/>
          <w:sz w:val="28"/>
          <w:szCs w:val="28"/>
          <w:highlight w:val="none"/>
          <w:lang w:val="en-US" w:eastAsia="zh-CN" w:bidi="ar-SA"/>
        </w:rPr>
        <w:br w:type="page"/>
      </w:r>
    </w:p>
    <w:p w14:paraId="579AA965">
      <w:pPr>
        <w:pStyle w:val="3"/>
        <w:numPr>
          <w:ilvl w:val="1"/>
          <w:numId w:val="0"/>
        </w:numPr>
        <w:jc w:val="center"/>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（二）残疾人福利性单位声明函(如是）</w:t>
      </w:r>
      <w:bookmarkEnd w:id="356"/>
      <w:bookmarkEnd w:id="357"/>
    </w:p>
    <w:p w14:paraId="2CC3A52C">
      <w:pPr>
        <w:pStyle w:val="30"/>
        <w:shd w:val="clear" w:color="auto" w:fill="FFFFFF"/>
        <w:spacing w:line="360" w:lineRule="auto"/>
        <w:ind w:firstLine="420" w:firstLineChars="200"/>
        <w:rPr>
          <w:rFonts w:hint="eastAsia" w:ascii="宋体" w:hAnsi="宋体" w:eastAsia="宋体" w:cs="宋体"/>
          <w:color w:val="auto"/>
          <w:sz w:val="21"/>
          <w:szCs w:val="21"/>
          <w:highlight w:val="none"/>
          <w:shd w:val="clear" w:color="auto" w:fill="FFFFFF"/>
        </w:rPr>
      </w:pPr>
    </w:p>
    <w:p w14:paraId="7FFB9347">
      <w:pPr>
        <w:pStyle w:val="30"/>
        <w:shd w:val="clear" w:color="auto" w:fill="FFFFFF"/>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szCs w:val="24"/>
          <w:highlight w:val="none"/>
          <w:shd w:val="clear" w:color="auto" w:fill="FFFFFF"/>
          <w:lang w:val="en-US" w:eastAsia="zh-CN"/>
        </w:rPr>
        <w:t>贵</w:t>
      </w:r>
      <w:r>
        <w:rPr>
          <w:rFonts w:hint="eastAsia" w:ascii="宋体" w:hAnsi="宋体" w:eastAsia="宋体" w:cs="宋体"/>
          <w:color w:val="auto"/>
          <w:sz w:val="24"/>
          <w:szCs w:val="24"/>
          <w:highlight w:val="none"/>
          <w:shd w:val="clear" w:color="auto" w:fill="FFFFFF"/>
        </w:rPr>
        <w:t>单位的</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z w:val="24"/>
          <w:szCs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6E48E147">
      <w:pPr>
        <w:pStyle w:val="30"/>
        <w:shd w:val="clear" w:color="auto" w:fill="FFFFFF"/>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color="auto" w:fill="FFFFFF"/>
        </w:rPr>
        <w:t xml:space="preserve">    本单位对上述声明的真实性负责。如有虚假，将依法承担相应责任。</w:t>
      </w:r>
    </w:p>
    <w:p w14:paraId="67983226">
      <w:pPr>
        <w:pStyle w:val="30"/>
        <w:shd w:val="clear" w:color="auto" w:fill="FFFFFF"/>
        <w:spacing w:line="360" w:lineRule="auto"/>
        <w:rPr>
          <w:rFonts w:hint="eastAsia" w:ascii="宋体" w:hAnsi="宋体" w:eastAsia="宋体" w:cs="宋体"/>
          <w:color w:val="auto"/>
          <w:sz w:val="24"/>
          <w:szCs w:val="24"/>
          <w:highlight w:val="none"/>
          <w:shd w:val="clear" w:color="auto" w:fill="FFFFFF"/>
        </w:rPr>
      </w:pPr>
    </w:p>
    <w:p w14:paraId="142796D6">
      <w:pPr>
        <w:pStyle w:val="30"/>
        <w:shd w:val="clear" w:color="auto" w:fill="FFFFFF"/>
        <w:spacing w:line="360" w:lineRule="auto"/>
        <w:rPr>
          <w:rFonts w:hint="eastAsia" w:ascii="宋体" w:hAnsi="宋体" w:eastAsia="宋体" w:cs="宋体"/>
          <w:color w:val="auto"/>
          <w:sz w:val="24"/>
          <w:szCs w:val="24"/>
          <w:highlight w:val="none"/>
          <w:shd w:val="clear" w:color="auto" w:fill="FFFFFF"/>
        </w:rPr>
      </w:pPr>
    </w:p>
    <w:p w14:paraId="434DADE9">
      <w:pPr>
        <w:keepNext w:val="0"/>
        <w:keepLines w:val="0"/>
        <w:pageBreakBefore w:val="0"/>
        <w:widowControl/>
        <w:kinsoku/>
        <w:wordWrap/>
        <w:overflowPunct/>
        <w:topLinePunct/>
        <w:autoSpaceDE/>
        <w:autoSpaceDN/>
        <w:bidi w:val="0"/>
        <w:adjustRightInd w:val="0"/>
        <w:snapToGrid/>
        <w:spacing w:line="480" w:lineRule="exact"/>
        <w:ind w:left="0" w:leftChars="0" w:firstLine="3120" w:firstLineChars="13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（盖单位章）</w:t>
      </w:r>
    </w:p>
    <w:p w14:paraId="1D9CD1DA">
      <w:pPr>
        <w:keepNext w:val="0"/>
        <w:keepLines w:val="0"/>
        <w:pageBreakBefore w:val="0"/>
        <w:widowControl/>
        <w:kinsoku/>
        <w:wordWrap/>
        <w:overflowPunct/>
        <w:topLinePunct/>
        <w:autoSpaceDE/>
        <w:autoSpaceDN/>
        <w:bidi w:val="0"/>
        <w:adjustRightInd w:val="0"/>
        <w:snapToGrid/>
        <w:spacing w:line="480" w:lineRule="exact"/>
        <w:ind w:left="0" w:leftChars="0" w:firstLine="3120" w:firstLineChars="13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法定代表</w:t>
      </w:r>
      <w:r>
        <w:rPr>
          <w:rFonts w:hint="eastAsia" w:ascii="宋体" w:hAnsi="宋体" w:eastAsia="宋体" w:cs="宋体"/>
          <w:color w:val="auto"/>
          <w:kern w:val="0"/>
          <w:sz w:val="24"/>
          <w:szCs w:val="24"/>
          <w:highlight w:val="none"/>
          <w:lang w:val="en-US" w:eastAsia="zh-CN"/>
        </w:rPr>
        <w:t>人</w:t>
      </w:r>
      <w:r>
        <w:rPr>
          <w:rFonts w:hint="eastAsia" w:ascii="宋体" w:hAnsi="宋体" w:eastAsia="宋体" w:cs="宋体"/>
          <w:color w:val="auto"/>
          <w:kern w:val="0"/>
          <w:sz w:val="24"/>
          <w:szCs w:val="24"/>
          <w:highlight w:val="none"/>
        </w:rPr>
        <w:t>或其委托</w:t>
      </w:r>
      <w:r>
        <w:rPr>
          <w:rFonts w:hint="eastAsia" w:ascii="宋体" w:hAnsi="宋体" w:eastAsia="宋体" w:cs="宋体"/>
          <w:color w:val="auto"/>
          <w:kern w:val="0"/>
          <w:sz w:val="24"/>
          <w:szCs w:val="24"/>
          <w:highlight w:val="none"/>
          <w:lang w:val="en-US" w:eastAsia="zh-CN"/>
        </w:rPr>
        <w:t>代理</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（签字或盖章）         </w:t>
      </w:r>
    </w:p>
    <w:p w14:paraId="1E06F3E0">
      <w:pPr>
        <w:pStyle w:val="34"/>
        <w:keepNext w:val="0"/>
        <w:keepLines w:val="0"/>
        <w:pageBreakBefore w:val="0"/>
        <w:kinsoku/>
        <w:wordWrap/>
        <w:overflowPunct/>
        <w:autoSpaceDE/>
        <w:autoSpaceDN/>
        <w:bidi w:val="0"/>
        <w:snapToGrid/>
        <w:spacing w:line="480" w:lineRule="exact"/>
        <w:ind w:left="0" w:leftChars="0" w:firstLine="3120" w:firstLineChars="13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5E370CB4">
      <w:pPr>
        <w:tabs>
          <w:tab w:val="left" w:pos="4860"/>
        </w:tabs>
        <w:spacing w:line="360" w:lineRule="auto"/>
        <w:ind w:right="1560" w:firstLine="504" w:firstLineChars="200"/>
        <w:rPr>
          <w:rFonts w:hint="eastAsia" w:ascii="宋体" w:hAnsi="宋体" w:eastAsia="宋体" w:cs="宋体"/>
          <w:color w:val="auto"/>
          <w:spacing w:val="6"/>
          <w:sz w:val="24"/>
          <w:szCs w:val="24"/>
          <w:highlight w:val="none"/>
        </w:rPr>
      </w:pPr>
    </w:p>
    <w:p w14:paraId="1B20B924">
      <w:pPr>
        <w:pStyle w:val="34"/>
        <w:rPr>
          <w:rFonts w:hint="eastAsia" w:ascii="宋体" w:hAnsi="宋体" w:eastAsia="宋体" w:cs="宋体"/>
          <w:highlight w:val="none"/>
        </w:rPr>
      </w:pPr>
    </w:p>
    <w:p w14:paraId="06E70A96">
      <w:pPr>
        <w:spacing w:line="360" w:lineRule="auto"/>
        <w:ind w:firstLine="480" w:firstLineChars="200"/>
        <w:rPr>
          <w:rFonts w:hint="eastAsia" w:ascii="宋体" w:hAnsi="宋体" w:eastAsia="宋体" w:cs="宋体"/>
          <w:color w:val="auto"/>
          <w:sz w:val="24"/>
          <w:szCs w:val="24"/>
          <w:highlight w:val="none"/>
        </w:rPr>
      </w:pPr>
      <w:bookmarkStart w:id="358" w:name="_Toc6308626"/>
      <w:bookmarkStart w:id="359" w:name="_Toc18111"/>
      <w:bookmarkStart w:id="360" w:name="_Toc529532515"/>
      <w:bookmarkStart w:id="361" w:name="_Toc21633"/>
      <w:bookmarkStart w:id="362" w:name="_Toc11822"/>
    </w:p>
    <w:p w14:paraId="6BF0D355">
      <w:pPr>
        <w:spacing w:line="360" w:lineRule="auto"/>
        <w:ind w:firstLine="480" w:firstLineChars="200"/>
        <w:rPr>
          <w:rFonts w:hint="eastAsia" w:ascii="宋体" w:hAnsi="宋体" w:eastAsia="宋体" w:cs="宋体"/>
          <w:color w:val="auto"/>
          <w:sz w:val="24"/>
          <w:szCs w:val="24"/>
          <w:highlight w:val="none"/>
        </w:rPr>
      </w:pPr>
    </w:p>
    <w:p w14:paraId="118A96F0">
      <w:pPr>
        <w:spacing w:line="360" w:lineRule="auto"/>
        <w:ind w:firstLine="480" w:firstLineChars="200"/>
        <w:rPr>
          <w:rFonts w:hint="eastAsia" w:ascii="宋体" w:hAnsi="宋体" w:eastAsia="宋体" w:cs="宋体"/>
          <w:color w:val="auto"/>
          <w:sz w:val="24"/>
          <w:szCs w:val="24"/>
          <w:highlight w:val="none"/>
        </w:rPr>
      </w:pPr>
    </w:p>
    <w:p w14:paraId="3702A869">
      <w:pPr>
        <w:spacing w:line="360" w:lineRule="auto"/>
        <w:ind w:firstLine="480" w:firstLineChars="200"/>
        <w:rPr>
          <w:rFonts w:hint="eastAsia" w:ascii="宋体" w:hAnsi="宋体" w:eastAsia="宋体" w:cs="宋体"/>
          <w:color w:val="auto"/>
          <w:sz w:val="24"/>
          <w:szCs w:val="24"/>
          <w:highlight w:val="none"/>
        </w:rPr>
      </w:pPr>
    </w:p>
    <w:p w14:paraId="38117F6E">
      <w:pPr>
        <w:spacing w:line="360" w:lineRule="auto"/>
        <w:ind w:firstLine="480" w:firstLineChars="200"/>
        <w:rPr>
          <w:rFonts w:hint="eastAsia" w:ascii="宋体" w:hAnsi="宋体" w:eastAsia="宋体" w:cs="宋体"/>
          <w:color w:val="auto"/>
          <w:sz w:val="24"/>
          <w:szCs w:val="24"/>
          <w:highlight w:val="none"/>
        </w:rPr>
      </w:pPr>
    </w:p>
    <w:p w14:paraId="0DC1B3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注：1、残疾人福利性单位参与投标时，须提供本企业的《残疾人福利性单位声明函》；</w:t>
      </w:r>
    </w:p>
    <w:p w14:paraId="0695923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1A38E79">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32"/>
          <w:szCs w:val="32"/>
          <w:highlight w:val="none"/>
        </w:rPr>
        <w:br w:type="page"/>
      </w:r>
      <w:bookmarkStart w:id="363" w:name="_Toc94191372"/>
      <w:r>
        <w:rPr>
          <w:rFonts w:hint="eastAsia" w:ascii="宋体" w:hAnsi="宋体" w:eastAsia="宋体" w:cs="宋体"/>
          <w:b/>
          <w:bCs/>
          <w:color w:val="auto"/>
          <w:sz w:val="28"/>
          <w:szCs w:val="28"/>
          <w:highlight w:val="none"/>
          <w:lang w:val="en-US" w:eastAsia="zh-CN"/>
        </w:rPr>
        <w:t>（三）监狱企业证明材料</w:t>
      </w:r>
      <w:bookmarkEnd w:id="358"/>
      <w:bookmarkEnd w:id="359"/>
      <w:bookmarkEnd w:id="360"/>
      <w:bookmarkEnd w:id="361"/>
      <w:bookmarkEnd w:id="362"/>
      <w:bookmarkEnd w:id="363"/>
    </w:p>
    <w:p w14:paraId="63C8807C">
      <w:pPr>
        <w:spacing w:line="360" w:lineRule="auto"/>
        <w:ind w:firstLine="420" w:firstLineChars="200"/>
        <w:rPr>
          <w:rFonts w:hint="eastAsia" w:ascii="宋体" w:hAnsi="宋体" w:eastAsia="宋体" w:cs="宋体"/>
          <w:color w:val="auto"/>
          <w:szCs w:val="21"/>
          <w:highlight w:val="none"/>
        </w:rPr>
      </w:pPr>
    </w:p>
    <w:p w14:paraId="3E2CF3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本单位郑重声明，根据《关于政府采购支持监狱企业发展有关问题的通知》(财库</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2014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68 号)的规定，本单位为符合条件的监狱企业，且本单位参加</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项目采购活动提供本单位制造的货物（由本单位承担工程/提供服务），或者提供其他监狱企业制造的货物（不包括使用非监狱企业注册商标的货物）。</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本单位对上述声明的真实性负责。如有虚假，将依法承担相应责任。</w:t>
      </w:r>
    </w:p>
    <w:p w14:paraId="37F4DD42">
      <w:pPr>
        <w:spacing w:line="360" w:lineRule="auto"/>
        <w:rPr>
          <w:rFonts w:hint="eastAsia" w:ascii="宋体" w:hAnsi="宋体" w:eastAsia="宋体" w:cs="宋体"/>
          <w:color w:val="auto"/>
          <w:sz w:val="24"/>
          <w:szCs w:val="24"/>
          <w:highlight w:val="none"/>
        </w:rPr>
      </w:pPr>
    </w:p>
    <w:p w14:paraId="7C1010A8">
      <w:pPr>
        <w:spacing w:line="360" w:lineRule="auto"/>
        <w:rPr>
          <w:rFonts w:hint="eastAsia" w:ascii="宋体" w:hAnsi="宋体" w:eastAsia="宋体" w:cs="宋体"/>
          <w:color w:val="auto"/>
          <w:sz w:val="24"/>
          <w:szCs w:val="24"/>
          <w:highlight w:val="none"/>
        </w:rPr>
      </w:pPr>
    </w:p>
    <w:p w14:paraId="72687D8E">
      <w:pPr>
        <w:spacing w:line="360" w:lineRule="auto"/>
        <w:rPr>
          <w:rFonts w:hint="eastAsia" w:ascii="宋体" w:hAnsi="宋体" w:eastAsia="宋体" w:cs="宋体"/>
          <w:color w:val="auto"/>
          <w:sz w:val="24"/>
          <w:szCs w:val="24"/>
          <w:highlight w:val="none"/>
        </w:rPr>
      </w:pPr>
    </w:p>
    <w:p w14:paraId="279614C5">
      <w:pPr>
        <w:spacing w:line="360" w:lineRule="auto"/>
        <w:rPr>
          <w:rFonts w:hint="eastAsia" w:ascii="宋体" w:hAnsi="宋体" w:eastAsia="宋体" w:cs="宋体"/>
          <w:color w:val="auto"/>
          <w:sz w:val="24"/>
          <w:szCs w:val="24"/>
          <w:highlight w:val="none"/>
        </w:rPr>
      </w:pPr>
    </w:p>
    <w:p w14:paraId="514AAA09">
      <w:pPr>
        <w:spacing w:line="360" w:lineRule="auto"/>
        <w:rPr>
          <w:rFonts w:hint="eastAsia" w:ascii="宋体" w:hAnsi="宋体" w:eastAsia="宋体" w:cs="宋体"/>
          <w:color w:val="auto"/>
          <w:sz w:val="24"/>
          <w:szCs w:val="24"/>
          <w:highlight w:val="none"/>
        </w:rPr>
      </w:pPr>
    </w:p>
    <w:p w14:paraId="570C5A18">
      <w:pPr>
        <w:keepNext w:val="0"/>
        <w:keepLines w:val="0"/>
        <w:pageBreakBefore w:val="0"/>
        <w:widowControl/>
        <w:kinsoku/>
        <w:wordWrap/>
        <w:overflowPunct/>
        <w:topLinePunct/>
        <w:autoSpaceDE/>
        <w:autoSpaceDN/>
        <w:bidi w:val="0"/>
        <w:adjustRightInd w:val="0"/>
        <w:snapToGrid/>
        <w:spacing w:line="480" w:lineRule="exact"/>
        <w:ind w:left="0" w:leftChars="0" w:firstLine="3120" w:firstLineChars="13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（盖单位章）</w:t>
      </w:r>
    </w:p>
    <w:p w14:paraId="77A3A5CE">
      <w:pPr>
        <w:keepNext w:val="0"/>
        <w:keepLines w:val="0"/>
        <w:pageBreakBefore w:val="0"/>
        <w:widowControl/>
        <w:kinsoku/>
        <w:wordWrap/>
        <w:overflowPunct/>
        <w:topLinePunct/>
        <w:autoSpaceDE/>
        <w:autoSpaceDN/>
        <w:bidi w:val="0"/>
        <w:adjustRightInd w:val="0"/>
        <w:snapToGrid/>
        <w:spacing w:line="480" w:lineRule="exact"/>
        <w:ind w:left="0" w:leftChars="0" w:firstLine="3120" w:firstLineChars="13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法定代表</w:t>
      </w:r>
      <w:r>
        <w:rPr>
          <w:rFonts w:hint="eastAsia" w:ascii="宋体" w:hAnsi="宋体" w:eastAsia="宋体" w:cs="宋体"/>
          <w:color w:val="auto"/>
          <w:kern w:val="0"/>
          <w:sz w:val="24"/>
          <w:szCs w:val="24"/>
          <w:highlight w:val="none"/>
          <w:lang w:val="en-US" w:eastAsia="zh-CN"/>
        </w:rPr>
        <w:t>人</w:t>
      </w:r>
      <w:r>
        <w:rPr>
          <w:rFonts w:hint="eastAsia" w:ascii="宋体" w:hAnsi="宋体" w:eastAsia="宋体" w:cs="宋体"/>
          <w:color w:val="auto"/>
          <w:kern w:val="0"/>
          <w:sz w:val="24"/>
          <w:szCs w:val="24"/>
          <w:highlight w:val="none"/>
        </w:rPr>
        <w:t>或其委托</w:t>
      </w:r>
      <w:r>
        <w:rPr>
          <w:rFonts w:hint="eastAsia" w:ascii="宋体" w:hAnsi="宋体" w:eastAsia="宋体" w:cs="宋体"/>
          <w:color w:val="auto"/>
          <w:kern w:val="0"/>
          <w:sz w:val="24"/>
          <w:szCs w:val="24"/>
          <w:highlight w:val="none"/>
          <w:lang w:val="en-US" w:eastAsia="zh-CN"/>
        </w:rPr>
        <w:t>代理</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（签字或盖章）         </w:t>
      </w:r>
    </w:p>
    <w:p w14:paraId="38478A38">
      <w:pPr>
        <w:pStyle w:val="34"/>
        <w:keepNext w:val="0"/>
        <w:keepLines w:val="0"/>
        <w:pageBreakBefore w:val="0"/>
        <w:kinsoku/>
        <w:wordWrap/>
        <w:overflowPunct/>
        <w:autoSpaceDE/>
        <w:autoSpaceDN/>
        <w:bidi w:val="0"/>
        <w:snapToGrid/>
        <w:spacing w:line="480" w:lineRule="exact"/>
        <w:ind w:left="0" w:leftChars="0" w:firstLine="3120" w:firstLineChars="13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68E95309">
      <w:pPr>
        <w:spacing w:line="360" w:lineRule="auto"/>
        <w:rPr>
          <w:rFonts w:hint="eastAsia" w:ascii="宋体" w:hAnsi="宋体" w:eastAsia="宋体" w:cs="宋体"/>
          <w:color w:val="auto"/>
          <w:sz w:val="24"/>
          <w:szCs w:val="24"/>
          <w:highlight w:val="none"/>
        </w:rPr>
      </w:pPr>
    </w:p>
    <w:p w14:paraId="6891E841">
      <w:pPr>
        <w:spacing w:line="360" w:lineRule="auto"/>
        <w:rPr>
          <w:rFonts w:hint="eastAsia" w:ascii="宋体" w:hAnsi="宋体" w:eastAsia="宋体" w:cs="宋体"/>
          <w:color w:val="auto"/>
          <w:sz w:val="24"/>
          <w:szCs w:val="24"/>
          <w:highlight w:val="none"/>
        </w:rPr>
      </w:pPr>
    </w:p>
    <w:p w14:paraId="45C86DA0">
      <w:pPr>
        <w:spacing w:line="360" w:lineRule="auto"/>
        <w:rPr>
          <w:rFonts w:hint="eastAsia" w:ascii="宋体" w:hAnsi="宋体" w:eastAsia="宋体" w:cs="宋体"/>
          <w:color w:val="auto"/>
          <w:sz w:val="24"/>
          <w:szCs w:val="24"/>
          <w:highlight w:val="none"/>
        </w:rPr>
      </w:pPr>
    </w:p>
    <w:p w14:paraId="29FF59E2">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如为监狱企业并提供本《监狱企业声明函》的，必须对声明的真实性负责。</w:t>
      </w:r>
    </w:p>
    <w:p w14:paraId="6F6399C8">
      <w:pPr>
        <w:spacing w:line="360" w:lineRule="auto"/>
        <w:ind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2.监狱企业以省级以上监狱管理局、戒毒管理局(含新疆生产建设兵团)出具的属于监狱企业的证明文件为准。</w:t>
      </w:r>
    </w:p>
    <w:p w14:paraId="4B8BB91E">
      <w:pPr>
        <w:spacing w:line="40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br w:type="page"/>
      </w:r>
    </w:p>
    <w:p w14:paraId="45137EBD">
      <w:pPr>
        <w:spacing w:line="360" w:lineRule="auto"/>
        <w:jc w:val="center"/>
        <w:outlineLvl w:val="1"/>
        <w:rPr>
          <w:rFonts w:hint="eastAsia" w:ascii="宋体" w:hAnsi="宋体" w:eastAsia="宋体" w:cs="宋体"/>
          <w:b/>
          <w:color w:val="auto"/>
          <w:kern w:val="0"/>
          <w:sz w:val="28"/>
          <w:szCs w:val="28"/>
          <w:highlight w:val="none"/>
        </w:rPr>
      </w:pPr>
      <w:bookmarkStart w:id="364" w:name="_Toc24390310"/>
      <w:bookmarkStart w:id="365" w:name="_Toc24423"/>
      <w:bookmarkStart w:id="366" w:name="_Toc11470"/>
      <w:bookmarkStart w:id="367" w:name="_Toc12644"/>
      <w:bookmarkStart w:id="368" w:name="_Toc32303"/>
      <w:r>
        <w:rPr>
          <w:rFonts w:hint="eastAsia" w:ascii="宋体" w:hAnsi="宋体" w:eastAsia="宋体" w:cs="宋体"/>
          <w:b/>
          <w:color w:val="auto"/>
          <w:kern w:val="0"/>
          <w:sz w:val="28"/>
          <w:szCs w:val="28"/>
          <w:highlight w:val="none"/>
        </w:rPr>
        <w:t>十</w:t>
      </w:r>
      <w:r>
        <w:rPr>
          <w:rFonts w:hint="eastAsia" w:ascii="宋体" w:hAnsi="宋体" w:cs="宋体"/>
          <w:b/>
          <w:color w:val="auto"/>
          <w:kern w:val="0"/>
          <w:sz w:val="28"/>
          <w:szCs w:val="28"/>
          <w:highlight w:val="none"/>
          <w:lang w:val="en-US" w:eastAsia="zh-CN"/>
        </w:rPr>
        <w:t>五</w:t>
      </w:r>
      <w:r>
        <w:rPr>
          <w:rFonts w:hint="eastAsia" w:ascii="宋体" w:hAnsi="宋体" w:eastAsia="宋体" w:cs="宋体"/>
          <w:b/>
          <w:color w:val="auto"/>
          <w:kern w:val="0"/>
          <w:sz w:val="28"/>
          <w:szCs w:val="28"/>
          <w:highlight w:val="none"/>
        </w:rPr>
        <w:t>、</w:t>
      </w:r>
      <w:bookmarkEnd w:id="364"/>
      <w:bookmarkStart w:id="369" w:name="_Toc24390312"/>
      <w:r>
        <w:rPr>
          <w:rFonts w:hint="eastAsia" w:ascii="宋体" w:hAnsi="宋体" w:eastAsia="宋体" w:cs="宋体"/>
          <w:b/>
          <w:color w:val="auto"/>
          <w:kern w:val="0"/>
          <w:sz w:val="28"/>
          <w:szCs w:val="28"/>
          <w:highlight w:val="none"/>
        </w:rPr>
        <w:t>竞争性磋商文件要求或者供应商认为有必要提供的其他资料</w:t>
      </w:r>
      <w:bookmarkEnd w:id="365"/>
      <w:bookmarkEnd w:id="366"/>
      <w:bookmarkEnd w:id="367"/>
      <w:bookmarkEnd w:id="368"/>
      <w:bookmarkEnd w:id="369"/>
    </w:p>
    <w:p w14:paraId="5398851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格式不限，由供应商自拟。</w:t>
      </w:r>
    </w:p>
    <w:p w14:paraId="482061AF">
      <w:pPr>
        <w:spacing w:line="360" w:lineRule="auto"/>
        <w:ind w:firstLine="420" w:firstLineChars="200"/>
        <w:jc w:val="center"/>
        <w:rPr>
          <w:rFonts w:hint="eastAsia" w:ascii="宋体" w:hAnsi="宋体" w:eastAsia="宋体" w:cs="宋体"/>
          <w:color w:val="auto"/>
          <w:szCs w:val="21"/>
          <w:highlight w:val="none"/>
        </w:rPr>
      </w:pPr>
    </w:p>
    <w:p w14:paraId="22DF17E1">
      <w:pPr>
        <w:rPr>
          <w:rFonts w:hint="eastAsia" w:ascii="宋体" w:hAnsi="宋体" w:eastAsia="宋体" w:cs="宋体"/>
          <w:color w:val="auto"/>
          <w:highlight w:val="none"/>
        </w:rPr>
      </w:pPr>
      <w:bookmarkStart w:id="370" w:name="_Toc5118"/>
      <w:bookmarkStart w:id="371" w:name="_Toc10064"/>
      <w:bookmarkStart w:id="372" w:name="_Toc9468"/>
      <w:bookmarkStart w:id="373" w:name="_Toc425171858"/>
    </w:p>
    <w:p w14:paraId="21FD2C84">
      <w:pPr>
        <w:widowControl/>
        <w:jc w:val="left"/>
        <w:rPr>
          <w:rFonts w:hint="eastAsia" w:ascii="宋体" w:hAnsi="宋体" w:eastAsia="宋体" w:cs="宋体"/>
          <w:b/>
          <w:color w:val="auto"/>
          <w:sz w:val="28"/>
          <w:szCs w:val="28"/>
          <w:highlight w:val="none"/>
        </w:rPr>
      </w:pPr>
      <w:r>
        <w:rPr>
          <w:rFonts w:hint="eastAsia" w:ascii="宋体" w:hAnsi="宋体" w:eastAsia="宋体" w:cs="宋体"/>
          <w:color w:val="auto"/>
          <w:szCs w:val="21"/>
          <w:highlight w:val="none"/>
        </w:rPr>
        <w:br w:type="page"/>
      </w:r>
      <w:bookmarkEnd w:id="370"/>
      <w:bookmarkEnd w:id="371"/>
      <w:bookmarkEnd w:id="372"/>
      <w:bookmarkEnd w:id="373"/>
      <w:bookmarkStart w:id="374" w:name="_Toc213141118"/>
    </w:p>
    <w:bookmarkEnd w:id="374"/>
    <w:p w14:paraId="61712218">
      <w:pPr>
        <w:pStyle w:val="2"/>
        <w:numPr>
          <w:ilvl w:val="0"/>
          <w:numId w:val="0"/>
        </w:numPr>
        <w:spacing w:line="660" w:lineRule="exact"/>
        <w:jc w:val="center"/>
        <w:rPr>
          <w:rFonts w:hint="eastAsia" w:ascii="宋体" w:hAnsi="宋体" w:eastAsia="宋体" w:cs="宋体"/>
          <w:color w:val="auto"/>
          <w:sz w:val="32"/>
          <w:szCs w:val="32"/>
          <w:highlight w:val="none"/>
          <w:lang w:val="en-US" w:eastAsia="zh-CN"/>
        </w:rPr>
      </w:pPr>
      <w:bookmarkStart w:id="375" w:name="_bookmark72"/>
      <w:bookmarkEnd w:id="375"/>
      <w:bookmarkStart w:id="376" w:name="_Toc32748"/>
      <w:r>
        <w:rPr>
          <w:rFonts w:hint="eastAsia" w:ascii="宋体" w:hAnsi="宋体" w:eastAsia="宋体" w:cs="宋体"/>
          <w:color w:val="auto"/>
          <w:sz w:val="32"/>
          <w:szCs w:val="32"/>
          <w:highlight w:val="none"/>
          <w:lang w:val="zh-CN"/>
        </w:rPr>
        <w:t>第</w:t>
      </w:r>
      <w:r>
        <w:rPr>
          <w:rFonts w:hint="eastAsia" w:ascii="宋体" w:hAnsi="宋体" w:eastAsia="宋体" w:cs="宋体"/>
          <w:color w:val="auto"/>
          <w:sz w:val="32"/>
          <w:szCs w:val="32"/>
          <w:highlight w:val="none"/>
          <w:lang w:val="en-US" w:eastAsia="zh-CN"/>
        </w:rPr>
        <w:t>五</w:t>
      </w:r>
      <w:r>
        <w:rPr>
          <w:rFonts w:hint="eastAsia" w:ascii="宋体" w:hAnsi="宋体" w:eastAsia="宋体" w:cs="宋体"/>
          <w:color w:val="auto"/>
          <w:sz w:val="32"/>
          <w:szCs w:val="32"/>
          <w:highlight w:val="none"/>
        </w:rPr>
        <w:t>章</w:t>
      </w:r>
      <w:r>
        <w:rPr>
          <w:rFonts w:hint="eastAsia" w:ascii="宋体" w:hAnsi="宋体" w:eastAsia="宋体" w:cs="宋体"/>
          <w:color w:val="auto"/>
          <w:sz w:val="32"/>
          <w:szCs w:val="32"/>
          <w:highlight w:val="none"/>
          <w:lang w:val="zh-CN"/>
        </w:rPr>
        <w:t xml:space="preserve"> </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采购需求</w:t>
      </w:r>
      <w:bookmarkEnd w:id="376"/>
    </w:p>
    <w:p w14:paraId="465946C0">
      <w:pPr>
        <w:ind w:firstLine="482" w:firstLineChars="200"/>
        <w:rPr>
          <w:rFonts w:hint="eastAsia" w:ascii="宋体" w:hAnsi="宋体" w:eastAsia="宋体" w:cs="宋体"/>
          <w:b/>
          <w:bCs/>
          <w:color w:val="auto"/>
          <w:sz w:val="24"/>
          <w:szCs w:val="24"/>
          <w:highlight w:val="none"/>
          <w:lang w:val="en-US" w:eastAsia="zh-CN"/>
        </w:rPr>
      </w:pPr>
    </w:p>
    <w:p w14:paraId="385DC6B0">
      <w:pPr>
        <w:numPr>
          <w:ilvl w:val="0"/>
          <w:numId w:val="4"/>
        </w:numPr>
        <w:spacing w:line="360" w:lineRule="auto"/>
        <w:rPr>
          <w:rFonts w:hint="eastAsia" w:ascii="宋体" w:hAnsi="宋体" w:cs="宋体"/>
          <w:sz w:val="21"/>
          <w:szCs w:val="28"/>
          <w:highlight w:val="none"/>
          <w:lang w:eastAsia="zh-CN"/>
        </w:rPr>
      </w:pPr>
      <w:r>
        <w:rPr>
          <w:rFonts w:hint="eastAsia" w:ascii="宋体" w:hAnsi="宋体" w:eastAsia="宋体" w:cs="宋体"/>
          <w:sz w:val="21"/>
          <w:szCs w:val="28"/>
          <w:highlight w:val="none"/>
        </w:rPr>
        <w:t>项目名称：</w:t>
      </w:r>
      <w:r>
        <w:rPr>
          <w:rFonts w:hint="eastAsia" w:ascii="宋体" w:hAnsi="宋体" w:cs="宋体"/>
          <w:sz w:val="21"/>
          <w:szCs w:val="28"/>
          <w:highlight w:val="none"/>
          <w:lang w:eastAsia="zh-CN"/>
        </w:rPr>
        <w:t>德钦县2026年高原特色优质绿色农产品品牌建设项目</w:t>
      </w:r>
    </w:p>
    <w:p w14:paraId="03BDF45A">
      <w:pPr>
        <w:numPr>
          <w:ilvl w:val="0"/>
          <w:numId w:val="0"/>
        </w:numPr>
        <w:spacing w:line="360" w:lineRule="auto"/>
        <w:rPr>
          <w:rFonts w:hint="eastAsia" w:ascii="宋体" w:hAnsi="宋体" w:eastAsia="宋体" w:cs="宋体"/>
          <w:sz w:val="21"/>
          <w:szCs w:val="28"/>
          <w:highlight w:val="none"/>
        </w:rPr>
      </w:pPr>
      <w:r>
        <w:rPr>
          <w:rFonts w:hint="eastAsia" w:ascii="宋体" w:hAnsi="宋体" w:eastAsia="宋体" w:cs="宋体"/>
          <w:sz w:val="21"/>
          <w:szCs w:val="28"/>
          <w:highlight w:val="none"/>
        </w:rPr>
        <w:t>2.预算金额：</w:t>
      </w:r>
      <w:r>
        <w:rPr>
          <w:rFonts w:hint="eastAsia" w:ascii="宋体" w:hAnsi="宋体" w:cs="宋体"/>
          <w:sz w:val="21"/>
          <w:szCs w:val="28"/>
          <w:highlight w:val="none"/>
          <w:lang w:val="en-US" w:eastAsia="zh-CN"/>
        </w:rPr>
        <w:t>63.00</w:t>
      </w:r>
      <w:r>
        <w:rPr>
          <w:rFonts w:hint="eastAsia" w:ascii="宋体" w:hAnsi="宋体" w:eastAsia="宋体" w:cs="宋体"/>
          <w:sz w:val="21"/>
          <w:szCs w:val="28"/>
          <w:highlight w:val="none"/>
        </w:rPr>
        <w:t>万元</w:t>
      </w:r>
    </w:p>
    <w:p w14:paraId="1CD27755">
      <w:pPr>
        <w:spacing w:line="360" w:lineRule="auto"/>
        <w:rPr>
          <w:rFonts w:hint="eastAsia" w:ascii="宋体" w:hAnsi="宋体" w:eastAsia="宋体" w:cs="宋体"/>
          <w:sz w:val="21"/>
          <w:szCs w:val="28"/>
          <w:highlight w:val="none"/>
        </w:rPr>
      </w:pPr>
      <w:r>
        <w:rPr>
          <w:rFonts w:hint="eastAsia" w:ascii="宋体" w:hAnsi="宋体" w:eastAsia="宋体" w:cs="宋体"/>
          <w:sz w:val="21"/>
          <w:szCs w:val="28"/>
          <w:highlight w:val="none"/>
        </w:rPr>
        <w:t>3.项目地点：德钦县境内</w:t>
      </w:r>
    </w:p>
    <w:p w14:paraId="388138F0">
      <w:pPr>
        <w:spacing w:line="360" w:lineRule="auto"/>
        <w:rPr>
          <w:rFonts w:hint="eastAsia" w:ascii="宋体" w:hAnsi="宋体" w:eastAsia="宋体" w:cs="宋体"/>
          <w:sz w:val="21"/>
          <w:szCs w:val="28"/>
          <w:highlight w:val="none"/>
          <w:lang w:val="en-US" w:eastAsia="zh-CN"/>
        </w:rPr>
      </w:pPr>
      <w:r>
        <w:rPr>
          <w:rFonts w:hint="eastAsia" w:ascii="宋体" w:hAnsi="宋体" w:eastAsia="宋体" w:cs="宋体"/>
          <w:sz w:val="21"/>
          <w:szCs w:val="28"/>
          <w:highlight w:val="none"/>
        </w:rPr>
        <w:t>4.采购需求：</w:t>
      </w:r>
      <w:r>
        <w:rPr>
          <w:rFonts w:hint="eastAsia" w:ascii="宋体" w:hAnsi="宋体" w:eastAsia="宋体" w:cs="宋体"/>
          <w:sz w:val="21"/>
          <w:szCs w:val="28"/>
          <w:highlight w:val="none"/>
          <w:lang w:val="en-US" w:eastAsia="zh-CN"/>
        </w:rPr>
        <w:t>一是完成有机产品认证6个：木香3个（拖顶：拖别老爪农民专业合作社、霞若：德钦县霞若乡各么茸村阿克达产业发展农业专业合作社、巴迪：德钦格钦种养殖农民专业合作社）；石榴1个：云岭：德钦县云岭乡果念村居达农民专业合作社；葡萄1个：奔子栏：云南融生酒庄管理有限公司；羊脂芋1个：霞若：德钦县敏珠拉姆农特产开发销售有限责任公司。二是完成云南融生酒庄管理有限公司、酩悦轩尼诗香格里拉(德钦)酒业有限公司、云南香格里拉太阳魂酒庄产业有限公司梅里分公司、香格里拉酒业股份有限公司、德钦松赞茨中酒庄有限公司5个葡萄酒生态原产地产品保护认证、1个葡萄酒生态原产地产品保护区</w:t>
      </w:r>
      <w:r>
        <w:rPr>
          <w:rFonts w:hint="eastAsia" w:ascii="宋体" w:hAnsi="宋体" w:cs="宋体"/>
          <w:sz w:val="21"/>
          <w:szCs w:val="28"/>
          <w:highlight w:val="none"/>
          <w:lang w:val="en-US" w:eastAsia="zh-CN"/>
        </w:rPr>
        <w:t>认证</w:t>
      </w:r>
      <w:r>
        <w:rPr>
          <w:rFonts w:hint="eastAsia" w:ascii="宋体" w:hAnsi="宋体" w:eastAsia="宋体" w:cs="宋体"/>
          <w:sz w:val="21"/>
          <w:szCs w:val="28"/>
          <w:highlight w:val="none"/>
          <w:lang w:val="en-US" w:eastAsia="zh-CN"/>
        </w:rPr>
        <w:t>。</w:t>
      </w:r>
    </w:p>
    <w:p w14:paraId="03E0CF87">
      <w:pPr>
        <w:rPr>
          <w:rFonts w:hint="eastAsia" w:ascii="宋体" w:hAnsi="宋体" w:eastAsia="宋体" w:cs="宋体"/>
          <w:b/>
          <w:color w:val="auto"/>
          <w:sz w:val="32"/>
          <w:highlight w:val="none"/>
        </w:rPr>
      </w:pPr>
      <w:bookmarkStart w:id="377" w:name="_Toc7864"/>
      <w:r>
        <w:rPr>
          <w:rFonts w:hint="eastAsia" w:ascii="宋体" w:hAnsi="宋体" w:eastAsia="宋体" w:cs="宋体"/>
          <w:b/>
          <w:color w:val="auto"/>
          <w:sz w:val="32"/>
          <w:highlight w:val="none"/>
        </w:rPr>
        <w:br w:type="page"/>
      </w:r>
    </w:p>
    <w:p w14:paraId="5BFF5A90">
      <w:pPr>
        <w:pStyle w:val="11"/>
        <w:kinsoku/>
        <w:wordWrap/>
        <w:overflowPunct/>
        <w:spacing w:line="360" w:lineRule="auto"/>
        <w:ind w:firstLine="643" w:firstLineChars="200"/>
        <w:jc w:val="center"/>
        <w:textAlignment w:val="auto"/>
        <w:outlineLvl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第</w:t>
      </w:r>
      <w:r>
        <w:rPr>
          <w:rFonts w:hint="eastAsia" w:ascii="宋体" w:hAnsi="宋体" w:eastAsia="宋体" w:cs="宋体"/>
          <w:b/>
          <w:color w:val="auto"/>
          <w:sz w:val="32"/>
          <w:highlight w:val="none"/>
          <w:lang w:val="en-US" w:eastAsia="zh-CN"/>
        </w:rPr>
        <w:t>六</w:t>
      </w:r>
      <w:r>
        <w:rPr>
          <w:rFonts w:hint="eastAsia" w:ascii="宋体" w:hAnsi="宋体" w:eastAsia="宋体" w:cs="宋体"/>
          <w:b/>
          <w:color w:val="auto"/>
          <w:sz w:val="32"/>
          <w:highlight w:val="none"/>
        </w:rPr>
        <w:t xml:space="preserve">章  </w:t>
      </w:r>
      <w:r>
        <w:rPr>
          <w:rFonts w:hint="eastAsia" w:ascii="宋体" w:hAnsi="宋体" w:eastAsia="宋体" w:cs="宋体"/>
          <w:b/>
          <w:color w:val="auto"/>
          <w:sz w:val="32"/>
          <w:highlight w:val="none"/>
          <w:lang w:val="en-US" w:eastAsia="zh-CN"/>
        </w:rPr>
        <w:t>竞争性</w:t>
      </w:r>
      <w:r>
        <w:rPr>
          <w:rFonts w:hint="eastAsia" w:ascii="宋体" w:hAnsi="宋体" w:eastAsia="宋体" w:cs="宋体"/>
          <w:b/>
          <w:color w:val="auto"/>
          <w:sz w:val="32"/>
          <w:highlight w:val="none"/>
        </w:rPr>
        <w:t>磋商</w:t>
      </w:r>
      <w:r>
        <w:rPr>
          <w:rFonts w:hint="eastAsia" w:ascii="宋体" w:hAnsi="宋体" w:eastAsia="宋体" w:cs="宋体"/>
          <w:b/>
          <w:color w:val="auto"/>
          <w:sz w:val="32"/>
          <w:highlight w:val="none"/>
          <w:lang w:val="en-US" w:eastAsia="zh-CN"/>
        </w:rPr>
        <w:t>评审</w:t>
      </w:r>
      <w:r>
        <w:rPr>
          <w:rFonts w:hint="eastAsia" w:ascii="宋体" w:hAnsi="宋体" w:eastAsia="宋体" w:cs="宋体"/>
          <w:b/>
          <w:color w:val="auto"/>
          <w:sz w:val="32"/>
          <w:highlight w:val="none"/>
        </w:rPr>
        <w:t>办法</w:t>
      </w:r>
      <w:bookmarkEnd w:id="377"/>
    </w:p>
    <w:p w14:paraId="49096FE2">
      <w:pPr>
        <w:pStyle w:val="11"/>
        <w:keepNext w:val="0"/>
        <w:keepLines w:val="0"/>
        <w:pageBreakBefore w:val="0"/>
        <w:kinsoku/>
        <w:wordWrap/>
        <w:overflowPunct/>
        <w:topLinePunct w:val="0"/>
        <w:bidi w:val="0"/>
        <w:adjustRightInd/>
        <w:snapToGrid/>
        <w:spacing w:line="360" w:lineRule="auto"/>
        <w:ind w:left="0" w:leftChars="0" w:firstLine="482" w:firstLineChars="200"/>
        <w:jc w:val="both"/>
        <w:textAlignment w:val="auto"/>
        <w:rPr>
          <w:rFonts w:hint="eastAsia" w:ascii="宋体" w:hAnsi="宋体" w:eastAsia="宋体" w:cs="宋体"/>
          <w:b/>
          <w:bCs/>
          <w:color w:val="auto"/>
          <w:sz w:val="24"/>
          <w:szCs w:val="24"/>
          <w:highlight w:val="none"/>
        </w:rPr>
      </w:pPr>
    </w:p>
    <w:p w14:paraId="4F0D5944">
      <w:pPr>
        <w:pStyle w:val="2"/>
        <w:numPr>
          <w:ilvl w:val="0"/>
          <w:numId w:val="0"/>
        </w:numPr>
        <w:spacing w:before="0" w:after="0" w:line="360" w:lineRule="auto"/>
        <w:ind w:leftChars="0"/>
        <w:jc w:val="center"/>
        <w:rPr>
          <w:rFonts w:hint="eastAsia" w:ascii="宋体" w:hAnsi="宋体" w:eastAsia="宋体" w:cs="宋体"/>
          <w:color w:val="auto"/>
          <w:highlight w:val="none"/>
        </w:rPr>
      </w:pPr>
      <w:bookmarkStart w:id="378" w:name="_Toc5266"/>
      <w:bookmarkStart w:id="379" w:name="_Toc19762"/>
      <w:bookmarkStart w:id="380" w:name="_Toc516077002"/>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评标办法(综合评分法)</w:t>
      </w:r>
      <w:bookmarkEnd w:id="378"/>
      <w:bookmarkEnd w:id="379"/>
      <w:bookmarkEnd w:id="380"/>
    </w:p>
    <w:p w14:paraId="728ACF01">
      <w:pPr>
        <w:spacing w:line="500" w:lineRule="exact"/>
        <w:ind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一、评标机构</w:t>
      </w:r>
    </w:p>
    <w:p w14:paraId="19E76A36">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评标机构为磋商小组，磋商小组由采购人代表和评审专家组成，成员人数为</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人以上单数，其中技术、经济专家不得少于成员总数的三分之二。</w:t>
      </w:r>
    </w:p>
    <w:p w14:paraId="1F389193">
      <w:pP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三、采购人或者采购代理机构职责</w:t>
      </w:r>
    </w:p>
    <w:p w14:paraId="182CD5E2">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采购人或者采购代理机构负责组织评标工作，并履行下列职责：</w:t>
      </w:r>
    </w:p>
    <w:p w14:paraId="495CD436">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(一)核对评审专家身份和采购人代表授权函，对评审专家在政府采购活动中的职责履行情况予以记录，并及时将有关违法违规行为向财政部门报告；</w:t>
      </w:r>
    </w:p>
    <w:p w14:paraId="5CBCB02E">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(二)宣布评标纪律；</w:t>
      </w:r>
    </w:p>
    <w:p w14:paraId="61A63CE1">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(三)公布供应商名单，告知评审专家应当回避的情形；</w:t>
      </w:r>
    </w:p>
    <w:p w14:paraId="03E822AD">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(四)组织磋商小组推选评标组长，采购人代表不得担任组长；</w:t>
      </w:r>
    </w:p>
    <w:p w14:paraId="79AF5DBF">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(五)在评标期间采取必要的通讯管理措施，保证评标活动不受外界干扰；</w:t>
      </w:r>
    </w:p>
    <w:p w14:paraId="2E78A3D4">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(六)根据磋商小组的要求介绍政府采购相关政策法规、竞争性磋商文件；</w:t>
      </w:r>
    </w:p>
    <w:p w14:paraId="669DE5BE">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(七)维护评标秩序，监督磋商小组依照竞争性磋商文件规定的评标程序、方法和标准进行独立评审，及时制止和纠正采购人代表、评审专家的倾向性言论或者违法违规行为；</w:t>
      </w:r>
    </w:p>
    <w:p w14:paraId="7DF54108">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(八)核对评标结果，有本办法第六十四条规定情形的，要求磋商小组复核或者书面说明理由，磋商小组拒绝的，应予记录并向本级财政部门报告；</w:t>
      </w:r>
    </w:p>
    <w:p w14:paraId="6F1CFD5A">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(九)评审工作完成后，按照规定向评审专家支付劳务报酬和异地评审差旅费，不得向评审专家以外的其他人员支付评审劳务报酬；</w:t>
      </w:r>
    </w:p>
    <w:p w14:paraId="1692E5D4">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(十)处理与评标有关的其他事项。</w:t>
      </w:r>
    </w:p>
    <w:p w14:paraId="73947F4C">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采购人可以在评标前说明项目背景和采购需求，说明内容不得含有歧视性、倾向性意见，不得超出竞争性磋商文件所述范围。说明应当提交书面材料，并随采购文件一并存档。</w:t>
      </w:r>
    </w:p>
    <w:p w14:paraId="7619113F">
      <w:pP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四、磋商小组职责</w:t>
      </w:r>
    </w:p>
    <w:p w14:paraId="3BC72A12">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磋商小组负责具体评标事务，并独立履行下列职责：</w:t>
      </w:r>
    </w:p>
    <w:p w14:paraId="3D50DB01">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(一)审查、评价响应文件是否符合竞争性磋商文件的商务、技术等实质性要求；</w:t>
      </w:r>
    </w:p>
    <w:p w14:paraId="4E91BECB">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(二)要求供应商对响应文件有关事项作出澄清或者说明；</w:t>
      </w:r>
    </w:p>
    <w:p w14:paraId="54C58E45">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(三)对响应文件进行比较和评价；</w:t>
      </w:r>
    </w:p>
    <w:p w14:paraId="601066E5">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(四)确定中标候选人名单，以及根据采购人委托直接确定成交人；</w:t>
      </w:r>
    </w:p>
    <w:p w14:paraId="4E0BEA29">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(五)向采购人、采购代理机构或者有关部门报告评标中发现的违法行为。</w:t>
      </w:r>
    </w:p>
    <w:p w14:paraId="33330850">
      <w:pPr>
        <w:pStyle w:val="12"/>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五、评标纪律</w:t>
      </w:r>
    </w:p>
    <w:p w14:paraId="74375A2E">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(一)对评标内容和评标过程要严格保密，不得向供应商或与该过程无关的其它人员泄露。</w:t>
      </w:r>
    </w:p>
    <w:p w14:paraId="320E173A">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(二)评标期间的一切资料，包括评标意见、评标记录和评标结论，一律不得向外传和泄露。</w:t>
      </w:r>
    </w:p>
    <w:p w14:paraId="4487423E">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(三)任何属于响应文件审查、澄清、评价和比较的资料，不得向供应商或与该过程无关的其它人员泄露。</w:t>
      </w:r>
    </w:p>
    <w:p w14:paraId="47240AA2">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(四)所有资料(包括竞争性磋商文件、响应文件、评标表格及各种文字记录)在评标结束后均应分别整理、存档备查，任何人不得复制和保留。</w:t>
      </w:r>
    </w:p>
    <w:p w14:paraId="0DF7BC9F">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(五)评标期间，未经允许磋商小组以外的任何单位或部门不得参加评标和采访评标工作。</w:t>
      </w:r>
    </w:p>
    <w:p w14:paraId="79F59F52">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(六)评标期间，评标人员不得外出，确需外出时应事先请假。</w:t>
      </w:r>
    </w:p>
    <w:p w14:paraId="1B5B46ED">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(七)评标期间，所有与会人员均不得私自以任何方式和供应商进行联系，需询问、澄清的问题由评委会统一组织办理。</w:t>
      </w:r>
    </w:p>
    <w:p w14:paraId="492227B1">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(八)评标结束后，与会人员不得向外界透露评标人员的评标意见，如因此造成的后果由责任者承担。</w:t>
      </w:r>
    </w:p>
    <w:p w14:paraId="1B6A645E">
      <w:pP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六、评标原则</w:t>
      </w:r>
    </w:p>
    <w:p w14:paraId="23A05B1D">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评标将遵循下列原则：</w:t>
      </w:r>
    </w:p>
    <w:p w14:paraId="76A5D77E">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(一)坚持公平、公正、科学、择优的原则，本着实事求是的精神，不带有任何主观意愿和偏见，认真负责地做好评标工作，公平、公正地对待每一个供应商。</w:t>
      </w:r>
    </w:p>
    <w:p w14:paraId="1A706EB4">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(二)全面分析，综合评审。</w:t>
      </w:r>
    </w:p>
    <w:p w14:paraId="42D92128">
      <w:pPr>
        <w:pStyle w:val="12"/>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(三)评标只对供应商的响应文件进行评审，响应文件以外的资料、信息不应作为评标的依据。</w:t>
      </w:r>
    </w:p>
    <w:p w14:paraId="4F0CF229">
      <w:pP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七、评标程序</w:t>
      </w:r>
    </w:p>
    <w:p w14:paraId="1A2032C9">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本次招标所采用的评审方法为 “综合评分法”，即：响应文件满足磋商文件全部实质性要求，且按照评审因素的量化指标评审得分最高的供应商为中标候选人的评审方法。</w:t>
      </w:r>
    </w:p>
    <w:p w14:paraId="6B445E47">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评审只对通过资格审查的响应文件进行评审。评审按：资格审查→符合性审查→磋商及二次报价→商务和技术评估、综合比较与评价→得分汇总→评审报告编写的程序进行。</w:t>
      </w:r>
    </w:p>
    <w:p w14:paraId="150C962A">
      <w:pPr>
        <w:pStyle w:val="12"/>
        <w:numPr>
          <w:ilvl w:val="0"/>
          <w:numId w:val="5"/>
        </w:num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1C5DFE5A">
      <w:pPr>
        <w:pStyle w:val="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资格评审标准：</w:t>
      </w:r>
      <w:r>
        <w:rPr>
          <w:rFonts w:hint="eastAsia" w:ascii="宋体" w:hAnsi="宋体" w:eastAsia="宋体" w:cs="宋体"/>
          <w:color w:val="auto"/>
          <w:sz w:val="24"/>
          <w:szCs w:val="24"/>
          <w:highlight w:val="none"/>
        </w:rPr>
        <w:t>依据法律法规和磋商文件的规定，对响应文件中“证明供应商的资格文件”进行审查，以确定供应商是否具备磋商资格。只有通过资格审查的供应商才能进入符合性审查。</w:t>
      </w:r>
    </w:p>
    <w:tbl>
      <w:tblPr>
        <w:tblStyle w:val="35"/>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94"/>
        <w:gridCol w:w="6446"/>
      </w:tblGrid>
      <w:tr w14:paraId="5BA1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26F4F388">
            <w:pPr>
              <w:pStyle w:val="12"/>
              <w:widowControl w:val="0"/>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694" w:type="dxa"/>
            <w:tcBorders>
              <w:top w:val="single" w:color="auto" w:sz="4" w:space="0"/>
              <w:left w:val="single" w:color="auto" w:sz="4" w:space="0"/>
              <w:bottom w:val="single" w:color="auto" w:sz="4" w:space="0"/>
              <w:right w:val="single" w:color="auto" w:sz="4" w:space="0"/>
            </w:tcBorders>
          </w:tcPr>
          <w:p w14:paraId="040FCB21">
            <w:pPr>
              <w:pStyle w:val="12"/>
              <w:widowControl w:val="0"/>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6446" w:type="dxa"/>
            <w:tcBorders>
              <w:top w:val="single" w:color="auto" w:sz="4" w:space="0"/>
              <w:left w:val="single" w:color="auto" w:sz="4" w:space="0"/>
              <w:bottom w:val="single" w:color="auto" w:sz="4" w:space="0"/>
              <w:right w:val="single" w:color="auto" w:sz="4" w:space="0"/>
            </w:tcBorders>
          </w:tcPr>
          <w:p w14:paraId="44DEFEE5">
            <w:pPr>
              <w:pStyle w:val="12"/>
              <w:widowControl w:val="0"/>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14:paraId="31FA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7A6E99F0">
            <w:pPr>
              <w:pStyle w:val="12"/>
              <w:widowControl w:val="0"/>
              <w:tabs>
                <w:tab w:val="left" w:pos="1412"/>
              </w:tabs>
              <w:spacing w:line="36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694" w:type="dxa"/>
            <w:tcBorders>
              <w:top w:val="single" w:color="auto" w:sz="4" w:space="0"/>
              <w:left w:val="single" w:color="auto" w:sz="4" w:space="0"/>
              <w:bottom w:val="single" w:color="auto" w:sz="4" w:space="0"/>
              <w:right w:val="single" w:color="auto" w:sz="4" w:space="0"/>
            </w:tcBorders>
          </w:tcPr>
          <w:p w14:paraId="0B47BE37">
            <w:pPr>
              <w:pStyle w:val="12"/>
              <w:widowControl w:val="0"/>
              <w:tabs>
                <w:tab w:val="left" w:pos="1412"/>
              </w:tabs>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具有独立承担民事责任的能力</w:t>
            </w:r>
          </w:p>
        </w:tc>
        <w:tc>
          <w:tcPr>
            <w:tcW w:w="6446" w:type="dxa"/>
            <w:tcBorders>
              <w:top w:val="single" w:color="auto" w:sz="4" w:space="0"/>
              <w:left w:val="single" w:color="auto" w:sz="4" w:space="0"/>
              <w:bottom w:val="single" w:color="auto" w:sz="4" w:space="0"/>
              <w:right w:val="single" w:color="auto" w:sz="4" w:space="0"/>
            </w:tcBorders>
          </w:tcPr>
          <w:p w14:paraId="4C9B3F00">
            <w:pPr>
              <w:pStyle w:val="12"/>
              <w:widowControl w:val="0"/>
              <w:spacing w:line="360" w:lineRule="auto"/>
              <w:ind w:left="0" w:leftChars="0" w:firstLine="480" w:firstLineChars="200"/>
              <w:jc w:val="both"/>
              <w:rPr>
                <w:rFonts w:hint="eastAsia" w:ascii="宋体" w:hAnsi="宋体" w:eastAsia="宋体" w:cs="宋体"/>
                <w:b/>
                <w:color w:val="auto"/>
                <w:sz w:val="24"/>
                <w:szCs w:val="24"/>
                <w:highlight w:val="none"/>
              </w:rPr>
            </w:pPr>
            <w:r>
              <w:rPr>
                <w:rFonts w:hint="eastAsia" w:ascii="宋体" w:hAnsi="宋体" w:eastAsia="宋体" w:cs="宋体"/>
                <w:color w:val="auto"/>
                <w:spacing w:val="0"/>
                <w:w w:val="100"/>
                <w:kern w:val="0"/>
                <w:position w:val="0"/>
                <w:sz w:val="24"/>
                <w:szCs w:val="24"/>
                <w:highlight w:val="none"/>
                <w:lang w:val="en-US" w:eastAsia="zh-CN"/>
              </w:rPr>
              <w:t>提供法人或其他组织或自然人的营业执照或其他证明材料（提供合法登记证明文件）</w:t>
            </w:r>
          </w:p>
        </w:tc>
      </w:tr>
      <w:tr w14:paraId="16A0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6779C067">
            <w:pPr>
              <w:pStyle w:val="12"/>
              <w:widowControl w:val="0"/>
              <w:spacing w:line="36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694" w:type="dxa"/>
            <w:tcBorders>
              <w:top w:val="single" w:color="auto" w:sz="4" w:space="0"/>
              <w:left w:val="single" w:color="auto" w:sz="4" w:space="0"/>
              <w:bottom w:val="single" w:color="auto" w:sz="4" w:space="0"/>
              <w:right w:val="single" w:color="auto" w:sz="4" w:space="0"/>
            </w:tcBorders>
          </w:tcPr>
          <w:p w14:paraId="5910EE82">
            <w:pPr>
              <w:pStyle w:val="12"/>
              <w:widowControl w:val="0"/>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tc>
        <w:tc>
          <w:tcPr>
            <w:tcW w:w="6446" w:type="dxa"/>
            <w:tcBorders>
              <w:top w:val="single" w:color="auto" w:sz="4" w:space="0"/>
              <w:left w:val="single" w:color="auto" w:sz="4" w:space="0"/>
              <w:bottom w:val="single" w:color="auto" w:sz="4" w:space="0"/>
              <w:right w:val="single" w:color="auto" w:sz="4" w:space="0"/>
            </w:tcBorders>
          </w:tcPr>
          <w:p w14:paraId="2C773F30">
            <w:pPr>
              <w:spacing w:line="4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未被列入“信用中国”网站（www.creditchina.gov.cn）公布的“失信被执行人”、“重大税收违法失信主体”、“政府采购严重违法失信行为记录名单”；未被列入“中国政府采购网”（www.ccgp.gov.cn）公布的“政府采购严重违法失信行为信息记录”名单（以采购代理机构于投标（响应）截止时间当天查询结果为准，如相关失信记录已失效，供应商需提供相关证明资料）；提供具有良好的商业信誉承诺书（格式自拟）；</w:t>
            </w:r>
          </w:p>
          <w:p w14:paraId="04A4EDA8">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良好的商业信誉和健全的财务会计制度。投标人须提供2023年或2024年经审计的财务报告(包括资产负债表、利润表、现金流量表)，新成立不满1年的投标人提供自成立至今的财务报表，注：根据《关于加强审计报告查验工作的通知》（财会〔2023〕15 号）规定，在2022年10月以后出具的审计报告须在注册会计师行业统一监管平台（网址：</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"http://acc.mof.gov.cn"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http://acc.mof.gov.cn</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）取得赋码，未取得赋码的财务报告视为无效。成立不满1年的，提供成立至今经企业自身出具的合法有效的财务报表或银行资信证明即可，不对备案赋码作要求；</w:t>
            </w:r>
          </w:p>
        </w:tc>
      </w:tr>
      <w:tr w14:paraId="2DB8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79B29382">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694" w:type="dxa"/>
            <w:tcBorders>
              <w:top w:val="single" w:color="auto" w:sz="4" w:space="0"/>
              <w:left w:val="single" w:color="auto" w:sz="4" w:space="0"/>
              <w:bottom w:val="single" w:color="auto" w:sz="4" w:space="0"/>
              <w:right w:val="single" w:color="auto" w:sz="4" w:space="0"/>
            </w:tcBorders>
          </w:tcPr>
          <w:p w14:paraId="32DEF0D9">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具有履行合同所必需的设备和专业技术能力</w:t>
            </w:r>
          </w:p>
        </w:tc>
        <w:tc>
          <w:tcPr>
            <w:tcW w:w="6446" w:type="dxa"/>
            <w:tcBorders>
              <w:top w:val="single" w:color="auto" w:sz="4" w:space="0"/>
              <w:left w:val="single" w:color="auto" w:sz="4" w:space="0"/>
              <w:bottom w:val="single" w:color="auto" w:sz="4" w:space="0"/>
              <w:right w:val="single" w:color="auto" w:sz="4" w:space="0"/>
            </w:tcBorders>
          </w:tcPr>
          <w:p w14:paraId="6B29A443">
            <w:pPr>
              <w:pStyle w:val="12"/>
              <w:widowControl w:val="0"/>
              <w:spacing w:line="360" w:lineRule="auto"/>
              <w:ind w:firstLine="0"/>
              <w:jc w:val="both"/>
              <w:rPr>
                <w:rFonts w:hint="eastAsia" w:ascii="宋体" w:hAnsi="宋体" w:eastAsia="宋体" w:cs="宋体"/>
                <w:color w:val="auto"/>
                <w:sz w:val="24"/>
                <w:szCs w:val="24"/>
                <w:highlight w:val="none"/>
              </w:rPr>
            </w:pPr>
            <w:r>
              <w:rPr>
                <w:rStyle w:val="111"/>
                <w:rFonts w:hint="eastAsia" w:ascii="宋体" w:hAnsi="宋体" w:eastAsia="宋体" w:cs="宋体"/>
                <w:color w:val="auto"/>
                <w:sz w:val="24"/>
                <w:szCs w:val="24"/>
                <w:highlight w:val="none"/>
              </w:rPr>
              <w:t>提供证明材料或相关承诺；</w:t>
            </w:r>
          </w:p>
        </w:tc>
      </w:tr>
      <w:tr w14:paraId="67B7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1D548C93">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694" w:type="dxa"/>
            <w:tcBorders>
              <w:top w:val="single" w:color="auto" w:sz="4" w:space="0"/>
              <w:left w:val="single" w:color="auto" w:sz="4" w:space="0"/>
              <w:bottom w:val="single" w:color="auto" w:sz="4" w:space="0"/>
              <w:right w:val="single" w:color="auto" w:sz="4" w:space="0"/>
            </w:tcBorders>
          </w:tcPr>
          <w:p w14:paraId="0ADF569D">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具有依法缴纳税收和社会保障资金的良好记录</w:t>
            </w:r>
          </w:p>
        </w:tc>
        <w:tc>
          <w:tcPr>
            <w:tcW w:w="6446" w:type="dxa"/>
            <w:tcBorders>
              <w:top w:val="single" w:color="auto" w:sz="4" w:space="0"/>
              <w:left w:val="single" w:color="auto" w:sz="4" w:space="0"/>
              <w:bottom w:val="single" w:color="auto" w:sz="4" w:space="0"/>
              <w:right w:val="single" w:color="auto" w:sz="4" w:space="0"/>
            </w:tcBorders>
          </w:tcPr>
          <w:p w14:paraId="666A6BB9">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lang w:val="en-US" w:eastAsia="zh-CN"/>
              </w:rPr>
              <w:t>有依法缴纳税收和社会保障资金的良好记录：提供202</w:t>
            </w:r>
            <w:r>
              <w:rPr>
                <w:rFonts w:hint="eastAsia" w:ascii="宋体" w:hAnsi="宋体" w:cs="宋体"/>
                <w:color w:val="auto"/>
                <w:spacing w:val="0"/>
                <w:w w:val="100"/>
                <w:kern w:val="0"/>
                <w:position w:val="0"/>
                <w:sz w:val="24"/>
                <w:szCs w:val="24"/>
                <w:highlight w:val="none"/>
                <w:lang w:val="en-US" w:eastAsia="zh-CN"/>
              </w:rPr>
              <w:t>5</w:t>
            </w:r>
            <w:r>
              <w:rPr>
                <w:rFonts w:hint="eastAsia" w:ascii="宋体" w:hAnsi="宋体" w:eastAsia="宋体" w:cs="宋体"/>
                <w:color w:val="auto"/>
                <w:spacing w:val="0"/>
                <w:w w:val="100"/>
                <w:kern w:val="0"/>
                <w:position w:val="0"/>
                <w:sz w:val="24"/>
                <w:szCs w:val="24"/>
                <w:highlight w:val="none"/>
                <w:lang w:val="en-US" w:eastAsia="zh-CN"/>
              </w:rPr>
              <w:t>年4月至响应文件递交截止时间前任意连续3个月依法缴纳税收和缴纳社会保障资金的证明；成立不足3个月的提供自成立以来依法缴纳税收和缴纳社会保障资金的证明；如依法免税或不需要缴纳社会保障资金的，提供相应文件证明；新成立的企业无需提供；</w:t>
            </w:r>
          </w:p>
        </w:tc>
      </w:tr>
      <w:tr w14:paraId="5D4E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752B945C">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694" w:type="dxa"/>
            <w:tcBorders>
              <w:top w:val="single" w:color="auto" w:sz="4" w:space="0"/>
              <w:left w:val="single" w:color="auto" w:sz="4" w:space="0"/>
              <w:bottom w:val="single" w:color="auto" w:sz="4" w:space="0"/>
              <w:right w:val="single" w:color="auto" w:sz="4" w:space="0"/>
            </w:tcBorders>
          </w:tcPr>
          <w:p w14:paraId="0F0259D5">
            <w:pPr>
              <w:pStyle w:val="12"/>
              <w:widowControl w:val="0"/>
              <w:spacing w:line="360" w:lineRule="auto"/>
              <w:ind w:firstLine="0"/>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参与本次政府采购活动前三年内，在经营活动中没有重大违法违纪记录</w:t>
            </w:r>
          </w:p>
        </w:tc>
        <w:tc>
          <w:tcPr>
            <w:tcW w:w="6446" w:type="dxa"/>
            <w:tcBorders>
              <w:top w:val="single" w:color="auto" w:sz="4" w:space="0"/>
              <w:left w:val="single" w:color="auto" w:sz="4" w:space="0"/>
              <w:bottom w:val="single" w:color="auto" w:sz="4" w:space="0"/>
              <w:right w:val="single" w:color="auto" w:sz="4" w:space="0"/>
            </w:tcBorders>
          </w:tcPr>
          <w:p w14:paraId="2D672A4C">
            <w:pPr>
              <w:pStyle w:val="12"/>
              <w:widowControl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lang w:val="en-US" w:eastAsia="zh-CN"/>
              </w:rPr>
              <w:t>供应商须提供参加政府采购活动前3年内在经营活动中没有重大违法记录的书面声明（重大违法记录是指供应商因违法经营受到刑事处罚或者责令停产停业、吊销许可证或者执照、较大数额罚款等行政处罚）（格式自拟）</w:t>
            </w:r>
          </w:p>
        </w:tc>
      </w:tr>
      <w:tr w14:paraId="7EBB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tcPr>
          <w:p w14:paraId="457658B2">
            <w:pPr>
              <w:pStyle w:val="12"/>
              <w:widowControl w:val="0"/>
              <w:spacing w:line="360" w:lineRule="auto"/>
              <w:ind w:firstLine="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2694" w:type="dxa"/>
            <w:tcBorders>
              <w:top w:val="single" w:color="auto" w:sz="4" w:space="0"/>
              <w:left w:val="single" w:color="auto" w:sz="4" w:space="0"/>
              <w:bottom w:val="single" w:color="auto" w:sz="4" w:space="0"/>
              <w:right w:val="single" w:color="auto" w:sz="4" w:space="0"/>
            </w:tcBorders>
          </w:tcPr>
          <w:p w14:paraId="09D8177B">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特定资格要求</w:t>
            </w:r>
          </w:p>
        </w:tc>
        <w:tc>
          <w:tcPr>
            <w:tcW w:w="6446" w:type="dxa"/>
            <w:tcBorders>
              <w:top w:val="single" w:color="auto" w:sz="4" w:space="0"/>
              <w:left w:val="single" w:color="auto" w:sz="4" w:space="0"/>
              <w:bottom w:val="single" w:color="auto" w:sz="4" w:space="0"/>
              <w:right w:val="single" w:color="auto" w:sz="4" w:space="0"/>
            </w:tcBorders>
          </w:tcPr>
          <w:p w14:paraId="2A2BD1B7">
            <w:pPr>
              <w:pStyle w:val="12"/>
              <w:widowControl w:val="0"/>
              <w:spacing w:line="360" w:lineRule="auto"/>
              <w:ind w:left="0" w:leftChars="0" w:firstLine="480" w:firstLineChars="200"/>
              <w:jc w:val="both"/>
              <w:rPr>
                <w:rFonts w:hint="default" w:ascii="宋体" w:hAnsi="宋体" w:eastAsia="宋体" w:cs="宋体"/>
                <w:color w:val="auto"/>
                <w:spacing w:val="0"/>
                <w:w w:val="100"/>
                <w:kern w:val="0"/>
                <w:position w:val="0"/>
                <w:sz w:val="24"/>
                <w:szCs w:val="24"/>
                <w:highlight w:val="none"/>
                <w:lang w:val="en-US" w:eastAsia="zh-CN"/>
              </w:rPr>
            </w:pPr>
            <w:r>
              <w:rPr>
                <w:rFonts w:hint="eastAsia" w:ascii="宋体" w:hAnsi="宋体" w:cs="宋体"/>
                <w:color w:val="auto"/>
                <w:spacing w:val="0"/>
                <w:w w:val="100"/>
                <w:kern w:val="0"/>
                <w:position w:val="0"/>
                <w:sz w:val="24"/>
                <w:szCs w:val="24"/>
                <w:highlight w:val="none"/>
                <w:lang w:val="en-US" w:eastAsia="zh-CN"/>
              </w:rPr>
              <w:t>无</w:t>
            </w:r>
          </w:p>
        </w:tc>
      </w:tr>
    </w:tbl>
    <w:p w14:paraId="2DA2DFA6">
      <w:pPr>
        <w:pStyle w:val="12"/>
        <w:numPr>
          <w:ilvl w:val="0"/>
          <w:numId w:val="5"/>
        </w:numPr>
        <w:spacing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符合性审查</w:t>
      </w:r>
    </w:p>
    <w:p w14:paraId="7CA7DC56">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磋商小组对符合资格的供应商的响应文件进行符合性审查，以确定其是否满足竞争性磋商文件的实质性要求。</w:t>
      </w:r>
    </w:p>
    <w:p w14:paraId="779A3B8C">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有下列情形之一的响应文件不能通过符合性评审，未通过符合性评审的供应商将不进入综合评分：</w:t>
      </w:r>
    </w:p>
    <w:tbl>
      <w:tblPr>
        <w:tblStyle w:val="35"/>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316"/>
        <w:gridCol w:w="6871"/>
      </w:tblGrid>
      <w:tr w14:paraId="21E9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366D5B61">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316" w:type="dxa"/>
            <w:tcBorders>
              <w:top w:val="single" w:color="auto" w:sz="4" w:space="0"/>
              <w:left w:val="single" w:color="auto" w:sz="4" w:space="0"/>
              <w:bottom w:val="single" w:color="auto" w:sz="4" w:space="0"/>
              <w:right w:val="single" w:color="auto" w:sz="4" w:space="0"/>
            </w:tcBorders>
          </w:tcPr>
          <w:p w14:paraId="64055EBB">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6871" w:type="dxa"/>
            <w:tcBorders>
              <w:top w:val="single" w:color="auto" w:sz="4" w:space="0"/>
              <w:left w:val="single" w:color="auto" w:sz="4" w:space="0"/>
              <w:bottom w:val="single" w:color="auto" w:sz="4" w:space="0"/>
              <w:right w:val="single" w:color="auto" w:sz="4" w:space="0"/>
            </w:tcBorders>
          </w:tcPr>
          <w:p w14:paraId="75916085">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审查标准</w:t>
            </w:r>
          </w:p>
        </w:tc>
      </w:tr>
      <w:tr w14:paraId="3DC3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7941774A">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16" w:type="dxa"/>
            <w:tcBorders>
              <w:top w:val="single" w:color="auto" w:sz="4" w:space="0"/>
              <w:left w:val="single" w:color="auto" w:sz="4" w:space="0"/>
              <w:bottom w:val="single" w:color="auto" w:sz="4" w:space="0"/>
              <w:right w:val="single" w:color="auto" w:sz="4" w:space="0"/>
            </w:tcBorders>
          </w:tcPr>
          <w:p w14:paraId="3C026C32">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响应文件签字盖章</w:t>
            </w:r>
          </w:p>
        </w:tc>
        <w:tc>
          <w:tcPr>
            <w:tcW w:w="6871" w:type="dxa"/>
            <w:tcBorders>
              <w:top w:val="single" w:color="auto" w:sz="4" w:space="0"/>
              <w:left w:val="single" w:color="auto" w:sz="4" w:space="0"/>
              <w:bottom w:val="single" w:color="auto" w:sz="4" w:space="0"/>
              <w:right w:val="single" w:color="auto" w:sz="4" w:space="0"/>
            </w:tcBorders>
          </w:tcPr>
          <w:p w14:paraId="6CDED3E1">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响应文件未按竞争性磋商文件要求签署、盖章的；</w:t>
            </w:r>
          </w:p>
        </w:tc>
      </w:tr>
      <w:tr w14:paraId="6422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4565FF1C">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316" w:type="dxa"/>
            <w:tcBorders>
              <w:top w:val="single" w:color="auto" w:sz="4" w:space="0"/>
              <w:left w:val="single" w:color="auto" w:sz="4" w:space="0"/>
              <w:bottom w:val="single" w:color="auto" w:sz="4" w:space="0"/>
              <w:right w:val="single" w:color="auto" w:sz="4" w:space="0"/>
            </w:tcBorders>
          </w:tcPr>
          <w:p w14:paraId="5EFFC1BA">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磋商报价</w:t>
            </w:r>
          </w:p>
        </w:tc>
        <w:tc>
          <w:tcPr>
            <w:tcW w:w="6871" w:type="dxa"/>
            <w:tcBorders>
              <w:top w:val="single" w:color="auto" w:sz="4" w:space="0"/>
              <w:left w:val="single" w:color="auto" w:sz="4" w:space="0"/>
              <w:bottom w:val="single" w:color="auto" w:sz="4" w:space="0"/>
              <w:right w:val="single" w:color="auto" w:sz="4" w:space="0"/>
            </w:tcBorders>
          </w:tcPr>
          <w:p w14:paraId="76110E09">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报价超过竞争性磋商文件中规定的预算金额或者最高限价的；</w:t>
            </w:r>
          </w:p>
        </w:tc>
      </w:tr>
      <w:tr w14:paraId="5503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tcBorders>
              <w:top w:val="single" w:color="auto" w:sz="4" w:space="0"/>
              <w:left w:val="single" w:color="auto" w:sz="4" w:space="0"/>
              <w:bottom w:val="single" w:color="auto" w:sz="4" w:space="0"/>
              <w:right w:val="single" w:color="auto" w:sz="4" w:space="0"/>
            </w:tcBorders>
            <w:vAlign w:val="top"/>
          </w:tcPr>
          <w:p w14:paraId="4FB69C35">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316" w:type="dxa"/>
            <w:tcBorders>
              <w:top w:val="single" w:color="auto" w:sz="4" w:space="0"/>
              <w:left w:val="single" w:color="auto" w:sz="4" w:space="0"/>
              <w:bottom w:val="single" w:color="auto" w:sz="4" w:space="0"/>
              <w:right w:val="single" w:color="auto" w:sz="4" w:space="0"/>
            </w:tcBorders>
          </w:tcPr>
          <w:p w14:paraId="171406C5">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响应文件格式</w:t>
            </w:r>
          </w:p>
        </w:tc>
        <w:tc>
          <w:tcPr>
            <w:tcW w:w="6871" w:type="dxa"/>
            <w:tcBorders>
              <w:top w:val="single" w:color="auto" w:sz="4" w:space="0"/>
              <w:left w:val="single" w:color="auto" w:sz="4" w:space="0"/>
              <w:bottom w:val="single" w:color="auto" w:sz="4" w:space="0"/>
              <w:right w:val="single" w:color="auto" w:sz="4" w:space="0"/>
            </w:tcBorders>
          </w:tcPr>
          <w:p w14:paraId="2EF37C2C">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响应文件未按规定的格式、内容和要求填写，或改变竞争性磋商文件中附件格式的；</w:t>
            </w:r>
          </w:p>
        </w:tc>
      </w:tr>
      <w:tr w14:paraId="17B8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2D141442">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316" w:type="dxa"/>
            <w:tcBorders>
              <w:top w:val="single" w:color="auto" w:sz="4" w:space="0"/>
              <w:left w:val="single" w:color="auto" w:sz="4" w:space="0"/>
              <w:bottom w:val="single" w:color="auto" w:sz="4" w:space="0"/>
              <w:right w:val="single" w:color="auto" w:sz="4" w:space="0"/>
            </w:tcBorders>
          </w:tcPr>
          <w:p w14:paraId="779D397E">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p>
        </w:tc>
        <w:tc>
          <w:tcPr>
            <w:tcW w:w="6871" w:type="dxa"/>
            <w:tcBorders>
              <w:top w:val="single" w:color="auto" w:sz="4" w:space="0"/>
              <w:left w:val="single" w:color="auto" w:sz="4" w:space="0"/>
              <w:bottom w:val="single" w:color="auto" w:sz="4" w:space="0"/>
              <w:right w:val="single" w:color="auto" w:sz="4" w:space="0"/>
            </w:tcBorders>
          </w:tcPr>
          <w:p w14:paraId="0D4FA5B8">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响应文件内容书写潦草、字迹模糊不清难以辨认的；</w:t>
            </w:r>
          </w:p>
        </w:tc>
      </w:tr>
      <w:tr w14:paraId="1626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48B0807C">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316" w:type="dxa"/>
            <w:tcBorders>
              <w:top w:val="single" w:color="auto" w:sz="4" w:space="0"/>
              <w:left w:val="single" w:color="auto" w:sz="4" w:space="0"/>
              <w:bottom w:val="single" w:color="auto" w:sz="4" w:space="0"/>
              <w:right w:val="single" w:color="auto" w:sz="4" w:space="0"/>
            </w:tcBorders>
          </w:tcPr>
          <w:p w14:paraId="2E0249F0">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w:t>
            </w:r>
          </w:p>
        </w:tc>
        <w:tc>
          <w:tcPr>
            <w:tcW w:w="6871" w:type="dxa"/>
            <w:tcBorders>
              <w:top w:val="single" w:color="auto" w:sz="4" w:space="0"/>
              <w:left w:val="single" w:color="auto" w:sz="4" w:space="0"/>
              <w:bottom w:val="single" w:color="auto" w:sz="4" w:space="0"/>
              <w:right w:val="single" w:color="auto" w:sz="4" w:space="0"/>
            </w:tcBorders>
          </w:tcPr>
          <w:p w14:paraId="53989352">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未满足竞争性磋商文件中规定的实质性条款或响应文件含有采购人不能接受的附加条件的；</w:t>
            </w:r>
          </w:p>
        </w:tc>
      </w:tr>
      <w:tr w14:paraId="7BA9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4C2AA23B">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316" w:type="dxa"/>
            <w:tcBorders>
              <w:top w:val="single" w:color="auto" w:sz="4" w:space="0"/>
              <w:left w:val="single" w:color="auto" w:sz="4" w:space="0"/>
              <w:bottom w:val="single" w:color="auto" w:sz="4" w:space="0"/>
              <w:right w:val="single" w:color="auto" w:sz="4" w:space="0"/>
            </w:tcBorders>
          </w:tcPr>
          <w:p w14:paraId="37F3E62F">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串标行为</w:t>
            </w:r>
          </w:p>
        </w:tc>
        <w:tc>
          <w:tcPr>
            <w:tcW w:w="6871" w:type="dxa"/>
            <w:tcBorders>
              <w:top w:val="single" w:color="auto" w:sz="4" w:space="0"/>
              <w:left w:val="single" w:color="auto" w:sz="4" w:space="0"/>
              <w:bottom w:val="single" w:color="auto" w:sz="4" w:space="0"/>
              <w:right w:val="single" w:color="auto" w:sz="4" w:space="0"/>
            </w:tcBorders>
          </w:tcPr>
          <w:p w14:paraId="1A45B6C4">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供应商存在串通投标或被视为串通的情形；</w:t>
            </w:r>
          </w:p>
        </w:tc>
      </w:tr>
      <w:tr w14:paraId="794B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tcBorders>
              <w:top w:val="single" w:color="auto" w:sz="4" w:space="0"/>
              <w:left w:val="single" w:color="auto" w:sz="4" w:space="0"/>
              <w:bottom w:val="single" w:color="auto" w:sz="4" w:space="0"/>
              <w:right w:val="single" w:color="auto" w:sz="4" w:space="0"/>
            </w:tcBorders>
            <w:vAlign w:val="top"/>
          </w:tcPr>
          <w:p w14:paraId="363532F4">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316" w:type="dxa"/>
            <w:tcBorders>
              <w:top w:val="single" w:color="auto" w:sz="4" w:space="0"/>
              <w:left w:val="single" w:color="auto" w:sz="4" w:space="0"/>
              <w:bottom w:val="single" w:color="auto" w:sz="4" w:space="0"/>
              <w:right w:val="single" w:color="auto" w:sz="4" w:space="0"/>
            </w:tcBorders>
          </w:tcPr>
          <w:p w14:paraId="0D2B5691">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法律、法规及竞争性磋商文件规定</w:t>
            </w:r>
          </w:p>
        </w:tc>
        <w:tc>
          <w:tcPr>
            <w:tcW w:w="6871" w:type="dxa"/>
            <w:tcBorders>
              <w:top w:val="single" w:color="auto" w:sz="4" w:space="0"/>
              <w:left w:val="single" w:color="auto" w:sz="4" w:space="0"/>
              <w:bottom w:val="single" w:color="auto" w:sz="4" w:space="0"/>
              <w:right w:val="single" w:color="auto" w:sz="4" w:space="0"/>
            </w:tcBorders>
          </w:tcPr>
          <w:p w14:paraId="434BC829">
            <w:pPr>
              <w:pStyle w:val="12"/>
              <w:widowControl w:val="0"/>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法律、法规和竞争性磋商文件规定的其他无效情形；</w:t>
            </w:r>
          </w:p>
        </w:tc>
      </w:tr>
    </w:tbl>
    <w:p w14:paraId="5B1B2C49">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当遵循公平竞争的原则，不得恶意串通，不得妨碍其他供应商的竞争行为，不得损害采购人或者其他供应商的合法权益。在评标过程中发现供应商有上述情形的，磋商小组应当认定其投标无效，并书面报告本级财政部门。有下列情形之一的，视为供应商串通投标，其投标无效：</w:t>
      </w:r>
    </w:p>
    <w:p w14:paraId="467272A5">
      <w:pPr>
        <w:pStyle w:val="12"/>
        <w:autoSpaceDE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(1)不同供应商的响应文件由同一单位或者个人编制；</w:t>
      </w:r>
    </w:p>
    <w:p w14:paraId="7087BE63">
      <w:pPr>
        <w:pStyle w:val="12"/>
        <w:autoSpaceDE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(2)不同供应商委托同一单位或者个人办理磋商事宜；</w:t>
      </w:r>
    </w:p>
    <w:p w14:paraId="3DC318CD">
      <w:pPr>
        <w:pStyle w:val="12"/>
        <w:autoSpaceDE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(3)不同供应商的响应文件载明的项目管理成员或者联系人员为同一人；</w:t>
      </w:r>
    </w:p>
    <w:p w14:paraId="2BF12517">
      <w:pPr>
        <w:pStyle w:val="12"/>
        <w:autoSpaceDE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(4)不同供应商的响应文件异常一致或者磋商报价呈规律性差异；</w:t>
      </w:r>
    </w:p>
    <w:p w14:paraId="20CDC5AD">
      <w:pPr>
        <w:pStyle w:val="12"/>
        <w:autoSpaceDE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(5)不同供应商的响应文件相互混装；</w:t>
      </w:r>
    </w:p>
    <w:p w14:paraId="50C1E40C">
      <w:pPr>
        <w:pStyle w:val="1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12.法律、法规和竞争性磋商文件规定的其他无效情形。</w:t>
      </w:r>
    </w:p>
    <w:p w14:paraId="3F21F015">
      <w:pPr>
        <w:pStyle w:val="12"/>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(二)澄清有关问题</w:t>
      </w:r>
    </w:p>
    <w:p w14:paraId="3928A7D6">
      <w:pPr>
        <w:pStyle w:val="12"/>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1.响应文件内容澄清</w:t>
      </w:r>
    </w:p>
    <w:p w14:paraId="2CBEF47C">
      <w:pPr>
        <w:pStyle w:val="12"/>
        <w:autoSpaceDE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响应文件中含义不明确、同类问题表述不一致或者有明显文字和计算错误的内容，磋商小组应当以书面形式要求供应商作出必要的澄清、说明或者补正。供应商的澄清、说明或者补正应当采用书面形式，并加盖单位公章，或者由法定代表人或其授权的代表签字。供应商的澄清、说明或者补正不得超出响应文件的范围或者改变响应文件的实质性内容。</w:t>
      </w:r>
    </w:p>
    <w:p w14:paraId="73FDFA85">
      <w:pPr>
        <w:pStyle w:val="12"/>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2.报价不一致情形澄清</w:t>
      </w:r>
    </w:p>
    <w:p w14:paraId="73302E7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响应文件报价出现前后不一致的，除竞争性磋商文件另有规定外，按照下列规定修正：</w:t>
      </w:r>
    </w:p>
    <w:p w14:paraId="0D79526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(1)响应文件中《开标一览表》内容与响应文件中相应内容不一致的，以《开标一览表》为准；</w:t>
      </w:r>
    </w:p>
    <w:p w14:paraId="48F27A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38DA2CA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14:paraId="0CD0DF8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5E0DFA04">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14:paraId="4821B288">
      <w:pPr>
        <w:pStyle w:val="12"/>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3.报价过低情形澄清</w:t>
      </w:r>
    </w:p>
    <w:p w14:paraId="312F0FE4">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认为供应商的报价(总价或单价)明显低于其他通过符合性审查供应商的报价(总价或单价)，有可能影响产品质量或者不能诚信履约的，应当要求其在评标现场合理的时间内提供书面说明，必要时提交相关证明材料；供应商不能证明其报价合理性的，磋商小组应当将其作为无效投标处理。</w:t>
      </w:r>
    </w:p>
    <w:p w14:paraId="44B64091">
      <w:pP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(三)商务和技术评估、综合比较与评价</w:t>
      </w:r>
    </w:p>
    <w:p w14:paraId="58D68480">
      <w:pPr>
        <w:widowControl w:val="0"/>
        <w:spacing w:line="460" w:lineRule="exact"/>
        <w:ind w:firstLine="472" w:firstLineChars="196"/>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1.小型和微型企业价格评分优惠政策</w:t>
      </w:r>
    </w:p>
    <w:p w14:paraId="22009E1B">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482" w:firstLineChars="200"/>
        <w:jc w:val="left"/>
        <w:textAlignment w:val="auto"/>
        <w:outlineLvl w:val="9"/>
        <w:rPr>
          <w:rFonts w:hint="eastAsia" w:ascii="宋体" w:hAnsi="宋体" w:eastAsia="宋体" w:cs="宋体"/>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落实政府采购政策需满足的资格要求：</w:t>
      </w:r>
      <w:r>
        <w:rPr>
          <w:rFonts w:hint="eastAsia" w:ascii="宋体" w:hAnsi="宋体" w:eastAsia="宋体" w:cs="宋体"/>
          <w:color w:val="auto"/>
          <w:spacing w:val="0"/>
          <w:w w:val="100"/>
          <w:kern w:val="0"/>
          <w:position w:val="0"/>
          <w:sz w:val="24"/>
          <w:szCs w:val="24"/>
          <w:highlight w:val="none"/>
          <w:lang w:val="en-US" w:eastAsia="zh-CN"/>
        </w:rPr>
        <w:t>本项目不属于专门面向中小企业采购的项目，中小企业划分标准属于行业为“其他未列明行业”；根据《政府采购促进中小企业发展管理办法》（财库〔2020〕46号）、《关于进一步加大政府采购支持中小企业力度》（财库〔2022〕19号）、《关于政府采购支持监狱企业发展有关问题的通知》(财库〔2014〕68号)、《财政部、民政部、中国残疾人联合会关于促进残疾人就业政府采购政策的通知》（财库〔2017〕141号）、《国务院关于印发扎实稳住经济一揽子政策措施的通知》（国发〔2022〕12号）等规定，对小型和微型企业的价格给予10%的扣除，用扣除后的价格参与评审；监狱企业、残疾人福利性单位视同小型、微型企业，其价格在评审时给予相同的价格扣除。</w:t>
      </w:r>
    </w:p>
    <w:p w14:paraId="701766D8">
      <w:pPr>
        <w:autoSpaceDE w:val="0"/>
        <w:autoSpaceDN w:val="0"/>
        <w:spacing w:line="48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监狱企业优先采购评分优惠政策</w:t>
      </w:r>
    </w:p>
    <w:p w14:paraId="46C3405D">
      <w:pPr>
        <w:autoSpaceDE w:val="0"/>
        <w:autoSpaceDN w:val="0"/>
        <w:spacing w:line="480" w:lineRule="exact"/>
        <w:ind w:left="-15" w:leftChars="-7"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关于政府采购支持监狱企业发展有关问题的通知》(财库[2014]68号)的规定，监狱企业优惠政策，监狱企业参与本项目磋商时，提供由省级以上监狱管理局、戒毒管理局(含新疆生产建设兵团)出具的属于监狱企业的证明文件的，视同小型、微型企业享受价格扣除等优惠政策。</w:t>
      </w:r>
    </w:p>
    <w:p w14:paraId="5B038F28">
      <w:pPr>
        <w:autoSpaceDE w:val="0"/>
        <w:autoSpaceDN w:val="0"/>
        <w:spacing w:line="48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3.残疾人福利性单位优惠政策</w:t>
      </w:r>
    </w:p>
    <w:p w14:paraId="66E8C7E8">
      <w:pPr>
        <w:widowControl w:val="0"/>
        <w:autoSpaceDE w:val="0"/>
        <w:autoSpaceDN w:val="0"/>
        <w:spacing w:line="4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根据《关于促进残疾人就业政府采购政策的通知》(财库[2017]141号)的规定，残疾人福利性单位</w:t>
      </w:r>
      <w:r>
        <w:rPr>
          <w:rFonts w:hint="eastAsia" w:ascii="宋体" w:hAnsi="宋体" w:eastAsia="宋体" w:cs="宋体"/>
          <w:color w:val="auto"/>
          <w:kern w:val="2"/>
          <w:sz w:val="24"/>
          <w:szCs w:val="24"/>
          <w:highlight w:val="none"/>
        </w:rPr>
        <w:t>优惠政策</w:t>
      </w:r>
      <w:r>
        <w:rPr>
          <w:rFonts w:hint="eastAsia" w:ascii="宋体" w:hAnsi="宋体" w:eastAsia="宋体" w:cs="宋体"/>
          <w:color w:val="auto"/>
          <w:sz w:val="24"/>
          <w:szCs w:val="24"/>
          <w:highlight w:val="none"/>
        </w:rPr>
        <w:t>，残疾人福利性单位参与本项目磋商时，提供《残疾人福利性单位声明函》并对声明的真实性负责，视同小型、微型企业享受价格扣除等优惠政策。</w:t>
      </w:r>
    </w:p>
    <w:p w14:paraId="20ED37AC">
      <w:pPr>
        <w:autoSpaceDE w:val="0"/>
        <w:autoSpaceDN w:val="0"/>
        <w:spacing w:line="480" w:lineRule="exact"/>
        <w:ind w:firstLine="472" w:firstLineChars="196"/>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rPr>
        <w:t>4</w:t>
      </w:r>
      <w:r>
        <w:rPr>
          <w:rFonts w:hint="eastAsia" w:ascii="宋体" w:hAnsi="宋体" w:eastAsia="宋体" w:cs="宋体"/>
          <w:b/>
          <w:bCs/>
          <w:color w:val="auto"/>
          <w:kern w:val="2"/>
          <w:sz w:val="24"/>
          <w:szCs w:val="24"/>
          <w:highlight w:val="none"/>
        </w:rPr>
        <w:t>.其他</w:t>
      </w:r>
    </w:p>
    <w:p w14:paraId="497DED84">
      <w:pPr>
        <w:autoSpaceDE w:val="0"/>
        <w:autoSpaceDN w:val="0"/>
        <w:spacing w:line="480" w:lineRule="exact"/>
        <w:ind w:firstLine="470" w:firstLineChars="196"/>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在评审过程中，核心产品提供相同品牌产品且通过资格审查、符合性审查的不同供应商参加同一合同项下磋商的，按一家供应商计算，评审后得分最高的同品牌供应商获得成交人推荐资格；评审得分相同的，由采购人或者采购人委托磋商小组按照竞争性磋商文件规定的方式确定一个供应商获得成交人推荐资格，竞争性磋商文件未规定的采取随机抽取方式确定，其他同品牌供应商不作为中标候选人。</w:t>
      </w:r>
    </w:p>
    <w:p w14:paraId="47311761">
      <w:pPr>
        <w:autoSpaceDE w:val="0"/>
        <w:autoSpaceDN w:val="0"/>
        <w:spacing w:line="48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.综合评分方式</w:t>
      </w:r>
    </w:p>
    <w:p w14:paraId="32F84376">
      <w:pPr>
        <w:autoSpaceDE w:val="0"/>
        <w:autoSpaceDN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评标总得分＝F</w:t>
      </w:r>
      <w:r>
        <w:rPr>
          <w:rFonts w:hint="eastAsia" w:ascii="宋体" w:hAnsi="宋体" w:eastAsia="宋体" w:cs="宋体"/>
          <w:color w:val="auto"/>
          <w:sz w:val="28"/>
          <w:szCs w:val="28"/>
          <w:highlight w:val="none"/>
          <w:vertAlign w:val="subscript"/>
        </w:rPr>
        <w:t>1</w:t>
      </w: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1</w:t>
      </w:r>
      <w:r>
        <w:rPr>
          <w:rFonts w:hint="eastAsia" w:ascii="宋体" w:hAnsi="宋体" w:eastAsia="宋体" w:cs="宋体"/>
          <w:color w:val="auto"/>
          <w:sz w:val="24"/>
          <w:szCs w:val="24"/>
          <w:highlight w:val="none"/>
        </w:rPr>
        <w:t>＋F</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4"/>
          <w:szCs w:val="24"/>
          <w:highlight w:val="none"/>
        </w:rPr>
        <w:t xml:space="preserve"> ×A</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4"/>
          <w:szCs w:val="24"/>
          <w:highlight w:val="none"/>
        </w:rPr>
        <w:t>＋…＋F</w:t>
      </w:r>
      <w:r>
        <w:rPr>
          <w:rFonts w:hint="eastAsia" w:ascii="宋体" w:hAnsi="宋体" w:eastAsia="宋体" w:cs="宋体"/>
          <w:color w:val="auto"/>
          <w:sz w:val="28"/>
          <w:szCs w:val="28"/>
          <w:highlight w:val="none"/>
          <w:vertAlign w:val="subscript"/>
        </w:rPr>
        <w:t>n</w:t>
      </w:r>
      <w:r>
        <w:rPr>
          <w:rFonts w:hint="eastAsia" w:ascii="宋体" w:hAnsi="宋体" w:eastAsia="宋体" w:cs="宋体"/>
          <w:color w:val="auto"/>
          <w:sz w:val="24"/>
          <w:szCs w:val="24"/>
          <w:highlight w:val="none"/>
        </w:rPr>
        <w:t xml:space="preserve"> ×A</w:t>
      </w:r>
      <w:r>
        <w:rPr>
          <w:rFonts w:hint="eastAsia" w:ascii="宋体" w:hAnsi="宋体" w:eastAsia="宋体" w:cs="宋体"/>
          <w:color w:val="auto"/>
          <w:sz w:val="28"/>
          <w:szCs w:val="28"/>
          <w:highlight w:val="none"/>
          <w:vertAlign w:val="subscript"/>
        </w:rPr>
        <w:t>n</w:t>
      </w:r>
      <w:r>
        <w:rPr>
          <w:rFonts w:hint="eastAsia" w:ascii="宋体" w:hAnsi="宋体" w:eastAsia="宋体" w:cs="宋体"/>
          <w:color w:val="auto"/>
          <w:sz w:val="24"/>
          <w:szCs w:val="24"/>
          <w:highlight w:val="none"/>
        </w:rPr>
        <w:t>，其中，</w:t>
      </w:r>
    </w:p>
    <w:p w14:paraId="3081E22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w:t>
      </w:r>
      <w:r>
        <w:rPr>
          <w:rFonts w:hint="eastAsia" w:ascii="宋体" w:hAnsi="宋体" w:eastAsia="宋体" w:cs="宋体"/>
          <w:color w:val="auto"/>
          <w:sz w:val="28"/>
          <w:szCs w:val="28"/>
          <w:highlight w:val="none"/>
          <w:vertAlign w:val="subscript"/>
        </w:rPr>
        <w:t>1</w:t>
      </w:r>
      <w:r>
        <w:rPr>
          <w:rFonts w:hint="eastAsia" w:ascii="宋体" w:hAnsi="宋体" w:eastAsia="宋体" w:cs="宋体"/>
          <w:color w:val="auto"/>
          <w:sz w:val="24"/>
          <w:szCs w:val="24"/>
          <w:highlight w:val="none"/>
        </w:rPr>
        <w:t>、F</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4"/>
          <w:szCs w:val="24"/>
          <w:highlight w:val="none"/>
        </w:rPr>
        <w:t>、…、F</w:t>
      </w:r>
      <w:r>
        <w:rPr>
          <w:rFonts w:hint="eastAsia" w:ascii="宋体" w:hAnsi="宋体" w:eastAsia="宋体" w:cs="宋体"/>
          <w:color w:val="auto"/>
          <w:sz w:val="28"/>
          <w:szCs w:val="28"/>
          <w:highlight w:val="none"/>
          <w:vertAlign w:val="subscript"/>
        </w:rPr>
        <w:t>n</w:t>
      </w:r>
      <w:r>
        <w:rPr>
          <w:rFonts w:hint="eastAsia" w:ascii="宋体" w:hAnsi="宋体" w:eastAsia="宋体" w:cs="宋体"/>
          <w:color w:val="auto"/>
          <w:sz w:val="24"/>
          <w:szCs w:val="24"/>
          <w:highlight w:val="none"/>
        </w:rPr>
        <w:t>分别为各项评审因素的得分；</w:t>
      </w:r>
    </w:p>
    <w:p w14:paraId="4F3370B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1</w:t>
      </w: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n</w:t>
      </w:r>
      <w:r>
        <w:rPr>
          <w:rFonts w:hint="eastAsia" w:ascii="宋体" w:hAnsi="宋体" w:eastAsia="宋体" w:cs="宋体"/>
          <w:color w:val="auto"/>
          <w:sz w:val="24"/>
          <w:szCs w:val="24"/>
          <w:highlight w:val="none"/>
        </w:rPr>
        <w:t xml:space="preserve"> 分别为各项评审因素所占的权重(A</w:t>
      </w:r>
      <w:r>
        <w:rPr>
          <w:rFonts w:hint="eastAsia" w:ascii="宋体" w:hAnsi="宋体" w:eastAsia="宋体" w:cs="宋体"/>
          <w:color w:val="auto"/>
          <w:sz w:val="28"/>
          <w:szCs w:val="28"/>
          <w:highlight w:val="none"/>
          <w:vertAlign w:val="subscript"/>
        </w:rPr>
        <w:t>1</w:t>
      </w: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4"/>
          <w:szCs w:val="24"/>
          <w:highlight w:val="none"/>
        </w:rPr>
        <w:t>＋…＋A</w:t>
      </w:r>
      <w:r>
        <w:rPr>
          <w:rFonts w:hint="eastAsia" w:ascii="宋体" w:hAnsi="宋体" w:eastAsia="宋体" w:cs="宋体"/>
          <w:color w:val="auto"/>
          <w:sz w:val="28"/>
          <w:szCs w:val="28"/>
          <w:highlight w:val="none"/>
          <w:vertAlign w:val="subscript"/>
        </w:rPr>
        <w:t>n</w:t>
      </w:r>
      <w:r>
        <w:rPr>
          <w:rFonts w:hint="eastAsia" w:ascii="宋体" w:hAnsi="宋体" w:eastAsia="宋体" w:cs="宋体"/>
          <w:color w:val="auto"/>
          <w:sz w:val="24"/>
          <w:szCs w:val="24"/>
          <w:highlight w:val="none"/>
        </w:rPr>
        <w:t>＝1)。</w:t>
      </w:r>
    </w:p>
    <w:p w14:paraId="66424F75">
      <w:pPr>
        <w:pStyle w:val="12"/>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具体评审细则如下：</w:t>
      </w:r>
    </w:p>
    <w:p w14:paraId="26B9BE5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tbl>
      <w:tblPr>
        <w:tblStyle w:val="35"/>
        <w:tblW w:w="1034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110"/>
        <w:gridCol w:w="795"/>
        <w:gridCol w:w="583"/>
        <w:gridCol w:w="723"/>
        <w:gridCol w:w="199"/>
        <w:gridCol w:w="7299"/>
      </w:tblGrid>
      <w:tr w14:paraId="1A4F72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42" w:type="dxa"/>
            <w:gridSpan w:val="2"/>
            <w:tcBorders>
              <w:top w:val="single" w:color="000000" w:sz="12" w:space="0"/>
            </w:tcBorders>
            <w:vAlign w:val="center"/>
          </w:tcPr>
          <w:p w14:paraId="5631B4DD">
            <w:pPr>
              <w:spacing w:line="400" w:lineRule="exact"/>
              <w:ind w:firstLine="28" w:firstLineChars="0"/>
              <w:jc w:val="center"/>
              <w:rPr>
                <w:rFonts w:hint="eastAsia" w:ascii="宋体" w:hAnsi="宋体" w:eastAsia="宋体" w:cs="宋体"/>
                <w:b/>
                <w:color w:val="auto"/>
                <w:sz w:val="24"/>
                <w:szCs w:val="24"/>
                <w:highlight w:val="none"/>
              </w:rPr>
            </w:pPr>
            <w:r>
              <w:rPr>
                <w:rFonts w:hint="eastAsia" w:ascii="宋体" w:hAnsi="宋体" w:eastAsia="宋体" w:cs="宋体"/>
                <w:b/>
                <w:bCs/>
                <w:color w:val="000000"/>
                <w:sz w:val="24"/>
                <w:szCs w:val="24"/>
                <w:highlight w:val="none"/>
              </w:rPr>
              <w:t>序号</w:t>
            </w:r>
          </w:p>
        </w:tc>
        <w:tc>
          <w:tcPr>
            <w:tcW w:w="795" w:type="dxa"/>
            <w:tcBorders>
              <w:top w:val="single" w:color="000000" w:sz="12" w:space="0"/>
            </w:tcBorders>
            <w:vAlign w:val="center"/>
          </w:tcPr>
          <w:p w14:paraId="1D92BCF2">
            <w:pPr>
              <w:spacing w:line="400" w:lineRule="exact"/>
              <w:ind w:firstLine="28" w:firstLineChars="0"/>
              <w:jc w:val="center"/>
              <w:rPr>
                <w:rFonts w:hint="eastAsia" w:ascii="宋体" w:hAnsi="宋体" w:eastAsia="宋体" w:cs="宋体"/>
                <w:b/>
                <w:color w:val="auto"/>
                <w:sz w:val="24"/>
                <w:szCs w:val="24"/>
                <w:highlight w:val="none"/>
              </w:rPr>
            </w:pPr>
            <w:r>
              <w:rPr>
                <w:rFonts w:hint="eastAsia" w:ascii="宋体" w:hAnsi="宋体" w:eastAsia="宋体" w:cs="宋体"/>
                <w:b/>
                <w:bCs/>
                <w:color w:val="000000"/>
                <w:sz w:val="24"/>
                <w:szCs w:val="24"/>
                <w:highlight w:val="none"/>
              </w:rPr>
              <w:t>评分因素</w:t>
            </w:r>
          </w:p>
        </w:tc>
        <w:tc>
          <w:tcPr>
            <w:tcW w:w="1306" w:type="dxa"/>
            <w:gridSpan w:val="2"/>
            <w:tcBorders>
              <w:top w:val="single" w:color="000000" w:sz="12" w:space="0"/>
            </w:tcBorders>
            <w:vAlign w:val="center"/>
          </w:tcPr>
          <w:p w14:paraId="48BDC7C0">
            <w:pPr>
              <w:spacing w:line="400" w:lineRule="exact"/>
              <w:ind w:firstLine="28" w:firstLineChars="0"/>
              <w:jc w:val="center"/>
              <w:rPr>
                <w:rFonts w:hint="eastAsia" w:ascii="宋体" w:hAnsi="宋体" w:eastAsia="宋体" w:cs="宋体"/>
                <w:b/>
                <w:color w:val="auto"/>
                <w:sz w:val="24"/>
                <w:szCs w:val="24"/>
                <w:highlight w:val="none"/>
              </w:rPr>
            </w:pPr>
            <w:r>
              <w:rPr>
                <w:rFonts w:hint="eastAsia" w:ascii="宋体" w:hAnsi="宋体" w:eastAsia="宋体" w:cs="宋体"/>
                <w:b/>
                <w:bCs/>
                <w:color w:val="000000"/>
                <w:sz w:val="24"/>
                <w:szCs w:val="24"/>
                <w:highlight w:val="none"/>
              </w:rPr>
              <w:t>分值</w:t>
            </w:r>
          </w:p>
        </w:tc>
        <w:tc>
          <w:tcPr>
            <w:tcW w:w="7498" w:type="dxa"/>
            <w:gridSpan w:val="2"/>
            <w:tcBorders>
              <w:top w:val="single" w:color="000000" w:sz="12" w:space="0"/>
            </w:tcBorders>
            <w:vAlign w:val="center"/>
          </w:tcPr>
          <w:p w14:paraId="6D728B29">
            <w:pPr>
              <w:spacing w:line="400" w:lineRule="exact"/>
              <w:ind w:firstLine="28" w:firstLineChars="0"/>
              <w:jc w:val="center"/>
              <w:rPr>
                <w:rFonts w:hint="eastAsia" w:ascii="宋体" w:hAnsi="宋体" w:eastAsia="宋体" w:cs="宋体"/>
                <w:b/>
                <w:color w:val="auto"/>
                <w:sz w:val="24"/>
                <w:szCs w:val="24"/>
                <w:highlight w:val="none"/>
              </w:rPr>
            </w:pPr>
            <w:r>
              <w:rPr>
                <w:rFonts w:hint="eastAsia" w:ascii="宋体" w:hAnsi="宋体" w:eastAsia="宋体" w:cs="宋体"/>
                <w:b/>
                <w:bCs/>
                <w:color w:val="000000"/>
                <w:sz w:val="24"/>
                <w:szCs w:val="24"/>
                <w:highlight w:val="none"/>
              </w:rPr>
              <w:t>评分标准</w:t>
            </w:r>
          </w:p>
        </w:tc>
      </w:tr>
      <w:tr w14:paraId="6C14CD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99" w:hRule="atLeast"/>
          <w:jc w:val="center"/>
        </w:trPr>
        <w:tc>
          <w:tcPr>
            <w:tcW w:w="10341" w:type="dxa"/>
            <w:gridSpan w:val="7"/>
            <w:vAlign w:val="center"/>
          </w:tcPr>
          <w:p w14:paraId="5B308947">
            <w:pPr>
              <w:spacing w:line="400" w:lineRule="exact"/>
              <w:ind w:firstLine="28"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000000"/>
                <w:sz w:val="24"/>
                <w:szCs w:val="24"/>
                <w:highlight w:val="none"/>
                <w:lang w:val="en-US" w:eastAsia="zh-CN"/>
              </w:rPr>
              <w:t>F1:</w:t>
            </w:r>
            <w:r>
              <w:rPr>
                <w:rFonts w:hint="eastAsia" w:ascii="宋体" w:hAnsi="宋体" w:eastAsia="宋体" w:cs="宋体"/>
                <w:b/>
                <w:bCs/>
                <w:color w:val="000000"/>
                <w:sz w:val="24"/>
                <w:szCs w:val="24"/>
                <w:highlight w:val="none"/>
              </w:rPr>
              <w:t>磋商报价部分</w:t>
            </w:r>
            <w:r>
              <w:rPr>
                <w:rFonts w:hint="eastAsia" w:ascii="宋体" w:hAnsi="宋体" w:eastAsia="宋体" w:cs="宋体"/>
                <w:b/>
                <w:bCs/>
                <w:color w:val="000000"/>
                <w:sz w:val="24"/>
                <w:szCs w:val="24"/>
                <w:highlight w:val="none"/>
                <w:shd w:val="clear" w:color="auto" w:fill="FFFFFF"/>
                <w:lang w:bidi="ar"/>
              </w:rPr>
              <w:t>（满分</w:t>
            </w:r>
            <w:r>
              <w:rPr>
                <w:rFonts w:hint="eastAsia" w:ascii="宋体" w:hAnsi="宋体" w:cs="宋体"/>
                <w:b/>
                <w:bCs/>
                <w:color w:val="000000"/>
                <w:sz w:val="24"/>
                <w:szCs w:val="24"/>
                <w:highlight w:val="none"/>
                <w:shd w:val="clear" w:color="auto" w:fill="FFFFFF"/>
                <w:lang w:val="en-US" w:eastAsia="zh-CN" w:bidi="ar"/>
              </w:rPr>
              <w:t>1</w:t>
            </w:r>
            <w:r>
              <w:rPr>
                <w:rFonts w:hint="eastAsia" w:ascii="宋体" w:hAnsi="宋体" w:eastAsia="宋体" w:cs="宋体"/>
                <w:b/>
                <w:bCs/>
                <w:color w:val="000000"/>
                <w:sz w:val="24"/>
                <w:szCs w:val="24"/>
                <w:highlight w:val="none"/>
                <w:shd w:val="clear" w:color="auto" w:fill="FFFFFF"/>
                <w:lang w:val="en-US" w:eastAsia="zh-CN" w:bidi="ar"/>
              </w:rPr>
              <w:t>0</w:t>
            </w:r>
            <w:r>
              <w:rPr>
                <w:rFonts w:hint="eastAsia" w:ascii="宋体" w:hAnsi="宋体" w:eastAsia="宋体" w:cs="宋体"/>
                <w:b/>
                <w:bCs/>
                <w:color w:val="000000"/>
                <w:sz w:val="24"/>
                <w:szCs w:val="24"/>
                <w:highlight w:val="none"/>
              </w:rPr>
              <w:t>分）</w:t>
            </w:r>
          </w:p>
        </w:tc>
      </w:tr>
      <w:tr w14:paraId="165B1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42" w:type="dxa"/>
            <w:gridSpan w:val="2"/>
            <w:vAlign w:val="center"/>
          </w:tcPr>
          <w:p w14:paraId="14875344">
            <w:pPr>
              <w:spacing w:line="400" w:lineRule="exact"/>
              <w:ind w:firstLine="28"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color w:val="000000"/>
                <w:sz w:val="24"/>
                <w:szCs w:val="24"/>
                <w:highlight w:val="none"/>
              </w:rPr>
              <w:t>1</w:t>
            </w:r>
          </w:p>
        </w:tc>
        <w:tc>
          <w:tcPr>
            <w:tcW w:w="795" w:type="dxa"/>
            <w:vAlign w:val="center"/>
          </w:tcPr>
          <w:p w14:paraId="37BFC6CF">
            <w:pPr>
              <w:spacing w:line="400" w:lineRule="exact"/>
              <w:ind w:firstLine="28"/>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磋商报价</w:t>
            </w:r>
          </w:p>
          <w:p w14:paraId="2750C004">
            <w:pPr>
              <w:spacing w:line="400" w:lineRule="exact"/>
              <w:ind w:firstLine="28"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color w:val="000000"/>
                <w:sz w:val="24"/>
                <w:szCs w:val="24"/>
                <w:highlight w:val="none"/>
                <w:shd w:val="clear" w:color="auto" w:fill="FFFFFF"/>
                <w:lang w:bidi="ar"/>
              </w:rPr>
              <w:t>评分</w:t>
            </w:r>
          </w:p>
        </w:tc>
        <w:tc>
          <w:tcPr>
            <w:tcW w:w="1306" w:type="dxa"/>
            <w:gridSpan w:val="2"/>
            <w:vAlign w:val="center"/>
          </w:tcPr>
          <w:p w14:paraId="0D7C018C">
            <w:pPr>
              <w:spacing w:line="400" w:lineRule="exact"/>
              <w:ind w:firstLine="28" w:firstLineChars="0"/>
              <w:jc w:val="center"/>
              <w:rPr>
                <w:rFonts w:hint="eastAsia" w:ascii="宋体" w:hAnsi="宋体" w:eastAsia="宋体" w:cs="宋体"/>
                <w:b/>
                <w:bCs/>
                <w:color w:val="auto"/>
                <w:spacing w:val="-2"/>
                <w:sz w:val="24"/>
                <w:szCs w:val="24"/>
                <w:highlight w:val="none"/>
                <w:lang w:val="en-US"/>
              </w:rPr>
            </w:pPr>
            <w:r>
              <w:rPr>
                <w:rFonts w:hint="eastAsia" w:ascii="宋体" w:hAnsi="宋体" w:cs="宋体"/>
                <w:color w:val="000000"/>
                <w:sz w:val="24"/>
                <w:szCs w:val="24"/>
                <w:highlight w:val="none"/>
                <w:shd w:val="clear" w:color="auto" w:fill="FFFFFF"/>
                <w:lang w:val="en-US" w:eastAsia="zh-CN" w:bidi="ar"/>
              </w:rPr>
              <w:t>1</w:t>
            </w:r>
            <w:r>
              <w:rPr>
                <w:rFonts w:hint="eastAsia" w:ascii="宋体" w:hAnsi="宋体" w:eastAsia="宋体" w:cs="宋体"/>
                <w:color w:val="000000"/>
                <w:sz w:val="24"/>
                <w:szCs w:val="24"/>
                <w:highlight w:val="none"/>
                <w:shd w:val="clear" w:color="auto" w:fill="FFFFFF"/>
                <w:lang w:val="en-US" w:eastAsia="zh-CN" w:bidi="ar"/>
              </w:rPr>
              <w:t>0</w:t>
            </w:r>
            <w:r>
              <w:rPr>
                <w:rFonts w:hint="eastAsia" w:ascii="宋体" w:hAnsi="宋体" w:eastAsia="宋体" w:cs="宋体"/>
                <w:color w:val="000000"/>
                <w:sz w:val="24"/>
                <w:szCs w:val="24"/>
                <w:highlight w:val="none"/>
                <w:shd w:val="clear" w:color="auto" w:fill="FFFFFF"/>
                <w:lang w:bidi="ar"/>
              </w:rPr>
              <w:t>分</w:t>
            </w:r>
          </w:p>
        </w:tc>
        <w:tc>
          <w:tcPr>
            <w:tcW w:w="7498" w:type="dxa"/>
            <w:gridSpan w:val="2"/>
            <w:vAlign w:val="center"/>
          </w:tcPr>
          <w:p w14:paraId="2A053C12">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满足招标文件（竞争性磋商文件）要求且报价最低的磋商报价为评标基准价。其价格得分为满分。其他供应商的磋商报价得分=（评标基准价/该供应商的磋商报价）×</w:t>
            </w:r>
            <w:r>
              <w:rPr>
                <w:rFonts w:hint="eastAsia" w:ascii="宋体" w:hAnsi="宋体" w:cs="宋体"/>
                <w:sz w:val="24"/>
                <w:szCs w:val="24"/>
                <w:highlight w:val="none"/>
                <w:lang w:val="en-US" w:eastAsia="zh-CN" w:bidi="ar"/>
              </w:rPr>
              <w:t>1</w:t>
            </w:r>
            <w:r>
              <w:rPr>
                <w:rFonts w:hint="eastAsia" w:ascii="宋体" w:hAnsi="宋体" w:eastAsia="宋体" w:cs="宋体"/>
                <w:sz w:val="24"/>
                <w:szCs w:val="24"/>
                <w:highlight w:val="none"/>
                <w:lang w:val="en-US" w:eastAsia="zh-CN" w:bidi="ar"/>
              </w:rPr>
              <w:t>0</w:t>
            </w:r>
            <w:r>
              <w:rPr>
                <w:rFonts w:hint="eastAsia" w:ascii="宋体" w:hAnsi="宋体" w:eastAsia="宋体" w:cs="宋体"/>
                <w:sz w:val="24"/>
                <w:szCs w:val="24"/>
                <w:highlight w:val="none"/>
                <w:lang w:bidi="ar"/>
              </w:rPr>
              <w:t>。</w:t>
            </w:r>
          </w:p>
          <w:p w14:paraId="6964CCF0">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对符合条件的小型、微型企业（监狱企业或残疾人福利性单位）,在磋商报价评分时给予磋商报价10%的扣除，用扣除后的磋商报价参与磋商报价评审。</w:t>
            </w:r>
          </w:p>
          <w:p w14:paraId="5E5CA8E3">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注：评审委员会根据供应商提供的中小企业或监狱企业或残疾人福利性单位声明函，认定其是否属于中小企业或监狱企业或残疾人福利性单位并享受相应的优惠政策。供应商对其提供的声明函的真实性负责，如有虚假，自行承担相应责任。</w:t>
            </w:r>
          </w:p>
          <w:p w14:paraId="5E6383DE">
            <w:pPr>
              <w:widowControl/>
              <w:jc w:val="left"/>
              <w:rPr>
                <w:rFonts w:hint="eastAsia" w:ascii="宋体" w:hAnsi="宋体" w:eastAsia="宋体" w:cs="宋体"/>
                <w:b/>
                <w:bCs/>
                <w:color w:val="auto"/>
                <w:sz w:val="24"/>
                <w:szCs w:val="24"/>
                <w:highlight w:val="none"/>
                <w:lang w:val="en-US"/>
              </w:rPr>
            </w:pPr>
            <w:r>
              <w:rPr>
                <w:rFonts w:hint="eastAsia" w:ascii="宋体" w:hAnsi="宋体" w:eastAsia="宋体" w:cs="宋体"/>
                <w:sz w:val="24"/>
                <w:szCs w:val="24"/>
                <w:highlight w:val="none"/>
                <w:lang w:bidi="ar"/>
              </w:rPr>
              <w:t>磋商总报价得分分值取小数点后两位，第三位四舍五入。</w:t>
            </w:r>
          </w:p>
        </w:tc>
      </w:tr>
      <w:tr w14:paraId="4BD08C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341" w:type="dxa"/>
            <w:gridSpan w:val="7"/>
            <w:vAlign w:val="center"/>
          </w:tcPr>
          <w:p w14:paraId="6CB31A40">
            <w:pPr>
              <w:spacing w:line="400" w:lineRule="exact"/>
              <w:jc w:val="center"/>
              <w:rPr>
                <w:rFonts w:hint="eastAsia" w:ascii="宋体" w:hAnsi="宋体" w:eastAsia="宋体" w:cs="宋体"/>
                <w:color w:val="auto"/>
                <w:highlight w:val="none"/>
                <w:lang w:val="en-US"/>
              </w:rPr>
            </w:pPr>
            <w:r>
              <w:rPr>
                <w:rFonts w:hint="eastAsia" w:ascii="宋体" w:hAnsi="宋体" w:eastAsia="宋体" w:cs="宋体"/>
                <w:b/>
                <w:bCs/>
                <w:color w:val="000000"/>
                <w:sz w:val="24"/>
                <w:szCs w:val="24"/>
                <w:highlight w:val="none"/>
                <w:lang w:val="en-US" w:eastAsia="zh-CN"/>
              </w:rPr>
              <w:t>F2:</w:t>
            </w:r>
            <w:r>
              <w:rPr>
                <w:rFonts w:hint="eastAsia" w:ascii="宋体" w:hAnsi="宋体" w:eastAsia="宋体" w:cs="宋体"/>
                <w:b/>
                <w:bCs/>
                <w:color w:val="000000"/>
                <w:sz w:val="24"/>
                <w:szCs w:val="24"/>
                <w:highlight w:val="none"/>
              </w:rPr>
              <w:t>技术部分</w:t>
            </w:r>
            <w:r>
              <w:rPr>
                <w:rFonts w:hint="eastAsia" w:ascii="宋体" w:hAnsi="宋体" w:eastAsia="宋体" w:cs="宋体"/>
                <w:b/>
                <w:bCs/>
                <w:color w:val="000000"/>
                <w:sz w:val="24"/>
                <w:szCs w:val="24"/>
                <w:highlight w:val="none"/>
                <w:shd w:val="clear" w:color="auto" w:fill="FFFFFF"/>
                <w:lang w:bidi="ar"/>
              </w:rPr>
              <w:t>（满分</w:t>
            </w:r>
            <w:r>
              <w:rPr>
                <w:rFonts w:hint="eastAsia" w:ascii="宋体" w:hAnsi="宋体" w:cs="宋体"/>
                <w:b/>
                <w:bCs/>
                <w:color w:val="000000"/>
                <w:sz w:val="24"/>
                <w:szCs w:val="24"/>
                <w:highlight w:val="none"/>
                <w:shd w:val="clear" w:color="auto" w:fill="FFFFFF"/>
                <w:lang w:val="en-US" w:eastAsia="zh-CN" w:bidi="ar"/>
              </w:rPr>
              <w:t>80</w:t>
            </w:r>
            <w:r>
              <w:rPr>
                <w:rFonts w:hint="eastAsia" w:ascii="宋体" w:hAnsi="宋体" w:eastAsia="宋体" w:cs="宋体"/>
                <w:b/>
                <w:bCs/>
                <w:color w:val="000000"/>
                <w:sz w:val="24"/>
                <w:szCs w:val="24"/>
                <w:highlight w:val="none"/>
                <w:shd w:val="clear" w:color="auto" w:fill="FFFFFF"/>
                <w:lang w:bidi="ar"/>
              </w:rPr>
              <w:t>分）</w:t>
            </w:r>
          </w:p>
        </w:tc>
      </w:tr>
      <w:tr w14:paraId="1B60A9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742" w:type="dxa"/>
            <w:gridSpan w:val="2"/>
            <w:vAlign w:val="center"/>
          </w:tcPr>
          <w:p w14:paraId="303433D2">
            <w:pPr>
              <w:spacing w:line="400" w:lineRule="exact"/>
              <w:ind w:firstLine="28"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000000"/>
                <w:sz w:val="24"/>
                <w:szCs w:val="24"/>
                <w:highlight w:val="none"/>
              </w:rPr>
              <w:t>序号</w:t>
            </w:r>
          </w:p>
        </w:tc>
        <w:tc>
          <w:tcPr>
            <w:tcW w:w="795" w:type="dxa"/>
            <w:vAlign w:val="center"/>
          </w:tcPr>
          <w:p w14:paraId="5DEB30EA">
            <w:pPr>
              <w:spacing w:line="400" w:lineRule="exact"/>
              <w:ind w:firstLine="28"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000000"/>
                <w:sz w:val="24"/>
                <w:szCs w:val="24"/>
                <w:highlight w:val="none"/>
              </w:rPr>
              <w:t>评分因素</w:t>
            </w:r>
          </w:p>
        </w:tc>
        <w:tc>
          <w:tcPr>
            <w:tcW w:w="1306" w:type="dxa"/>
            <w:gridSpan w:val="2"/>
            <w:vAlign w:val="center"/>
          </w:tcPr>
          <w:p w14:paraId="2C9A85A5">
            <w:pPr>
              <w:spacing w:line="400" w:lineRule="exact"/>
              <w:ind w:firstLine="28"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000000"/>
                <w:sz w:val="24"/>
                <w:szCs w:val="24"/>
                <w:highlight w:val="none"/>
              </w:rPr>
              <w:t>分值</w:t>
            </w:r>
          </w:p>
        </w:tc>
        <w:tc>
          <w:tcPr>
            <w:tcW w:w="7498" w:type="dxa"/>
            <w:gridSpan w:val="2"/>
            <w:vAlign w:val="center"/>
          </w:tcPr>
          <w:p w14:paraId="06C86E7C">
            <w:pPr>
              <w:widowControl/>
              <w:jc w:val="center"/>
              <w:rPr>
                <w:rFonts w:hint="eastAsia" w:ascii="宋体" w:hAnsi="宋体" w:eastAsia="宋体" w:cs="宋体"/>
                <w:color w:val="auto"/>
                <w:highlight w:val="none"/>
                <w:lang w:val="zh-CN" w:eastAsia="zh-CN"/>
              </w:rPr>
            </w:pPr>
            <w:r>
              <w:rPr>
                <w:rFonts w:hint="eastAsia" w:ascii="宋体" w:hAnsi="宋体" w:eastAsia="宋体" w:cs="宋体"/>
                <w:b/>
                <w:bCs/>
                <w:color w:val="000000"/>
                <w:sz w:val="24"/>
                <w:szCs w:val="24"/>
                <w:highlight w:val="none"/>
              </w:rPr>
              <w:t>评分标准</w:t>
            </w:r>
          </w:p>
        </w:tc>
      </w:tr>
      <w:tr w14:paraId="2541F9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42" w:type="dxa"/>
            <w:gridSpan w:val="2"/>
            <w:vAlign w:val="center"/>
          </w:tcPr>
          <w:p w14:paraId="77A4975F">
            <w:pPr>
              <w:widowControl/>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000000"/>
                <w:sz w:val="24"/>
                <w:szCs w:val="24"/>
                <w:highlight w:val="none"/>
              </w:rPr>
              <w:t>1</w:t>
            </w:r>
          </w:p>
        </w:tc>
        <w:tc>
          <w:tcPr>
            <w:tcW w:w="795" w:type="dxa"/>
            <w:vAlign w:val="center"/>
          </w:tcPr>
          <w:p w14:paraId="07A1CF7F">
            <w:pPr>
              <w:pStyle w:val="7"/>
              <w:ind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服务方案评审</w:t>
            </w:r>
          </w:p>
        </w:tc>
        <w:tc>
          <w:tcPr>
            <w:tcW w:w="1306" w:type="dxa"/>
            <w:gridSpan w:val="2"/>
            <w:vAlign w:val="center"/>
          </w:tcPr>
          <w:p w14:paraId="4160D533">
            <w:pPr>
              <w:widowControl/>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000000"/>
                <w:sz w:val="24"/>
                <w:szCs w:val="24"/>
                <w:highlight w:val="none"/>
                <w:lang w:val="en-US" w:eastAsia="zh-CN" w:bidi="ar"/>
              </w:rPr>
              <w:t>3</w:t>
            </w:r>
            <w:r>
              <w:rPr>
                <w:rFonts w:hint="eastAsia" w:ascii="宋体" w:hAnsi="宋体" w:eastAsia="宋体" w:cs="宋体"/>
                <w:b/>
                <w:bCs/>
                <w:color w:val="000000"/>
                <w:sz w:val="24"/>
                <w:szCs w:val="24"/>
                <w:highlight w:val="none"/>
                <w:lang w:val="en-US" w:eastAsia="zh-CN" w:bidi="ar"/>
              </w:rPr>
              <w:t>5</w:t>
            </w:r>
            <w:r>
              <w:rPr>
                <w:rFonts w:hint="eastAsia" w:ascii="宋体" w:hAnsi="宋体" w:eastAsia="宋体" w:cs="宋体"/>
                <w:b/>
                <w:bCs/>
                <w:color w:val="000000"/>
                <w:sz w:val="24"/>
                <w:szCs w:val="24"/>
                <w:highlight w:val="none"/>
                <w:lang w:bidi="ar"/>
              </w:rPr>
              <w:t>分</w:t>
            </w:r>
          </w:p>
        </w:tc>
        <w:tc>
          <w:tcPr>
            <w:tcW w:w="7498" w:type="dxa"/>
            <w:gridSpan w:val="2"/>
            <w:vAlign w:val="center"/>
          </w:tcPr>
          <w:p w14:paraId="6CF7B38B">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第一个档次（27-35）：服务方案完全满足文件要求，服务方案完整可行，内容规范，标准化程度高；紧扣采购人需求，服务方案针对性及操作性高；全面分析采购人实施要求，内容阐述完整详细，重点突出，针对性强，可行性强，完全满足本项目需求。 </w:t>
            </w:r>
          </w:p>
          <w:p w14:paraId="1E583A2D">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二个档次（18-26）：服务方案满足文件要求，服务方案响应性较好，服务方案较为完整可行，内容规范，标准化程度较高；满足采购人需求，服务方案针对性及操作性较高；分析采购人实施要求内容阐述有缺漏，突出部分重点，针对性一般，可行性一般，满足本项目需求。</w:t>
            </w:r>
          </w:p>
          <w:p w14:paraId="201568E0">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三个档次（9-17）：服务方案基本满足文件要求，服务方案完整性一般，内容规范性及标准化程度一般；考虑采购人需求不足，服务方案针对性及操作性一般；分析采购人实施要求不足，内容阐述空洞，未突出重点，缺乏针对性、可行性，基本满足本项目需求。</w:t>
            </w:r>
          </w:p>
          <w:p w14:paraId="023EA3FA">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四个档次（1-8）：服务方案不能完全满足文件要求，服务方案完整性较差，内容规范性及标准化程度较差；考虑采购人需求不足，服务方案针对性及操作性较差；分析采购人实施要求不足，内容阐述空洞，未突出重点，缺乏针对性、可行性，不能完全满足本项目需求。</w:t>
            </w:r>
          </w:p>
          <w:p w14:paraId="4076B323">
            <w:pPr>
              <w:pStyle w:val="2"/>
              <w:numPr>
                <w:ilvl w:val="0"/>
                <w:numId w:val="0"/>
              </w:numPr>
              <w:ind w:leftChars="0"/>
              <w:rPr>
                <w:rFonts w:hint="eastAsia" w:ascii="宋体" w:hAnsi="宋体" w:eastAsia="宋体" w:cs="宋体"/>
                <w:color w:val="auto"/>
                <w:sz w:val="24"/>
                <w:szCs w:val="24"/>
                <w:highlight w:val="none"/>
                <w:lang w:val="zh-CN" w:eastAsia="zh-CN"/>
              </w:rPr>
            </w:pPr>
            <w:r>
              <w:rPr>
                <w:rFonts w:hint="eastAsia" w:ascii="宋体" w:hAnsi="宋体" w:eastAsia="宋体" w:cs="Times New Roman"/>
                <w:b/>
                <w:bCs/>
                <w:color w:val="000000" w:themeColor="text1"/>
                <w:kern w:val="2"/>
                <w:sz w:val="24"/>
                <w:szCs w:val="24"/>
                <w:highlight w:val="none"/>
                <w:lang w:val="en-US" w:eastAsia="zh-CN" w:bidi="ar-SA"/>
                <w14:textFill>
                  <w14:solidFill>
                    <w14:schemeClr w14:val="tx1"/>
                  </w14:solidFill>
                </w14:textFill>
              </w:rPr>
              <w:t>注：未提供方案的不得分。</w:t>
            </w:r>
          </w:p>
        </w:tc>
      </w:tr>
      <w:tr w14:paraId="051F5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42" w:type="dxa"/>
            <w:gridSpan w:val="2"/>
            <w:vAlign w:val="center"/>
          </w:tcPr>
          <w:p w14:paraId="4B7244AC">
            <w:pPr>
              <w:widowControl/>
              <w:jc w:val="center"/>
              <w:rPr>
                <w:rFonts w:hint="eastAsia"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2</w:t>
            </w:r>
          </w:p>
        </w:tc>
        <w:tc>
          <w:tcPr>
            <w:tcW w:w="795" w:type="dxa"/>
            <w:vAlign w:val="center"/>
          </w:tcPr>
          <w:p w14:paraId="0EB52EF3">
            <w:pPr>
              <w:widowControl/>
              <w:jc w:val="center"/>
              <w:rPr>
                <w:rFonts w:hint="eastAsia" w:ascii="宋体" w:hAnsi="宋体" w:eastAsia="宋体" w:cs="宋体"/>
                <w:b/>
                <w:bCs/>
                <w:sz w:val="24"/>
                <w:szCs w:val="24"/>
                <w:highlight w:val="none"/>
              </w:rPr>
            </w:pPr>
            <w:r>
              <w:rPr>
                <w:rFonts w:hint="eastAsia" w:ascii="宋体" w:hAnsi="宋体" w:eastAsia="宋体" w:cs="宋体"/>
                <w:b/>
                <w:bCs/>
                <w:color w:val="auto"/>
                <w:kern w:val="2"/>
                <w:sz w:val="24"/>
                <w:szCs w:val="24"/>
                <w:highlight w:val="none"/>
                <w:lang w:val="en-US" w:eastAsia="zh-CN" w:bidi="ar-SA"/>
              </w:rPr>
              <w:t>进度计划周期安排及保障措施评审</w:t>
            </w:r>
          </w:p>
        </w:tc>
        <w:tc>
          <w:tcPr>
            <w:tcW w:w="1306" w:type="dxa"/>
            <w:gridSpan w:val="2"/>
            <w:vAlign w:val="center"/>
          </w:tcPr>
          <w:p w14:paraId="2E36A90C">
            <w:pPr>
              <w:widowControl/>
              <w:jc w:val="center"/>
              <w:rPr>
                <w:rFonts w:hint="default" w:ascii="宋体" w:hAnsi="宋体" w:eastAsia="宋体" w:cs="宋体"/>
                <w:b/>
                <w:bCs/>
                <w:color w:val="000000"/>
                <w:sz w:val="24"/>
                <w:szCs w:val="24"/>
                <w:highlight w:val="none"/>
                <w:lang w:val="en-US" w:eastAsia="zh-CN" w:bidi="ar"/>
              </w:rPr>
            </w:pPr>
            <w:r>
              <w:rPr>
                <w:rFonts w:hint="eastAsia" w:ascii="宋体" w:hAnsi="宋体" w:cs="宋体"/>
                <w:b/>
                <w:bCs/>
                <w:color w:val="000000"/>
                <w:sz w:val="24"/>
                <w:szCs w:val="24"/>
                <w:highlight w:val="none"/>
                <w:lang w:val="en-US" w:eastAsia="zh-CN" w:bidi="ar"/>
              </w:rPr>
              <w:t>10分</w:t>
            </w:r>
          </w:p>
        </w:tc>
        <w:tc>
          <w:tcPr>
            <w:tcW w:w="7498" w:type="dxa"/>
            <w:gridSpan w:val="2"/>
            <w:vAlign w:val="center"/>
          </w:tcPr>
          <w:p w14:paraId="21CA5978">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第一个档次</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7—10</w:t>
            </w:r>
            <w:r>
              <w:rPr>
                <w:rFonts w:hint="eastAsia" w:ascii="宋体" w:hAnsi="宋体"/>
                <w:color w:val="000000" w:themeColor="text1"/>
                <w:sz w:val="24"/>
                <w:szCs w:val="24"/>
                <w:highlight w:val="none"/>
                <w14:textFill>
                  <w14:solidFill>
                    <w14:schemeClr w14:val="tx1"/>
                  </w14:solidFill>
                </w14:textFill>
              </w:rPr>
              <w:t>分）</w:t>
            </w:r>
            <w:r>
              <w:rPr>
                <w:rFonts w:hint="eastAsia" w:ascii="宋体" w:hAnsi="宋体"/>
                <w:color w:val="000000" w:themeColor="text1"/>
                <w:sz w:val="24"/>
                <w:szCs w:val="24"/>
                <w:highlight w:val="none"/>
                <w:lang w:val="en-US" w:eastAsia="zh-CN"/>
                <w14:textFill>
                  <w14:solidFill>
                    <w14:schemeClr w14:val="tx1"/>
                  </w14:solidFill>
                </w14:textFill>
              </w:rPr>
              <w:t>：进度计划周期安排详细全面、组织合理，有周密的保障措施，措施具体，针对性明确，完全满足本项目需求。</w:t>
            </w:r>
          </w:p>
          <w:p w14:paraId="2A86D446">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第二个档次</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4—6</w:t>
            </w:r>
            <w:r>
              <w:rPr>
                <w:rFonts w:hint="eastAsia" w:ascii="宋体" w:hAnsi="宋体"/>
                <w:color w:val="000000" w:themeColor="text1"/>
                <w:sz w:val="24"/>
                <w:szCs w:val="24"/>
                <w:highlight w:val="none"/>
                <w14:textFill>
                  <w14:solidFill>
                    <w14:schemeClr w14:val="tx1"/>
                  </w14:solidFill>
                </w14:textFill>
              </w:rPr>
              <w:t>分）</w:t>
            </w:r>
            <w:r>
              <w:rPr>
                <w:rFonts w:hint="eastAsia" w:ascii="宋体" w:hAnsi="宋体"/>
                <w:color w:val="000000" w:themeColor="text1"/>
                <w:sz w:val="24"/>
                <w:szCs w:val="24"/>
                <w:highlight w:val="none"/>
                <w:lang w:val="en-US" w:eastAsia="zh-CN"/>
                <w14:textFill>
                  <w14:solidFill>
                    <w14:schemeClr w14:val="tx1"/>
                  </w14:solidFill>
                </w14:textFill>
              </w:rPr>
              <w:t>：进度计划周期安排基本全面、组织基本合理，计划保障措施基本合理，有部分针对性，基本满足本项目需求。</w:t>
            </w:r>
          </w:p>
          <w:p w14:paraId="69FE6F79">
            <w:pPr>
              <w:spacing w:line="360" w:lineRule="auto"/>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第三个档次</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1—3</w:t>
            </w:r>
            <w:r>
              <w:rPr>
                <w:rFonts w:hint="eastAsia" w:ascii="宋体" w:hAnsi="宋体"/>
                <w:color w:val="000000" w:themeColor="text1"/>
                <w:sz w:val="24"/>
                <w:szCs w:val="24"/>
                <w:highlight w:val="none"/>
                <w14:textFill>
                  <w14:solidFill>
                    <w14:schemeClr w14:val="tx1"/>
                  </w14:solidFill>
                </w14:textFill>
              </w:rPr>
              <w:t>分）</w:t>
            </w:r>
            <w:r>
              <w:rPr>
                <w:rFonts w:hint="eastAsia" w:ascii="宋体" w:hAnsi="宋体"/>
                <w:color w:val="000000" w:themeColor="text1"/>
                <w:sz w:val="24"/>
                <w:szCs w:val="24"/>
                <w:highlight w:val="none"/>
                <w:lang w:val="en-US" w:eastAsia="zh-CN"/>
                <w14:textFill>
                  <w14:solidFill>
                    <w14:schemeClr w14:val="tx1"/>
                  </w14:solidFill>
                </w14:textFill>
              </w:rPr>
              <w:t>：进度计划周期安排不全面、组织程序不合理、计划保障措施与项目实际情况不符。</w:t>
            </w:r>
          </w:p>
          <w:p w14:paraId="03214805">
            <w:pPr>
              <w:spacing w:line="360" w:lineRule="auto"/>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注：未提供方案的，不得分。</w:t>
            </w:r>
          </w:p>
        </w:tc>
      </w:tr>
      <w:tr w14:paraId="1F968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42" w:type="dxa"/>
            <w:gridSpan w:val="2"/>
            <w:vAlign w:val="center"/>
          </w:tcPr>
          <w:p w14:paraId="5CB91ED1">
            <w:pPr>
              <w:widowControl/>
              <w:jc w:val="center"/>
              <w:rPr>
                <w:rFonts w:hint="eastAsia"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3</w:t>
            </w:r>
          </w:p>
        </w:tc>
        <w:tc>
          <w:tcPr>
            <w:tcW w:w="795" w:type="dxa"/>
            <w:vAlign w:val="center"/>
          </w:tcPr>
          <w:p w14:paraId="4EACD63D">
            <w:pPr>
              <w:widowControl/>
              <w:jc w:val="center"/>
              <w:rPr>
                <w:rFonts w:hint="eastAsia" w:ascii="宋体" w:hAnsi="宋体" w:eastAsia="宋体" w:cs="宋体"/>
                <w:b/>
                <w:bCs/>
                <w:sz w:val="24"/>
                <w:szCs w:val="24"/>
                <w:highlight w:val="none"/>
              </w:rPr>
            </w:pPr>
            <w:r>
              <w:rPr>
                <w:rFonts w:hint="eastAsia" w:ascii="宋体" w:hAnsi="宋体" w:eastAsia="宋体" w:cs="宋体"/>
                <w:b/>
                <w:bCs/>
                <w:color w:val="000000"/>
                <w:sz w:val="24"/>
                <w:szCs w:val="24"/>
                <w:highlight w:val="none"/>
                <w:lang w:val="en-US" w:eastAsia="zh-CN" w:bidi="ar"/>
              </w:rPr>
              <w:t>服务质量承诺及保证措施评审</w:t>
            </w:r>
          </w:p>
        </w:tc>
        <w:tc>
          <w:tcPr>
            <w:tcW w:w="1306" w:type="dxa"/>
            <w:gridSpan w:val="2"/>
            <w:vAlign w:val="center"/>
          </w:tcPr>
          <w:p w14:paraId="5C382A89">
            <w:pPr>
              <w:widowControl/>
              <w:jc w:val="center"/>
              <w:rPr>
                <w:rFonts w:hint="default" w:ascii="宋体" w:hAnsi="宋体" w:eastAsia="宋体" w:cs="宋体"/>
                <w:b/>
                <w:bCs/>
                <w:color w:val="000000"/>
                <w:sz w:val="24"/>
                <w:szCs w:val="24"/>
                <w:highlight w:val="none"/>
                <w:lang w:val="en-US" w:eastAsia="zh-CN" w:bidi="ar"/>
              </w:rPr>
            </w:pPr>
            <w:r>
              <w:rPr>
                <w:rFonts w:hint="eastAsia" w:ascii="宋体" w:hAnsi="宋体" w:cs="宋体"/>
                <w:b/>
                <w:bCs/>
                <w:color w:val="000000"/>
                <w:sz w:val="24"/>
                <w:szCs w:val="24"/>
                <w:highlight w:val="none"/>
                <w:lang w:val="en-US" w:eastAsia="zh-CN" w:bidi="ar"/>
              </w:rPr>
              <w:t>10分</w:t>
            </w:r>
          </w:p>
        </w:tc>
        <w:tc>
          <w:tcPr>
            <w:tcW w:w="7498" w:type="dxa"/>
            <w:gridSpan w:val="2"/>
            <w:vAlign w:val="center"/>
          </w:tcPr>
          <w:p w14:paraId="5CA990A2">
            <w:pPr>
              <w:spacing w:line="480" w:lineRule="exact"/>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第一个档次（7-10分）：供应商服务质量承诺及保证措施完全满足或优于</w:t>
            </w:r>
            <w:r>
              <w:rPr>
                <w:rFonts w:hint="eastAsia" w:ascii="宋体" w:hAnsi="宋体"/>
                <w:color w:val="000000" w:themeColor="text1"/>
                <w:sz w:val="24"/>
                <w:szCs w:val="24"/>
                <w:highlight w:val="none"/>
                <w:lang w:val="en-US" w:eastAsia="zh-CN"/>
                <w14:textFill>
                  <w14:solidFill>
                    <w14:schemeClr w14:val="tx1"/>
                  </w14:solidFill>
                </w14:textFill>
              </w:rPr>
              <w:t>竞争性磋商</w:t>
            </w:r>
            <w:r>
              <w:rPr>
                <w:rFonts w:hint="eastAsia" w:ascii="宋体" w:hAnsi="宋体" w:eastAsia="宋体"/>
                <w:sz w:val="24"/>
                <w:szCs w:val="24"/>
                <w:highlight w:val="none"/>
                <w:lang w:val="en-US" w:eastAsia="zh-CN"/>
              </w:rPr>
              <w:t>文件要求，有稳定的认证机构支持，质量保证措施阐述详细、有针对性，且有具体的违约责任承诺。</w:t>
            </w:r>
          </w:p>
          <w:p w14:paraId="1396C492">
            <w:pPr>
              <w:spacing w:line="480" w:lineRule="exact"/>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第二个档次（4-6分）：供应商服务质量承诺及保证措施满足</w:t>
            </w:r>
            <w:r>
              <w:rPr>
                <w:rFonts w:hint="eastAsia" w:ascii="宋体" w:hAnsi="宋体"/>
                <w:color w:val="000000" w:themeColor="text1"/>
                <w:sz w:val="24"/>
                <w:szCs w:val="24"/>
                <w:highlight w:val="none"/>
                <w:lang w:val="en-US" w:eastAsia="zh-CN"/>
                <w14:textFill>
                  <w14:solidFill>
                    <w14:schemeClr w14:val="tx1"/>
                  </w14:solidFill>
                </w14:textFill>
              </w:rPr>
              <w:t>竞争性磋商</w:t>
            </w:r>
            <w:r>
              <w:rPr>
                <w:rFonts w:hint="eastAsia" w:ascii="宋体" w:hAnsi="宋体" w:eastAsia="宋体"/>
                <w:sz w:val="24"/>
                <w:szCs w:val="24"/>
                <w:highlight w:val="none"/>
                <w:lang w:val="en-US" w:eastAsia="zh-CN"/>
              </w:rPr>
              <w:t>文件要求，质量保证措施阐述较详细，有一定针对性、有具体违约责任承诺。</w:t>
            </w:r>
          </w:p>
          <w:p w14:paraId="10043202">
            <w:pPr>
              <w:spacing w:line="480" w:lineRule="exact"/>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第三个档次（1-3分）：供应商服务质量承诺及保证措施基本满足</w:t>
            </w:r>
            <w:r>
              <w:rPr>
                <w:rFonts w:hint="eastAsia" w:ascii="宋体" w:hAnsi="宋体"/>
                <w:color w:val="000000" w:themeColor="text1"/>
                <w:sz w:val="24"/>
                <w:szCs w:val="24"/>
                <w:highlight w:val="none"/>
                <w:lang w:val="en-US" w:eastAsia="zh-CN"/>
                <w14:textFill>
                  <w14:solidFill>
                    <w14:schemeClr w14:val="tx1"/>
                  </w14:solidFill>
                </w14:textFill>
              </w:rPr>
              <w:t>竞争性磋商</w:t>
            </w:r>
            <w:r>
              <w:rPr>
                <w:rFonts w:hint="eastAsia" w:ascii="宋体" w:hAnsi="宋体" w:eastAsia="宋体"/>
                <w:sz w:val="24"/>
                <w:szCs w:val="24"/>
                <w:highlight w:val="none"/>
                <w:lang w:val="en-US" w:eastAsia="zh-CN"/>
              </w:rPr>
              <w:t>文件要求，对质量保证措施阐述不够详细，但有具体的违约责任承诺。</w:t>
            </w:r>
          </w:p>
          <w:p w14:paraId="4C824CF5">
            <w:pPr>
              <w:spacing w:line="360" w:lineRule="auto"/>
              <w:jc w:val="left"/>
              <w:rPr>
                <w:rFonts w:hint="eastAsia" w:ascii="宋体" w:hAnsi="宋体"/>
                <w:b/>
                <w:bCs/>
                <w:color w:val="000000" w:themeColor="text1"/>
                <w:sz w:val="24"/>
                <w:szCs w:val="24"/>
                <w:highlight w:val="none"/>
                <w:lang w:val="en-US" w:eastAsia="zh-CN"/>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注</w:t>
            </w:r>
            <w:r>
              <w:rPr>
                <w:rFonts w:hint="eastAsia" w:ascii="宋体" w:hAnsi="宋体"/>
                <w:b/>
                <w:bCs/>
                <w:color w:val="000000" w:themeColor="text1"/>
                <w:sz w:val="24"/>
                <w:szCs w:val="24"/>
                <w:highlight w:val="none"/>
                <w14:textFill>
                  <w14:solidFill>
                    <w14:schemeClr w14:val="tx1"/>
                  </w14:solidFill>
                </w14:textFill>
              </w:rPr>
              <w:t>：未提供方案的，不得分。</w:t>
            </w:r>
          </w:p>
        </w:tc>
      </w:tr>
      <w:tr w14:paraId="4717D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42" w:type="dxa"/>
            <w:gridSpan w:val="2"/>
            <w:shd w:val="clear" w:color="auto" w:fill="auto"/>
            <w:vAlign w:val="center"/>
          </w:tcPr>
          <w:p w14:paraId="009EA346">
            <w:pPr>
              <w:widowControl/>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4</w:t>
            </w:r>
          </w:p>
        </w:tc>
        <w:tc>
          <w:tcPr>
            <w:tcW w:w="795" w:type="dxa"/>
            <w:shd w:val="clear" w:color="auto" w:fill="auto"/>
            <w:vAlign w:val="center"/>
          </w:tcPr>
          <w:p w14:paraId="1E6B969E">
            <w:pPr>
              <w:widowControl/>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 xml:space="preserve">后续服务方案评审   </w:t>
            </w:r>
          </w:p>
        </w:tc>
        <w:tc>
          <w:tcPr>
            <w:tcW w:w="1306" w:type="dxa"/>
            <w:gridSpan w:val="2"/>
            <w:shd w:val="clear" w:color="auto" w:fill="auto"/>
            <w:vAlign w:val="center"/>
          </w:tcPr>
          <w:p w14:paraId="3DEFB810">
            <w:pPr>
              <w:widowControl/>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bidi="ar"/>
              </w:rPr>
              <w:t>5</w:t>
            </w:r>
            <w:r>
              <w:rPr>
                <w:rFonts w:hint="eastAsia" w:ascii="宋体" w:hAnsi="宋体" w:eastAsia="宋体" w:cs="宋体"/>
                <w:b/>
                <w:bCs/>
                <w:color w:val="auto"/>
                <w:sz w:val="24"/>
                <w:szCs w:val="24"/>
                <w:highlight w:val="none"/>
                <w:lang w:bidi="ar"/>
              </w:rPr>
              <w:t>分</w:t>
            </w:r>
          </w:p>
        </w:tc>
        <w:tc>
          <w:tcPr>
            <w:tcW w:w="7498" w:type="dxa"/>
            <w:gridSpan w:val="2"/>
            <w:shd w:val="clear" w:color="auto" w:fill="auto"/>
            <w:vAlign w:val="center"/>
          </w:tcPr>
          <w:p w14:paraId="44DFDC9D">
            <w:pPr>
              <w:spacing w:line="480" w:lineRule="exact"/>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第一个档次（</w:t>
            </w:r>
            <w:r>
              <w:rPr>
                <w:rFonts w:hint="eastAsia" w:ascii="宋体" w:hAnsi="宋体"/>
                <w:color w:val="auto"/>
                <w:sz w:val="24"/>
                <w:szCs w:val="24"/>
                <w:highlight w:val="none"/>
                <w:lang w:val="en-US" w:eastAsia="zh-CN"/>
              </w:rPr>
              <w:t>4</w:t>
            </w:r>
            <w:r>
              <w:rPr>
                <w:rFonts w:hint="eastAsia" w:ascii="宋体" w:hAnsi="宋体" w:eastAsia="宋体"/>
                <w:color w:val="auto"/>
                <w:sz w:val="24"/>
                <w:szCs w:val="24"/>
                <w:highlight w:val="none"/>
                <w:lang w:val="en-US" w:eastAsia="zh-CN"/>
              </w:rPr>
              <w:t>—</w:t>
            </w: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lang w:val="en-US" w:eastAsia="zh-CN"/>
              </w:rPr>
              <w:t xml:space="preserve">分）：后续服务流程设置合理、高效、保障性强，服务方案、承诺及保证完善具体，针对性强，有相应的惩罚措施的。 </w:t>
            </w:r>
          </w:p>
          <w:p w14:paraId="123AD662">
            <w:pPr>
              <w:spacing w:line="480" w:lineRule="exact"/>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第二个档次（</w:t>
            </w:r>
            <w:r>
              <w:rPr>
                <w:rFonts w:hint="eastAsia" w:ascii="宋体" w:hAnsi="宋体"/>
                <w:color w:val="auto"/>
                <w:sz w:val="24"/>
                <w:szCs w:val="24"/>
                <w:highlight w:val="none"/>
                <w:lang w:val="en-US" w:eastAsia="zh-CN"/>
              </w:rPr>
              <w:t>2</w:t>
            </w:r>
            <w:r>
              <w:rPr>
                <w:rFonts w:hint="eastAsia" w:ascii="宋体" w:hAnsi="宋体" w:eastAsia="宋体"/>
                <w:color w:val="auto"/>
                <w:sz w:val="24"/>
                <w:szCs w:val="24"/>
                <w:highlight w:val="none"/>
                <w:lang w:val="en-US" w:eastAsia="zh-CN"/>
              </w:rPr>
              <w:t>—</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lang w:val="en-US" w:eastAsia="zh-CN"/>
              </w:rPr>
              <w:t>分）：后续服务体系完整度及保障性较好，服务方案、承诺及保证具体可行，有针对性，有相应的惩罚措施的。</w:t>
            </w:r>
          </w:p>
          <w:p w14:paraId="424E71BE">
            <w:pPr>
              <w:spacing w:line="360" w:lineRule="auto"/>
              <w:jc w:val="left"/>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第三个档次（1分）：后续服务能力一般，服务方案、承诺及保证具体可行，有一定的针对性。</w:t>
            </w:r>
          </w:p>
          <w:p w14:paraId="6AECE0FB">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b/>
                <w:bCs/>
                <w:color w:val="auto"/>
                <w:sz w:val="24"/>
                <w:szCs w:val="24"/>
                <w:highlight w:val="none"/>
                <w:lang w:val="en-US" w:eastAsia="zh-CN"/>
              </w:rPr>
              <w:t xml:space="preserve"> 注</w:t>
            </w:r>
            <w:r>
              <w:rPr>
                <w:rFonts w:hint="eastAsia" w:ascii="宋体" w:hAnsi="宋体"/>
                <w:b/>
                <w:bCs/>
                <w:color w:val="auto"/>
                <w:sz w:val="24"/>
                <w:szCs w:val="24"/>
                <w:highlight w:val="none"/>
              </w:rPr>
              <w:t>：未提供方案的，不得分。</w:t>
            </w:r>
          </w:p>
        </w:tc>
      </w:tr>
      <w:tr w14:paraId="258AD9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742" w:type="dxa"/>
            <w:gridSpan w:val="2"/>
            <w:shd w:val="clear" w:color="auto" w:fill="auto"/>
            <w:vAlign w:val="center"/>
          </w:tcPr>
          <w:p w14:paraId="2CC5F7D2">
            <w:pPr>
              <w:widowControl/>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w:t>
            </w:r>
          </w:p>
        </w:tc>
        <w:tc>
          <w:tcPr>
            <w:tcW w:w="795" w:type="dxa"/>
            <w:shd w:val="clear" w:color="auto" w:fill="auto"/>
            <w:vAlign w:val="center"/>
          </w:tcPr>
          <w:p w14:paraId="0BABFDA0">
            <w:pPr>
              <w:widowControl/>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项目实施保障措施</w:t>
            </w:r>
            <w:r>
              <w:rPr>
                <w:rFonts w:hint="eastAsia" w:ascii="宋体" w:hAnsi="宋体" w:eastAsia="宋体" w:cs="宋体"/>
                <w:b/>
                <w:bCs/>
                <w:color w:val="auto"/>
                <w:sz w:val="24"/>
                <w:szCs w:val="24"/>
                <w:highlight w:val="none"/>
                <w:lang w:val="en-US" w:eastAsia="zh-CN" w:bidi="ar"/>
              </w:rPr>
              <w:t>评审</w:t>
            </w:r>
          </w:p>
        </w:tc>
        <w:tc>
          <w:tcPr>
            <w:tcW w:w="1306" w:type="dxa"/>
            <w:gridSpan w:val="2"/>
            <w:shd w:val="clear" w:color="auto" w:fill="auto"/>
            <w:vAlign w:val="center"/>
          </w:tcPr>
          <w:p w14:paraId="3905D7C7">
            <w:pPr>
              <w:widowControl/>
              <w:jc w:val="center"/>
              <w:rPr>
                <w:rFonts w:hint="default" w:ascii="宋体" w:hAnsi="宋体" w:eastAsia="宋体" w:cs="宋体"/>
                <w:b/>
                <w:bCs/>
                <w:color w:val="auto"/>
                <w:sz w:val="24"/>
                <w:szCs w:val="24"/>
                <w:highlight w:val="none"/>
                <w:lang w:val="en-US" w:eastAsia="zh-CN" w:bidi="ar"/>
              </w:rPr>
            </w:pPr>
            <w:r>
              <w:rPr>
                <w:rFonts w:hint="eastAsia" w:ascii="宋体" w:hAnsi="宋体" w:cs="宋体"/>
                <w:b/>
                <w:bCs/>
                <w:color w:val="auto"/>
                <w:sz w:val="24"/>
                <w:szCs w:val="24"/>
                <w:highlight w:val="none"/>
                <w:lang w:val="en-US" w:eastAsia="zh-CN" w:bidi="ar"/>
              </w:rPr>
              <w:t>10</w:t>
            </w:r>
            <w:r>
              <w:rPr>
                <w:rFonts w:hint="eastAsia" w:ascii="宋体" w:hAnsi="宋体" w:eastAsia="宋体" w:cs="宋体"/>
                <w:b/>
                <w:bCs/>
                <w:color w:val="auto"/>
                <w:sz w:val="24"/>
                <w:szCs w:val="24"/>
                <w:highlight w:val="none"/>
                <w:lang w:val="en-US" w:eastAsia="zh-CN" w:bidi="ar"/>
              </w:rPr>
              <w:t>分</w:t>
            </w:r>
          </w:p>
        </w:tc>
        <w:tc>
          <w:tcPr>
            <w:tcW w:w="7498" w:type="dxa"/>
            <w:gridSpan w:val="2"/>
            <w:shd w:val="clear" w:color="auto" w:fill="auto"/>
            <w:vAlign w:val="center"/>
          </w:tcPr>
          <w:p w14:paraId="7A60A8B8">
            <w:pPr>
              <w:numPr>
                <w:ilvl w:val="0"/>
                <w:numId w:val="0"/>
              </w:numPr>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供应商有稳定的</w:t>
            </w:r>
            <w:r>
              <w:rPr>
                <w:rFonts w:hint="eastAsia" w:ascii="宋体" w:hAnsi="宋体" w:cs="宋体"/>
                <w:bCs/>
                <w:color w:val="auto"/>
                <w:kern w:val="2"/>
                <w:sz w:val="24"/>
                <w:szCs w:val="24"/>
                <w:highlight w:val="none"/>
                <w:lang w:val="en-US" w:eastAsia="zh-CN" w:bidi="ar-SA"/>
              </w:rPr>
              <w:t>有机产品</w:t>
            </w:r>
            <w:r>
              <w:rPr>
                <w:rFonts w:hint="eastAsia" w:ascii="宋体" w:hAnsi="宋体" w:eastAsia="宋体" w:cs="宋体"/>
                <w:bCs/>
                <w:color w:val="auto"/>
                <w:kern w:val="2"/>
                <w:sz w:val="24"/>
                <w:szCs w:val="24"/>
                <w:highlight w:val="none"/>
                <w:lang w:val="en-US" w:eastAsia="zh-CN" w:bidi="ar-SA"/>
              </w:rPr>
              <w:t>认证机构支持，提供与认证机构签订的合作协议书及《认证机构资质认定证书》的得5分，否则不得分。</w:t>
            </w:r>
          </w:p>
          <w:p w14:paraId="5D7BA876">
            <w:pPr>
              <w:numPr>
                <w:ilvl w:val="0"/>
                <w:numId w:val="0"/>
              </w:numPr>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供应商有稳定的生态原产地产品保护评审机构支持，提供与认证机构签订的合作协议书及《生态原产地产品保护评审机构》</w:t>
            </w:r>
            <w:r>
              <w:rPr>
                <w:rFonts w:hint="eastAsia" w:ascii="宋体" w:hAnsi="宋体" w:cs="宋体"/>
                <w:bCs/>
                <w:color w:val="auto"/>
                <w:kern w:val="2"/>
                <w:sz w:val="24"/>
                <w:szCs w:val="24"/>
                <w:highlight w:val="none"/>
                <w:lang w:val="en-US" w:eastAsia="zh-CN" w:bidi="ar-SA"/>
              </w:rPr>
              <w:t>资质证明</w:t>
            </w:r>
            <w:r>
              <w:rPr>
                <w:rFonts w:hint="eastAsia" w:ascii="宋体" w:hAnsi="宋体" w:eastAsia="宋体" w:cs="宋体"/>
                <w:bCs/>
                <w:color w:val="auto"/>
                <w:kern w:val="2"/>
                <w:sz w:val="24"/>
                <w:szCs w:val="24"/>
                <w:highlight w:val="none"/>
                <w:lang w:val="en-US" w:eastAsia="zh-CN" w:bidi="ar-SA"/>
              </w:rPr>
              <w:t>的得5分，否则不得分。</w:t>
            </w:r>
          </w:p>
        </w:tc>
      </w:tr>
      <w:tr w14:paraId="29C9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742" w:type="dxa"/>
            <w:gridSpan w:val="2"/>
            <w:tcBorders>
              <w:top w:val="single" w:color="auto" w:sz="4" w:space="0"/>
              <w:left w:val="single" w:color="auto" w:sz="4" w:space="0"/>
              <w:bottom w:val="single" w:color="auto" w:sz="4" w:space="0"/>
              <w:right w:val="single" w:color="auto" w:sz="4" w:space="0"/>
            </w:tcBorders>
            <w:noWrap w:val="0"/>
            <w:vAlign w:val="center"/>
          </w:tcPr>
          <w:p w14:paraId="1EC0DAEA">
            <w:pPr>
              <w:spacing w:line="400" w:lineRule="exact"/>
              <w:ind w:firstLine="28"/>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6</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26B7597E">
            <w:pPr>
              <w:spacing w:line="360" w:lineRule="auto"/>
              <w:jc w:val="left"/>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项目人员配置</w:t>
            </w:r>
          </w:p>
          <w:p w14:paraId="2931858D">
            <w:pPr>
              <w:spacing w:line="360" w:lineRule="auto"/>
              <w:jc w:val="left"/>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评审</w:t>
            </w:r>
          </w:p>
        </w:tc>
        <w:tc>
          <w:tcPr>
            <w:tcW w:w="1306" w:type="dxa"/>
            <w:gridSpan w:val="2"/>
            <w:tcBorders>
              <w:top w:val="single" w:color="auto" w:sz="4" w:space="0"/>
              <w:left w:val="single" w:color="auto" w:sz="4" w:space="0"/>
              <w:bottom w:val="single" w:color="auto" w:sz="4" w:space="0"/>
              <w:right w:val="single" w:color="auto" w:sz="4" w:space="0"/>
            </w:tcBorders>
            <w:noWrap w:val="0"/>
            <w:vAlign w:val="center"/>
          </w:tcPr>
          <w:p w14:paraId="704CD013">
            <w:pPr>
              <w:spacing w:line="360" w:lineRule="auto"/>
              <w:jc w:val="center"/>
              <w:rPr>
                <w:rFonts w:hint="eastAsia" w:ascii="宋体" w:hAnsi="宋体" w:eastAsia="宋体" w:cs="宋体"/>
                <w:b/>
                <w:bCs/>
                <w:color w:val="auto"/>
                <w:sz w:val="24"/>
                <w:szCs w:val="24"/>
                <w:highlight w:val="none"/>
                <w:lang w:bidi="ar"/>
              </w:rPr>
            </w:pPr>
            <w:r>
              <w:rPr>
                <w:rFonts w:hint="eastAsia" w:ascii="宋体" w:hAnsi="宋体" w:cs="宋体"/>
                <w:b/>
                <w:bCs/>
                <w:color w:val="auto"/>
                <w:sz w:val="24"/>
                <w:szCs w:val="24"/>
                <w:highlight w:val="none"/>
                <w:lang w:val="en-US" w:eastAsia="zh-CN" w:bidi="ar"/>
              </w:rPr>
              <w:t>10</w:t>
            </w:r>
            <w:r>
              <w:rPr>
                <w:rFonts w:hint="eastAsia" w:ascii="宋体" w:hAnsi="宋体" w:eastAsia="宋体" w:cs="宋体"/>
                <w:b/>
                <w:bCs/>
                <w:color w:val="auto"/>
                <w:sz w:val="24"/>
                <w:szCs w:val="24"/>
                <w:highlight w:val="none"/>
                <w:lang w:bidi="ar"/>
              </w:rPr>
              <w:t>分</w:t>
            </w:r>
          </w:p>
        </w:tc>
        <w:tc>
          <w:tcPr>
            <w:tcW w:w="7498" w:type="dxa"/>
            <w:gridSpan w:val="2"/>
            <w:tcBorders>
              <w:top w:val="single" w:color="auto" w:sz="4" w:space="0"/>
              <w:left w:val="single" w:color="auto" w:sz="4" w:space="0"/>
              <w:bottom w:val="single" w:color="auto" w:sz="4" w:space="0"/>
              <w:right w:val="single" w:color="auto" w:sz="4" w:space="0"/>
            </w:tcBorders>
            <w:noWrap w:val="0"/>
            <w:vAlign w:val="center"/>
          </w:tcPr>
          <w:p w14:paraId="3FFB6C0D">
            <w:pPr>
              <w:pStyle w:val="9"/>
              <w:numPr>
                <w:ilvl w:val="0"/>
                <w:numId w:val="0"/>
              </w:numPr>
              <w:spacing w:line="360" w:lineRule="auto"/>
              <w:ind w:leftChars="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1、人员配备合理，职责分工明确，工作团队中具有专业人员配备，得</w:t>
            </w:r>
            <w:r>
              <w:rPr>
                <w:rFonts w:hint="eastAsia" w:ascii="宋体" w:hAnsi="宋体" w:cs="宋体"/>
                <w:bCs/>
                <w:color w:val="auto"/>
                <w:kern w:val="2"/>
                <w:sz w:val="24"/>
                <w:szCs w:val="24"/>
                <w:highlight w:val="none"/>
                <w:lang w:val="en-US" w:eastAsia="zh-CN" w:bidi="ar-SA"/>
              </w:rPr>
              <w:t>7</w:t>
            </w:r>
            <w:r>
              <w:rPr>
                <w:rFonts w:hint="eastAsia" w:ascii="宋体" w:hAnsi="宋体" w:eastAsia="宋体" w:cs="宋体"/>
                <w:bCs/>
                <w:color w:val="auto"/>
                <w:sz w:val="24"/>
                <w:szCs w:val="24"/>
                <w:highlight w:val="none"/>
              </w:rPr>
              <w:t>～</w:t>
            </w:r>
            <w:r>
              <w:rPr>
                <w:rFonts w:hint="eastAsia" w:ascii="宋体" w:hAnsi="宋体" w:cs="宋体"/>
                <w:bCs/>
                <w:color w:val="auto"/>
                <w:kern w:val="2"/>
                <w:sz w:val="24"/>
                <w:szCs w:val="24"/>
                <w:highlight w:val="none"/>
                <w:lang w:val="en-US" w:eastAsia="zh-CN" w:bidi="ar-SA"/>
              </w:rPr>
              <w:t>10</w:t>
            </w:r>
            <w:r>
              <w:rPr>
                <w:rFonts w:hint="eastAsia" w:ascii="宋体" w:hAnsi="宋体" w:eastAsia="宋体" w:cs="宋体"/>
                <w:bCs/>
                <w:color w:val="auto"/>
                <w:kern w:val="2"/>
                <w:sz w:val="24"/>
                <w:szCs w:val="24"/>
                <w:highlight w:val="none"/>
                <w:lang w:val="en-US" w:eastAsia="zh-CN" w:bidi="ar-SA"/>
              </w:rPr>
              <w:t>分；</w:t>
            </w:r>
          </w:p>
          <w:p w14:paraId="36221F44">
            <w:pPr>
              <w:pStyle w:val="9"/>
              <w:numPr>
                <w:ilvl w:val="0"/>
                <w:numId w:val="0"/>
              </w:numPr>
              <w:spacing w:line="360" w:lineRule="auto"/>
              <w:ind w:leftChars="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2、人员配备一般，职责分工基本合理，工作团队中有一定的专业人员配备，得</w:t>
            </w:r>
            <w:r>
              <w:rPr>
                <w:rFonts w:hint="eastAsia" w:ascii="宋体" w:hAnsi="宋体" w:cs="宋体"/>
                <w:bCs/>
                <w:color w:val="auto"/>
                <w:kern w:val="2"/>
                <w:sz w:val="24"/>
                <w:szCs w:val="24"/>
                <w:highlight w:val="none"/>
                <w:lang w:val="en-US" w:eastAsia="zh-CN" w:bidi="ar-SA"/>
              </w:rPr>
              <w:t>4</w:t>
            </w:r>
            <w:r>
              <w:rPr>
                <w:rFonts w:hint="eastAsia" w:ascii="宋体" w:hAnsi="宋体" w:eastAsia="宋体" w:cs="宋体"/>
                <w:bCs/>
                <w:color w:val="auto"/>
                <w:sz w:val="24"/>
                <w:szCs w:val="24"/>
                <w:highlight w:val="none"/>
              </w:rPr>
              <w:t>～</w:t>
            </w:r>
            <w:r>
              <w:rPr>
                <w:rFonts w:hint="eastAsia" w:ascii="宋体" w:hAnsi="宋体" w:cs="宋体"/>
                <w:bCs/>
                <w:color w:val="auto"/>
                <w:kern w:val="2"/>
                <w:sz w:val="24"/>
                <w:szCs w:val="24"/>
                <w:highlight w:val="none"/>
                <w:lang w:val="en-US" w:eastAsia="zh-CN" w:bidi="ar-SA"/>
              </w:rPr>
              <w:t>6</w:t>
            </w:r>
            <w:r>
              <w:rPr>
                <w:rFonts w:hint="eastAsia" w:ascii="宋体" w:hAnsi="宋体" w:eastAsia="宋体" w:cs="宋体"/>
                <w:bCs/>
                <w:color w:val="auto"/>
                <w:kern w:val="2"/>
                <w:sz w:val="24"/>
                <w:szCs w:val="24"/>
                <w:highlight w:val="none"/>
                <w:lang w:val="en-US" w:eastAsia="zh-CN" w:bidi="ar-SA"/>
              </w:rPr>
              <w:t>分；</w:t>
            </w:r>
          </w:p>
          <w:p w14:paraId="1C76F5E6">
            <w:pPr>
              <w:pStyle w:val="9"/>
              <w:numPr>
                <w:ilvl w:val="0"/>
                <w:numId w:val="0"/>
              </w:numPr>
              <w:spacing w:line="360" w:lineRule="auto"/>
              <w:ind w:leftChars="0"/>
              <w:rPr>
                <w:rFonts w:hint="eastAsia" w:ascii="宋体" w:hAnsi="宋体" w:eastAsia="宋体" w:cs="宋体"/>
                <w:color w:val="auto"/>
                <w:highlight w:val="none"/>
                <w:lang w:eastAsia="zh-CN"/>
              </w:rPr>
            </w:pPr>
            <w:r>
              <w:rPr>
                <w:rFonts w:hint="eastAsia" w:ascii="宋体" w:hAnsi="宋体" w:eastAsia="宋体" w:cs="宋体"/>
                <w:bCs/>
                <w:color w:val="auto"/>
                <w:kern w:val="2"/>
                <w:sz w:val="24"/>
                <w:szCs w:val="24"/>
                <w:highlight w:val="none"/>
                <w:lang w:val="en-US" w:eastAsia="zh-CN" w:bidi="ar-SA"/>
              </w:rPr>
              <w:t>3、人员配备较差，职责分工不合理，工作团队中无专业人员配备，得0</w:t>
            </w:r>
            <w:r>
              <w:rPr>
                <w:rFonts w:hint="eastAsia" w:ascii="宋体" w:hAnsi="宋体" w:eastAsia="宋体" w:cs="宋体"/>
                <w:bCs/>
                <w:color w:val="auto"/>
                <w:sz w:val="24"/>
                <w:szCs w:val="24"/>
                <w:highlight w:val="none"/>
              </w:rPr>
              <w:t>～</w:t>
            </w:r>
            <w:r>
              <w:rPr>
                <w:rFonts w:hint="eastAsia" w:ascii="宋体" w:hAnsi="宋体" w:cs="宋体"/>
                <w:bCs/>
                <w:color w:val="auto"/>
                <w:kern w:val="2"/>
                <w:sz w:val="24"/>
                <w:szCs w:val="24"/>
                <w:highlight w:val="none"/>
                <w:lang w:val="en-US" w:eastAsia="zh-CN" w:bidi="ar-SA"/>
              </w:rPr>
              <w:t>3</w:t>
            </w:r>
            <w:r>
              <w:rPr>
                <w:rFonts w:hint="eastAsia" w:ascii="宋体" w:hAnsi="宋体" w:eastAsia="宋体" w:cs="宋体"/>
                <w:bCs/>
                <w:color w:val="auto"/>
                <w:kern w:val="2"/>
                <w:sz w:val="24"/>
                <w:szCs w:val="24"/>
                <w:highlight w:val="none"/>
                <w:lang w:val="en-US" w:eastAsia="zh-CN" w:bidi="ar-SA"/>
              </w:rPr>
              <w:t>分。</w:t>
            </w:r>
          </w:p>
        </w:tc>
      </w:tr>
      <w:tr w14:paraId="780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341" w:type="dxa"/>
            <w:gridSpan w:val="7"/>
            <w:tcBorders>
              <w:top w:val="single" w:color="auto" w:sz="4" w:space="0"/>
              <w:left w:val="single" w:color="auto" w:sz="4" w:space="0"/>
              <w:bottom w:val="single" w:color="auto" w:sz="4" w:space="0"/>
              <w:right w:val="single" w:color="auto" w:sz="4" w:space="0"/>
            </w:tcBorders>
            <w:noWrap w:val="0"/>
            <w:vAlign w:val="center"/>
          </w:tcPr>
          <w:p w14:paraId="59F20C9E">
            <w:pPr>
              <w:widowControl/>
              <w:jc w:val="center"/>
              <w:rPr>
                <w:rFonts w:hint="eastAsia" w:ascii="宋体" w:hAnsi="宋体" w:eastAsia="宋体" w:cs="宋体"/>
                <w:color w:val="000000"/>
                <w:sz w:val="24"/>
                <w:szCs w:val="24"/>
                <w:highlight w:val="none"/>
                <w:lang w:bidi="ar"/>
              </w:rPr>
            </w:pPr>
            <w:r>
              <w:rPr>
                <w:rFonts w:hint="eastAsia" w:ascii="宋体" w:hAnsi="宋体" w:eastAsia="宋体" w:cs="宋体"/>
                <w:b/>
                <w:bCs/>
                <w:color w:val="000000"/>
                <w:sz w:val="24"/>
                <w:szCs w:val="24"/>
                <w:highlight w:val="none"/>
                <w:lang w:val="en-US" w:eastAsia="zh-CN"/>
              </w:rPr>
              <w:t xml:space="preserve"> F3：</w:t>
            </w:r>
            <w:r>
              <w:rPr>
                <w:rFonts w:hint="eastAsia" w:ascii="宋体" w:hAnsi="宋体" w:eastAsia="宋体" w:cs="宋体"/>
                <w:b/>
                <w:bCs/>
                <w:color w:val="000000"/>
                <w:sz w:val="24"/>
                <w:szCs w:val="24"/>
                <w:highlight w:val="none"/>
                <w:shd w:val="clear" w:color="auto" w:fill="FFFFFF"/>
                <w:lang w:bidi="ar"/>
              </w:rPr>
              <w:t>商务部分（满分</w:t>
            </w:r>
            <w:r>
              <w:rPr>
                <w:rFonts w:hint="eastAsia" w:ascii="宋体" w:hAnsi="宋体" w:cs="宋体"/>
                <w:b/>
                <w:bCs/>
                <w:color w:val="000000"/>
                <w:sz w:val="24"/>
                <w:szCs w:val="24"/>
                <w:highlight w:val="none"/>
                <w:shd w:val="clear" w:color="auto" w:fill="FFFFFF"/>
                <w:lang w:val="en-US" w:eastAsia="zh-CN" w:bidi="ar"/>
              </w:rPr>
              <w:t>10</w:t>
            </w:r>
            <w:r>
              <w:rPr>
                <w:rFonts w:hint="eastAsia" w:ascii="宋体" w:hAnsi="宋体" w:eastAsia="宋体" w:cs="宋体"/>
                <w:b/>
                <w:bCs/>
                <w:color w:val="000000"/>
                <w:sz w:val="24"/>
                <w:szCs w:val="24"/>
                <w:highlight w:val="none"/>
                <w:shd w:val="clear" w:color="auto" w:fill="FFFFFF"/>
                <w:lang w:bidi="ar"/>
              </w:rPr>
              <w:t>分）</w:t>
            </w:r>
          </w:p>
        </w:tc>
      </w:tr>
      <w:tr w14:paraId="37CA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14:paraId="7F04A611">
            <w:pPr>
              <w:spacing w:line="400" w:lineRule="exact"/>
              <w:ind w:firstLine="28"/>
              <w:jc w:val="center"/>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序号</w:t>
            </w:r>
          </w:p>
        </w:tc>
        <w:tc>
          <w:tcPr>
            <w:tcW w:w="1488" w:type="dxa"/>
            <w:gridSpan w:val="3"/>
            <w:tcBorders>
              <w:top w:val="single" w:color="auto" w:sz="4" w:space="0"/>
              <w:left w:val="single" w:color="auto" w:sz="4" w:space="0"/>
              <w:bottom w:val="single" w:color="auto" w:sz="4" w:space="0"/>
              <w:right w:val="single" w:color="auto" w:sz="4" w:space="0"/>
            </w:tcBorders>
            <w:noWrap w:val="0"/>
            <w:vAlign w:val="center"/>
          </w:tcPr>
          <w:p w14:paraId="05FA5DA0">
            <w:pPr>
              <w:spacing w:line="400" w:lineRule="exact"/>
              <w:ind w:firstLine="28"/>
              <w:rPr>
                <w:rFonts w:hint="eastAsia" w:ascii="宋体" w:hAnsi="宋体" w:eastAsia="宋体" w:cs="宋体"/>
                <w:color w:val="000000"/>
                <w:sz w:val="24"/>
                <w:szCs w:val="24"/>
                <w:highlight w:val="none"/>
                <w:shd w:val="clear" w:color="auto" w:fill="FFFFFF"/>
                <w:lang w:bidi="ar"/>
              </w:rPr>
            </w:pPr>
            <w:r>
              <w:rPr>
                <w:rFonts w:hint="eastAsia" w:ascii="宋体" w:hAnsi="宋体" w:eastAsia="宋体" w:cs="宋体"/>
                <w:b/>
                <w:bCs/>
                <w:color w:val="000000"/>
                <w:sz w:val="24"/>
                <w:szCs w:val="24"/>
                <w:highlight w:val="none"/>
              </w:rPr>
              <w:t>评分因素</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4A52B854">
            <w:pPr>
              <w:spacing w:line="400" w:lineRule="exact"/>
              <w:ind w:firstLine="28"/>
              <w:jc w:val="center"/>
              <w:rPr>
                <w:rFonts w:hint="eastAsia" w:ascii="宋体" w:hAnsi="宋体" w:eastAsia="宋体" w:cs="宋体"/>
                <w:color w:val="000000"/>
                <w:sz w:val="24"/>
                <w:szCs w:val="24"/>
                <w:highlight w:val="none"/>
                <w:lang w:bidi="ar"/>
              </w:rPr>
            </w:pPr>
            <w:r>
              <w:rPr>
                <w:rFonts w:hint="eastAsia" w:ascii="宋体" w:hAnsi="宋体" w:eastAsia="宋体" w:cs="宋体"/>
                <w:b/>
                <w:bCs/>
                <w:color w:val="000000"/>
                <w:sz w:val="24"/>
                <w:szCs w:val="24"/>
                <w:highlight w:val="none"/>
              </w:rPr>
              <w:t>分值</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6F40125F">
            <w:pPr>
              <w:widowControl/>
              <w:jc w:val="center"/>
              <w:rPr>
                <w:rFonts w:hint="eastAsia" w:ascii="宋体" w:hAnsi="宋体" w:eastAsia="宋体" w:cs="宋体"/>
                <w:color w:val="000000"/>
                <w:sz w:val="24"/>
                <w:szCs w:val="24"/>
                <w:highlight w:val="none"/>
                <w:lang w:bidi="ar"/>
              </w:rPr>
            </w:pPr>
            <w:r>
              <w:rPr>
                <w:rFonts w:hint="eastAsia" w:ascii="宋体" w:hAnsi="宋体" w:eastAsia="宋体" w:cs="宋体"/>
                <w:b/>
                <w:bCs/>
                <w:color w:val="000000"/>
                <w:sz w:val="24"/>
                <w:szCs w:val="24"/>
                <w:highlight w:val="none"/>
              </w:rPr>
              <w:t>评分标准</w:t>
            </w:r>
          </w:p>
        </w:tc>
      </w:tr>
      <w:tr w14:paraId="6603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14:paraId="320B70A9">
            <w:pPr>
              <w:spacing w:line="400" w:lineRule="exact"/>
              <w:ind w:firstLine="28"/>
              <w:jc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p>
        </w:tc>
        <w:tc>
          <w:tcPr>
            <w:tcW w:w="1488" w:type="dxa"/>
            <w:gridSpan w:val="3"/>
            <w:tcBorders>
              <w:top w:val="single" w:color="auto" w:sz="4" w:space="0"/>
              <w:left w:val="single" w:color="auto" w:sz="4" w:space="0"/>
              <w:bottom w:val="single" w:color="auto" w:sz="4" w:space="0"/>
              <w:right w:val="single" w:color="auto" w:sz="4" w:space="0"/>
            </w:tcBorders>
            <w:noWrap w:val="0"/>
            <w:vAlign w:val="center"/>
          </w:tcPr>
          <w:p w14:paraId="51AAB9EC">
            <w:pPr>
              <w:spacing w:line="360" w:lineRule="auto"/>
              <w:jc w:val="left"/>
              <w:rPr>
                <w:rFonts w:hint="eastAsia" w:ascii="宋体" w:hAnsi="宋体" w:eastAsia="宋体" w:cs="宋体"/>
                <w:b/>
                <w:bCs/>
                <w:color w:val="000000"/>
                <w:sz w:val="24"/>
                <w:szCs w:val="24"/>
                <w:highlight w:val="none"/>
                <w:lang w:eastAsia="zh-CN" w:bidi="ar"/>
              </w:rPr>
            </w:pPr>
            <w:r>
              <w:rPr>
                <w:rFonts w:hint="eastAsia" w:ascii="宋体" w:hAnsi="宋体" w:eastAsia="宋体" w:cs="宋体"/>
                <w:b/>
                <w:bCs/>
                <w:color w:val="000000"/>
                <w:sz w:val="24"/>
                <w:szCs w:val="24"/>
                <w:highlight w:val="none"/>
                <w:lang w:val="en-US" w:eastAsia="zh-CN" w:bidi="ar"/>
              </w:rPr>
              <w:t>类似业绩</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14:paraId="2D368C3C">
            <w:pPr>
              <w:spacing w:line="360" w:lineRule="auto"/>
              <w:jc w:val="center"/>
              <w:rPr>
                <w:rFonts w:hint="eastAsia" w:ascii="宋体" w:hAnsi="宋体" w:eastAsia="宋体" w:cs="宋体"/>
                <w:b/>
                <w:bCs/>
                <w:color w:val="auto"/>
                <w:sz w:val="24"/>
                <w:szCs w:val="24"/>
                <w:highlight w:val="none"/>
                <w:lang w:bidi="ar"/>
              </w:rPr>
            </w:pPr>
            <w:r>
              <w:rPr>
                <w:rFonts w:hint="eastAsia" w:ascii="宋体" w:hAnsi="宋体" w:cs="宋体"/>
                <w:b/>
                <w:bCs/>
                <w:color w:val="auto"/>
                <w:sz w:val="24"/>
                <w:szCs w:val="24"/>
                <w:highlight w:val="none"/>
                <w:lang w:val="en-US" w:eastAsia="zh-CN" w:bidi="ar"/>
              </w:rPr>
              <w:t>10</w:t>
            </w:r>
            <w:r>
              <w:rPr>
                <w:rFonts w:hint="eastAsia" w:ascii="宋体" w:hAnsi="宋体" w:eastAsia="宋体" w:cs="宋体"/>
                <w:b/>
                <w:bCs/>
                <w:color w:val="auto"/>
                <w:sz w:val="24"/>
                <w:szCs w:val="24"/>
                <w:highlight w:val="none"/>
                <w:lang w:bidi="ar"/>
              </w:rPr>
              <w:t>分</w:t>
            </w:r>
          </w:p>
        </w:tc>
        <w:tc>
          <w:tcPr>
            <w:tcW w:w="7299" w:type="dxa"/>
            <w:tcBorders>
              <w:top w:val="single" w:color="auto" w:sz="4" w:space="0"/>
              <w:left w:val="single" w:color="auto" w:sz="4" w:space="0"/>
              <w:bottom w:val="single" w:color="auto" w:sz="4" w:space="0"/>
              <w:right w:val="single" w:color="auto" w:sz="4" w:space="0"/>
            </w:tcBorders>
            <w:noWrap w:val="0"/>
            <w:vAlign w:val="center"/>
          </w:tcPr>
          <w:p w14:paraId="166E36D1">
            <w:pPr>
              <w:spacing w:line="360" w:lineRule="auto"/>
              <w:jc w:val="left"/>
              <w:rPr>
                <w:rFonts w:hint="eastAsia" w:ascii="宋体" w:hAnsi="宋体" w:eastAsia="宋体" w:cs="宋体"/>
                <w:color w:val="auto"/>
                <w:sz w:val="24"/>
                <w:szCs w:val="24"/>
                <w:highlight w:val="none"/>
                <w:lang w:val="zh-CN" w:eastAsia="zh-CN" w:bidi="ar"/>
              </w:rPr>
            </w:pPr>
            <w:r>
              <w:rPr>
                <w:rFonts w:hint="eastAsia" w:ascii="宋体" w:hAnsi="宋体" w:cs="宋体"/>
                <w:color w:val="auto"/>
                <w:sz w:val="24"/>
                <w:szCs w:val="24"/>
                <w:highlight w:val="none"/>
                <w:lang w:val="en-US" w:eastAsia="zh-CN" w:bidi="ar"/>
              </w:rPr>
              <w:t>1、</w:t>
            </w:r>
            <w:r>
              <w:rPr>
                <w:rFonts w:hint="eastAsia" w:ascii="宋体" w:hAnsi="宋体" w:eastAsia="宋体" w:cs="宋体"/>
                <w:color w:val="auto"/>
                <w:sz w:val="24"/>
                <w:szCs w:val="24"/>
                <w:highlight w:val="none"/>
                <w:lang w:val="zh-CN" w:eastAsia="zh-CN" w:bidi="ar"/>
              </w:rPr>
              <w:t>提供</w:t>
            </w:r>
            <w:r>
              <w:rPr>
                <w:rFonts w:hint="eastAsia" w:ascii="宋体" w:hAnsi="宋体" w:eastAsia="宋体" w:cs="宋体"/>
                <w:color w:val="auto"/>
                <w:sz w:val="24"/>
                <w:szCs w:val="24"/>
                <w:highlight w:val="none"/>
                <w:lang w:val="en-US" w:eastAsia="zh-CN" w:bidi="ar"/>
              </w:rPr>
              <w:t>1个</w:t>
            </w:r>
            <w:r>
              <w:rPr>
                <w:rFonts w:hint="eastAsia" w:ascii="宋体" w:hAnsi="宋体" w:cs="宋体"/>
                <w:color w:val="auto"/>
                <w:sz w:val="24"/>
                <w:szCs w:val="24"/>
                <w:highlight w:val="none"/>
                <w:lang w:val="en-US" w:eastAsia="zh-CN" w:bidi="ar"/>
              </w:rPr>
              <w:t>有机产品认证服务类似</w:t>
            </w:r>
            <w:r>
              <w:rPr>
                <w:rFonts w:hint="eastAsia" w:ascii="宋体" w:hAnsi="宋体" w:eastAsia="宋体" w:cs="宋体"/>
                <w:color w:val="auto"/>
                <w:sz w:val="24"/>
                <w:szCs w:val="24"/>
                <w:highlight w:val="none"/>
                <w:lang w:val="zh-CN" w:eastAsia="zh-CN" w:bidi="ar"/>
              </w:rPr>
              <w:t>业绩证明材料</w:t>
            </w:r>
            <w:r>
              <w:rPr>
                <w:rFonts w:hint="eastAsia" w:ascii="宋体" w:hAnsi="宋体" w:eastAsia="宋体" w:cs="宋体"/>
                <w:color w:val="auto"/>
                <w:sz w:val="24"/>
                <w:szCs w:val="24"/>
                <w:highlight w:val="none"/>
                <w:lang w:val="en-US" w:eastAsia="zh-CN" w:bidi="ar"/>
              </w:rPr>
              <w:t>得得</w:t>
            </w:r>
            <w:r>
              <w:rPr>
                <w:rFonts w:hint="eastAsia" w:ascii="宋体" w:hAnsi="宋体" w:cs="宋体"/>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分，</w:t>
            </w:r>
            <w:r>
              <w:rPr>
                <w:rFonts w:hint="eastAsia" w:ascii="宋体" w:hAnsi="宋体" w:eastAsia="宋体" w:cs="宋体"/>
                <w:color w:val="auto"/>
                <w:sz w:val="24"/>
                <w:szCs w:val="24"/>
                <w:highlight w:val="none"/>
                <w:lang w:val="zh-CN" w:eastAsia="zh-CN" w:bidi="ar"/>
              </w:rPr>
              <w:t>满分</w:t>
            </w:r>
            <w:r>
              <w:rPr>
                <w:rFonts w:hint="eastAsia" w:ascii="宋体" w:hAnsi="宋体" w:eastAsia="宋体" w:cs="宋体"/>
                <w:color w:val="auto"/>
                <w:sz w:val="24"/>
                <w:szCs w:val="24"/>
                <w:highlight w:val="none"/>
                <w:lang w:val="en-US" w:eastAsia="zh-CN" w:bidi="ar"/>
              </w:rPr>
              <w:t>为</w:t>
            </w:r>
            <w:r>
              <w:rPr>
                <w:rFonts w:hint="eastAsia" w:ascii="宋体" w:hAnsi="宋体" w:cs="宋体"/>
                <w:color w:val="auto"/>
                <w:sz w:val="24"/>
                <w:szCs w:val="24"/>
                <w:highlight w:val="none"/>
                <w:lang w:val="en-US" w:eastAsia="zh-CN" w:bidi="ar"/>
              </w:rPr>
              <w:t>6</w:t>
            </w:r>
            <w:r>
              <w:rPr>
                <w:rFonts w:hint="eastAsia" w:ascii="宋体" w:hAnsi="宋体" w:eastAsia="宋体" w:cs="宋体"/>
                <w:color w:val="auto"/>
                <w:sz w:val="24"/>
                <w:szCs w:val="24"/>
                <w:highlight w:val="none"/>
                <w:lang w:val="zh-CN" w:eastAsia="zh-CN" w:bidi="ar"/>
              </w:rPr>
              <w:t>分。</w:t>
            </w:r>
          </w:p>
          <w:p w14:paraId="2DE7ED56">
            <w:pPr>
              <w:spacing w:line="360" w:lineRule="auto"/>
              <w:jc w:val="left"/>
              <w:rPr>
                <w:rFonts w:hint="eastAsia" w:ascii="宋体" w:hAnsi="宋体" w:eastAsia="宋体" w:cs="宋体"/>
                <w:color w:val="auto"/>
                <w:sz w:val="24"/>
                <w:szCs w:val="24"/>
                <w:highlight w:val="none"/>
                <w:lang w:val="zh-CN" w:eastAsia="zh-CN" w:bidi="ar"/>
              </w:rPr>
            </w:pP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val="zh-CN" w:eastAsia="zh-CN" w:bidi="ar"/>
              </w:rPr>
              <w:t>提供</w:t>
            </w:r>
            <w:r>
              <w:rPr>
                <w:rFonts w:hint="eastAsia" w:ascii="宋体" w:hAnsi="宋体" w:eastAsia="宋体" w:cs="宋体"/>
                <w:color w:val="auto"/>
                <w:sz w:val="24"/>
                <w:szCs w:val="24"/>
                <w:highlight w:val="none"/>
                <w:lang w:val="en-US" w:eastAsia="zh-CN" w:bidi="ar"/>
              </w:rPr>
              <w:t>1个</w:t>
            </w:r>
            <w:r>
              <w:rPr>
                <w:rFonts w:hint="eastAsia" w:ascii="宋体" w:hAnsi="宋体" w:cs="宋体"/>
                <w:color w:val="auto"/>
                <w:sz w:val="24"/>
                <w:szCs w:val="24"/>
                <w:highlight w:val="none"/>
                <w:lang w:val="en-US" w:eastAsia="zh-CN" w:bidi="ar"/>
              </w:rPr>
              <w:t>生态原产地产品认证服务类似</w:t>
            </w:r>
            <w:r>
              <w:rPr>
                <w:rFonts w:hint="eastAsia" w:ascii="宋体" w:hAnsi="宋体" w:eastAsia="宋体" w:cs="宋体"/>
                <w:color w:val="auto"/>
                <w:sz w:val="24"/>
                <w:szCs w:val="24"/>
                <w:highlight w:val="none"/>
                <w:lang w:val="zh-CN" w:eastAsia="zh-CN" w:bidi="ar"/>
              </w:rPr>
              <w:t>业绩证明材料</w:t>
            </w:r>
            <w:r>
              <w:rPr>
                <w:rFonts w:hint="eastAsia" w:ascii="宋体" w:hAnsi="宋体" w:eastAsia="宋体" w:cs="宋体"/>
                <w:color w:val="auto"/>
                <w:sz w:val="24"/>
                <w:szCs w:val="24"/>
                <w:highlight w:val="none"/>
                <w:lang w:val="en-US" w:eastAsia="zh-CN" w:bidi="ar"/>
              </w:rPr>
              <w:t>得</w:t>
            </w:r>
            <w:r>
              <w:rPr>
                <w:rFonts w:hint="eastAsia" w:ascii="宋体" w:hAnsi="宋体" w:cs="宋体"/>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分，</w:t>
            </w:r>
            <w:r>
              <w:rPr>
                <w:rFonts w:hint="eastAsia" w:ascii="宋体" w:hAnsi="宋体" w:eastAsia="宋体" w:cs="宋体"/>
                <w:color w:val="auto"/>
                <w:sz w:val="24"/>
                <w:szCs w:val="24"/>
                <w:highlight w:val="none"/>
                <w:lang w:val="zh-CN" w:eastAsia="zh-CN" w:bidi="ar"/>
              </w:rPr>
              <w:t>满分</w:t>
            </w:r>
            <w:r>
              <w:rPr>
                <w:rFonts w:hint="eastAsia" w:ascii="宋体" w:hAnsi="宋体" w:eastAsia="宋体" w:cs="宋体"/>
                <w:color w:val="auto"/>
                <w:sz w:val="24"/>
                <w:szCs w:val="24"/>
                <w:highlight w:val="none"/>
                <w:lang w:val="en-US" w:eastAsia="zh-CN" w:bidi="ar"/>
              </w:rPr>
              <w:t>为</w:t>
            </w:r>
            <w:r>
              <w:rPr>
                <w:rFonts w:hint="eastAsia" w:ascii="宋体" w:hAnsi="宋体" w:cs="宋体"/>
                <w:color w:val="auto"/>
                <w:sz w:val="24"/>
                <w:szCs w:val="24"/>
                <w:highlight w:val="none"/>
                <w:lang w:val="en-US" w:eastAsia="zh-CN" w:bidi="ar"/>
              </w:rPr>
              <w:t>4</w:t>
            </w:r>
            <w:r>
              <w:rPr>
                <w:rFonts w:hint="eastAsia" w:ascii="宋体" w:hAnsi="宋体" w:eastAsia="宋体" w:cs="宋体"/>
                <w:color w:val="auto"/>
                <w:sz w:val="24"/>
                <w:szCs w:val="24"/>
                <w:highlight w:val="none"/>
                <w:lang w:val="zh-CN" w:eastAsia="zh-CN" w:bidi="ar"/>
              </w:rPr>
              <w:t>分。</w:t>
            </w:r>
          </w:p>
          <w:p w14:paraId="329F7A9F">
            <w:pPr>
              <w:spacing w:line="360" w:lineRule="auto"/>
              <w:ind w:firstLine="480" w:firstLineChars="20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zh-CN" w:eastAsia="zh-CN" w:bidi="ar"/>
              </w:rPr>
              <w:t>注：投标人须提供类似项目业绩的合同或中标/成交通知书扫描件证明材料，无证明材料或未按要求提供证明材料或证明材料无法体现内容的，不予认可。日期以合同签订日期或中标/成交通知书日期为准。</w:t>
            </w:r>
          </w:p>
        </w:tc>
      </w:tr>
      <w:tr w14:paraId="0708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0341" w:type="dxa"/>
            <w:gridSpan w:val="7"/>
            <w:tcBorders>
              <w:top w:val="single" w:color="auto" w:sz="4" w:space="0"/>
              <w:left w:val="single" w:color="auto" w:sz="4" w:space="0"/>
              <w:bottom w:val="single" w:color="auto" w:sz="4" w:space="0"/>
              <w:right w:val="single" w:color="auto" w:sz="4" w:space="0"/>
            </w:tcBorders>
            <w:noWrap w:val="0"/>
            <w:vAlign w:val="center"/>
          </w:tcPr>
          <w:p w14:paraId="0759E329">
            <w:pPr>
              <w:spacing w:line="360" w:lineRule="auto"/>
              <w:ind w:firstLine="482" w:firstLineChars="200"/>
              <w:jc w:val="center"/>
              <w:rPr>
                <w:rFonts w:hint="eastAsia" w:ascii="宋体" w:hAnsi="宋体" w:eastAsia="宋体" w:cs="宋体"/>
                <w:color w:val="000000"/>
                <w:sz w:val="24"/>
                <w:szCs w:val="24"/>
                <w:highlight w:val="none"/>
                <w:lang w:bidi="ar"/>
              </w:rPr>
            </w:pPr>
            <w:r>
              <w:rPr>
                <w:rFonts w:hint="eastAsia" w:ascii="宋体" w:hAnsi="宋体" w:eastAsia="宋体" w:cs="宋体"/>
                <w:b/>
                <w:bCs/>
                <w:color w:val="000000"/>
                <w:sz w:val="24"/>
                <w:szCs w:val="24"/>
                <w:highlight w:val="none"/>
              </w:rPr>
              <w:t>评标总得分=</w:t>
            </w:r>
            <w:r>
              <w:rPr>
                <w:rFonts w:hint="eastAsia" w:ascii="宋体" w:hAnsi="宋体" w:eastAsia="宋体" w:cs="宋体"/>
                <w:b/>
                <w:bCs/>
                <w:color w:val="000000"/>
                <w:sz w:val="24"/>
                <w:szCs w:val="24"/>
                <w:highlight w:val="none"/>
                <w:lang w:val="en-US" w:eastAsia="zh-CN"/>
              </w:rPr>
              <w:t>F1:</w:t>
            </w:r>
            <w:r>
              <w:rPr>
                <w:rFonts w:hint="eastAsia" w:ascii="宋体" w:hAnsi="宋体" w:eastAsia="宋体" w:cs="宋体"/>
                <w:b/>
                <w:bCs/>
                <w:color w:val="000000"/>
                <w:sz w:val="24"/>
                <w:szCs w:val="24"/>
                <w:highlight w:val="none"/>
              </w:rPr>
              <w:t>磋商报价部分</w:t>
            </w:r>
            <w:r>
              <w:rPr>
                <w:rFonts w:hint="eastAsia" w:ascii="宋体" w:hAnsi="宋体" w:eastAsia="宋体" w:cs="宋体"/>
                <w:color w:val="000000"/>
                <w:sz w:val="24"/>
                <w:szCs w:val="24"/>
                <w:highlight w:val="none"/>
                <w:lang w:bidi="ar"/>
              </w:rPr>
              <w:t>+</w:t>
            </w:r>
            <w:r>
              <w:rPr>
                <w:rFonts w:hint="eastAsia" w:ascii="宋体" w:hAnsi="宋体" w:eastAsia="宋体" w:cs="宋体"/>
                <w:b/>
                <w:bCs/>
                <w:color w:val="000000"/>
                <w:sz w:val="24"/>
                <w:szCs w:val="24"/>
                <w:highlight w:val="none"/>
                <w:lang w:val="en-US" w:eastAsia="zh-CN" w:bidi="ar"/>
              </w:rPr>
              <w:t>F2:</w:t>
            </w:r>
            <w:r>
              <w:rPr>
                <w:rFonts w:hint="eastAsia" w:ascii="宋体" w:hAnsi="宋体" w:eastAsia="宋体" w:cs="宋体"/>
                <w:b/>
                <w:bCs/>
                <w:color w:val="000000"/>
                <w:sz w:val="24"/>
                <w:szCs w:val="24"/>
                <w:highlight w:val="none"/>
              </w:rPr>
              <w:t>技术部分</w:t>
            </w:r>
            <w:r>
              <w:rPr>
                <w:rFonts w:hint="eastAsia" w:ascii="宋体" w:hAnsi="宋体" w:eastAsia="宋体" w:cs="宋体"/>
                <w:color w:val="000000"/>
                <w:sz w:val="24"/>
                <w:szCs w:val="24"/>
                <w:highlight w:val="none"/>
                <w:lang w:bidi="ar"/>
              </w:rPr>
              <w:t>+</w:t>
            </w:r>
            <w:r>
              <w:rPr>
                <w:rFonts w:hint="eastAsia" w:ascii="宋体" w:hAnsi="宋体" w:eastAsia="宋体" w:cs="宋体"/>
                <w:b/>
                <w:bCs/>
                <w:color w:val="000000"/>
                <w:sz w:val="24"/>
                <w:szCs w:val="24"/>
                <w:highlight w:val="none"/>
                <w:lang w:val="en-US" w:eastAsia="zh-CN" w:bidi="ar"/>
              </w:rPr>
              <w:t>F3:</w:t>
            </w:r>
            <w:r>
              <w:rPr>
                <w:rFonts w:hint="eastAsia" w:ascii="宋体" w:hAnsi="宋体" w:eastAsia="宋体" w:cs="宋体"/>
                <w:b/>
                <w:bCs/>
                <w:color w:val="000000"/>
                <w:sz w:val="24"/>
                <w:szCs w:val="24"/>
                <w:highlight w:val="none"/>
              </w:rPr>
              <w:t>商务部分</w:t>
            </w:r>
          </w:p>
        </w:tc>
      </w:tr>
      <w:tr w14:paraId="6CD7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0341" w:type="dxa"/>
            <w:gridSpan w:val="7"/>
            <w:tcBorders>
              <w:top w:val="single" w:color="auto" w:sz="4" w:space="0"/>
              <w:left w:val="single" w:color="auto" w:sz="4" w:space="0"/>
              <w:right w:val="single" w:color="auto" w:sz="4" w:space="0"/>
            </w:tcBorders>
            <w:noWrap w:val="0"/>
            <w:vAlign w:val="center"/>
          </w:tcPr>
          <w:p w14:paraId="2F92AB52">
            <w:pPr>
              <w:spacing w:line="360" w:lineRule="auto"/>
              <w:ind w:firstLine="480" w:firstLineChars="200"/>
              <w:jc w:val="center"/>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备注：根据进入详细评审的供应商的投标文件，对评分因素的响应情况进行横向比较，分档打分，多个供应商响应情况基本一致时，可以按同一档次打分。</w:t>
            </w:r>
          </w:p>
        </w:tc>
      </w:tr>
    </w:tbl>
    <w:p w14:paraId="08E9E894">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(四)得分汇总</w:t>
      </w:r>
    </w:p>
    <w:p w14:paraId="4F4AE31A">
      <w:pPr>
        <w:pStyle w:val="12"/>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1.评委应首先对各供应商响应文件进行评审，写出书面意见并按竞争性磋商文件规定分值评分。</w:t>
      </w:r>
    </w:p>
    <w:p w14:paraId="68AA727C">
      <w:pPr>
        <w:pStyle w:val="12"/>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2.除磋商价格得分外，其余部分由各评委自主评分并签字确认。</w:t>
      </w:r>
    </w:p>
    <w:p w14:paraId="0FC0C7D5">
      <w:pPr>
        <w:pStyle w:val="12"/>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3.统分原则：计算评委打分的算术平均值为供应商的该项评分因素的得分，磋商报价得分除外(保留小数点后两位)。</w:t>
      </w:r>
    </w:p>
    <w:p w14:paraId="4C1FCA58">
      <w:pPr>
        <w:pStyle w:val="12"/>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4.得分汇总：各项评分因素得分的总和的平均值即为供应商最后得分。</w:t>
      </w:r>
    </w:p>
    <w:p w14:paraId="0E8118CC">
      <w:pPr>
        <w:pStyle w:val="12"/>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5.经磋商小组认定评分畸高、畸低的，磋商小组应当当场修改评标结果，并在评标报告中记载。</w:t>
      </w:r>
    </w:p>
    <w:p w14:paraId="5500C690">
      <w:pPr>
        <w:spacing w:before="95" w:beforeLines="30" w:after="95" w:afterLines="30"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、推荐</w:t>
      </w:r>
    </w:p>
    <w:p w14:paraId="383C6A0B">
      <w:pPr>
        <w:autoSpaceDE w:val="0"/>
        <w:autoSpaceDN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计算出各供应商的总得分，评标结果按评审后得分由高到低顺序排列。响应文件满足竞争性磋商文件全部实质性要求，且按照评审因素的量化指标评审得分最高的供应商为排名第一的中标候选人。得分相同的，按磋商报价由低到高顺序排列。得分且磋商报价相同的并列。</w:t>
      </w:r>
    </w:p>
    <w:p w14:paraId="462D59A3">
      <w:pPr>
        <w:spacing w:before="95" w:beforeLines="30" w:after="95" w:afterLines="30"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九</w:t>
      </w:r>
      <w:r>
        <w:rPr>
          <w:rFonts w:hint="eastAsia" w:ascii="宋体" w:hAnsi="宋体" w:eastAsia="宋体" w:cs="宋体"/>
          <w:b/>
          <w:bCs/>
          <w:color w:val="auto"/>
          <w:sz w:val="24"/>
          <w:szCs w:val="24"/>
          <w:highlight w:val="none"/>
        </w:rPr>
        <w:t>、评标报告编写</w:t>
      </w:r>
    </w:p>
    <w:p w14:paraId="2BD1B160">
      <w:pPr>
        <w:spacing w:line="46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磋商小组根据全体评标成员签字的原始评标记录和评标结果编写评标报告</w:t>
      </w:r>
      <w:r>
        <w:rPr>
          <w:rFonts w:hint="eastAsia" w:ascii="宋体" w:hAnsi="宋体" w:eastAsia="宋体" w:cs="宋体"/>
          <w:color w:val="auto"/>
          <w:sz w:val="24"/>
          <w:szCs w:val="24"/>
          <w:highlight w:val="none"/>
          <w:lang w:eastAsia="zh-CN"/>
        </w:rPr>
        <w:t>。</w:t>
      </w:r>
    </w:p>
    <w:p w14:paraId="3F799C53">
      <w:pPr>
        <w:autoSpaceDE w:val="0"/>
        <w:autoSpaceDN w:val="0"/>
        <w:spacing w:line="360" w:lineRule="auto"/>
        <w:ind w:firstLine="711" w:firstLineChars="300"/>
        <w:rPr>
          <w:rFonts w:hint="eastAsia" w:ascii="宋体" w:hAnsi="宋体" w:eastAsia="宋体" w:cs="宋体"/>
          <w:b/>
          <w:bCs/>
          <w:color w:val="auto"/>
          <w:spacing w:val="-2"/>
          <w:sz w:val="24"/>
          <w:szCs w:val="24"/>
          <w:highlight w:val="none"/>
        </w:rPr>
      </w:pPr>
    </w:p>
    <w:p w14:paraId="1C1D3CA5">
      <w:pPr>
        <w:autoSpaceDE w:val="0"/>
        <w:autoSpaceDN w:val="0"/>
        <w:spacing w:line="360" w:lineRule="auto"/>
        <w:ind w:firstLine="474" w:firstLineChars="200"/>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若遇特殊问题，由竞争性磋商小组研究决定。</w:t>
      </w:r>
    </w:p>
    <w:p w14:paraId="36E4DFB1">
      <w:pPr>
        <w:pStyle w:val="11"/>
        <w:rPr>
          <w:rFonts w:hint="eastAsia" w:ascii="宋体" w:hAnsi="宋体" w:eastAsia="宋体" w:cs="宋体"/>
          <w:highlight w:val="none"/>
          <w:lang w:eastAsia="zh-CN"/>
        </w:rPr>
        <w:sectPr>
          <w:pgSz w:w="11906" w:h="16838"/>
          <w:pgMar w:top="1440" w:right="1080" w:bottom="1440" w:left="1080" w:header="720" w:footer="720" w:gutter="0"/>
          <w:pgNumType w:fmt="decimal"/>
          <w:cols w:space="720" w:num="1"/>
          <w:docGrid w:type="lines" w:linePitch="317" w:charSpace="0"/>
        </w:sectPr>
      </w:pPr>
    </w:p>
    <w:p w14:paraId="0ABA34EA">
      <w:pPr>
        <w:pStyle w:val="2"/>
        <w:numPr>
          <w:ilvl w:val="0"/>
          <w:numId w:val="0"/>
        </w:numPr>
        <w:spacing w:line="660" w:lineRule="exact"/>
        <w:jc w:val="center"/>
        <w:rPr>
          <w:rFonts w:hint="eastAsia" w:ascii="宋体" w:hAnsi="宋体" w:eastAsia="宋体" w:cs="宋体"/>
          <w:color w:val="auto"/>
          <w:sz w:val="32"/>
          <w:szCs w:val="32"/>
          <w:highlight w:val="none"/>
          <w:lang w:val="zh-CN"/>
        </w:rPr>
      </w:pPr>
      <w:bookmarkStart w:id="381" w:name="_Toc9039"/>
      <w:bookmarkStart w:id="382" w:name="_Toc20268"/>
      <w:r>
        <w:rPr>
          <w:rFonts w:hint="eastAsia" w:ascii="宋体" w:hAnsi="宋体" w:eastAsia="宋体" w:cs="宋体"/>
          <w:color w:val="auto"/>
          <w:sz w:val="32"/>
          <w:szCs w:val="32"/>
          <w:highlight w:val="none"/>
          <w:lang w:val="en-US" w:eastAsia="zh-CN"/>
        </w:rPr>
        <w:t>第七</w:t>
      </w:r>
      <w:r>
        <w:rPr>
          <w:rFonts w:hint="eastAsia" w:ascii="宋体" w:hAnsi="宋体" w:eastAsia="宋体" w:cs="宋体"/>
          <w:color w:val="auto"/>
          <w:sz w:val="32"/>
          <w:szCs w:val="32"/>
          <w:highlight w:val="none"/>
        </w:rPr>
        <w:t>章</w:t>
      </w:r>
      <w:r>
        <w:rPr>
          <w:rFonts w:hint="eastAsia" w:ascii="宋体" w:hAnsi="宋体" w:eastAsia="宋体" w:cs="宋体"/>
          <w:color w:val="auto"/>
          <w:sz w:val="32"/>
          <w:szCs w:val="32"/>
          <w:highlight w:val="none"/>
          <w:lang w:val="zh-CN"/>
        </w:rPr>
        <w:t xml:space="preserve"> </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zh-CN"/>
        </w:rPr>
        <w:t>磋商过程中可能实质性变动的内容</w:t>
      </w:r>
      <w:bookmarkEnd w:id="381"/>
      <w:bookmarkEnd w:id="382"/>
    </w:p>
    <w:p w14:paraId="6D90FAD7">
      <w:pPr>
        <w:spacing w:line="600" w:lineRule="exact"/>
        <w:ind w:firstLine="480" w:firstLineChars="200"/>
        <w:rPr>
          <w:rFonts w:hint="eastAsia" w:ascii="宋体" w:hAnsi="宋体" w:eastAsia="宋体" w:cs="宋体"/>
          <w:color w:val="auto"/>
          <w:sz w:val="24"/>
          <w:szCs w:val="24"/>
          <w:highlight w:val="none"/>
        </w:rPr>
      </w:pPr>
      <w:bookmarkStart w:id="383" w:name="_Toc15674"/>
      <w:bookmarkStart w:id="384" w:name="_Toc20730"/>
      <w:bookmarkStart w:id="385" w:name="_Toc18208"/>
      <w:r>
        <w:rPr>
          <w:rFonts w:hint="eastAsia" w:ascii="宋体" w:hAnsi="宋体" w:eastAsia="宋体" w:cs="宋体"/>
          <w:color w:val="auto"/>
          <w:sz w:val="24"/>
          <w:szCs w:val="24"/>
          <w:highlight w:val="none"/>
        </w:rPr>
        <w:t>1、服务内容、</w:t>
      </w:r>
      <w:r>
        <w:rPr>
          <w:rFonts w:hint="eastAsia" w:ascii="宋体" w:hAnsi="宋体" w:eastAsia="宋体" w:cs="宋体"/>
          <w:color w:val="auto"/>
          <w:sz w:val="24"/>
          <w:szCs w:val="24"/>
          <w:highlight w:val="none"/>
          <w:lang w:eastAsia="zh-CN"/>
        </w:rPr>
        <w:t>合同履行期限</w:t>
      </w:r>
      <w:r>
        <w:rPr>
          <w:rFonts w:hint="eastAsia" w:ascii="宋体" w:hAnsi="宋体" w:eastAsia="宋体" w:cs="宋体"/>
          <w:color w:val="auto"/>
          <w:sz w:val="24"/>
          <w:szCs w:val="24"/>
          <w:highlight w:val="none"/>
        </w:rPr>
        <w:t>、服务要求；</w:t>
      </w:r>
      <w:bookmarkEnd w:id="383"/>
      <w:bookmarkEnd w:id="384"/>
      <w:bookmarkEnd w:id="385"/>
    </w:p>
    <w:p w14:paraId="6AFD3BED">
      <w:pPr>
        <w:spacing w:line="600" w:lineRule="exact"/>
        <w:ind w:firstLine="480" w:firstLineChars="200"/>
        <w:rPr>
          <w:rFonts w:hint="eastAsia" w:ascii="宋体" w:hAnsi="宋体" w:eastAsia="宋体" w:cs="宋体"/>
          <w:color w:val="auto"/>
          <w:sz w:val="24"/>
          <w:szCs w:val="24"/>
          <w:highlight w:val="none"/>
        </w:rPr>
      </w:pPr>
      <w:bookmarkStart w:id="386" w:name="_Toc15376"/>
      <w:bookmarkStart w:id="387" w:name="_Toc8393"/>
      <w:bookmarkStart w:id="388" w:name="_Toc13242"/>
      <w:r>
        <w:rPr>
          <w:rFonts w:hint="eastAsia" w:ascii="宋体" w:hAnsi="宋体" w:eastAsia="宋体" w:cs="宋体"/>
          <w:color w:val="auto"/>
          <w:sz w:val="24"/>
          <w:szCs w:val="24"/>
          <w:highlight w:val="none"/>
        </w:rPr>
        <w:t>2、《合同格式及主要条款》中其他内容。</w:t>
      </w:r>
      <w:bookmarkEnd w:id="386"/>
      <w:bookmarkEnd w:id="387"/>
      <w:bookmarkEnd w:id="388"/>
    </w:p>
    <w:p w14:paraId="616F95F1">
      <w:pPr>
        <w:rPr>
          <w:rFonts w:hint="eastAsia" w:ascii="宋体" w:hAnsi="宋体" w:eastAsia="宋体" w:cs="宋体"/>
          <w:color w:val="auto"/>
          <w:sz w:val="24"/>
          <w:szCs w:val="24"/>
          <w:highlight w:val="none"/>
        </w:rPr>
      </w:pPr>
    </w:p>
    <w:p w14:paraId="75D6CBBD">
      <w:pPr>
        <w:rPr>
          <w:rFonts w:hint="eastAsia" w:ascii="宋体" w:hAnsi="宋体" w:eastAsia="宋体" w:cs="宋体"/>
          <w:color w:val="auto"/>
          <w:sz w:val="32"/>
          <w:szCs w:val="32"/>
          <w:highlight w:val="none"/>
          <w:lang w:val="en-US" w:eastAsia="zh-CN"/>
        </w:rPr>
      </w:pPr>
    </w:p>
    <w:sectPr>
      <w:footerReference r:id="rId13" w:type="first"/>
      <w:headerReference r:id="rId11" w:type="default"/>
      <w:footerReference r:id="rId12" w:type="default"/>
      <w:pgSz w:w="11906" w:h="16838"/>
      <w:pgMar w:top="1417" w:right="1417" w:bottom="1417" w:left="1417" w:header="720" w:footer="720" w:gutter="0"/>
      <w:pgBorders>
        <w:top w:val="none" w:sz="0" w:space="0"/>
        <w:left w:val="none" w:sz="0" w:space="0"/>
        <w:bottom w:val="none" w:sz="0" w:space="0"/>
        <w:right w:val="none" w:sz="0" w:space="0"/>
      </w:pgBorders>
      <w:pgNumType w:fmt="decimal"/>
      <w:cols w:space="720" w:num="1"/>
      <w:titlePg/>
      <w:rtlGutter w:val="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C0BA">
    <w:pPr>
      <w:pStyle w:val="22"/>
      <w:framePr w:wrap="around" w:vAnchor="text" w:hAnchor="margin" w:xAlign="right" w:y="1"/>
      <w:rPr>
        <w:rStyle w:val="39"/>
      </w:rPr>
    </w:pPr>
    <w:r>
      <w:rPr>
        <w:rStyle w:val="39"/>
      </w:rPr>
      <w:fldChar w:fldCharType="begin"/>
    </w:r>
    <w:r>
      <w:rPr>
        <w:rStyle w:val="39"/>
      </w:rPr>
      <w:instrText xml:space="preserve">PAGE  </w:instrText>
    </w:r>
    <w:r>
      <w:rPr>
        <w:rStyle w:val="39"/>
      </w:rPr>
      <w:fldChar w:fldCharType="separate"/>
    </w:r>
    <w:r>
      <w:rPr>
        <w:rStyle w:val="39"/>
      </w:rPr>
      <w:t>46</w:t>
    </w:r>
    <w:r>
      <w:rPr>
        <w:rStyle w:val="39"/>
      </w:rPr>
      <w:fldChar w:fldCharType="end"/>
    </w:r>
  </w:p>
  <w:p w14:paraId="4EAA04EB">
    <w:pPr>
      <w:pStyle w:val="22"/>
      <w:ind w:right="360"/>
      <w:rPr>
        <w:sz w:val="21"/>
      </w:rP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66675" cy="17272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66675" cy="172720"/>
                      </a:xfrm>
                      <a:prstGeom prst="rect">
                        <a:avLst/>
                      </a:prstGeom>
                      <a:noFill/>
                      <a:ln>
                        <a:noFill/>
                      </a:ln>
                    </wps:spPr>
                    <wps:txbx>
                      <w:txbxContent>
                        <w:p w14:paraId="2AD5B18F">
                          <w:pPr>
                            <w:pStyle w:val="22"/>
                            <w:rPr>
                              <w:rStyle w:val="39"/>
                              <w:sz w:val="21"/>
                            </w:rPr>
                          </w:pPr>
                          <w:r>
                            <w:rPr>
                              <w:rStyle w:val="39"/>
                              <w:sz w:val="21"/>
                            </w:rPr>
                            <w:fldChar w:fldCharType="begin"/>
                          </w:r>
                          <w:r>
                            <w:rPr>
                              <w:rStyle w:val="39"/>
                              <w:sz w:val="21"/>
                            </w:rPr>
                            <w:instrText xml:space="preserve">Page</w:instrText>
                          </w:r>
                          <w:r>
                            <w:rPr>
                              <w:rStyle w:val="39"/>
                              <w:sz w:val="21"/>
                            </w:rPr>
                            <w:fldChar w:fldCharType="separate"/>
                          </w:r>
                          <w:r>
                            <w:rPr>
                              <w:rStyle w:val="39"/>
                              <w:sz w:val="21"/>
                            </w:rPr>
                            <w:t>46</w:t>
                          </w:r>
                          <w:r>
                            <w:rPr>
                              <w:rStyle w:val="39"/>
                              <w:sz w:val="21"/>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3.6pt;width:5.25pt;mso-position-horizontal:right;mso-position-horizontal-relative:margin;mso-wrap-distance-bottom:0pt;mso-wrap-distance-left:0pt;mso-wrap-distance-right:0pt;mso-wrap-distance-top:0pt;z-index:251660288;mso-width-relative:page;mso-height-relative:page;" filled="f" stroked="f" coordsize="21600,21600" o:gfxdata="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0n7CvTAAAAAwEAAA8AAAAAAAAAAQAgAAAAIgAAAGRycy9kb3ducmV2LnhtbFBLAQIUABQAAAAI&#10;AIdO4kD8UFo/uQEAAHADAAAOAAAAAAAAAAEAIAAAACIBAABkcnMvZTJvRG9jLnhtbFBLBQYAAAAA&#10;BgAGAFkBAABNBQAAAAA=&#10;">
              <v:fill on="f" focussize="0,0"/>
              <v:stroke on="f"/>
              <v:imagedata o:title=""/>
              <o:lock v:ext="edit" aspectratio="f"/>
              <v:textbox inset="0mm,0mm,0mm,0mm">
                <w:txbxContent>
                  <w:p w14:paraId="2AD5B18F">
                    <w:pPr>
                      <w:pStyle w:val="22"/>
                      <w:rPr>
                        <w:rStyle w:val="39"/>
                        <w:sz w:val="21"/>
                      </w:rPr>
                    </w:pPr>
                    <w:r>
                      <w:rPr>
                        <w:rStyle w:val="39"/>
                        <w:sz w:val="21"/>
                      </w:rPr>
                      <w:fldChar w:fldCharType="begin"/>
                    </w:r>
                    <w:r>
                      <w:rPr>
                        <w:rStyle w:val="39"/>
                        <w:sz w:val="21"/>
                      </w:rPr>
                      <w:instrText xml:space="preserve">Page</w:instrText>
                    </w:r>
                    <w:r>
                      <w:rPr>
                        <w:rStyle w:val="39"/>
                        <w:sz w:val="21"/>
                      </w:rPr>
                      <w:fldChar w:fldCharType="separate"/>
                    </w:r>
                    <w:r>
                      <w:rPr>
                        <w:rStyle w:val="39"/>
                        <w:sz w:val="21"/>
                      </w:rPr>
                      <w:t>46</w:t>
                    </w:r>
                    <w:r>
                      <w:rPr>
                        <w:rStyle w:val="39"/>
                        <w:sz w:val="21"/>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4A69">
    <w:pPr>
      <w:pStyle w:val="2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9855D">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18697">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4BC9">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82A9">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BFCBD">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F7BFCBD">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233B">
    <w:pPr>
      <w:pStyle w:val="2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253ED">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1253ED">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F97FE">
    <w:pPr>
      <w:pStyle w:val="22"/>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AB603">
                          <w:pPr>
                            <w:pStyle w:val="2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DDAB603">
                    <w:pPr>
                      <w:pStyle w:val="2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AC363">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66389">
                          <w:pPr>
                            <w:pStyle w:val="2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6866389">
                    <w:pPr>
                      <w:pStyle w:val="2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509C">
    <w:pPr>
      <w:pStyle w:val="23"/>
      <w:pBdr>
        <w:bottom w:val="none" w:color="auto" w:sz="0" w:space="0"/>
      </w:pBdr>
      <w:jc w:val="both"/>
    </w:pPr>
    <w:r>
      <w:rPr>
        <w:rFonts w:ascii="宋体" w:hAnsi="宋体" w:cs="宋体"/>
        <w:szCs w:val="21"/>
      </w:rPr>
      <w:t xml:space="preserve">                                      </w:t>
    </w:r>
  </w:p>
  <w:p w14:paraId="189BAC07">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46D3C">
    <w:pPr>
      <w:spacing w:line="218" w:lineRule="auto"/>
      <w:ind w:left="7"/>
      <w:rPr>
        <w:rFonts w:ascii="宋体" w:hAnsi="宋体" w:eastAsia="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E1D35"/>
    <w:multiLevelType w:val="singleLevel"/>
    <w:tmpl w:val="F0EE1D35"/>
    <w:lvl w:ilvl="0" w:tentative="0">
      <w:start w:val="1"/>
      <w:numFmt w:val="decimal"/>
      <w:pStyle w:val="13"/>
      <w:lvlText w:val="%1."/>
      <w:lvlJc w:val="left"/>
      <w:pPr>
        <w:tabs>
          <w:tab w:val="left" w:pos="1200"/>
        </w:tabs>
        <w:ind w:left="1200" w:hanging="360"/>
      </w:pPr>
    </w:lvl>
  </w:abstractNum>
  <w:abstractNum w:abstractNumId="1">
    <w:nsid w:val="00000004"/>
    <w:multiLevelType w:val="multilevel"/>
    <w:tmpl w:val="00000004"/>
    <w:lvl w:ilvl="0" w:tentative="0">
      <w:start w:val="1"/>
      <w:numFmt w:val="decimal"/>
      <w:pStyle w:val="2"/>
      <w:lvlText w:val="%1"/>
      <w:lvlJc w:val="left"/>
      <w:pPr>
        <w:tabs>
          <w:tab w:val="left" w:pos="360"/>
        </w:tabs>
        <w:ind w:left="284" w:hanging="284"/>
      </w:pPr>
      <w:rPr>
        <w:rFonts w:hint="default" w:ascii="Times New Roman" w:hAnsi="Times New Roman" w:cs="Times New Roman"/>
        <w:b/>
        <w:i w:val="0"/>
        <w:sz w:val="28"/>
      </w:rPr>
    </w:lvl>
    <w:lvl w:ilvl="1" w:tentative="0">
      <w:start w:val="1"/>
      <w:numFmt w:val="decimal"/>
      <w:pStyle w:val="3"/>
      <w:lvlText w:val="%1.%2"/>
      <w:lvlJc w:val="left"/>
      <w:pPr>
        <w:tabs>
          <w:tab w:val="left" w:pos="1021"/>
        </w:tabs>
        <w:ind w:left="1021" w:hanging="596"/>
      </w:pPr>
      <w:rPr>
        <w:rFonts w:hint="default" w:ascii="Times New Roman" w:hAnsi="Times New Roman" w:cs="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cs="Times New Roman"/>
        <w:b/>
        <w:i w:val="0"/>
        <w:sz w:val="24"/>
      </w:rPr>
    </w:lvl>
    <w:lvl w:ilvl="3" w:tentative="0">
      <w:start w:val="1"/>
      <w:numFmt w:val="decimal"/>
      <w:lvlText w:val="%1.%2.%3.%4"/>
      <w:lvlJc w:val="left"/>
      <w:pPr>
        <w:tabs>
          <w:tab w:val="left" w:pos="2155"/>
        </w:tabs>
        <w:ind w:left="2155" w:hanging="1078"/>
      </w:pPr>
      <w:rPr>
        <w:rFonts w:hint="default" w:ascii="Arial" w:hAnsi="Arial" w:cs="Times New Roman"/>
        <w:b w:val="0"/>
        <w:i w:val="0"/>
        <w:sz w:val="24"/>
      </w:rPr>
    </w:lvl>
    <w:lvl w:ilvl="4" w:tentative="0">
      <w:start w:val="1"/>
      <w:numFmt w:val="decimal"/>
      <w:lvlText w:val="%1.%2.%3.%4.%5"/>
      <w:lvlJc w:val="left"/>
      <w:pPr>
        <w:tabs>
          <w:tab w:val="left" w:pos="3141"/>
        </w:tabs>
        <w:ind w:left="2551" w:hanging="850"/>
      </w:pPr>
      <w:rPr>
        <w:rFonts w:hint="eastAsia" w:cs="Times New Roman"/>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513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2">
    <w:nsid w:val="041EF28D"/>
    <w:multiLevelType w:val="singleLevel"/>
    <w:tmpl w:val="041EF28D"/>
    <w:lvl w:ilvl="0" w:tentative="0">
      <w:start w:val="1"/>
      <w:numFmt w:val="decimal"/>
      <w:lvlText w:val="%1."/>
      <w:lvlJc w:val="left"/>
      <w:pPr>
        <w:tabs>
          <w:tab w:val="left" w:pos="312"/>
        </w:tabs>
      </w:pPr>
    </w:lvl>
  </w:abstractNum>
  <w:abstractNum w:abstractNumId="3">
    <w:nsid w:val="32A84219"/>
    <w:multiLevelType w:val="singleLevel"/>
    <w:tmpl w:val="32A84219"/>
    <w:lvl w:ilvl="0" w:tentative="0">
      <w:start w:val="1"/>
      <w:numFmt w:val="chineseCounting"/>
      <w:suff w:val="nothing"/>
      <w:lvlText w:val="%1、"/>
      <w:lvlJc w:val="left"/>
      <w:rPr>
        <w:rFonts w:hint="eastAsia"/>
      </w:rPr>
    </w:lvl>
  </w:abstractNum>
  <w:abstractNum w:abstractNumId="4">
    <w:nsid w:val="50DF5179"/>
    <w:multiLevelType w:val="multilevel"/>
    <w:tmpl w:val="50DF5179"/>
    <w:lvl w:ilvl="0" w:tentative="0">
      <w:start w:val="1"/>
      <w:numFmt w:val="japaneseCounting"/>
      <w:lvlText w:val="（%1）"/>
      <w:lvlJc w:val="left"/>
      <w:pPr>
        <w:ind w:left="1230" w:hanging="765"/>
      </w:p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num w:numId="1">
    <w:abstractNumId w:val="1"/>
  </w:num>
  <w:num w:numId="2">
    <w:abstractNumId w:val="0"/>
  </w:num>
  <w:num w:numId="3">
    <w:abstractNumId w:val="3"/>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NGFkY2ViZjFkNjAzOWMyNzI1OTkyNTViOGQ0MzEifQ=="/>
  </w:docVars>
  <w:rsids>
    <w:rsidRoot w:val="49431880"/>
    <w:rsid w:val="00017ACF"/>
    <w:rsid w:val="00025ABA"/>
    <w:rsid w:val="00031CC6"/>
    <w:rsid w:val="00045B7B"/>
    <w:rsid w:val="00052B43"/>
    <w:rsid w:val="00053926"/>
    <w:rsid w:val="00063569"/>
    <w:rsid w:val="00074F82"/>
    <w:rsid w:val="00081D1F"/>
    <w:rsid w:val="00083022"/>
    <w:rsid w:val="000876F9"/>
    <w:rsid w:val="000B3DB1"/>
    <w:rsid w:val="000C0416"/>
    <w:rsid w:val="000C44DE"/>
    <w:rsid w:val="000C618B"/>
    <w:rsid w:val="000D1C33"/>
    <w:rsid w:val="000F50F4"/>
    <w:rsid w:val="000F7AB1"/>
    <w:rsid w:val="00100A14"/>
    <w:rsid w:val="00112C29"/>
    <w:rsid w:val="001211D6"/>
    <w:rsid w:val="00125135"/>
    <w:rsid w:val="00127517"/>
    <w:rsid w:val="00134F07"/>
    <w:rsid w:val="00144CCB"/>
    <w:rsid w:val="00145C7F"/>
    <w:rsid w:val="00160B1B"/>
    <w:rsid w:val="0016390D"/>
    <w:rsid w:val="00164E9A"/>
    <w:rsid w:val="001678C8"/>
    <w:rsid w:val="001829BE"/>
    <w:rsid w:val="00192C1F"/>
    <w:rsid w:val="001A1257"/>
    <w:rsid w:val="001A7291"/>
    <w:rsid w:val="001B59E9"/>
    <w:rsid w:val="001C16F0"/>
    <w:rsid w:val="001C6D7D"/>
    <w:rsid w:val="001C6F16"/>
    <w:rsid w:val="001E1A0C"/>
    <w:rsid w:val="001E5E52"/>
    <w:rsid w:val="001E752F"/>
    <w:rsid w:val="001F28EF"/>
    <w:rsid w:val="001F5FBB"/>
    <w:rsid w:val="001F691B"/>
    <w:rsid w:val="001F7F7E"/>
    <w:rsid w:val="002032B1"/>
    <w:rsid w:val="00206BDB"/>
    <w:rsid w:val="002073A5"/>
    <w:rsid w:val="00211509"/>
    <w:rsid w:val="002115A9"/>
    <w:rsid w:val="002202D6"/>
    <w:rsid w:val="0022042D"/>
    <w:rsid w:val="00224EA2"/>
    <w:rsid w:val="00236D5D"/>
    <w:rsid w:val="00244B5C"/>
    <w:rsid w:val="00262E4F"/>
    <w:rsid w:val="00271984"/>
    <w:rsid w:val="00271FD2"/>
    <w:rsid w:val="002874A8"/>
    <w:rsid w:val="00287556"/>
    <w:rsid w:val="002A0F84"/>
    <w:rsid w:val="002A2755"/>
    <w:rsid w:val="002B6B3B"/>
    <w:rsid w:val="002D3047"/>
    <w:rsid w:val="002E5AD2"/>
    <w:rsid w:val="003057F6"/>
    <w:rsid w:val="0031410C"/>
    <w:rsid w:val="00317002"/>
    <w:rsid w:val="003266A9"/>
    <w:rsid w:val="0033628B"/>
    <w:rsid w:val="00336337"/>
    <w:rsid w:val="003455C5"/>
    <w:rsid w:val="0036100B"/>
    <w:rsid w:val="003617A3"/>
    <w:rsid w:val="00377039"/>
    <w:rsid w:val="00385D01"/>
    <w:rsid w:val="00391B59"/>
    <w:rsid w:val="003A02F1"/>
    <w:rsid w:val="003A0A2A"/>
    <w:rsid w:val="003B0D15"/>
    <w:rsid w:val="003B188E"/>
    <w:rsid w:val="003B3F8C"/>
    <w:rsid w:val="003B68AB"/>
    <w:rsid w:val="003C0B2A"/>
    <w:rsid w:val="003C72E8"/>
    <w:rsid w:val="003E50B6"/>
    <w:rsid w:val="003F2380"/>
    <w:rsid w:val="00402EBF"/>
    <w:rsid w:val="00404094"/>
    <w:rsid w:val="00411636"/>
    <w:rsid w:val="004348C0"/>
    <w:rsid w:val="004438F9"/>
    <w:rsid w:val="0044581B"/>
    <w:rsid w:val="00446653"/>
    <w:rsid w:val="00456F6D"/>
    <w:rsid w:val="00460B41"/>
    <w:rsid w:val="00463EB5"/>
    <w:rsid w:val="00480170"/>
    <w:rsid w:val="004A491B"/>
    <w:rsid w:val="004B27F7"/>
    <w:rsid w:val="004B3474"/>
    <w:rsid w:val="004C2333"/>
    <w:rsid w:val="004C75D2"/>
    <w:rsid w:val="004D0D2F"/>
    <w:rsid w:val="004D0F8B"/>
    <w:rsid w:val="004D42B4"/>
    <w:rsid w:val="004F60D8"/>
    <w:rsid w:val="00502832"/>
    <w:rsid w:val="005042B1"/>
    <w:rsid w:val="00507347"/>
    <w:rsid w:val="005139AE"/>
    <w:rsid w:val="0052074A"/>
    <w:rsid w:val="005229D9"/>
    <w:rsid w:val="005309C9"/>
    <w:rsid w:val="00534FBA"/>
    <w:rsid w:val="00546044"/>
    <w:rsid w:val="0055586A"/>
    <w:rsid w:val="00565128"/>
    <w:rsid w:val="00565D4C"/>
    <w:rsid w:val="005707C0"/>
    <w:rsid w:val="00572E24"/>
    <w:rsid w:val="00581E74"/>
    <w:rsid w:val="0058224D"/>
    <w:rsid w:val="00585D6F"/>
    <w:rsid w:val="00595AE8"/>
    <w:rsid w:val="00597CB8"/>
    <w:rsid w:val="005A2C97"/>
    <w:rsid w:val="005A755F"/>
    <w:rsid w:val="005C36E3"/>
    <w:rsid w:val="005C4A11"/>
    <w:rsid w:val="005C6183"/>
    <w:rsid w:val="005C7F8B"/>
    <w:rsid w:val="005D56EF"/>
    <w:rsid w:val="005D67FE"/>
    <w:rsid w:val="005E0E1F"/>
    <w:rsid w:val="005E163E"/>
    <w:rsid w:val="005F43CC"/>
    <w:rsid w:val="005F4B3D"/>
    <w:rsid w:val="00607C64"/>
    <w:rsid w:val="00612045"/>
    <w:rsid w:val="00624B7C"/>
    <w:rsid w:val="00631AB4"/>
    <w:rsid w:val="00635979"/>
    <w:rsid w:val="006423E2"/>
    <w:rsid w:val="006501D2"/>
    <w:rsid w:val="0065246D"/>
    <w:rsid w:val="00657EF1"/>
    <w:rsid w:val="00662A2B"/>
    <w:rsid w:val="00677C6E"/>
    <w:rsid w:val="00681363"/>
    <w:rsid w:val="00686F79"/>
    <w:rsid w:val="006926E5"/>
    <w:rsid w:val="00693940"/>
    <w:rsid w:val="006A0BBD"/>
    <w:rsid w:val="006A1981"/>
    <w:rsid w:val="006B1D19"/>
    <w:rsid w:val="006C3165"/>
    <w:rsid w:val="006D2DA4"/>
    <w:rsid w:val="006D6496"/>
    <w:rsid w:val="006E16EB"/>
    <w:rsid w:val="007016DC"/>
    <w:rsid w:val="00714742"/>
    <w:rsid w:val="00725C5B"/>
    <w:rsid w:val="00730286"/>
    <w:rsid w:val="00740E24"/>
    <w:rsid w:val="007567BB"/>
    <w:rsid w:val="007654AA"/>
    <w:rsid w:val="00766C35"/>
    <w:rsid w:val="00777EAA"/>
    <w:rsid w:val="0078091D"/>
    <w:rsid w:val="007916B3"/>
    <w:rsid w:val="007950DB"/>
    <w:rsid w:val="007975E9"/>
    <w:rsid w:val="007A1E71"/>
    <w:rsid w:val="007A4804"/>
    <w:rsid w:val="007B6EBA"/>
    <w:rsid w:val="007B70A5"/>
    <w:rsid w:val="007C3849"/>
    <w:rsid w:val="007D2854"/>
    <w:rsid w:val="007E01FD"/>
    <w:rsid w:val="007E2F55"/>
    <w:rsid w:val="007E3C12"/>
    <w:rsid w:val="007E4DE7"/>
    <w:rsid w:val="007F3455"/>
    <w:rsid w:val="00801034"/>
    <w:rsid w:val="00803EDC"/>
    <w:rsid w:val="00806357"/>
    <w:rsid w:val="008066A1"/>
    <w:rsid w:val="00807371"/>
    <w:rsid w:val="00812595"/>
    <w:rsid w:val="008135FB"/>
    <w:rsid w:val="00814904"/>
    <w:rsid w:val="00816BA1"/>
    <w:rsid w:val="008171BA"/>
    <w:rsid w:val="00817305"/>
    <w:rsid w:val="008201D4"/>
    <w:rsid w:val="00821348"/>
    <w:rsid w:val="008331A1"/>
    <w:rsid w:val="008362B1"/>
    <w:rsid w:val="008664B2"/>
    <w:rsid w:val="00872A6C"/>
    <w:rsid w:val="00876FCD"/>
    <w:rsid w:val="00896311"/>
    <w:rsid w:val="008C5A6B"/>
    <w:rsid w:val="008D5018"/>
    <w:rsid w:val="009069A5"/>
    <w:rsid w:val="0091508D"/>
    <w:rsid w:val="00915099"/>
    <w:rsid w:val="00925FA5"/>
    <w:rsid w:val="0092669E"/>
    <w:rsid w:val="00927145"/>
    <w:rsid w:val="0093600C"/>
    <w:rsid w:val="009362BB"/>
    <w:rsid w:val="00936F5F"/>
    <w:rsid w:val="00937535"/>
    <w:rsid w:val="00944115"/>
    <w:rsid w:val="0095612D"/>
    <w:rsid w:val="00966675"/>
    <w:rsid w:val="0097185C"/>
    <w:rsid w:val="009908A5"/>
    <w:rsid w:val="009922EF"/>
    <w:rsid w:val="009A15E2"/>
    <w:rsid w:val="009A5BD3"/>
    <w:rsid w:val="009B08B3"/>
    <w:rsid w:val="009B15AC"/>
    <w:rsid w:val="009B5887"/>
    <w:rsid w:val="009C1E9D"/>
    <w:rsid w:val="009C648B"/>
    <w:rsid w:val="009C7638"/>
    <w:rsid w:val="009E44F5"/>
    <w:rsid w:val="009E5090"/>
    <w:rsid w:val="009F18A3"/>
    <w:rsid w:val="00A119EF"/>
    <w:rsid w:val="00A12496"/>
    <w:rsid w:val="00A1286A"/>
    <w:rsid w:val="00A31BD7"/>
    <w:rsid w:val="00A3574F"/>
    <w:rsid w:val="00A45137"/>
    <w:rsid w:val="00A46D33"/>
    <w:rsid w:val="00A527C6"/>
    <w:rsid w:val="00A70C44"/>
    <w:rsid w:val="00A71D22"/>
    <w:rsid w:val="00A81CB5"/>
    <w:rsid w:val="00A82925"/>
    <w:rsid w:val="00A84959"/>
    <w:rsid w:val="00A964D0"/>
    <w:rsid w:val="00AC3180"/>
    <w:rsid w:val="00AC5CA6"/>
    <w:rsid w:val="00AC6249"/>
    <w:rsid w:val="00AE1389"/>
    <w:rsid w:val="00AE381B"/>
    <w:rsid w:val="00AE503F"/>
    <w:rsid w:val="00B015F4"/>
    <w:rsid w:val="00B1055D"/>
    <w:rsid w:val="00B16AFD"/>
    <w:rsid w:val="00B335EC"/>
    <w:rsid w:val="00B37484"/>
    <w:rsid w:val="00B379E2"/>
    <w:rsid w:val="00B42E2D"/>
    <w:rsid w:val="00B500FC"/>
    <w:rsid w:val="00B52481"/>
    <w:rsid w:val="00B66505"/>
    <w:rsid w:val="00B66FF8"/>
    <w:rsid w:val="00B81264"/>
    <w:rsid w:val="00B861FE"/>
    <w:rsid w:val="00BA6CFE"/>
    <w:rsid w:val="00BA7E9D"/>
    <w:rsid w:val="00BC3B90"/>
    <w:rsid w:val="00BE0FB1"/>
    <w:rsid w:val="00C10C11"/>
    <w:rsid w:val="00C11EE0"/>
    <w:rsid w:val="00C1421A"/>
    <w:rsid w:val="00C252E7"/>
    <w:rsid w:val="00C27155"/>
    <w:rsid w:val="00C453F9"/>
    <w:rsid w:val="00C45B9A"/>
    <w:rsid w:val="00C66194"/>
    <w:rsid w:val="00C66213"/>
    <w:rsid w:val="00CA1179"/>
    <w:rsid w:val="00CA1CDD"/>
    <w:rsid w:val="00CB158D"/>
    <w:rsid w:val="00CB453F"/>
    <w:rsid w:val="00CC049D"/>
    <w:rsid w:val="00CC1997"/>
    <w:rsid w:val="00CD08A3"/>
    <w:rsid w:val="00CE19D6"/>
    <w:rsid w:val="00CF6BAC"/>
    <w:rsid w:val="00D0412A"/>
    <w:rsid w:val="00D0597C"/>
    <w:rsid w:val="00D1211B"/>
    <w:rsid w:val="00D134CD"/>
    <w:rsid w:val="00D17E50"/>
    <w:rsid w:val="00D27D62"/>
    <w:rsid w:val="00D30004"/>
    <w:rsid w:val="00D30133"/>
    <w:rsid w:val="00D30808"/>
    <w:rsid w:val="00D4229D"/>
    <w:rsid w:val="00D43665"/>
    <w:rsid w:val="00D47AC6"/>
    <w:rsid w:val="00D5078C"/>
    <w:rsid w:val="00D60B03"/>
    <w:rsid w:val="00D6515B"/>
    <w:rsid w:val="00D70D72"/>
    <w:rsid w:val="00D809FA"/>
    <w:rsid w:val="00D85C0D"/>
    <w:rsid w:val="00D913EF"/>
    <w:rsid w:val="00D9455B"/>
    <w:rsid w:val="00D96302"/>
    <w:rsid w:val="00DA010D"/>
    <w:rsid w:val="00DA60F3"/>
    <w:rsid w:val="00DB19DE"/>
    <w:rsid w:val="00DB4916"/>
    <w:rsid w:val="00DB5490"/>
    <w:rsid w:val="00DB568B"/>
    <w:rsid w:val="00DC106C"/>
    <w:rsid w:val="00E115A4"/>
    <w:rsid w:val="00E20849"/>
    <w:rsid w:val="00E24512"/>
    <w:rsid w:val="00E26228"/>
    <w:rsid w:val="00E3496D"/>
    <w:rsid w:val="00E538FB"/>
    <w:rsid w:val="00E56A54"/>
    <w:rsid w:val="00E6647C"/>
    <w:rsid w:val="00E705D3"/>
    <w:rsid w:val="00E71CEF"/>
    <w:rsid w:val="00E74F87"/>
    <w:rsid w:val="00E800C5"/>
    <w:rsid w:val="00E91B08"/>
    <w:rsid w:val="00E93837"/>
    <w:rsid w:val="00EA2AAB"/>
    <w:rsid w:val="00EB036B"/>
    <w:rsid w:val="00EB0AAC"/>
    <w:rsid w:val="00EB2C40"/>
    <w:rsid w:val="00EC0D91"/>
    <w:rsid w:val="00ED0334"/>
    <w:rsid w:val="00ED36D6"/>
    <w:rsid w:val="00ED4F51"/>
    <w:rsid w:val="00ED7CDE"/>
    <w:rsid w:val="00EE66C1"/>
    <w:rsid w:val="00EF47FD"/>
    <w:rsid w:val="00F030C5"/>
    <w:rsid w:val="00F230A5"/>
    <w:rsid w:val="00F315BC"/>
    <w:rsid w:val="00F41625"/>
    <w:rsid w:val="00F44759"/>
    <w:rsid w:val="00F5025D"/>
    <w:rsid w:val="00F7540D"/>
    <w:rsid w:val="00F87AF9"/>
    <w:rsid w:val="00F92167"/>
    <w:rsid w:val="00FA2CC9"/>
    <w:rsid w:val="00FA3DB7"/>
    <w:rsid w:val="00FD3826"/>
    <w:rsid w:val="00FD651D"/>
    <w:rsid w:val="00FE3ED0"/>
    <w:rsid w:val="00FE4B92"/>
    <w:rsid w:val="00FF18EF"/>
    <w:rsid w:val="00FF7C00"/>
    <w:rsid w:val="01423F24"/>
    <w:rsid w:val="014557C2"/>
    <w:rsid w:val="01601018"/>
    <w:rsid w:val="016A5229"/>
    <w:rsid w:val="016C2D4F"/>
    <w:rsid w:val="017D3F3E"/>
    <w:rsid w:val="01800398"/>
    <w:rsid w:val="01CF39CD"/>
    <w:rsid w:val="01D9415D"/>
    <w:rsid w:val="01E73C46"/>
    <w:rsid w:val="01F15977"/>
    <w:rsid w:val="020422C1"/>
    <w:rsid w:val="02274EC8"/>
    <w:rsid w:val="02370988"/>
    <w:rsid w:val="02493090"/>
    <w:rsid w:val="027C16B8"/>
    <w:rsid w:val="02867E41"/>
    <w:rsid w:val="02CE0A5A"/>
    <w:rsid w:val="03053111"/>
    <w:rsid w:val="03304250"/>
    <w:rsid w:val="0332621A"/>
    <w:rsid w:val="03340C0D"/>
    <w:rsid w:val="033D4A06"/>
    <w:rsid w:val="039447DF"/>
    <w:rsid w:val="03A647E8"/>
    <w:rsid w:val="04140E7F"/>
    <w:rsid w:val="0451447E"/>
    <w:rsid w:val="046C12B8"/>
    <w:rsid w:val="047D31CB"/>
    <w:rsid w:val="04814D63"/>
    <w:rsid w:val="04A96068"/>
    <w:rsid w:val="04CB5FDF"/>
    <w:rsid w:val="04E24130"/>
    <w:rsid w:val="04F85D7E"/>
    <w:rsid w:val="05137986"/>
    <w:rsid w:val="052B1173"/>
    <w:rsid w:val="053A13B6"/>
    <w:rsid w:val="056D353A"/>
    <w:rsid w:val="056F6B2D"/>
    <w:rsid w:val="058A5EB4"/>
    <w:rsid w:val="059705B7"/>
    <w:rsid w:val="05C06F71"/>
    <w:rsid w:val="05C3298B"/>
    <w:rsid w:val="05CC64B2"/>
    <w:rsid w:val="05DC49B8"/>
    <w:rsid w:val="06261D02"/>
    <w:rsid w:val="06322F1C"/>
    <w:rsid w:val="063B3638"/>
    <w:rsid w:val="065C4EFE"/>
    <w:rsid w:val="065E4EA0"/>
    <w:rsid w:val="067508F8"/>
    <w:rsid w:val="06CE0008"/>
    <w:rsid w:val="06D01BEE"/>
    <w:rsid w:val="06EB2968"/>
    <w:rsid w:val="06F5346E"/>
    <w:rsid w:val="073562D9"/>
    <w:rsid w:val="07465DF0"/>
    <w:rsid w:val="07524FE3"/>
    <w:rsid w:val="07877FEF"/>
    <w:rsid w:val="07A1571D"/>
    <w:rsid w:val="07B2792A"/>
    <w:rsid w:val="07FC73A5"/>
    <w:rsid w:val="08004146"/>
    <w:rsid w:val="08042ADE"/>
    <w:rsid w:val="081A3210"/>
    <w:rsid w:val="08312A90"/>
    <w:rsid w:val="083E65C5"/>
    <w:rsid w:val="08442CDC"/>
    <w:rsid w:val="084A5FDC"/>
    <w:rsid w:val="085207C5"/>
    <w:rsid w:val="0854278F"/>
    <w:rsid w:val="08597DA5"/>
    <w:rsid w:val="08687FE8"/>
    <w:rsid w:val="087B7D1C"/>
    <w:rsid w:val="088C017B"/>
    <w:rsid w:val="08D30D5B"/>
    <w:rsid w:val="08D5567E"/>
    <w:rsid w:val="091B505B"/>
    <w:rsid w:val="092278C3"/>
    <w:rsid w:val="092B334C"/>
    <w:rsid w:val="093C55C7"/>
    <w:rsid w:val="093F40DB"/>
    <w:rsid w:val="094D38A7"/>
    <w:rsid w:val="096420D3"/>
    <w:rsid w:val="09840E52"/>
    <w:rsid w:val="09A62CEE"/>
    <w:rsid w:val="09A6701A"/>
    <w:rsid w:val="09AB4631"/>
    <w:rsid w:val="09EE7BEB"/>
    <w:rsid w:val="0A3B59B5"/>
    <w:rsid w:val="0A5A755B"/>
    <w:rsid w:val="0A6446C8"/>
    <w:rsid w:val="0A9A5941"/>
    <w:rsid w:val="0A9F523E"/>
    <w:rsid w:val="0AAE6186"/>
    <w:rsid w:val="0AE61EF7"/>
    <w:rsid w:val="0B00275A"/>
    <w:rsid w:val="0B28002C"/>
    <w:rsid w:val="0B2C1380"/>
    <w:rsid w:val="0B470389"/>
    <w:rsid w:val="0B582596"/>
    <w:rsid w:val="0B7205B8"/>
    <w:rsid w:val="0B883A47"/>
    <w:rsid w:val="0B9938F7"/>
    <w:rsid w:val="0B9F1F73"/>
    <w:rsid w:val="0BA94BA0"/>
    <w:rsid w:val="0BB91287"/>
    <w:rsid w:val="0BF422BF"/>
    <w:rsid w:val="0C0D512F"/>
    <w:rsid w:val="0C1F7D50"/>
    <w:rsid w:val="0C5304BB"/>
    <w:rsid w:val="0C6D148D"/>
    <w:rsid w:val="0C886EAB"/>
    <w:rsid w:val="0C9D4FE4"/>
    <w:rsid w:val="0CA87852"/>
    <w:rsid w:val="0CB75FD1"/>
    <w:rsid w:val="0CD143AE"/>
    <w:rsid w:val="0CF564D9"/>
    <w:rsid w:val="0CF83115"/>
    <w:rsid w:val="0CFD33F5"/>
    <w:rsid w:val="0D116EA1"/>
    <w:rsid w:val="0D235AC7"/>
    <w:rsid w:val="0D3A7BA5"/>
    <w:rsid w:val="0D4E1EA3"/>
    <w:rsid w:val="0D613984"/>
    <w:rsid w:val="0D821B4C"/>
    <w:rsid w:val="0D8A6105"/>
    <w:rsid w:val="0D916D35"/>
    <w:rsid w:val="0D9378B6"/>
    <w:rsid w:val="0D98311E"/>
    <w:rsid w:val="0DBA3094"/>
    <w:rsid w:val="0DC83A03"/>
    <w:rsid w:val="0DD01EC9"/>
    <w:rsid w:val="0DE325EB"/>
    <w:rsid w:val="0E0F1632"/>
    <w:rsid w:val="0E0F33E0"/>
    <w:rsid w:val="0E107158"/>
    <w:rsid w:val="0E4017EB"/>
    <w:rsid w:val="0E4312DC"/>
    <w:rsid w:val="0E4E2DFB"/>
    <w:rsid w:val="0E57018A"/>
    <w:rsid w:val="0EB75826"/>
    <w:rsid w:val="0F0D3ABE"/>
    <w:rsid w:val="0F17764C"/>
    <w:rsid w:val="0F1F58A5"/>
    <w:rsid w:val="0F220A5B"/>
    <w:rsid w:val="0F476BAA"/>
    <w:rsid w:val="0F722386"/>
    <w:rsid w:val="0FA845A5"/>
    <w:rsid w:val="0FD32831"/>
    <w:rsid w:val="0FDD12BC"/>
    <w:rsid w:val="0FEA4434"/>
    <w:rsid w:val="100104ED"/>
    <w:rsid w:val="10022AD1"/>
    <w:rsid w:val="10025218"/>
    <w:rsid w:val="100A592C"/>
    <w:rsid w:val="103036C4"/>
    <w:rsid w:val="104F3F68"/>
    <w:rsid w:val="105518D8"/>
    <w:rsid w:val="10651B2C"/>
    <w:rsid w:val="10727C56"/>
    <w:rsid w:val="10826C7E"/>
    <w:rsid w:val="10C81F6C"/>
    <w:rsid w:val="10CD5A8A"/>
    <w:rsid w:val="10D701CD"/>
    <w:rsid w:val="11017C4D"/>
    <w:rsid w:val="113975DE"/>
    <w:rsid w:val="113E1F3F"/>
    <w:rsid w:val="11561326"/>
    <w:rsid w:val="115B7791"/>
    <w:rsid w:val="115E0B93"/>
    <w:rsid w:val="1163326B"/>
    <w:rsid w:val="11733C86"/>
    <w:rsid w:val="1178129C"/>
    <w:rsid w:val="11963E18"/>
    <w:rsid w:val="119C415D"/>
    <w:rsid w:val="11AC12FA"/>
    <w:rsid w:val="11B325FC"/>
    <w:rsid w:val="11EE4577"/>
    <w:rsid w:val="12096398"/>
    <w:rsid w:val="120B1E74"/>
    <w:rsid w:val="120D40DA"/>
    <w:rsid w:val="122A25C8"/>
    <w:rsid w:val="122D4393"/>
    <w:rsid w:val="12301338"/>
    <w:rsid w:val="124318AA"/>
    <w:rsid w:val="124949E7"/>
    <w:rsid w:val="126F08F1"/>
    <w:rsid w:val="12706417"/>
    <w:rsid w:val="127B5307"/>
    <w:rsid w:val="1283614B"/>
    <w:rsid w:val="128B730D"/>
    <w:rsid w:val="12986351"/>
    <w:rsid w:val="12A1781C"/>
    <w:rsid w:val="12D746E8"/>
    <w:rsid w:val="12FB3F33"/>
    <w:rsid w:val="1347361C"/>
    <w:rsid w:val="13525C11"/>
    <w:rsid w:val="13B30CB1"/>
    <w:rsid w:val="13B316FA"/>
    <w:rsid w:val="13E42C19"/>
    <w:rsid w:val="1402217A"/>
    <w:rsid w:val="14245E41"/>
    <w:rsid w:val="14382F65"/>
    <w:rsid w:val="144933C4"/>
    <w:rsid w:val="14553128"/>
    <w:rsid w:val="14624437"/>
    <w:rsid w:val="147223D9"/>
    <w:rsid w:val="14771CDF"/>
    <w:rsid w:val="148F527B"/>
    <w:rsid w:val="14BB78A8"/>
    <w:rsid w:val="14C3448E"/>
    <w:rsid w:val="14ED3D4F"/>
    <w:rsid w:val="15145780"/>
    <w:rsid w:val="151C17D3"/>
    <w:rsid w:val="15284D87"/>
    <w:rsid w:val="152B4079"/>
    <w:rsid w:val="15465B60"/>
    <w:rsid w:val="154871D8"/>
    <w:rsid w:val="154C6CC8"/>
    <w:rsid w:val="1573694A"/>
    <w:rsid w:val="15D373E9"/>
    <w:rsid w:val="15D849FF"/>
    <w:rsid w:val="15EC04AB"/>
    <w:rsid w:val="15FA6724"/>
    <w:rsid w:val="16092E0B"/>
    <w:rsid w:val="16223ECC"/>
    <w:rsid w:val="16443E43"/>
    <w:rsid w:val="16685A30"/>
    <w:rsid w:val="167069E6"/>
    <w:rsid w:val="16C15493"/>
    <w:rsid w:val="16DF591A"/>
    <w:rsid w:val="171825B9"/>
    <w:rsid w:val="171F0016"/>
    <w:rsid w:val="17394D6E"/>
    <w:rsid w:val="176642E6"/>
    <w:rsid w:val="177A290A"/>
    <w:rsid w:val="178A7F7B"/>
    <w:rsid w:val="179B4805"/>
    <w:rsid w:val="17B34116"/>
    <w:rsid w:val="17C074F9"/>
    <w:rsid w:val="17EE22B8"/>
    <w:rsid w:val="17F17FFA"/>
    <w:rsid w:val="18100480"/>
    <w:rsid w:val="18176A80"/>
    <w:rsid w:val="18363C5F"/>
    <w:rsid w:val="183B60A4"/>
    <w:rsid w:val="183E4041"/>
    <w:rsid w:val="18583BD5"/>
    <w:rsid w:val="185D7A07"/>
    <w:rsid w:val="18900F04"/>
    <w:rsid w:val="18B2778A"/>
    <w:rsid w:val="18B86B34"/>
    <w:rsid w:val="18D03F0E"/>
    <w:rsid w:val="18D21D21"/>
    <w:rsid w:val="18D72D4C"/>
    <w:rsid w:val="18E1409A"/>
    <w:rsid w:val="18E204EA"/>
    <w:rsid w:val="18E216F1"/>
    <w:rsid w:val="18F907A9"/>
    <w:rsid w:val="19235F91"/>
    <w:rsid w:val="195E6FCA"/>
    <w:rsid w:val="196071E6"/>
    <w:rsid w:val="19662322"/>
    <w:rsid w:val="199457FE"/>
    <w:rsid w:val="19D405F2"/>
    <w:rsid w:val="19D428BF"/>
    <w:rsid w:val="19D454DE"/>
    <w:rsid w:val="19E76D5F"/>
    <w:rsid w:val="19FA0CF7"/>
    <w:rsid w:val="1A0A0EFF"/>
    <w:rsid w:val="1A0C4C78"/>
    <w:rsid w:val="1A705206"/>
    <w:rsid w:val="1A710F7F"/>
    <w:rsid w:val="1A766595"/>
    <w:rsid w:val="1A795E99"/>
    <w:rsid w:val="1A935399"/>
    <w:rsid w:val="1A9A6727"/>
    <w:rsid w:val="1AB07CF9"/>
    <w:rsid w:val="1AB405AD"/>
    <w:rsid w:val="1AC61A74"/>
    <w:rsid w:val="1AF864DD"/>
    <w:rsid w:val="1B2728A4"/>
    <w:rsid w:val="1B46240B"/>
    <w:rsid w:val="1B566F54"/>
    <w:rsid w:val="1B5F527B"/>
    <w:rsid w:val="1B6034CD"/>
    <w:rsid w:val="1B65117C"/>
    <w:rsid w:val="1B670CB1"/>
    <w:rsid w:val="1B73289A"/>
    <w:rsid w:val="1B770817"/>
    <w:rsid w:val="1B823E0D"/>
    <w:rsid w:val="1B854CE1"/>
    <w:rsid w:val="1BA0144B"/>
    <w:rsid w:val="1BAA5E6F"/>
    <w:rsid w:val="1BB423F0"/>
    <w:rsid w:val="1BBB5247"/>
    <w:rsid w:val="1BEF7562"/>
    <w:rsid w:val="1C2153C1"/>
    <w:rsid w:val="1C26713F"/>
    <w:rsid w:val="1C493F61"/>
    <w:rsid w:val="1C4C1CA3"/>
    <w:rsid w:val="1C7232DE"/>
    <w:rsid w:val="1C961170"/>
    <w:rsid w:val="1CA078F9"/>
    <w:rsid w:val="1CA63D20"/>
    <w:rsid w:val="1CC72A7D"/>
    <w:rsid w:val="1CC750C2"/>
    <w:rsid w:val="1D214EDE"/>
    <w:rsid w:val="1D271DC8"/>
    <w:rsid w:val="1D293D92"/>
    <w:rsid w:val="1D4B5AB7"/>
    <w:rsid w:val="1D6628F1"/>
    <w:rsid w:val="1D6923E1"/>
    <w:rsid w:val="1D7A639C"/>
    <w:rsid w:val="1D886D0B"/>
    <w:rsid w:val="1D8D0F58"/>
    <w:rsid w:val="1D9F473F"/>
    <w:rsid w:val="1DA247AB"/>
    <w:rsid w:val="1DE352B8"/>
    <w:rsid w:val="1DF95513"/>
    <w:rsid w:val="1E134F54"/>
    <w:rsid w:val="1E1E31CB"/>
    <w:rsid w:val="1E2771AC"/>
    <w:rsid w:val="1E3B0145"/>
    <w:rsid w:val="1E444DE4"/>
    <w:rsid w:val="1E7B061E"/>
    <w:rsid w:val="1E8913F7"/>
    <w:rsid w:val="1ED0096A"/>
    <w:rsid w:val="1ED32208"/>
    <w:rsid w:val="1ED763D7"/>
    <w:rsid w:val="1EDB2E6A"/>
    <w:rsid w:val="1EF22376"/>
    <w:rsid w:val="1EFC42E2"/>
    <w:rsid w:val="1EFD52D1"/>
    <w:rsid w:val="1EFE67BF"/>
    <w:rsid w:val="1F48643A"/>
    <w:rsid w:val="1F59095F"/>
    <w:rsid w:val="1F650A11"/>
    <w:rsid w:val="1F6B0692"/>
    <w:rsid w:val="1F705CA9"/>
    <w:rsid w:val="1FBA6F24"/>
    <w:rsid w:val="1FCB1131"/>
    <w:rsid w:val="1FCC075F"/>
    <w:rsid w:val="1FD224BF"/>
    <w:rsid w:val="1FD852A2"/>
    <w:rsid w:val="1FDD5DA5"/>
    <w:rsid w:val="20266068"/>
    <w:rsid w:val="20AD0837"/>
    <w:rsid w:val="20BF0C96"/>
    <w:rsid w:val="20C0056A"/>
    <w:rsid w:val="20C22534"/>
    <w:rsid w:val="20D64F09"/>
    <w:rsid w:val="210775F1"/>
    <w:rsid w:val="211865F8"/>
    <w:rsid w:val="211C6108"/>
    <w:rsid w:val="212705E9"/>
    <w:rsid w:val="21303941"/>
    <w:rsid w:val="21350F58"/>
    <w:rsid w:val="214116AB"/>
    <w:rsid w:val="21416CA0"/>
    <w:rsid w:val="215533A8"/>
    <w:rsid w:val="21771570"/>
    <w:rsid w:val="21B32E4A"/>
    <w:rsid w:val="21C978F2"/>
    <w:rsid w:val="21D408FE"/>
    <w:rsid w:val="21DB43FA"/>
    <w:rsid w:val="21EA1D42"/>
    <w:rsid w:val="21FE23F5"/>
    <w:rsid w:val="22250FCC"/>
    <w:rsid w:val="22421B7E"/>
    <w:rsid w:val="224376A4"/>
    <w:rsid w:val="22621003"/>
    <w:rsid w:val="22792A22"/>
    <w:rsid w:val="22835CF3"/>
    <w:rsid w:val="229B3123"/>
    <w:rsid w:val="22A85759"/>
    <w:rsid w:val="22BD7457"/>
    <w:rsid w:val="22D636B5"/>
    <w:rsid w:val="22DA7267"/>
    <w:rsid w:val="22EF5A05"/>
    <w:rsid w:val="22F86791"/>
    <w:rsid w:val="23270D74"/>
    <w:rsid w:val="233314C7"/>
    <w:rsid w:val="23480E6E"/>
    <w:rsid w:val="237C2E6E"/>
    <w:rsid w:val="237D0994"/>
    <w:rsid w:val="239519A9"/>
    <w:rsid w:val="239D7AAD"/>
    <w:rsid w:val="23D74548"/>
    <w:rsid w:val="23E427C1"/>
    <w:rsid w:val="241A61E3"/>
    <w:rsid w:val="242B219E"/>
    <w:rsid w:val="243454F7"/>
    <w:rsid w:val="24391401"/>
    <w:rsid w:val="2480698E"/>
    <w:rsid w:val="248C5333"/>
    <w:rsid w:val="24961E39"/>
    <w:rsid w:val="24B77ED6"/>
    <w:rsid w:val="24BB5B52"/>
    <w:rsid w:val="24D32B47"/>
    <w:rsid w:val="250E483C"/>
    <w:rsid w:val="250F1AC0"/>
    <w:rsid w:val="252766A6"/>
    <w:rsid w:val="254554E2"/>
    <w:rsid w:val="255C5FC9"/>
    <w:rsid w:val="25861D82"/>
    <w:rsid w:val="25910DD4"/>
    <w:rsid w:val="25B560F4"/>
    <w:rsid w:val="25DA7F71"/>
    <w:rsid w:val="25F27417"/>
    <w:rsid w:val="25FC2044"/>
    <w:rsid w:val="262A4E03"/>
    <w:rsid w:val="26437C73"/>
    <w:rsid w:val="26461511"/>
    <w:rsid w:val="26605096"/>
    <w:rsid w:val="26AD333E"/>
    <w:rsid w:val="26AF5308"/>
    <w:rsid w:val="26B648E9"/>
    <w:rsid w:val="26F62FB9"/>
    <w:rsid w:val="26FA08F9"/>
    <w:rsid w:val="27602AA7"/>
    <w:rsid w:val="276D344A"/>
    <w:rsid w:val="276F6846"/>
    <w:rsid w:val="27820362"/>
    <w:rsid w:val="279369D8"/>
    <w:rsid w:val="27985D9D"/>
    <w:rsid w:val="27AA4F92"/>
    <w:rsid w:val="27AB4ED9"/>
    <w:rsid w:val="27AC35F6"/>
    <w:rsid w:val="27D50D9F"/>
    <w:rsid w:val="27F33FEA"/>
    <w:rsid w:val="2815563F"/>
    <w:rsid w:val="285443B9"/>
    <w:rsid w:val="285E0D94"/>
    <w:rsid w:val="28644414"/>
    <w:rsid w:val="287700A8"/>
    <w:rsid w:val="287E4F92"/>
    <w:rsid w:val="288D3427"/>
    <w:rsid w:val="288D78CB"/>
    <w:rsid w:val="288E0F4E"/>
    <w:rsid w:val="289D3404"/>
    <w:rsid w:val="28A31B3A"/>
    <w:rsid w:val="28C3509B"/>
    <w:rsid w:val="28DC3CD1"/>
    <w:rsid w:val="28FD69FA"/>
    <w:rsid w:val="290C4C94"/>
    <w:rsid w:val="292876CC"/>
    <w:rsid w:val="293C7210"/>
    <w:rsid w:val="296C128F"/>
    <w:rsid w:val="298E7457"/>
    <w:rsid w:val="299F1664"/>
    <w:rsid w:val="29B03871"/>
    <w:rsid w:val="29CB06AB"/>
    <w:rsid w:val="29E51041"/>
    <w:rsid w:val="29F179E6"/>
    <w:rsid w:val="29FA689B"/>
    <w:rsid w:val="2A1536D4"/>
    <w:rsid w:val="2A1D07DB"/>
    <w:rsid w:val="2A286ED3"/>
    <w:rsid w:val="2A2E15A8"/>
    <w:rsid w:val="2A347152"/>
    <w:rsid w:val="2A4D7312"/>
    <w:rsid w:val="2A7C2D8D"/>
    <w:rsid w:val="2A8E0C01"/>
    <w:rsid w:val="2A8E16D9"/>
    <w:rsid w:val="2AB63109"/>
    <w:rsid w:val="2ACB6489"/>
    <w:rsid w:val="2AD25A69"/>
    <w:rsid w:val="2AE35581"/>
    <w:rsid w:val="2AEE6455"/>
    <w:rsid w:val="2B54749D"/>
    <w:rsid w:val="2B7275F8"/>
    <w:rsid w:val="2B92543E"/>
    <w:rsid w:val="2B9F4285"/>
    <w:rsid w:val="2BAA2542"/>
    <w:rsid w:val="2BE23A8A"/>
    <w:rsid w:val="2BE64D82"/>
    <w:rsid w:val="2BE75544"/>
    <w:rsid w:val="2BED5BF5"/>
    <w:rsid w:val="2BFB7259"/>
    <w:rsid w:val="2C1B7C8E"/>
    <w:rsid w:val="2C5514F2"/>
    <w:rsid w:val="2C6C4ED8"/>
    <w:rsid w:val="2C6C64FF"/>
    <w:rsid w:val="2C6D797D"/>
    <w:rsid w:val="2C882884"/>
    <w:rsid w:val="2C932FD6"/>
    <w:rsid w:val="2C9805ED"/>
    <w:rsid w:val="2C9E4F19"/>
    <w:rsid w:val="2CA376BD"/>
    <w:rsid w:val="2CA7770C"/>
    <w:rsid w:val="2CB9092D"/>
    <w:rsid w:val="2D0314F6"/>
    <w:rsid w:val="2D1934DC"/>
    <w:rsid w:val="2D6F75A0"/>
    <w:rsid w:val="2D7F701A"/>
    <w:rsid w:val="2D873BBB"/>
    <w:rsid w:val="2D8748E9"/>
    <w:rsid w:val="2D8C3C77"/>
    <w:rsid w:val="2D923A81"/>
    <w:rsid w:val="2DA60AE7"/>
    <w:rsid w:val="2DC23FCE"/>
    <w:rsid w:val="2E0028ED"/>
    <w:rsid w:val="2E037F92"/>
    <w:rsid w:val="2E083D84"/>
    <w:rsid w:val="2E2D0767"/>
    <w:rsid w:val="2E397F8F"/>
    <w:rsid w:val="2E4722CA"/>
    <w:rsid w:val="2E4B1DBB"/>
    <w:rsid w:val="2E512F2B"/>
    <w:rsid w:val="2E5502A1"/>
    <w:rsid w:val="2E903C71"/>
    <w:rsid w:val="2E9848D4"/>
    <w:rsid w:val="2EA72D69"/>
    <w:rsid w:val="2EAB4191"/>
    <w:rsid w:val="2EC40E47"/>
    <w:rsid w:val="2ECB6A58"/>
    <w:rsid w:val="2EE86909"/>
    <w:rsid w:val="2F064596"/>
    <w:rsid w:val="2F190748"/>
    <w:rsid w:val="2F283067"/>
    <w:rsid w:val="2F754C15"/>
    <w:rsid w:val="2F81289F"/>
    <w:rsid w:val="2F813613"/>
    <w:rsid w:val="2F85327C"/>
    <w:rsid w:val="2F890D8F"/>
    <w:rsid w:val="2F90332B"/>
    <w:rsid w:val="2FAF1DC4"/>
    <w:rsid w:val="2FB219C5"/>
    <w:rsid w:val="2FED69B1"/>
    <w:rsid w:val="300264A9"/>
    <w:rsid w:val="30137B42"/>
    <w:rsid w:val="30556F21"/>
    <w:rsid w:val="305D28EF"/>
    <w:rsid w:val="30735E7E"/>
    <w:rsid w:val="308F7952"/>
    <w:rsid w:val="30B05BA9"/>
    <w:rsid w:val="30C65728"/>
    <w:rsid w:val="30FA7AC8"/>
    <w:rsid w:val="310571EF"/>
    <w:rsid w:val="31061FC9"/>
    <w:rsid w:val="31077AEF"/>
    <w:rsid w:val="31103892"/>
    <w:rsid w:val="3114695C"/>
    <w:rsid w:val="312211F8"/>
    <w:rsid w:val="31332DFC"/>
    <w:rsid w:val="3138414C"/>
    <w:rsid w:val="313E79B5"/>
    <w:rsid w:val="31466869"/>
    <w:rsid w:val="317B29B7"/>
    <w:rsid w:val="31AF440F"/>
    <w:rsid w:val="31B5579D"/>
    <w:rsid w:val="31D200FD"/>
    <w:rsid w:val="31E01CD4"/>
    <w:rsid w:val="31EF0CAF"/>
    <w:rsid w:val="31F15893"/>
    <w:rsid w:val="31FC78F0"/>
    <w:rsid w:val="32081D71"/>
    <w:rsid w:val="321331D7"/>
    <w:rsid w:val="322F554F"/>
    <w:rsid w:val="324B581E"/>
    <w:rsid w:val="328533C1"/>
    <w:rsid w:val="32C22B36"/>
    <w:rsid w:val="32DA5AB0"/>
    <w:rsid w:val="32DC5441"/>
    <w:rsid w:val="32F36575"/>
    <w:rsid w:val="32F60DF7"/>
    <w:rsid w:val="330B38C7"/>
    <w:rsid w:val="335A65FC"/>
    <w:rsid w:val="339111FB"/>
    <w:rsid w:val="33BA52ED"/>
    <w:rsid w:val="33EB36F8"/>
    <w:rsid w:val="33EE6543"/>
    <w:rsid w:val="340C3D9A"/>
    <w:rsid w:val="34255B96"/>
    <w:rsid w:val="342C40ED"/>
    <w:rsid w:val="342C61EA"/>
    <w:rsid w:val="346A286F"/>
    <w:rsid w:val="347E631A"/>
    <w:rsid w:val="34825E0A"/>
    <w:rsid w:val="34A246FE"/>
    <w:rsid w:val="34B21440"/>
    <w:rsid w:val="34C208FD"/>
    <w:rsid w:val="34EB2DC5"/>
    <w:rsid w:val="34FB796B"/>
    <w:rsid w:val="35092088"/>
    <w:rsid w:val="350C7DCA"/>
    <w:rsid w:val="35154ED0"/>
    <w:rsid w:val="3518688A"/>
    <w:rsid w:val="35457782"/>
    <w:rsid w:val="355F375B"/>
    <w:rsid w:val="356C6E6C"/>
    <w:rsid w:val="357D65D2"/>
    <w:rsid w:val="358D4A67"/>
    <w:rsid w:val="35B95593"/>
    <w:rsid w:val="35C506A4"/>
    <w:rsid w:val="35D75B16"/>
    <w:rsid w:val="3630505F"/>
    <w:rsid w:val="36341386"/>
    <w:rsid w:val="36551797"/>
    <w:rsid w:val="366922C5"/>
    <w:rsid w:val="366B16F7"/>
    <w:rsid w:val="366E2AEA"/>
    <w:rsid w:val="367774C5"/>
    <w:rsid w:val="367879E0"/>
    <w:rsid w:val="369E4A52"/>
    <w:rsid w:val="36A13234"/>
    <w:rsid w:val="36B1281A"/>
    <w:rsid w:val="36C818D2"/>
    <w:rsid w:val="36DC6D59"/>
    <w:rsid w:val="36E56B24"/>
    <w:rsid w:val="36EC52C5"/>
    <w:rsid w:val="370E607B"/>
    <w:rsid w:val="37305FF2"/>
    <w:rsid w:val="3733055A"/>
    <w:rsid w:val="374750E9"/>
    <w:rsid w:val="375A02D5"/>
    <w:rsid w:val="378A59C1"/>
    <w:rsid w:val="37A6333B"/>
    <w:rsid w:val="37BD09EA"/>
    <w:rsid w:val="380C3C8E"/>
    <w:rsid w:val="385C095B"/>
    <w:rsid w:val="385C6972"/>
    <w:rsid w:val="385D18E3"/>
    <w:rsid w:val="38653332"/>
    <w:rsid w:val="38664899"/>
    <w:rsid w:val="386E1FB9"/>
    <w:rsid w:val="389E51DD"/>
    <w:rsid w:val="38A50019"/>
    <w:rsid w:val="38BA3255"/>
    <w:rsid w:val="39007C46"/>
    <w:rsid w:val="390111D4"/>
    <w:rsid w:val="39230A15"/>
    <w:rsid w:val="392E3601"/>
    <w:rsid w:val="393C6ED0"/>
    <w:rsid w:val="394D5B68"/>
    <w:rsid w:val="39537D75"/>
    <w:rsid w:val="39680057"/>
    <w:rsid w:val="39924D42"/>
    <w:rsid w:val="399565E0"/>
    <w:rsid w:val="39A27A8A"/>
    <w:rsid w:val="39B051C8"/>
    <w:rsid w:val="39E969EF"/>
    <w:rsid w:val="39F96B6F"/>
    <w:rsid w:val="39FA4695"/>
    <w:rsid w:val="3A01743F"/>
    <w:rsid w:val="3A35333F"/>
    <w:rsid w:val="3A695377"/>
    <w:rsid w:val="3A856654"/>
    <w:rsid w:val="3AA50AA5"/>
    <w:rsid w:val="3AA7481D"/>
    <w:rsid w:val="3AB7142E"/>
    <w:rsid w:val="3ADD023E"/>
    <w:rsid w:val="3AED5FA8"/>
    <w:rsid w:val="3AF45588"/>
    <w:rsid w:val="3B0B746B"/>
    <w:rsid w:val="3B8E3D53"/>
    <w:rsid w:val="3B9A1C8B"/>
    <w:rsid w:val="3B9A7EDD"/>
    <w:rsid w:val="3BC23194"/>
    <w:rsid w:val="3BD4559C"/>
    <w:rsid w:val="3BE21884"/>
    <w:rsid w:val="3BE949C1"/>
    <w:rsid w:val="3BFF2436"/>
    <w:rsid w:val="3C033CD5"/>
    <w:rsid w:val="3C074E47"/>
    <w:rsid w:val="3C2C3893"/>
    <w:rsid w:val="3C371145"/>
    <w:rsid w:val="3C3F1E1E"/>
    <w:rsid w:val="3C666012"/>
    <w:rsid w:val="3C700C3E"/>
    <w:rsid w:val="3C756255"/>
    <w:rsid w:val="3C9B215F"/>
    <w:rsid w:val="3CEC5742"/>
    <w:rsid w:val="3CFC30DE"/>
    <w:rsid w:val="3D615AE3"/>
    <w:rsid w:val="3DA448F6"/>
    <w:rsid w:val="3DAB18B8"/>
    <w:rsid w:val="3DE44963"/>
    <w:rsid w:val="3DFA1107"/>
    <w:rsid w:val="3E573E64"/>
    <w:rsid w:val="3E921340"/>
    <w:rsid w:val="3E9230EE"/>
    <w:rsid w:val="3E9471F0"/>
    <w:rsid w:val="3E9C3DA8"/>
    <w:rsid w:val="3EB85B1A"/>
    <w:rsid w:val="3EC6723B"/>
    <w:rsid w:val="3EC82FB3"/>
    <w:rsid w:val="3EDC7C2F"/>
    <w:rsid w:val="3EE648AA"/>
    <w:rsid w:val="3F087854"/>
    <w:rsid w:val="3F09723D"/>
    <w:rsid w:val="3F0F58F4"/>
    <w:rsid w:val="3F391A5D"/>
    <w:rsid w:val="3F3D081E"/>
    <w:rsid w:val="3F6546AE"/>
    <w:rsid w:val="3FD31C10"/>
    <w:rsid w:val="40057D7C"/>
    <w:rsid w:val="4020215E"/>
    <w:rsid w:val="40224945"/>
    <w:rsid w:val="402B37FA"/>
    <w:rsid w:val="404F670D"/>
    <w:rsid w:val="405022A1"/>
    <w:rsid w:val="4061721C"/>
    <w:rsid w:val="40B432C0"/>
    <w:rsid w:val="40BE466E"/>
    <w:rsid w:val="40DB78A8"/>
    <w:rsid w:val="40E13EB9"/>
    <w:rsid w:val="41071AEF"/>
    <w:rsid w:val="410D2F00"/>
    <w:rsid w:val="411A0949"/>
    <w:rsid w:val="4140519B"/>
    <w:rsid w:val="4157576C"/>
    <w:rsid w:val="415F5D94"/>
    <w:rsid w:val="41662610"/>
    <w:rsid w:val="416A65A4"/>
    <w:rsid w:val="416B44BA"/>
    <w:rsid w:val="418B4524"/>
    <w:rsid w:val="41911D83"/>
    <w:rsid w:val="41A01FC6"/>
    <w:rsid w:val="41A2189A"/>
    <w:rsid w:val="424566C9"/>
    <w:rsid w:val="42550EFC"/>
    <w:rsid w:val="426F5CC7"/>
    <w:rsid w:val="427A6373"/>
    <w:rsid w:val="42964052"/>
    <w:rsid w:val="42B15B0D"/>
    <w:rsid w:val="42D07187"/>
    <w:rsid w:val="42D17E1C"/>
    <w:rsid w:val="42F73E67"/>
    <w:rsid w:val="431A7B61"/>
    <w:rsid w:val="433C4C52"/>
    <w:rsid w:val="43563F3B"/>
    <w:rsid w:val="4377036E"/>
    <w:rsid w:val="437B6846"/>
    <w:rsid w:val="4396542E"/>
    <w:rsid w:val="43DE4DDE"/>
    <w:rsid w:val="440B48E1"/>
    <w:rsid w:val="441B3B85"/>
    <w:rsid w:val="442F28DC"/>
    <w:rsid w:val="443B7D84"/>
    <w:rsid w:val="44402E6E"/>
    <w:rsid w:val="44501A81"/>
    <w:rsid w:val="448239F1"/>
    <w:rsid w:val="448B61C4"/>
    <w:rsid w:val="448C6831"/>
    <w:rsid w:val="44993A19"/>
    <w:rsid w:val="449A71A0"/>
    <w:rsid w:val="449C6A74"/>
    <w:rsid w:val="44C03401"/>
    <w:rsid w:val="44D73F50"/>
    <w:rsid w:val="44F53B48"/>
    <w:rsid w:val="4508235C"/>
    <w:rsid w:val="450D034A"/>
    <w:rsid w:val="450D1720"/>
    <w:rsid w:val="454C24D0"/>
    <w:rsid w:val="454F6AEF"/>
    <w:rsid w:val="45516873"/>
    <w:rsid w:val="457544C5"/>
    <w:rsid w:val="4579257A"/>
    <w:rsid w:val="45796DB6"/>
    <w:rsid w:val="4591235F"/>
    <w:rsid w:val="45AC7C5B"/>
    <w:rsid w:val="45B65E71"/>
    <w:rsid w:val="46001285"/>
    <w:rsid w:val="4626051A"/>
    <w:rsid w:val="46593C83"/>
    <w:rsid w:val="46920999"/>
    <w:rsid w:val="46C329DE"/>
    <w:rsid w:val="46CD43F9"/>
    <w:rsid w:val="46D149CF"/>
    <w:rsid w:val="46D52711"/>
    <w:rsid w:val="46DA1AD6"/>
    <w:rsid w:val="46ED2B0D"/>
    <w:rsid w:val="47170634"/>
    <w:rsid w:val="471727A8"/>
    <w:rsid w:val="471A45C8"/>
    <w:rsid w:val="4723254D"/>
    <w:rsid w:val="473236C0"/>
    <w:rsid w:val="47347438"/>
    <w:rsid w:val="47513D78"/>
    <w:rsid w:val="476A0FCB"/>
    <w:rsid w:val="478163F5"/>
    <w:rsid w:val="479B74B7"/>
    <w:rsid w:val="479F062A"/>
    <w:rsid w:val="47B62742"/>
    <w:rsid w:val="47CF7161"/>
    <w:rsid w:val="47E10C42"/>
    <w:rsid w:val="47E5695C"/>
    <w:rsid w:val="47ED3A8B"/>
    <w:rsid w:val="47F07BB9"/>
    <w:rsid w:val="480A1F47"/>
    <w:rsid w:val="481A58C4"/>
    <w:rsid w:val="48446477"/>
    <w:rsid w:val="486B4005"/>
    <w:rsid w:val="488717E9"/>
    <w:rsid w:val="48934632"/>
    <w:rsid w:val="489F2175"/>
    <w:rsid w:val="48A44149"/>
    <w:rsid w:val="48FC3F85"/>
    <w:rsid w:val="490022E0"/>
    <w:rsid w:val="491237A9"/>
    <w:rsid w:val="49262DB0"/>
    <w:rsid w:val="49276B29"/>
    <w:rsid w:val="49431880"/>
    <w:rsid w:val="49644443"/>
    <w:rsid w:val="49817868"/>
    <w:rsid w:val="499016D5"/>
    <w:rsid w:val="49E862B8"/>
    <w:rsid w:val="4A204B43"/>
    <w:rsid w:val="4A2C089A"/>
    <w:rsid w:val="4A3459A1"/>
    <w:rsid w:val="4A6A1E68"/>
    <w:rsid w:val="4A6E2C61"/>
    <w:rsid w:val="4AAE4D25"/>
    <w:rsid w:val="4AC91044"/>
    <w:rsid w:val="4AF40C8C"/>
    <w:rsid w:val="4B144DCA"/>
    <w:rsid w:val="4B35552D"/>
    <w:rsid w:val="4B39316E"/>
    <w:rsid w:val="4B644064"/>
    <w:rsid w:val="4B646607"/>
    <w:rsid w:val="4B740F69"/>
    <w:rsid w:val="4BA54CF3"/>
    <w:rsid w:val="4BDC009E"/>
    <w:rsid w:val="4BE36DAE"/>
    <w:rsid w:val="4BF10066"/>
    <w:rsid w:val="4BF947AC"/>
    <w:rsid w:val="4BFA5A39"/>
    <w:rsid w:val="4BFE68D9"/>
    <w:rsid w:val="4C1C049B"/>
    <w:rsid w:val="4C235CCD"/>
    <w:rsid w:val="4C431ECB"/>
    <w:rsid w:val="4CD067D5"/>
    <w:rsid w:val="4CD82614"/>
    <w:rsid w:val="4CDB2104"/>
    <w:rsid w:val="4CE23492"/>
    <w:rsid w:val="4D131D5E"/>
    <w:rsid w:val="4D1D205B"/>
    <w:rsid w:val="4D2515D1"/>
    <w:rsid w:val="4D2E0486"/>
    <w:rsid w:val="4D3442E8"/>
    <w:rsid w:val="4D537EEC"/>
    <w:rsid w:val="4D636236"/>
    <w:rsid w:val="4D69341E"/>
    <w:rsid w:val="4D950505"/>
    <w:rsid w:val="4D9F18C0"/>
    <w:rsid w:val="4DE83AFE"/>
    <w:rsid w:val="4DEF4E8C"/>
    <w:rsid w:val="4DF80A94"/>
    <w:rsid w:val="4E047438"/>
    <w:rsid w:val="4E0B1059"/>
    <w:rsid w:val="4E3917D8"/>
    <w:rsid w:val="4E4C3CE6"/>
    <w:rsid w:val="4E4F12F0"/>
    <w:rsid w:val="4E4F6905"/>
    <w:rsid w:val="4E5263F6"/>
    <w:rsid w:val="4E975520"/>
    <w:rsid w:val="4EA32699"/>
    <w:rsid w:val="4EAC171A"/>
    <w:rsid w:val="4EAC1FAA"/>
    <w:rsid w:val="4EAF3848"/>
    <w:rsid w:val="4F0E056F"/>
    <w:rsid w:val="4F750454"/>
    <w:rsid w:val="4F8B7EAB"/>
    <w:rsid w:val="4F9D7B44"/>
    <w:rsid w:val="4FAD422B"/>
    <w:rsid w:val="4FF14039"/>
    <w:rsid w:val="500400B7"/>
    <w:rsid w:val="50100316"/>
    <w:rsid w:val="50293840"/>
    <w:rsid w:val="502C3C0B"/>
    <w:rsid w:val="503F0BFC"/>
    <w:rsid w:val="50502E09"/>
    <w:rsid w:val="50535F74"/>
    <w:rsid w:val="505C7A00"/>
    <w:rsid w:val="50681F00"/>
    <w:rsid w:val="506A3ECB"/>
    <w:rsid w:val="507408A5"/>
    <w:rsid w:val="507654B3"/>
    <w:rsid w:val="50903EA1"/>
    <w:rsid w:val="509060B0"/>
    <w:rsid w:val="509947B0"/>
    <w:rsid w:val="50AA7E30"/>
    <w:rsid w:val="50C36E31"/>
    <w:rsid w:val="50D92558"/>
    <w:rsid w:val="50FC089B"/>
    <w:rsid w:val="51022355"/>
    <w:rsid w:val="5112712D"/>
    <w:rsid w:val="511702AC"/>
    <w:rsid w:val="51217A74"/>
    <w:rsid w:val="51294EFD"/>
    <w:rsid w:val="513F5357"/>
    <w:rsid w:val="51517E81"/>
    <w:rsid w:val="51542485"/>
    <w:rsid w:val="515B1A65"/>
    <w:rsid w:val="516567D6"/>
    <w:rsid w:val="51735001"/>
    <w:rsid w:val="518D035D"/>
    <w:rsid w:val="51901DB3"/>
    <w:rsid w:val="519364D2"/>
    <w:rsid w:val="51A561D9"/>
    <w:rsid w:val="51C55131"/>
    <w:rsid w:val="51E732F9"/>
    <w:rsid w:val="51FB17D3"/>
    <w:rsid w:val="52097713"/>
    <w:rsid w:val="5218757C"/>
    <w:rsid w:val="52410C5B"/>
    <w:rsid w:val="52950FA7"/>
    <w:rsid w:val="52AB07CA"/>
    <w:rsid w:val="52AF7AE1"/>
    <w:rsid w:val="52DB2E5E"/>
    <w:rsid w:val="52E74C7F"/>
    <w:rsid w:val="52ED493F"/>
    <w:rsid w:val="53071EA5"/>
    <w:rsid w:val="53220A8C"/>
    <w:rsid w:val="534C5B09"/>
    <w:rsid w:val="535E75EB"/>
    <w:rsid w:val="536015B5"/>
    <w:rsid w:val="53861634"/>
    <w:rsid w:val="53AA532F"/>
    <w:rsid w:val="53AE1110"/>
    <w:rsid w:val="53B4545D"/>
    <w:rsid w:val="53F425DE"/>
    <w:rsid w:val="5415227F"/>
    <w:rsid w:val="54757B13"/>
    <w:rsid w:val="54837309"/>
    <w:rsid w:val="54B52D8E"/>
    <w:rsid w:val="54CC5154"/>
    <w:rsid w:val="54EB1352"/>
    <w:rsid w:val="54EB1C8D"/>
    <w:rsid w:val="54EE5482"/>
    <w:rsid w:val="54FB15D7"/>
    <w:rsid w:val="551E60A0"/>
    <w:rsid w:val="552D25C2"/>
    <w:rsid w:val="554C1DF1"/>
    <w:rsid w:val="555D5DAC"/>
    <w:rsid w:val="55684751"/>
    <w:rsid w:val="55791E47"/>
    <w:rsid w:val="557F3847"/>
    <w:rsid w:val="55846D30"/>
    <w:rsid w:val="558B5019"/>
    <w:rsid w:val="55AA6B17"/>
    <w:rsid w:val="55C91769"/>
    <w:rsid w:val="55D45578"/>
    <w:rsid w:val="55DF4A13"/>
    <w:rsid w:val="55F413AF"/>
    <w:rsid w:val="56064695"/>
    <w:rsid w:val="560A5808"/>
    <w:rsid w:val="562406D6"/>
    <w:rsid w:val="562B5EAA"/>
    <w:rsid w:val="563A7E9B"/>
    <w:rsid w:val="563F3703"/>
    <w:rsid w:val="564539A1"/>
    <w:rsid w:val="564725B8"/>
    <w:rsid w:val="5649130E"/>
    <w:rsid w:val="56723AD9"/>
    <w:rsid w:val="567535C9"/>
    <w:rsid w:val="5695720E"/>
    <w:rsid w:val="56A76682"/>
    <w:rsid w:val="56AD01E1"/>
    <w:rsid w:val="56B45E9F"/>
    <w:rsid w:val="56E12A50"/>
    <w:rsid w:val="571611CE"/>
    <w:rsid w:val="57254656"/>
    <w:rsid w:val="57272B15"/>
    <w:rsid w:val="57461FDC"/>
    <w:rsid w:val="5748483A"/>
    <w:rsid w:val="575C0C17"/>
    <w:rsid w:val="576D42A0"/>
    <w:rsid w:val="577473DD"/>
    <w:rsid w:val="57A203EE"/>
    <w:rsid w:val="57C0752E"/>
    <w:rsid w:val="57DA1D5C"/>
    <w:rsid w:val="57FB5D50"/>
    <w:rsid w:val="58191425"/>
    <w:rsid w:val="58342FF9"/>
    <w:rsid w:val="58580AAD"/>
    <w:rsid w:val="585C67EF"/>
    <w:rsid w:val="587C29ED"/>
    <w:rsid w:val="588E6BAD"/>
    <w:rsid w:val="58A106A5"/>
    <w:rsid w:val="58AC0E5A"/>
    <w:rsid w:val="58B230E1"/>
    <w:rsid w:val="58BB1C03"/>
    <w:rsid w:val="58CD6AAB"/>
    <w:rsid w:val="58D45CDF"/>
    <w:rsid w:val="58DF3662"/>
    <w:rsid w:val="58E6255C"/>
    <w:rsid w:val="58E70C07"/>
    <w:rsid w:val="58E905F5"/>
    <w:rsid w:val="58F846B0"/>
    <w:rsid w:val="59020288"/>
    <w:rsid w:val="59123A16"/>
    <w:rsid w:val="59126301"/>
    <w:rsid w:val="59144D9C"/>
    <w:rsid w:val="59152BBD"/>
    <w:rsid w:val="594D5D0E"/>
    <w:rsid w:val="59545718"/>
    <w:rsid w:val="595B0854"/>
    <w:rsid w:val="59751522"/>
    <w:rsid w:val="597A6288"/>
    <w:rsid w:val="59814D5B"/>
    <w:rsid w:val="598E39CC"/>
    <w:rsid w:val="59923010"/>
    <w:rsid w:val="599D70BF"/>
    <w:rsid w:val="59AA5338"/>
    <w:rsid w:val="59D979CB"/>
    <w:rsid w:val="59E051FD"/>
    <w:rsid w:val="59E66AE7"/>
    <w:rsid w:val="5A137381"/>
    <w:rsid w:val="5A184997"/>
    <w:rsid w:val="5A625C12"/>
    <w:rsid w:val="5A8738CB"/>
    <w:rsid w:val="5A902780"/>
    <w:rsid w:val="5AAE41DA"/>
    <w:rsid w:val="5AB31FD9"/>
    <w:rsid w:val="5ACC0DF3"/>
    <w:rsid w:val="5AD6268E"/>
    <w:rsid w:val="5AF11494"/>
    <w:rsid w:val="5AF54CD9"/>
    <w:rsid w:val="5AF96C50"/>
    <w:rsid w:val="5B184523"/>
    <w:rsid w:val="5B56437C"/>
    <w:rsid w:val="5B70435F"/>
    <w:rsid w:val="5B7F45A2"/>
    <w:rsid w:val="5BA02E96"/>
    <w:rsid w:val="5BAF64A7"/>
    <w:rsid w:val="5BF007EB"/>
    <w:rsid w:val="5BF22FC6"/>
    <w:rsid w:val="5BF94355"/>
    <w:rsid w:val="5C1F7B0D"/>
    <w:rsid w:val="5C4850FD"/>
    <w:rsid w:val="5C4A2E02"/>
    <w:rsid w:val="5C621EFA"/>
    <w:rsid w:val="5C6304F3"/>
    <w:rsid w:val="5C797243"/>
    <w:rsid w:val="5C856932"/>
    <w:rsid w:val="5C894B1F"/>
    <w:rsid w:val="5CA31F49"/>
    <w:rsid w:val="5CDE4A4F"/>
    <w:rsid w:val="5CDE64DC"/>
    <w:rsid w:val="5CFE05C5"/>
    <w:rsid w:val="5D066D29"/>
    <w:rsid w:val="5D0800BA"/>
    <w:rsid w:val="5D1B2689"/>
    <w:rsid w:val="5D276FDC"/>
    <w:rsid w:val="5D8A6FB7"/>
    <w:rsid w:val="5D916F3A"/>
    <w:rsid w:val="5D9A6C9E"/>
    <w:rsid w:val="5DA50BB8"/>
    <w:rsid w:val="5DB45CF4"/>
    <w:rsid w:val="5DE352BC"/>
    <w:rsid w:val="5DE62272"/>
    <w:rsid w:val="5DED5F10"/>
    <w:rsid w:val="5DF272AD"/>
    <w:rsid w:val="5E0314BA"/>
    <w:rsid w:val="5E0A2849"/>
    <w:rsid w:val="5E4B45B4"/>
    <w:rsid w:val="5E531E09"/>
    <w:rsid w:val="5E751947"/>
    <w:rsid w:val="5E873E9A"/>
    <w:rsid w:val="5E8B4CB4"/>
    <w:rsid w:val="5E9B238B"/>
    <w:rsid w:val="5E9F11E3"/>
    <w:rsid w:val="5EAC56AE"/>
    <w:rsid w:val="5ECF5804"/>
    <w:rsid w:val="5ED8357F"/>
    <w:rsid w:val="5EF425A4"/>
    <w:rsid w:val="5F100118"/>
    <w:rsid w:val="5F1267B5"/>
    <w:rsid w:val="5F13572D"/>
    <w:rsid w:val="5F1E1F19"/>
    <w:rsid w:val="5F206CAD"/>
    <w:rsid w:val="5F3825D2"/>
    <w:rsid w:val="5F521788"/>
    <w:rsid w:val="5F630463"/>
    <w:rsid w:val="5F906D7E"/>
    <w:rsid w:val="5FBB029F"/>
    <w:rsid w:val="5FC61092"/>
    <w:rsid w:val="60116111"/>
    <w:rsid w:val="60402552"/>
    <w:rsid w:val="604B0A0E"/>
    <w:rsid w:val="604F18F0"/>
    <w:rsid w:val="60776DC9"/>
    <w:rsid w:val="608763D3"/>
    <w:rsid w:val="608F6263"/>
    <w:rsid w:val="6094149C"/>
    <w:rsid w:val="60BA5B08"/>
    <w:rsid w:val="60C1084B"/>
    <w:rsid w:val="60EF5D26"/>
    <w:rsid w:val="60F82E2D"/>
    <w:rsid w:val="61051BBD"/>
    <w:rsid w:val="61064D61"/>
    <w:rsid w:val="61096DE8"/>
    <w:rsid w:val="610A2B60"/>
    <w:rsid w:val="6112322E"/>
    <w:rsid w:val="6122434D"/>
    <w:rsid w:val="6146003C"/>
    <w:rsid w:val="614B5652"/>
    <w:rsid w:val="61923281"/>
    <w:rsid w:val="619568CD"/>
    <w:rsid w:val="619A3EE4"/>
    <w:rsid w:val="61A80DAB"/>
    <w:rsid w:val="61D55523"/>
    <w:rsid w:val="61F01D56"/>
    <w:rsid w:val="620106B5"/>
    <w:rsid w:val="62072434"/>
    <w:rsid w:val="622D4D58"/>
    <w:rsid w:val="623B6FC7"/>
    <w:rsid w:val="624916B7"/>
    <w:rsid w:val="625D3A49"/>
    <w:rsid w:val="627F3721"/>
    <w:rsid w:val="628D0702"/>
    <w:rsid w:val="629C2772"/>
    <w:rsid w:val="62A72D5C"/>
    <w:rsid w:val="62B527FD"/>
    <w:rsid w:val="630C3739"/>
    <w:rsid w:val="63133F4E"/>
    <w:rsid w:val="63192A33"/>
    <w:rsid w:val="63512CC8"/>
    <w:rsid w:val="636B49A4"/>
    <w:rsid w:val="638C3D00"/>
    <w:rsid w:val="638F7656"/>
    <w:rsid w:val="63A00BC9"/>
    <w:rsid w:val="63D336DD"/>
    <w:rsid w:val="63DC3240"/>
    <w:rsid w:val="63E853DA"/>
    <w:rsid w:val="640815D9"/>
    <w:rsid w:val="642B176B"/>
    <w:rsid w:val="642D103F"/>
    <w:rsid w:val="642D54E3"/>
    <w:rsid w:val="647E189B"/>
    <w:rsid w:val="649F4861"/>
    <w:rsid w:val="64C319A4"/>
    <w:rsid w:val="64DB6CED"/>
    <w:rsid w:val="64F63904"/>
    <w:rsid w:val="64FA4DF8"/>
    <w:rsid w:val="653F6BF5"/>
    <w:rsid w:val="65404DA2"/>
    <w:rsid w:val="654725D5"/>
    <w:rsid w:val="658E46BA"/>
    <w:rsid w:val="659F4C0F"/>
    <w:rsid w:val="65AD395A"/>
    <w:rsid w:val="65BA4B55"/>
    <w:rsid w:val="66202EC2"/>
    <w:rsid w:val="664A412A"/>
    <w:rsid w:val="6652501C"/>
    <w:rsid w:val="667E7BFF"/>
    <w:rsid w:val="6683763C"/>
    <w:rsid w:val="668F1536"/>
    <w:rsid w:val="669E0497"/>
    <w:rsid w:val="66A15D14"/>
    <w:rsid w:val="66FE6CC3"/>
    <w:rsid w:val="67050D15"/>
    <w:rsid w:val="670D5158"/>
    <w:rsid w:val="671D183F"/>
    <w:rsid w:val="67213095"/>
    <w:rsid w:val="6735451E"/>
    <w:rsid w:val="674F21EC"/>
    <w:rsid w:val="676D5D73"/>
    <w:rsid w:val="67742862"/>
    <w:rsid w:val="678B49FB"/>
    <w:rsid w:val="67B359E4"/>
    <w:rsid w:val="67B657F0"/>
    <w:rsid w:val="67C25F42"/>
    <w:rsid w:val="67D57A24"/>
    <w:rsid w:val="67DA7730"/>
    <w:rsid w:val="67EB2323"/>
    <w:rsid w:val="682E5386"/>
    <w:rsid w:val="68376930"/>
    <w:rsid w:val="683F57E5"/>
    <w:rsid w:val="6841155D"/>
    <w:rsid w:val="685E210F"/>
    <w:rsid w:val="6861245B"/>
    <w:rsid w:val="686A268A"/>
    <w:rsid w:val="686B482C"/>
    <w:rsid w:val="686D1B74"/>
    <w:rsid w:val="686F60CA"/>
    <w:rsid w:val="687A3165"/>
    <w:rsid w:val="68D0643D"/>
    <w:rsid w:val="68D75A1D"/>
    <w:rsid w:val="69006D22"/>
    <w:rsid w:val="692A1FF1"/>
    <w:rsid w:val="694B591A"/>
    <w:rsid w:val="695D5F23"/>
    <w:rsid w:val="696E0130"/>
    <w:rsid w:val="699807F1"/>
    <w:rsid w:val="69A7779B"/>
    <w:rsid w:val="69B77BCB"/>
    <w:rsid w:val="69C77840"/>
    <w:rsid w:val="69DF2DDC"/>
    <w:rsid w:val="69E2467A"/>
    <w:rsid w:val="69E337CE"/>
    <w:rsid w:val="69F01811"/>
    <w:rsid w:val="69F66377"/>
    <w:rsid w:val="6A026ACA"/>
    <w:rsid w:val="6A2B7DCF"/>
    <w:rsid w:val="6A38073E"/>
    <w:rsid w:val="6A393073"/>
    <w:rsid w:val="6A4E33C5"/>
    <w:rsid w:val="6A576E16"/>
    <w:rsid w:val="6A5B67D0"/>
    <w:rsid w:val="6A611A43"/>
    <w:rsid w:val="6AB57FE0"/>
    <w:rsid w:val="6ABB3117"/>
    <w:rsid w:val="6AE6019A"/>
    <w:rsid w:val="6AFB3C45"/>
    <w:rsid w:val="6B19056F"/>
    <w:rsid w:val="6B3709F5"/>
    <w:rsid w:val="6B871DCE"/>
    <w:rsid w:val="6B8C0852"/>
    <w:rsid w:val="6B8F0831"/>
    <w:rsid w:val="6BA015A6"/>
    <w:rsid w:val="6BA55B8E"/>
    <w:rsid w:val="6BB77E3F"/>
    <w:rsid w:val="6BBC2941"/>
    <w:rsid w:val="6BC93D43"/>
    <w:rsid w:val="6BD83F86"/>
    <w:rsid w:val="6BE07B21"/>
    <w:rsid w:val="6BF170D9"/>
    <w:rsid w:val="6C172D01"/>
    <w:rsid w:val="6C2D7F39"/>
    <w:rsid w:val="6C906519"/>
    <w:rsid w:val="6CB41892"/>
    <w:rsid w:val="6CD527AA"/>
    <w:rsid w:val="6CEF339F"/>
    <w:rsid w:val="6D0E5786"/>
    <w:rsid w:val="6D2D29EC"/>
    <w:rsid w:val="6D390A55"/>
    <w:rsid w:val="6D3C6B38"/>
    <w:rsid w:val="6D535020"/>
    <w:rsid w:val="6D59574F"/>
    <w:rsid w:val="6D635AD2"/>
    <w:rsid w:val="6D8212C8"/>
    <w:rsid w:val="6D99075E"/>
    <w:rsid w:val="6DB15957"/>
    <w:rsid w:val="6DB602F7"/>
    <w:rsid w:val="6DC122A0"/>
    <w:rsid w:val="6DC613EA"/>
    <w:rsid w:val="6DD24A05"/>
    <w:rsid w:val="6DD644F6"/>
    <w:rsid w:val="6DDB7D5E"/>
    <w:rsid w:val="6DEE0AAA"/>
    <w:rsid w:val="6DEE5CE3"/>
    <w:rsid w:val="6DFB5D0A"/>
    <w:rsid w:val="6E056B89"/>
    <w:rsid w:val="6E0E1EE1"/>
    <w:rsid w:val="6E141ACB"/>
    <w:rsid w:val="6E46176E"/>
    <w:rsid w:val="6E5D3B7B"/>
    <w:rsid w:val="6E715726"/>
    <w:rsid w:val="6ECD742B"/>
    <w:rsid w:val="6EEA4CA5"/>
    <w:rsid w:val="6F101C89"/>
    <w:rsid w:val="6F5A0EEF"/>
    <w:rsid w:val="6F7F4719"/>
    <w:rsid w:val="6F9E1043"/>
    <w:rsid w:val="6FD14B4C"/>
    <w:rsid w:val="6FD9207B"/>
    <w:rsid w:val="6FED5B27"/>
    <w:rsid w:val="7019691C"/>
    <w:rsid w:val="70207CAA"/>
    <w:rsid w:val="702C664F"/>
    <w:rsid w:val="70626515"/>
    <w:rsid w:val="707D6A8A"/>
    <w:rsid w:val="70891CF3"/>
    <w:rsid w:val="70904E30"/>
    <w:rsid w:val="70DF5DB7"/>
    <w:rsid w:val="7104137A"/>
    <w:rsid w:val="710650F2"/>
    <w:rsid w:val="71066EA0"/>
    <w:rsid w:val="71092E0D"/>
    <w:rsid w:val="711F3617"/>
    <w:rsid w:val="7121017E"/>
    <w:rsid w:val="713343ED"/>
    <w:rsid w:val="71436346"/>
    <w:rsid w:val="71A52B5D"/>
    <w:rsid w:val="71B44B4E"/>
    <w:rsid w:val="71C65D6C"/>
    <w:rsid w:val="71C91596"/>
    <w:rsid w:val="71E33685"/>
    <w:rsid w:val="72190E55"/>
    <w:rsid w:val="7274672D"/>
    <w:rsid w:val="729D55E2"/>
    <w:rsid w:val="72A71AFE"/>
    <w:rsid w:val="72A72905"/>
    <w:rsid w:val="72D27981"/>
    <w:rsid w:val="72D646A0"/>
    <w:rsid w:val="72E84ECD"/>
    <w:rsid w:val="72FD2525"/>
    <w:rsid w:val="73025D8D"/>
    <w:rsid w:val="7306587D"/>
    <w:rsid w:val="73143525"/>
    <w:rsid w:val="73562426"/>
    <w:rsid w:val="73702CF6"/>
    <w:rsid w:val="7386076C"/>
    <w:rsid w:val="738E13CF"/>
    <w:rsid w:val="73B13A3B"/>
    <w:rsid w:val="73CA68AB"/>
    <w:rsid w:val="73D6524F"/>
    <w:rsid w:val="74276089"/>
    <w:rsid w:val="742B77FD"/>
    <w:rsid w:val="742C1313"/>
    <w:rsid w:val="74341F76"/>
    <w:rsid w:val="74624D35"/>
    <w:rsid w:val="747F58E7"/>
    <w:rsid w:val="7496678D"/>
    <w:rsid w:val="749D5D6D"/>
    <w:rsid w:val="74C652C4"/>
    <w:rsid w:val="74C7103C"/>
    <w:rsid w:val="74F11C15"/>
    <w:rsid w:val="74F92894"/>
    <w:rsid w:val="750508DA"/>
    <w:rsid w:val="750C4CA1"/>
    <w:rsid w:val="751139FE"/>
    <w:rsid w:val="7524023C"/>
    <w:rsid w:val="75323A52"/>
    <w:rsid w:val="756643B1"/>
    <w:rsid w:val="75693EA1"/>
    <w:rsid w:val="758629F1"/>
    <w:rsid w:val="75954C96"/>
    <w:rsid w:val="75A153E9"/>
    <w:rsid w:val="75A37243"/>
    <w:rsid w:val="75DF4163"/>
    <w:rsid w:val="75E654F2"/>
    <w:rsid w:val="75EF25F8"/>
    <w:rsid w:val="75F53C83"/>
    <w:rsid w:val="76143836"/>
    <w:rsid w:val="76165DD7"/>
    <w:rsid w:val="76264BE2"/>
    <w:rsid w:val="762B73A9"/>
    <w:rsid w:val="76342A5E"/>
    <w:rsid w:val="763B583E"/>
    <w:rsid w:val="763C5112"/>
    <w:rsid w:val="767630C7"/>
    <w:rsid w:val="767677CB"/>
    <w:rsid w:val="7682521B"/>
    <w:rsid w:val="768A0F6F"/>
    <w:rsid w:val="768F16E6"/>
    <w:rsid w:val="76A809F9"/>
    <w:rsid w:val="76C05D43"/>
    <w:rsid w:val="76FC6F48"/>
    <w:rsid w:val="772F5047"/>
    <w:rsid w:val="775663AF"/>
    <w:rsid w:val="77807966"/>
    <w:rsid w:val="77A57A6E"/>
    <w:rsid w:val="77AE0291"/>
    <w:rsid w:val="77B84545"/>
    <w:rsid w:val="77D93560"/>
    <w:rsid w:val="77EE068E"/>
    <w:rsid w:val="780126CE"/>
    <w:rsid w:val="780600CD"/>
    <w:rsid w:val="781168C5"/>
    <w:rsid w:val="7812002E"/>
    <w:rsid w:val="781C344D"/>
    <w:rsid w:val="785E26AE"/>
    <w:rsid w:val="785E5813"/>
    <w:rsid w:val="786170B2"/>
    <w:rsid w:val="786E6B7B"/>
    <w:rsid w:val="787119EB"/>
    <w:rsid w:val="787212BF"/>
    <w:rsid w:val="78A65B61"/>
    <w:rsid w:val="78B62103"/>
    <w:rsid w:val="78D813B0"/>
    <w:rsid w:val="78EA354B"/>
    <w:rsid w:val="78EE6B97"/>
    <w:rsid w:val="78F62AA7"/>
    <w:rsid w:val="79162E3B"/>
    <w:rsid w:val="79177438"/>
    <w:rsid w:val="794E20C2"/>
    <w:rsid w:val="795A389B"/>
    <w:rsid w:val="796E7CD8"/>
    <w:rsid w:val="79870D9A"/>
    <w:rsid w:val="7993744F"/>
    <w:rsid w:val="7993773F"/>
    <w:rsid w:val="799C2A97"/>
    <w:rsid w:val="79C06ED1"/>
    <w:rsid w:val="79C97497"/>
    <w:rsid w:val="79CB6ED9"/>
    <w:rsid w:val="79E30B06"/>
    <w:rsid w:val="79E30FE6"/>
    <w:rsid w:val="79E6692A"/>
    <w:rsid w:val="79EE2BC7"/>
    <w:rsid w:val="79F03A5D"/>
    <w:rsid w:val="79F75F20"/>
    <w:rsid w:val="79FA77BE"/>
    <w:rsid w:val="7A0550D6"/>
    <w:rsid w:val="7A205476"/>
    <w:rsid w:val="7A2756A8"/>
    <w:rsid w:val="7A2860D9"/>
    <w:rsid w:val="7A5037DE"/>
    <w:rsid w:val="7A5073DE"/>
    <w:rsid w:val="7A533275"/>
    <w:rsid w:val="7A574C10"/>
    <w:rsid w:val="7A823D04"/>
    <w:rsid w:val="7AA93C21"/>
    <w:rsid w:val="7AB43298"/>
    <w:rsid w:val="7AE225F2"/>
    <w:rsid w:val="7AEA7832"/>
    <w:rsid w:val="7B0D5664"/>
    <w:rsid w:val="7B1D4937"/>
    <w:rsid w:val="7B71585E"/>
    <w:rsid w:val="7B7366B8"/>
    <w:rsid w:val="7B813097"/>
    <w:rsid w:val="7BB34408"/>
    <w:rsid w:val="7BEE3731"/>
    <w:rsid w:val="7C0C0552"/>
    <w:rsid w:val="7C19456A"/>
    <w:rsid w:val="7C195991"/>
    <w:rsid w:val="7C296138"/>
    <w:rsid w:val="7C5C4760"/>
    <w:rsid w:val="7C5E0F32"/>
    <w:rsid w:val="7C664D6A"/>
    <w:rsid w:val="7C6C483A"/>
    <w:rsid w:val="7C701FB9"/>
    <w:rsid w:val="7C8415C1"/>
    <w:rsid w:val="7CB579CC"/>
    <w:rsid w:val="7CC77E2B"/>
    <w:rsid w:val="7CF84488"/>
    <w:rsid w:val="7D3730A7"/>
    <w:rsid w:val="7D501EA9"/>
    <w:rsid w:val="7D8555F0"/>
    <w:rsid w:val="7D871368"/>
    <w:rsid w:val="7D9D0B8C"/>
    <w:rsid w:val="7DA97531"/>
    <w:rsid w:val="7DC62455"/>
    <w:rsid w:val="7DD6503A"/>
    <w:rsid w:val="7DD93210"/>
    <w:rsid w:val="7E123328"/>
    <w:rsid w:val="7E1508C5"/>
    <w:rsid w:val="7E154BC6"/>
    <w:rsid w:val="7E355703"/>
    <w:rsid w:val="7E5A5F62"/>
    <w:rsid w:val="7E6A666E"/>
    <w:rsid w:val="7E703748"/>
    <w:rsid w:val="7E7E276B"/>
    <w:rsid w:val="7EC04F9A"/>
    <w:rsid w:val="7EC40767"/>
    <w:rsid w:val="7ECD36F3"/>
    <w:rsid w:val="7EF94F68"/>
    <w:rsid w:val="7EFE1AFE"/>
    <w:rsid w:val="7F0F7867"/>
    <w:rsid w:val="7F361298"/>
    <w:rsid w:val="7F396B95"/>
    <w:rsid w:val="7F404F1B"/>
    <w:rsid w:val="7F427C3D"/>
    <w:rsid w:val="7F62049F"/>
    <w:rsid w:val="7F6A7194"/>
    <w:rsid w:val="7F7E0AF7"/>
    <w:rsid w:val="7F9774AB"/>
    <w:rsid w:val="7F98528A"/>
    <w:rsid w:val="7FBC4BD7"/>
    <w:rsid w:val="7FC8008A"/>
    <w:rsid w:val="7FDB3752"/>
    <w:rsid w:val="7FE6443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qFormat="1" w:unhideWhenUsed="0" w:uiPriority="0" w:semiHidden="0" w:name="toc 5" w:locked="1"/>
    <w:lsdException w:uiPriority="39" w:name="toc 6" w:locked="1"/>
    <w:lsdException w:uiPriority="39" w:name="toc 7" w:locked="1"/>
    <w:lsdException w:uiPriority="39" w:name="toc 8" w:locked="1"/>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0" w:semiHidden="0" w:name="List" w:locked="1"/>
    <w:lsdException w:uiPriority="99" w:name="List Bullet" w:locked="1"/>
    <w:lsdException w:uiPriority="99" w:name="List Number" w:locked="1"/>
    <w:lsdException w:qFormat="1" w:unhideWhenUsed="0" w:uiPriority="0" w:semiHidden="0"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iPriority="99" w:semiHidden="0" w:name="Body Text 3" w:locked="1"/>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iPriority="99" w:semiHidden="0" w:name="HTML Preformatted" w:locked="1"/>
    <w:lsdException w:qFormat="1" w:unhideWhenUsed="0" w:uiPriority="99" w:name="HTML Sample"/>
    <w:lsdException w:uiPriority="99" w:name="HTML Typewriter" w:locked="1"/>
    <w:lsdException w:qFormat="1" w:unhideWhenUsed="0" w:uiPriority="99" w:name="HTML Variable"/>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99"/>
    <w:pPr>
      <w:keepNext/>
      <w:keepLines/>
      <w:numPr>
        <w:ilvl w:val="0"/>
        <w:numId w:val="1"/>
      </w:numPr>
      <w:adjustRightInd w:val="0"/>
      <w:spacing w:line="360" w:lineRule="auto"/>
      <w:textAlignment w:val="baseline"/>
      <w:outlineLvl w:val="0"/>
    </w:pPr>
    <w:rPr>
      <w:rFonts w:eastAsia="黑体"/>
      <w:b/>
      <w:kern w:val="44"/>
      <w:sz w:val="28"/>
    </w:rPr>
  </w:style>
  <w:style w:type="paragraph" w:styleId="3">
    <w:name w:val="heading 2"/>
    <w:basedOn w:val="1"/>
    <w:next w:val="1"/>
    <w:link w:val="56"/>
    <w:qFormat/>
    <w:uiPriority w:val="99"/>
    <w:pPr>
      <w:keepNext/>
      <w:numPr>
        <w:ilvl w:val="1"/>
        <w:numId w:val="1"/>
      </w:numPr>
      <w:tabs>
        <w:tab w:val="left" w:pos="360"/>
      </w:tabs>
      <w:adjustRightInd w:val="0"/>
      <w:spacing w:line="360" w:lineRule="auto"/>
      <w:textAlignment w:val="baseline"/>
      <w:outlineLvl w:val="1"/>
    </w:pPr>
    <w:rPr>
      <w:rFonts w:eastAsia="黑体"/>
      <w:b/>
      <w:sz w:val="28"/>
    </w:rPr>
  </w:style>
  <w:style w:type="paragraph" w:styleId="4">
    <w:name w:val="heading 3"/>
    <w:basedOn w:val="1"/>
    <w:next w:val="1"/>
    <w:link w:val="57"/>
    <w:qFormat/>
    <w:uiPriority w:val="99"/>
    <w:pPr>
      <w:keepNext/>
      <w:keepLines/>
      <w:spacing w:before="60" w:after="60" w:line="400" w:lineRule="exact"/>
      <w:ind w:firstLine="510"/>
      <w:outlineLvl w:val="2"/>
    </w:pPr>
    <w:rPr>
      <w:rFonts w:ascii="宋体"/>
      <w:b/>
      <w:bCs/>
      <w:kern w:val="0"/>
      <w:sz w:val="24"/>
    </w:rPr>
  </w:style>
  <w:style w:type="paragraph" w:styleId="5">
    <w:name w:val="heading 4"/>
    <w:basedOn w:val="1"/>
    <w:next w:val="1"/>
    <w:link w:val="58"/>
    <w:qFormat/>
    <w:uiPriority w:val="99"/>
    <w:pPr>
      <w:keepNext/>
      <w:keepLines/>
      <w:spacing w:before="280" w:after="290" w:line="372" w:lineRule="auto"/>
      <w:outlineLvl w:val="3"/>
    </w:pPr>
    <w:rPr>
      <w:rFonts w:ascii="Arial" w:hAnsi="Arial" w:eastAsia="黑体"/>
      <w:b/>
      <w:sz w:val="28"/>
    </w:rPr>
  </w:style>
  <w:style w:type="paragraph" w:styleId="6">
    <w:name w:val="heading 5"/>
    <w:basedOn w:val="1"/>
    <w:next w:val="1"/>
    <w:qFormat/>
    <w:locked/>
    <w:uiPriority w:val="0"/>
    <w:pPr>
      <w:keepNext/>
      <w:keepLines/>
      <w:spacing w:before="280" w:beforeLines="0" w:after="290" w:afterLines="0" w:line="372" w:lineRule="auto"/>
      <w:outlineLvl w:val="4"/>
    </w:pPr>
    <w:rPr>
      <w:b/>
      <w:bCs/>
      <w:kern w:val="2"/>
      <w:sz w:val="28"/>
      <w:szCs w:val="28"/>
    </w:rPr>
  </w:style>
  <w:style w:type="character" w:default="1" w:styleId="37">
    <w:name w:val="Default Paragraph Font"/>
    <w:semiHidden/>
    <w:qFormat/>
    <w:uiPriority w:val="99"/>
  </w:style>
  <w:style w:type="table" w:default="1" w:styleId="35">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99"/>
    <w:pPr>
      <w:widowControl/>
      <w:ind w:firstLine="420"/>
      <w:jc w:val="left"/>
    </w:pPr>
    <w:rPr>
      <w:kern w:val="0"/>
      <w:sz w:val="20"/>
    </w:rPr>
  </w:style>
  <w:style w:type="paragraph" w:styleId="8">
    <w:name w:val="Document Map"/>
    <w:basedOn w:val="1"/>
    <w:link w:val="60"/>
    <w:qFormat/>
    <w:uiPriority w:val="99"/>
    <w:pPr>
      <w:shd w:val="clear" w:color="auto" w:fill="000080"/>
    </w:pPr>
  </w:style>
  <w:style w:type="paragraph" w:styleId="9">
    <w:name w:val="annotation text"/>
    <w:basedOn w:val="1"/>
    <w:link w:val="61"/>
    <w:qFormat/>
    <w:uiPriority w:val="99"/>
    <w:pPr>
      <w:jc w:val="left"/>
    </w:pPr>
    <w:rPr>
      <w:szCs w:val="20"/>
    </w:rPr>
  </w:style>
  <w:style w:type="paragraph" w:styleId="10">
    <w:name w:val="Body Text 3"/>
    <w:basedOn w:val="1"/>
    <w:unhideWhenUsed/>
    <w:qFormat/>
    <w:locked/>
    <w:uiPriority w:val="99"/>
    <w:rPr>
      <w:rFonts w:ascii="宋体" w:hAnsi="Calibri"/>
      <w:sz w:val="24"/>
      <w:szCs w:val="24"/>
    </w:rPr>
  </w:style>
  <w:style w:type="paragraph" w:styleId="11">
    <w:name w:val="Body Text"/>
    <w:basedOn w:val="1"/>
    <w:link w:val="59"/>
    <w:qFormat/>
    <w:uiPriority w:val="99"/>
    <w:pPr>
      <w:kinsoku w:val="0"/>
      <w:wordWrap w:val="0"/>
      <w:overflowPunct w:val="0"/>
      <w:autoSpaceDE w:val="0"/>
      <w:autoSpaceDN w:val="0"/>
      <w:spacing w:line="240" w:lineRule="exact"/>
      <w:textAlignment w:val="top"/>
    </w:pPr>
    <w:rPr>
      <w:sz w:val="15"/>
      <w:szCs w:val="20"/>
    </w:rPr>
  </w:style>
  <w:style w:type="paragraph" w:styleId="12">
    <w:name w:val="Body Text Indent"/>
    <w:basedOn w:val="1"/>
    <w:link w:val="62"/>
    <w:qFormat/>
    <w:uiPriority w:val="99"/>
    <w:pPr>
      <w:spacing w:after="120"/>
      <w:ind w:left="420" w:leftChars="200"/>
    </w:pPr>
  </w:style>
  <w:style w:type="paragraph" w:styleId="13">
    <w:name w:val="List Number 3"/>
    <w:basedOn w:val="1"/>
    <w:semiHidden/>
    <w:unhideWhenUsed/>
    <w:qFormat/>
    <w:locked/>
    <w:uiPriority w:val="99"/>
    <w:pPr>
      <w:numPr>
        <w:ilvl w:val="0"/>
        <w:numId w:val="2"/>
      </w:numPr>
    </w:pPr>
  </w:style>
  <w:style w:type="paragraph" w:styleId="14">
    <w:name w:val="List 2"/>
    <w:basedOn w:val="1"/>
    <w:qFormat/>
    <w:locked/>
    <w:uiPriority w:val="0"/>
    <w:pPr>
      <w:ind w:left="100" w:leftChars="200" w:hanging="200" w:hangingChars="200"/>
    </w:pPr>
  </w:style>
  <w:style w:type="paragraph" w:styleId="15">
    <w:name w:val="Block Text"/>
    <w:basedOn w:val="1"/>
    <w:qFormat/>
    <w:uiPriority w:val="99"/>
    <w:pPr>
      <w:ind w:left="-52" w:right="-87"/>
      <w:jc w:val="center"/>
    </w:pPr>
    <w:rPr>
      <w:rFonts w:ascii="宋体"/>
      <w:sz w:val="15"/>
      <w:szCs w:val="20"/>
    </w:rPr>
  </w:style>
  <w:style w:type="paragraph" w:styleId="16">
    <w:name w:val="toc 5"/>
    <w:basedOn w:val="1"/>
    <w:next w:val="1"/>
    <w:qFormat/>
    <w:locked/>
    <w:uiPriority w:val="0"/>
    <w:pPr>
      <w:ind w:left="840"/>
      <w:jc w:val="left"/>
    </w:pPr>
    <w:rPr>
      <w:sz w:val="18"/>
      <w:szCs w:val="18"/>
    </w:rPr>
  </w:style>
  <w:style w:type="paragraph" w:styleId="17">
    <w:name w:val="toc 3"/>
    <w:basedOn w:val="1"/>
    <w:next w:val="1"/>
    <w:qFormat/>
    <w:uiPriority w:val="99"/>
    <w:pPr>
      <w:ind w:left="840" w:leftChars="400"/>
    </w:pPr>
  </w:style>
  <w:style w:type="paragraph" w:styleId="18">
    <w:name w:val="Plain Text"/>
    <w:basedOn w:val="1"/>
    <w:link w:val="63"/>
    <w:qFormat/>
    <w:uiPriority w:val="99"/>
    <w:rPr>
      <w:rFonts w:ascii="宋体"/>
    </w:rPr>
  </w:style>
  <w:style w:type="paragraph" w:styleId="19">
    <w:name w:val="Date"/>
    <w:basedOn w:val="1"/>
    <w:next w:val="1"/>
    <w:link w:val="64"/>
    <w:qFormat/>
    <w:uiPriority w:val="99"/>
    <w:pPr>
      <w:ind w:left="100"/>
    </w:pPr>
    <w:rPr>
      <w:szCs w:val="20"/>
    </w:rPr>
  </w:style>
  <w:style w:type="paragraph" w:styleId="20">
    <w:name w:val="Body Text Indent 2"/>
    <w:basedOn w:val="1"/>
    <w:link w:val="65"/>
    <w:qFormat/>
    <w:uiPriority w:val="99"/>
    <w:pPr>
      <w:spacing w:line="480" w:lineRule="auto"/>
      <w:ind w:left="200" w:leftChars="200"/>
    </w:pPr>
  </w:style>
  <w:style w:type="paragraph" w:styleId="21">
    <w:name w:val="Balloon Text"/>
    <w:basedOn w:val="1"/>
    <w:link w:val="66"/>
    <w:qFormat/>
    <w:uiPriority w:val="99"/>
    <w:rPr>
      <w:sz w:val="18"/>
      <w:szCs w:val="18"/>
    </w:rPr>
  </w:style>
  <w:style w:type="paragraph" w:styleId="22">
    <w:name w:val="footer"/>
    <w:basedOn w:val="1"/>
    <w:link w:val="67"/>
    <w:qFormat/>
    <w:uiPriority w:val="99"/>
    <w:pPr>
      <w:tabs>
        <w:tab w:val="center" w:pos="4153"/>
        <w:tab w:val="right" w:pos="8306"/>
      </w:tabs>
      <w:snapToGrid w:val="0"/>
      <w:jc w:val="left"/>
    </w:pPr>
    <w:rPr>
      <w:rFonts w:ascii="宋体"/>
      <w:sz w:val="18"/>
    </w:rPr>
  </w:style>
  <w:style w:type="paragraph" w:styleId="23">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99"/>
    <w:pPr>
      <w:tabs>
        <w:tab w:val="right" w:leader="dot" w:pos="9628"/>
      </w:tabs>
      <w:spacing w:line="400" w:lineRule="exact"/>
      <w:ind w:firstLine="149" w:firstLineChars="74"/>
      <w:jc w:val="left"/>
    </w:pPr>
    <w:rPr>
      <w:b/>
      <w:bCs/>
      <w:caps/>
      <w:sz w:val="20"/>
      <w:szCs w:val="20"/>
    </w:rPr>
  </w:style>
  <w:style w:type="paragraph" w:styleId="25">
    <w:name w:val="List"/>
    <w:basedOn w:val="1"/>
    <w:qFormat/>
    <w:locked/>
    <w:uiPriority w:val="0"/>
    <w:pPr>
      <w:ind w:left="200" w:hanging="200" w:hangingChars="200"/>
    </w:pPr>
  </w:style>
  <w:style w:type="paragraph" w:styleId="26">
    <w:name w:val="Body Text Indent 3"/>
    <w:basedOn w:val="1"/>
    <w:link w:val="69"/>
    <w:qFormat/>
    <w:uiPriority w:val="99"/>
    <w:pPr>
      <w:spacing w:line="360" w:lineRule="auto"/>
      <w:ind w:firstLine="420"/>
    </w:pPr>
    <w:rPr>
      <w:b/>
      <w:szCs w:val="20"/>
    </w:rPr>
  </w:style>
  <w:style w:type="paragraph" w:styleId="27">
    <w:name w:val="toc 2"/>
    <w:basedOn w:val="1"/>
    <w:next w:val="1"/>
    <w:qFormat/>
    <w:uiPriority w:val="99"/>
    <w:pPr>
      <w:tabs>
        <w:tab w:val="right" w:leader="dot" w:pos="9628"/>
      </w:tabs>
      <w:spacing w:line="280" w:lineRule="exact"/>
      <w:ind w:left="210"/>
      <w:jc w:val="left"/>
    </w:pPr>
    <w:rPr>
      <w:smallCaps/>
      <w:sz w:val="20"/>
      <w:szCs w:val="20"/>
    </w:rPr>
  </w:style>
  <w:style w:type="paragraph" w:styleId="28">
    <w:name w:val="toc 9"/>
    <w:basedOn w:val="1"/>
    <w:next w:val="1"/>
    <w:qFormat/>
    <w:uiPriority w:val="99"/>
    <w:pPr>
      <w:ind w:left="1680"/>
      <w:jc w:val="left"/>
    </w:pPr>
    <w:rPr>
      <w:sz w:val="18"/>
      <w:szCs w:val="18"/>
    </w:rPr>
  </w:style>
  <w:style w:type="paragraph" w:styleId="29">
    <w:name w:val="HTML Preformatted"/>
    <w:basedOn w:val="1"/>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next w:val="1"/>
    <w:qFormat/>
    <w:uiPriority w:val="99"/>
    <w:pPr>
      <w:jc w:val="left"/>
    </w:pPr>
    <w:rPr>
      <w:kern w:val="0"/>
      <w:sz w:val="24"/>
    </w:rPr>
  </w:style>
  <w:style w:type="paragraph" w:styleId="31">
    <w:name w:val="Title"/>
    <w:basedOn w:val="1"/>
    <w:next w:val="1"/>
    <w:link w:val="70"/>
    <w:qFormat/>
    <w:uiPriority w:val="99"/>
    <w:pPr>
      <w:spacing w:before="240" w:after="60"/>
      <w:jc w:val="center"/>
      <w:outlineLvl w:val="0"/>
    </w:pPr>
    <w:rPr>
      <w:rFonts w:ascii="Cambria" w:hAnsi="Cambria"/>
      <w:b/>
      <w:bCs/>
      <w:sz w:val="32"/>
      <w:szCs w:val="32"/>
    </w:rPr>
  </w:style>
  <w:style w:type="paragraph" w:styleId="32">
    <w:name w:val="annotation subject"/>
    <w:basedOn w:val="9"/>
    <w:next w:val="9"/>
    <w:link w:val="71"/>
    <w:qFormat/>
    <w:uiPriority w:val="99"/>
    <w:rPr>
      <w:b/>
      <w:bCs/>
      <w:szCs w:val="24"/>
    </w:rPr>
  </w:style>
  <w:style w:type="paragraph" w:styleId="33">
    <w:name w:val="Body Text First Indent"/>
    <w:basedOn w:val="11"/>
    <w:next w:val="1"/>
    <w:qFormat/>
    <w:locked/>
    <w:uiPriority w:val="0"/>
    <w:pPr>
      <w:spacing w:after="120"/>
      <w:ind w:firstLine="420" w:firstLineChars="100"/>
    </w:pPr>
    <w:rPr>
      <w:rFonts w:ascii="Times New Roman" w:hAnsi="Times New Roman" w:eastAsia="宋体"/>
      <w:bCs/>
      <w:spacing w:val="0"/>
      <w:kern w:val="44"/>
      <w:sz w:val="52"/>
      <w:szCs w:val="44"/>
    </w:rPr>
  </w:style>
  <w:style w:type="paragraph" w:styleId="34">
    <w:name w:val="Body Text First Indent 2"/>
    <w:basedOn w:val="12"/>
    <w:link w:val="72"/>
    <w:qFormat/>
    <w:uiPriority w:val="99"/>
    <w:pPr>
      <w:ind w:firstLine="420" w:firstLineChars="200"/>
    </w:pPr>
  </w:style>
  <w:style w:type="table" w:styleId="36">
    <w:name w:val="Table Grid"/>
    <w:basedOn w:val="3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rFonts w:cs="Times New Roman"/>
      <w:b/>
    </w:rPr>
  </w:style>
  <w:style w:type="character" w:styleId="39">
    <w:name w:val="page number"/>
    <w:basedOn w:val="37"/>
    <w:qFormat/>
    <w:uiPriority w:val="99"/>
    <w:rPr>
      <w:rFonts w:cs="Times New Roman"/>
    </w:rPr>
  </w:style>
  <w:style w:type="character" w:styleId="40">
    <w:name w:val="FollowedHyperlink"/>
    <w:basedOn w:val="37"/>
    <w:qFormat/>
    <w:uiPriority w:val="99"/>
    <w:rPr>
      <w:rFonts w:cs="Times New Roman"/>
      <w:color w:val="555555"/>
      <w:u w:val="none"/>
    </w:rPr>
  </w:style>
  <w:style w:type="character" w:styleId="41">
    <w:name w:val="Emphasis"/>
    <w:basedOn w:val="37"/>
    <w:qFormat/>
    <w:uiPriority w:val="99"/>
    <w:rPr>
      <w:rFonts w:cs="Times New Roman"/>
    </w:rPr>
  </w:style>
  <w:style w:type="character" w:styleId="42">
    <w:name w:val="HTML Definition"/>
    <w:basedOn w:val="37"/>
    <w:semiHidden/>
    <w:qFormat/>
    <w:uiPriority w:val="99"/>
    <w:rPr>
      <w:rFonts w:cs="Times New Roman"/>
    </w:rPr>
  </w:style>
  <w:style w:type="character" w:styleId="43">
    <w:name w:val="HTML Variable"/>
    <w:basedOn w:val="37"/>
    <w:semiHidden/>
    <w:qFormat/>
    <w:uiPriority w:val="99"/>
    <w:rPr>
      <w:rFonts w:cs="Times New Roman"/>
    </w:rPr>
  </w:style>
  <w:style w:type="character" w:styleId="44">
    <w:name w:val="Hyperlink"/>
    <w:basedOn w:val="37"/>
    <w:qFormat/>
    <w:uiPriority w:val="99"/>
    <w:rPr>
      <w:rFonts w:cs="Times New Roman"/>
      <w:color w:val="555555"/>
      <w:u w:val="none"/>
    </w:rPr>
  </w:style>
  <w:style w:type="character" w:styleId="45">
    <w:name w:val="HTML Code"/>
    <w:basedOn w:val="37"/>
    <w:semiHidden/>
    <w:qFormat/>
    <w:uiPriority w:val="99"/>
    <w:rPr>
      <w:rFonts w:ascii="Courier New" w:hAnsi="Courier New" w:cs="Courier New"/>
      <w:sz w:val="20"/>
    </w:rPr>
  </w:style>
  <w:style w:type="character" w:styleId="46">
    <w:name w:val="annotation reference"/>
    <w:basedOn w:val="37"/>
    <w:qFormat/>
    <w:uiPriority w:val="99"/>
    <w:rPr>
      <w:rFonts w:cs="Times New Roman"/>
      <w:sz w:val="21"/>
      <w:szCs w:val="21"/>
    </w:rPr>
  </w:style>
  <w:style w:type="character" w:styleId="47">
    <w:name w:val="HTML Cite"/>
    <w:basedOn w:val="37"/>
    <w:semiHidden/>
    <w:qFormat/>
    <w:uiPriority w:val="99"/>
    <w:rPr>
      <w:rFonts w:cs="Times New Roman"/>
    </w:rPr>
  </w:style>
  <w:style w:type="character" w:styleId="48">
    <w:name w:val="HTML Keyboard"/>
    <w:basedOn w:val="37"/>
    <w:semiHidden/>
    <w:qFormat/>
    <w:uiPriority w:val="99"/>
    <w:rPr>
      <w:rFonts w:ascii="Courier New" w:hAnsi="Courier New" w:cs="Courier New"/>
      <w:sz w:val="20"/>
    </w:rPr>
  </w:style>
  <w:style w:type="character" w:styleId="49">
    <w:name w:val="HTML Sample"/>
    <w:basedOn w:val="37"/>
    <w:semiHidden/>
    <w:qFormat/>
    <w:uiPriority w:val="99"/>
    <w:rPr>
      <w:rFonts w:ascii="Courier New" w:hAnsi="Courier New" w:cs="Courier New"/>
    </w:rPr>
  </w:style>
  <w:style w:type="paragraph" w:customStyle="1" w:styleId="50">
    <w:name w:val="正文（标准）"/>
    <w:basedOn w:val="51"/>
    <w:next w:val="1"/>
    <w:semiHidden/>
    <w:qFormat/>
    <w:uiPriority w:val="0"/>
    <w:pPr>
      <w:ind w:firstLine="525"/>
    </w:pPr>
    <w:rPr>
      <w:rFonts w:ascii="宋体" w:hAnsi="宋体"/>
    </w:rPr>
  </w:style>
  <w:style w:type="paragraph" w:customStyle="1" w:styleId="51">
    <w:name w:val="Normal_0"/>
    <w:next w:val="50"/>
    <w:qFormat/>
    <w:uiPriority w:val="0"/>
    <w:pPr>
      <w:widowControl w:val="0"/>
      <w:jc w:val="both"/>
    </w:pPr>
    <w:rPr>
      <w:rFonts w:ascii="Calibri" w:hAnsi="Calibri" w:eastAsia="宋体" w:cs="Times New Roman"/>
      <w:lang w:val="en-US" w:eastAsia="zh-CN" w:bidi="ar-SA"/>
    </w:rPr>
  </w:style>
  <w:style w:type="paragraph" w:customStyle="1" w:styleId="5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3">
    <w:name w:val="正文4"/>
    <w:basedOn w:val="1"/>
    <w:qFormat/>
    <w:uiPriority w:val="0"/>
    <w:pPr>
      <w:widowControl w:val="0"/>
      <w:autoSpaceDE w:val="0"/>
      <w:autoSpaceDN w:val="0"/>
      <w:adjustRightInd w:val="0"/>
      <w:spacing w:line="360" w:lineRule="auto"/>
    </w:pPr>
    <w:rPr>
      <w:rFonts w:ascii="宋体" w:hAnsi="宋体" w:eastAsia="宋体"/>
      <w:kern w:val="2"/>
      <w:szCs w:val="28"/>
      <w:lang w:eastAsia="zh-CN" w:bidi="ar-SA"/>
    </w:rPr>
  </w:style>
  <w:style w:type="paragraph" w:customStyle="1" w:styleId="54">
    <w:name w:val="首行缩进"/>
    <w:basedOn w:val="1"/>
    <w:qFormat/>
    <w:uiPriority w:val="0"/>
    <w:pPr>
      <w:ind w:firstLine="480" w:firstLineChars="200"/>
    </w:pPr>
    <w:rPr>
      <w:lang w:val="zh-CN"/>
    </w:rPr>
  </w:style>
  <w:style w:type="character" w:customStyle="1" w:styleId="55">
    <w:name w:val="Heading 1 Char"/>
    <w:basedOn w:val="37"/>
    <w:link w:val="2"/>
    <w:qFormat/>
    <w:locked/>
    <w:uiPriority w:val="99"/>
    <w:rPr>
      <w:rFonts w:cs="Times New Roman"/>
      <w:b/>
      <w:bCs/>
      <w:kern w:val="44"/>
      <w:sz w:val="44"/>
      <w:szCs w:val="44"/>
    </w:rPr>
  </w:style>
  <w:style w:type="character" w:customStyle="1" w:styleId="56">
    <w:name w:val="Heading 2 Char"/>
    <w:basedOn w:val="37"/>
    <w:link w:val="3"/>
    <w:qFormat/>
    <w:locked/>
    <w:uiPriority w:val="99"/>
    <w:rPr>
      <w:rFonts w:eastAsia="黑体" w:cs="Times New Roman"/>
      <w:b/>
      <w:kern w:val="2"/>
      <w:sz w:val="24"/>
    </w:rPr>
  </w:style>
  <w:style w:type="character" w:customStyle="1" w:styleId="57">
    <w:name w:val="Heading 3 Char"/>
    <w:basedOn w:val="37"/>
    <w:link w:val="4"/>
    <w:qFormat/>
    <w:locked/>
    <w:uiPriority w:val="99"/>
    <w:rPr>
      <w:rFonts w:ascii="宋体" w:cs="Times New Roman"/>
      <w:b/>
      <w:sz w:val="24"/>
    </w:rPr>
  </w:style>
  <w:style w:type="character" w:customStyle="1" w:styleId="58">
    <w:name w:val="Heading 4 Char"/>
    <w:basedOn w:val="37"/>
    <w:link w:val="5"/>
    <w:semiHidden/>
    <w:qFormat/>
    <w:locked/>
    <w:uiPriority w:val="99"/>
    <w:rPr>
      <w:rFonts w:ascii="Cambria" w:hAnsi="Cambria" w:eastAsia="宋体" w:cs="Times New Roman"/>
      <w:b/>
      <w:bCs/>
      <w:sz w:val="28"/>
      <w:szCs w:val="28"/>
    </w:rPr>
  </w:style>
  <w:style w:type="character" w:customStyle="1" w:styleId="59">
    <w:name w:val="Body Text Char"/>
    <w:basedOn w:val="37"/>
    <w:link w:val="11"/>
    <w:qFormat/>
    <w:locked/>
    <w:uiPriority w:val="99"/>
    <w:rPr>
      <w:rFonts w:cs="Times New Roman"/>
      <w:kern w:val="2"/>
      <w:sz w:val="15"/>
    </w:rPr>
  </w:style>
  <w:style w:type="character" w:customStyle="1" w:styleId="60">
    <w:name w:val="Document Map Char"/>
    <w:basedOn w:val="37"/>
    <w:link w:val="8"/>
    <w:qFormat/>
    <w:locked/>
    <w:uiPriority w:val="99"/>
    <w:rPr>
      <w:rFonts w:cs="Times New Roman"/>
      <w:kern w:val="2"/>
      <w:sz w:val="24"/>
      <w:shd w:val="clear" w:color="auto" w:fill="000080"/>
    </w:rPr>
  </w:style>
  <w:style w:type="character" w:customStyle="1" w:styleId="61">
    <w:name w:val="Comment Text Char"/>
    <w:basedOn w:val="37"/>
    <w:link w:val="9"/>
    <w:qFormat/>
    <w:locked/>
    <w:uiPriority w:val="99"/>
    <w:rPr>
      <w:rFonts w:cs="Times New Roman"/>
      <w:kern w:val="2"/>
      <w:sz w:val="24"/>
      <w:szCs w:val="24"/>
    </w:rPr>
  </w:style>
  <w:style w:type="character" w:customStyle="1" w:styleId="62">
    <w:name w:val="Body Text Indent Char"/>
    <w:basedOn w:val="37"/>
    <w:link w:val="12"/>
    <w:qFormat/>
    <w:locked/>
    <w:uiPriority w:val="99"/>
    <w:rPr>
      <w:rFonts w:cs="Times New Roman"/>
      <w:kern w:val="2"/>
      <w:sz w:val="24"/>
      <w:szCs w:val="24"/>
    </w:rPr>
  </w:style>
  <w:style w:type="character" w:customStyle="1" w:styleId="63">
    <w:name w:val="Plain Text Char"/>
    <w:basedOn w:val="37"/>
    <w:link w:val="18"/>
    <w:qFormat/>
    <w:locked/>
    <w:uiPriority w:val="99"/>
    <w:rPr>
      <w:rFonts w:ascii="宋体" w:cs="Times New Roman"/>
      <w:kern w:val="2"/>
      <w:sz w:val="24"/>
    </w:rPr>
  </w:style>
  <w:style w:type="character" w:customStyle="1" w:styleId="64">
    <w:name w:val="Date Char"/>
    <w:basedOn w:val="37"/>
    <w:link w:val="19"/>
    <w:qFormat/>
    <w:locked/>
    <w:uiPriority w:val="99"/>
    <w:rPr>
      <w:rFonts w:cs="Times New Roman"/>
      <w:kern w:val="2"/>
      <w:sz w:val="21"/>
    </w:rPr>
  </w:style>
  <w:style w:type="character" w:customStyle="1" w:styleId="65">
    <w:name w:val="Body Text Indent 2 Char"/>
    <w:basedOn w:val="37"/>
    <w:link w:val="20"/>
    <w:semiHidden/>
    <w:qFormat/>
    <w:locked/>
    <w:uiPriority w:val="99"/>
    <w:rPr>
      <w:rFonts w:cs="Times New Roman"/>
      <w:sz w:val="24"/>
      <w:szCs w:val="24"/>
    </w:rPr>
  </w:style>
  <w:style w:type="character" w:customStyle="1" w:styleId="66">
    <w:name w:val="Balloon Text Char"/>
    <w:basedOn w:val="37"/>
    <w:link w:val="21"/>
    <w:qFormat/>
    <w:locked/>
    <w:uiPriority w:val="99"/>
    <w:rPr>
      <w:rFonts w:cs="Times New Roman"/>
      <w:kern w:val="2"/>
      <w:sz w:val="18"/>
      <w:szCs w:val="18"/>
    </w:rPr>
  </w:style>
  <w:style w:type="character" w:customStyle="1" w:styleId="67">
    <w:name w:val="Footer Char"/>
    <w:basedOn w:val="37"/>
    <w:link w:val="22"/>
    <w:qFormat/>
    <w:locked/>
    <w:uiPriority w:val="99"/>
    <w:rPr>
      <w:rFonts w:ascii="宋体" w:cs="Times New Roman"/>
      <w:kern w:val="2"/>
      <w:sz w:val="24"/>
    </w:rPr>
  </w:style>
  <w:style w:type="character" w:customStyle="1" w:styleId="68">
    <w:name w:val="Header Char"/>
    <w:basedOn w:val="37"/>
    <w:link w:val="23"/>
    <w:qFormat/>
    <w:locked/>
    <w:uiPriority w:val="99"/>
    <w:rPr>
      <w:rFonts w:cs="Times New Roman"/>
      <w:kern w:val="2"/>
      <w:sz w:val="18"/>
    </w:rPr>
  </w:style>
  <w:style w:type="character" w:customStyle="1" w:styleId="69">
    <w:name w:val="Body Text Indent 3 Char"/>
    <w:basedOn w:val="37"/>
    <w:link w:val="26"/>
    <w:qFormat/>
    <w:locked/>
    <w:uiPriority w:val="99"/>
    <w:rPr>
      <w:rFonts w:cs="Times New Roman"/>
      <w:b/>
      <w:kern w:val="2"/>
      <w:sz w:val="21"/>
    </w:rPr>
  </w:style>
  <w:style w:type="character" w:customStyle="1" w:styleId="70">
    <w:name w:val="Title Char"/>
    <w:basedOn w:val="37"/>
    <w:link w:val="31"/>
    <w:qFormat/>
    <w:locked/>
    <w:uiPriority w:val="99"/>
    <w:rPr>
      <w:rFonts w:ascii="Cambria" w:hAnsi="Cambria" w:cs="Times New Roman"/>
      <w:b/>
      <w:kern w:val="2"/>
      <w:sz w:val="32"/>
    </w:rPr>
  </w:style>
  <w:style w:type="character" w:customStyle="1" w:styleId="71">
    <w:name w:val="Comment Subject Char"/>
    <w:basedOn w:val="61"/>
    <w:link w:val="32"/>
    <w:qFormat/>
    <w:locked/>
    <w:uiPriority w:val="99"/>
    <w:rPr>
      <w:b/>
      <w:bCs/>
    </w:rPr>
  </w:style>
  <w:style w:type="character" w:customStyle="1" w:styleId="72">
    <w:name w:val="Body Text First Indent 2 Char"/>
    <w:basedOn w:val="62"/>
    <w:link w:val="34"/>
    <w:qFormat/>
    <w:locked/>
    <w:uiPriority w:val="99"/>
  </w:style>
  <w:style w:type="character" w:customStyle="1" w:styleId="73">
    <w:name w:val="grame"/>
    <w:qFormat/>
    <w:uiPriority w:val="99"/>
  </w:style>
  <w:style w:type="paragraph" w:customStyle="1" w:styleId="74">
    <w:name w:val="xl23"/>
    <w:next w:val="28"/>
    <w:qFormat/>
    <w:uiPriority w:val="99"/>
    <w:pPr>
      <w:spacing w:before="100" w:beforeAutospacing="1" w:after="100" w:afterAutospacing="1"/>
      <w:jc w:val="center"/>
    </w:pPr>
    <w:rPr>
      <w:rFonts w:ascii="Arial Unicode MS" w:hAnsi="Arial Unicode MS" w:eastAsia="宋体" w:cs="Times New Roman"/>
      <w:kern w:val="0"/>
      <w:sz w:val="24"/>
      <w:szCs w:val="20"/>
      <w:lang w:val="en-US" w:eastAsia="zh-CN" w:bidi="ar-SA"/>
    </w:rPr>
  </w:style>
  <w:style w:type="paragraph" w:customStyle="1" w:styleId="75">
    <w:name w:val="表格"/>
    <w:basedOn w:val="1"/>
    <w:qFormat/>
    <w:uiPriority w:val="99"/>
    <w:pPr>
      <w:tabs>
        <w:tab w:val="left" w:pos="1200"/>
      </w:tabs>
      <w:spacing w:line="500" w:lineRule="exact"/>
      <w:jc w:val="center"/>
    </w:pPr>
    <w:rPr>
      <w:rFonts w:ascii="宋体"/>
      <w:sz w:val="24"/>
      <w:szCs w:val="18"/>
    </w:rPr>
  </w:style>
  <w:style w:type="paragraph" w:customStyle="1" w:styleId="76">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77">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 w:type="character" w:customStyle="1" w:styleId="78">
    <w:name w:val="font21"/>
    <w:basedOn w:val="37"/>
    <w:qFormat/>
    <w:uiPriority w:val="99"/>
    <w:rPr>
      <w:rFonts w:ascii="宋体" w:hAnsi="宋体" w:eastAsia="宋体" w:cs="宋体"/>
      <w:color w:val="000000"/>
      <w:sz w:val="20"/>
      <w:szCs w:val="20"/>
      <w:u w:val="none"/>
    </w:rPr>
  </w:style>
  <w:style w:type="character" w:customStyle="1" w:styleId="79">
    <w:name w:val="font71"/>
    <w:basedOn w:val="37"/>
    <w:qFormat/>
    <w:uiPriority w:val="99"/>
    <w:rPr>
      <w:rFonts w:ascii="宋体" w:hAnsi="宋体" w:eastAsia="宋体" w:cs="宋体"/>
      <w:color w:val="FF0000"/>
      <w:sz w:val="20"/>
      <w:szCs w:val="20"/>
      <w:u w:val="none"/>
    </w:rPr>
  </w:style>
  <w:style w:type="character" w:customStyle="1" w:styleId="80">
    <w:name w:val="font61"/>
    <w:basedOn w:val="37"/>
    <w:qFormat/>
    <w:uiPriority w:val="99"/>
    <w:rPr>
      <w:rFonts w:ascii="Arial" w:hAnsi="Arial" w:cs="Arial"/>
      <w:color w:val="000000"/>
      <w:sz w:val="20"/>
      <w:szCs w:val="20"/>
      <w:u w:val="none"/>
    </w:rPr>
  </w:style>
  <w:style w:type="paragraph" w:customStyle="1" w:styleId="81">
    <w:name w:val="列出段落1"/>
    <w:basedOn w:val="1"/>
    <w:qFormat/>
    <w:uiPriority w:val="99"/>
    <w:pPr>
      <w:ind w:left="380" w:firstLine="480"/>
    </w:pPr>
    <w:rPr>
      <w:rFonts w:ascii="宋体" w:hAnsi="宋体" w:cs="宋体"/>
      <w:lang w:val="zh-CN"/>
    </w:rPr>
  </w:style>
  <w:style w:type="character" w:customStyle="1" w:styleId="82">
    <w:name w:val="more"/>
    <w:basedOn w:val="37"/>
    <w:qFormat/>
    <w:uiPriority w:val="99"/>
    <w:rPr>
      <w:rFonts w:cs="Times New Roman"/>
    </w:rPr>
  </w:style>
  <w:style w:type="paragraph" w:customStyle="1" w:styleId="83">
    <w:name w:val="p0"/>
    <w:basedOn w:val="1"/>
    <w:qFormat/>
    <w:uiPriority w:val="99"/>
    <w:pPr>
      <w:widowControl/>
    </w:pPr>
    <w:rPr>
      <w:kern w:val="0"/>
      <w:szCs w:val="21"/>
    </w:rPr>
  </w:style>
  <w:style w:type="character" w:customStyle="1" w:styleId="84">
    <w:name w:val="批注文字 Char"/>
    <w:qFormat/>
    <w:uiPriority w:val="99"/>
    <w:rPr>
      <w:kern w:val="2"/>
      <w:sz w:val="21"/>
    </w:rPr>
  </w:style>
  <w:style w:type="paragraph" w:customStyle="1" w:styleId="85">
    <w:name w:val="Table Paragraph"/>
    <w:basedOn w:val="1"/>
    <w:qFormat/>
    <w:uiPriority w:val="99"/>
    <w:rPr>
      <w:szCs w:val="20"/>
    </w:rPr>
  </w:style>
  <w:style w:type="paragraph" w:customStyle="1" w:styleId="86">
    <w:name w:val="TOC 标题1"/>
    <w:basedOn w:val="2"/>
    <w:next w:val="1"/>
    <w:qFormat/>
    <w:uiPriority w:val="99"/>
    <w:pPr>
      <w:widowControl/>
      <w:numPr>
        <w:numId w:val="0"/>
      </w:numPr>
      <w:adjustRightInd/>
      <w:spacing w:before="240" w:line="259" w:lineRule="auto"/>
      <w:jc w:val="left"/>
      <w:textAlignment w:val="auto"/>
      <w:outlineLvl w:val="9"/>
    </w:pPr>
    <w:rPr>
      <w:rFonts w:ascii="Calibri Light" w:hAnsi="Calibri Light" w:eastAsia="宋体"/>
      <w:b w:val="0"/>
      <w:color w:val="2E74B5"/>
      <w:kern w:val="0"/>
      <w:sz w:val="32"/>
      <w:szCs w:val="32"/>
    </w:rPr>
  </w:style>
  <w:style w:type="character" w:customStyle="1" w:styleId="87">
    <w:name w:val="无间隔 字符"/>
    <w:link w:val="88"/>
    <w:qFormat/>
    <w:locked/>
    <w:uiPriority w:val="99"/>
    <w:rPr>
      <w:rFonts w:ascii="Calibri" w:hAnsi="Calibri"/>
      <w:sz w:val="22"/>
      <w:lang w:val="en-US" w:eastAsia="zh-CN"/>
    </w:rPr>
  </w:style>
  <w:style w:type="paragraph" w:customStyle="1" w:styleId="88">
    <w:name w:val="无间隔1"/>
    <w:link w:val="87"/>
    <w:qFormat/>
    <w:uiPriority w:val="99"/>
    <w:rPr>
      <w:rFonts w:ascii="Calibri" w:hAnsi="Calibri" w:eastAsia="宋体" w:cs="Times New Roman"/>
      <w:kern w:val="0"/>
      <w:sz w:val="22"/>
      <w:szCs w:val="22"/>
      <w:lang w:val="en-US" w:eastAsia="zh-CN" w:bidi="ar-SA"/>
    </w:rPr>
  </w:style>
  <w:style w:type="character" w:customStyle="1" w:styleId="89">
    <w:name w:val="Char Char1"/>
    <w:qFormat/>
    <w:uiPriority w:val="99"/>
    <w:rPr>
      <w:rFonts w:ascii="宋体" w:hAnsi="宋体" w:eastAsia="宋体"/>
      <w:kern w:val="2"/>
      <w:sz w:val="21"/>
      <w:lang w:val="en-US" w:eastAsia="zh-CN"/>
    </w:rPr>
  </w:style>
  <w:style w:type="character" w:customStyle="1" w:styleId="90">
    <w:name w:val="日期 字符1"/>
    <w:basedOn w:val="37"/>
    <w:qFormat/>
    <w:uiPriority w:val="99"/>
    <w:rPr>
      <w:rFonts w:cs="Times New Roman"/>
      <w:kern w:val="2"/>
      <w:sz w:val="24"/>
      <w:szCs w:val="24"/>
    </w:rPr>
  </w:style>
  <w:style w:type="character" w:customStyle="1" w:styleId="91">
    <w:name w:val="标题 字符1"/>
    <w:basedOn w:val="37"/>
    <w:qFormat/>
    <w:uiPriority w:val="99"/>
    <w:rPr>
      <w:rFonts w:ascii="Calibri Light" w:hAnsi="Calibri Light" w:eastAsia="宋体" w:cs="Times New Roman"/>
      <w:b/>
      <w:bCs/>
      <w:kern w:val="2"/>
      <w:sz w:val="32"/>
      <w:szCs w:val="32"/>
    </w:rPr>
  </w:style>
  <w:style w:type="paragraph" w:customStyle="1" w:styleId="92">
    <w:name w:val="修订1"/>
    <w:qFormat/>
    <w:uiPriority w:val="99"/>
    <w:rPr>
      <w:rFonts w:ascii="Times New Roman" w:hAnsi="Times New Roman" w:eastAsia="宋体" w:cs="Times New Roman"/>
      <w:kern w:val="2"/>
      <w:sz w:val="21"/>
      <w:szCs w:val="24"/>
      <w:lang w:val="en-US" w:eastAsia="zh-CN" w:bidi="ar-SA"/>
    </w:rPr>
  </w:style>
  <w:style w:type="paragraph" w:customStyle="1" w:styleId="93">
    <w:name w:val="列表段落1"/>
    <w:basedOn w:val="1"/>
    <w:qFormat/>
    <w:uiPriority w:val="99"/>
    <w:pPr>
      <w:ind w:firstLine="420" w:firstLineChars="200"/>
    </w:pPr>
  </w:style>
  <w:style w:type="character" w:customStyle="1" w:styleId="94">
    <w:name w:val="占位符文本1"/>
    <w:basedOn w:val="37"/>
    <w:semiHidden/>
    <w:qFormat/>
    <w:uiPriority w:val="99"/>
    <w:rPr>
      <w:rFonts w:cs="Times New Roman"/>
      <w:color w:val="808080"/>
    </w:rPr>
  </w:style>
  <w:style w:type="paragraph" w:customStyle="1" w:styleId="95">
    <w:name w:val="正文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6">
    <w:name w:val="List Paragraph"/>
    <w:basedOn w:val="1"/>
    <w:qFormat/>
    <w:uiPriority w:val="99"/>
    <w:pPr>
      <w:ind w:firstLine="420" w:firstLineChars="200"/>
    </w:pPr>
    <w:rPr>
      <w:rFonts w:ascii="Calibri" w:hAnsi="Calibri"/>
      <w:szCs w:val="22"/>
    </w:rPr>
  </w:style>
  <w:style w:type="paragraph" w:customStyle="1" w:styleId="97">
    <w:name w:val="表格文字"/>
    <w:basedOn w:val="1"/>
    <w:qFormat/>
    <w:uiPriority w:val="99"/>
    <w:pPr>
      <w:adjustRightInd w:val="0"/>
      <w:spacing w:line="420" w:lineRule="atLeast"/>
      <w:textAlignment w:val="baseline"/>
    </w:pPr>
  </w:style>
  <w:style w:type="character" w:customStyle="1" w:styleId="98">
    <w:name w:val="norows7"/>
    <w:basedOn w:val="37"/>
    <w:qFormat/>
    <w:uiPriority w:val="99"/>
    <w:rPr>
      <w:rFonts w:cs="Times New Roman"/>
    </w:rPr>
  </w:style>
  <w:style w:type="character" w:customStyle="1" w:styleId="99">
    <w:name w:val="prjtxt5"/>
    <w:basedOn w:val="37"/>
    <w:qFormat/>
    <w:uiPriority w:val="99"/>
    <w:rPr>
      <w:rFonts w:cs="Times New Roman"/>
    </w:rPr>
  </w:style>
  <w:style w:type="table" w:customStyle="1" w:styleId="100">
    <w:name w:val="Table Normal1"/>
    <w:semiHidden/>
    <w:qFormat/>
    <w:uiPriority w:val="99"/>
    <w:rPr>
      <w:kern w:val="0"/>
      <w:sz w:val="20"/>
      <w:szCs w:val="20"/>
    </w:rPr>
    <w:tblPr>
      <w:tblCellMar>
        <w:top w:w="0" w:type="dxa"/>
        <w:left w:w="0" w:type="dxa"/>
        <w:bottom w:w="0" w:type="dxa"/>
        <w:right w:w="0" w:type="dxa"/>
      </w:tblCellMar>
    </w:tblPr>
  </w:style>
  <w:style w:type="paragraph" w:customStyle="1" w:styleId="101">
    <w:name w:val="Table Text"/>
    <w:basedOn w:val="1"/>
    <w:semiHidden/>
    <w:qFormat/>
    <w:uiPriority w:val="0"/>
    <w:rPr>
      <w:rFonts w:ascii="宋体" w:hAnsi="宋体" w:eastAsia="宋体" w:cs="宋体"/>
      <w:sz w:val="24"/>
      <w:szCs w:val="24"/>
      <w:lang w:val="en-US" w:eastAsia="en-US" w:bidi="ar-SA"/>
    </w:rPr>
  </w:style>
  <w:style w:type="table" w:customStyle="1" w:styleId="102">
    <w:name w:val="Table Normal"/>
    <w:unhideWhenUsed/>
    <w:qFormat/>
    <w:uiPriority w:val="0"/>
    <w:tblPr>
      <w:tblCellMar>
        <w:top w:w="0" w:type="dxa"/>
        <w:left w:w="0" w:type="dxa"/>
        <w:bottom w:w="0" w:type="dxa"/>
        <w:right w:w="0" w:type="dxa"/>
      </w:tblCellMar>
    </w:tblPr>
  </w:style>
  <w:style w:type="paragraph" w:customStyle="1" w:styleId="103">
    <w:name w:val="Body text|1"/>
    <w:basedOn w:val="1"/>
    <w:qFormat/>
    <w:uiPriority w:val="99"/>
    <w:pPr>
      <w:spacing w:line="480" w:lineRule="auto"/>
    </w:pPr>
    <w:rPr>
      <w:rFonts w:ascii="宋体" w:hAnsi="宋体" w:cs="宋体"/>
      <w:sz w:val="22"/>
      <w:szCs w:val="22"/>
      <w:lang w:val="zh-TW" w:eastAsia="zh-TW"/>
    </w:rPr>
  </w:style>
  <w:style w:type="paragraph" w:customStyle="1" w:styleId="104">
    <w:name w:val="正文缩进1"/>
    <w:basedOn w:val="1"/>
    <w:qFormat/>
    <w:uiPriority w:val="0"/>
    <w:pPr>
      <w:ind w:firstLine="420" w:firstLineChars="200"/>
    </w:pPr>
  </w:style>
  <w:style w:type="paragraph" w:customStyle="1" w:styleId="105">
    <w:name w:val="表格样式"/>
    <w:basedOn w:val="1"/>
    <w:qFormat/>
    <w:uiPriority w:val="0"/>
    <w:pPr>
      <w:jc w:val="center"/>
    </w:pPr>
  </w:style>
  <w:style w:type="character" w:customStyle="1" w:styleId="106">
    <w:name w:val="font11"/>
    <w:basedOn w:val="37"/>
    <w:qFormat/>
    <w:uiPriority w:val="0"/>
    <w:rPr>
      <w:rFonts w:hint="eastAsia" w:ascii="仿宋" w:hAnsi="仿宋" w:eastAsia="仿宋" w:cs="仿宋"/>
      <w:color w:val="000000"/>
      <w:sz w:val="24"/>
      <w:szCs w:val="24"/>
      <w:u w:val="none"/>
    </w:rPr>
  </w:style>
  <w:style w:type="paragraph" w:customStyle="1" w:styleId="107">
    <w:name w:val="Char Char Char Char Char Char Char"/>
    <w:basedOn w:val="1"/>
    <w:qFormat/>
    <w:uiPriority w:val="0"/>
    <w:pPr>
      <w:widowControl/>
      <w:spacing w:after="160" w:line="240" w:lineRule="exact"/>
      <w:jc w:val="left"/>
    </w:pPr>
    <w:rPr>
      <w:rFonts w:ascii="Arial" w:hAnsi="Arial" w:eastAsia="Times New Roman" w:cs="Verdana"/>
      <w:b/>
      <w:spacing w:val="20"/>
      <w:kern w:val="0"/>
      <w:sz w:val="24"/>
      <w:lang w:eastAsia="en-US"/>
    </w:rPr>
  </w:style>
  <w:style w:type="paragraph" w:customStyle="1" w:styleId="108">
    <w:name w:val="纯文本1"/>
    <w:basedOn w:val="1"/>
    <w:qFormat/>
    <w:uiPriority w:val="0"/>
    <w:rPr>
      <w:rFonts w:ascii="宋体" w:hAnsi="Courier New" w:eastAsia="宋体" w:cs="Times New Roman"/>
      <w:szCs w:val="22"/>
    </w:rPr>
  </w:style>
  <w:style w:type="paragraph" w:customStyle="1" w:styleId="109">
    <w:name w:val="抬头"/>
    <w:basedOn w:val="1"/>
    <w:qFormat/>
    <w:uiPriority w:val="99"/>
    <w:pPr>
      <w:spacing w:beforeLines="50" w:line="360" w:lineRule="auto"/>
    </w:pPr>
    <w:rPr>
      <w:rFonts w:ascii="宋体"/>
      <w:sz w:val="24"/>
    </w:rPr>
  </w:style>
  <w:style w:type="paragraph" w:customStyle="1" w:styleId="110">
    <w:name w:val="样式 样式 首行缩进:  2.57 字符 + 首行缩进:  2.57 字符"/>
    <w:basedOn w:val="1"/>
    <w:qFormat/>
    <w:uiPriority w:val="0"/>
    <w:pPr>
      <w:spacing w:line="360" w:lineRule="auto"/>
      <w:ind w:firstLine="771" w:firstLineChars="257"/>
    </w:pPr>
    <w:rPr>
      <w:rFonts w:eastAsia="仿宋" w:cs="宋体"/>
      <w:sz w:val="30"/>
      <w:szCs w:val="30"/>
    </w:rPr>
  </w:style>
  <w:style w:type="character" w:customStyle="1" w:styleId="111">
    <w:name w:val="NormalCharacter"/>
    <w:qFormat/>
    <w:uiPriority w:val="0"/>
  </w:style>
  <w:style w:type="paragraph" w:customStyle="1" w:styleId="112">
    <w:name w:val="_Style 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Company>Microsoft</Company>
  <Pages>63</Pages>
  <Words>19827</Words>
  <Characters>21568</Characters>
  <Lines>0</Lines>
  <Paragraphs>0</Paragraphs>
  <TotalTime>19</TotalTime>
  <ScaleCrop>false</ScaleCrop>
  <LinksUpToDate>false</LinksUpToDate>
  <CharactersWithSpaces>23234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2022-03-29T06:51:00Z</dcterms:created>
  <dc:creator>安琪</dc:creator>
  <cp:lastModifiedBy>优雅疯姿态@</cp:lastModifiedBy>
  <cp:lastPrinted>2024-09-10T03:24:00Z</cp:lastPrinted>
  <dcterms:modified xsi:type="dcterms:W3CDTF">2026-05-06T05:59:42Z</dcterms:modified>
  <dc:title>临沧市人民检察院机关综合服务保障</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096D395825644BF19194CEF47EF92D78_13</vt:lpwstr>
  </property>
  <property fmtid="{D5CDD505-2E9C-101B-9397-08002B2CF9AE}" pid="4" name="KSOTemplateDocerSaveRecord">
    <vt:lpwstr>eyJoZGlkIjoiOGU1MmEzNGEyMWY1ZjJkMmFiNTU1ZTllYmVhYzNhMGIiLCJ1c2VySWQiOiIyNzMzMzMxNTQifQ==</vt:lpwstr>
  </property>
</Properties>
</file>