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68DDD">
      <w:pPr>
        <w:pStyle w:val="41"/>
        <w:rPr>
          <w:color w:val="auto"/>
          <w:highlight w:val="none"/>
        </w:rPr>
      </w:pPr>
    </w:p>
    <w:p w14:paraId="2B1D3180">
      <w:pPr>
        <w:spacing w:line="360" w:lineRule="auto"/>
        <w:rPr>
          <w:rFonts w:ascii="宋体" w:hAnsi="宋体" w:cs="宋体"/>
          <w:b/>
          <w:color w:val="auto"/>
          <w:sz w:val="44"/>
          <w:highlight w:val="none"/>
        </w:rPr>
      </w:pPr>
      <w:r>
        <w:rPr>
          <w:rFonts w:hint="eastAsia" w:ascii="宋体" w:hAnsi="宋体" w:cs="宋体"/>
          <w:color w:val="auto"/>
          <w:sz w:val="24"/>
          <w:highlight w:val="none"/>
        </w:rPr>
        <w:drawing>
          <wp:inline distT="0" distB="0" distL="114300" distR="114300">
            <wp:extent cx="1049020" cy="993140"/>
            <wp:effectExtent l="0" t="0" r="17780" b="16510"/>
            <wp:docPr id="2" name="图片 1" descr="19a9c0e900479c854e488a4f6f1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9a9c0e900479c854e488a4f6f14205"/>
                    <pic:cNvPicPr>
                      <a:picLocks noChangeAspect="1"/>
                    </pic:cNvPicPr>
                  </pic:nvPicPr>
                  <pic:blipFill>
                    <a:blip r:embed="rId11"/>
                    <a:stretch>
                      <a:fillRect/>
                    </a:stretch>
                  </pic:blipFill>
                  <pic:spPr>
                    <a:xfrm>
                      <a:off x="0" y="0"/>
                      <a:ext cx="1049020" cy="993140"/>
                    </a:xfrm>
                    <a:prstGeom prst="rect">
                      <a:avLst/>
                    </a:prstGeom>
                    <a:noFill/>
                    <a:ln>
                      <a:noFill/>
                    </a:ln>
                  </pic:spPr>
                </pic:pic>
              </a:graphicData>
            </a:graphic>
          </wp:inline>
        </w:drawing>
      </w:r>
    </w:p>
    <w:p w14:paraId="1A00C9A7">
      <w:pPr>
        <w:spacing w:line="360" w:lineRule="auto"/>
        <w:jc w:val="center"/>
        <w:rPr>
          <w:rFonts w:ascii="宋体" w:hAnsi="宋体" w:cs="宋体"/>
          <w:b/>
          <w:color w:val="auto"/>
          <w:sz w:val="36"/>
          <w:szCs w:val="36"/>
          <w:highlight w:val="none"/>
        </w:rPr>
      </w:pPr>
      <w:r>
        <w:rPr>
          <w:rFonts w:hint="eastAsia" w:ascii="宋体" w:hAnsi="宋体" w:cs="宋体"/>
          <w:b/>
          <w:color w:val="auto"/>
          <w:sz w:val="44"/>
          <w:highlight w:val="none"/>
        </w:rPr>
        <w:t xml:space="preserve"> </w:t>
      </w:r>
    </w:p>
    <w:p w14:paraId="2B44D074">
      <w:pPr>
        <w:spacing w:line="360" w:lineRule="auto"/>
        <w:jc w:val="center"/>
        <w:rPr>
          <w:rFonts w:ascii="宋体" w:hAnsi="宋体" w:cs="宋体"/>
          <w:b/>
          <w:color w:val="auto"/>
          <w:sz w:val="36"/>
          <w:szCs w:val="36"/>
          <w:highlight w:val="none"/>
        </w:rPr>
      </w:pPr>
    </w:p>
    <w:p w14:paraId="09FDC23E">
      <w:pPr>
        <w:spacing w:line="360" w:lineRule="auto"/>
        <w:jc w:val="center"/>
        <w:outlineLvl w:val="0"/>
        <w:rPr>
          <w:rFonts w:ascii="黑体" w:hAnsi="黑体" w:eastAsia="黑体" w:cs="黑体"/>
          <w:b/>
          <w:color w:val="auto"/>
          <w:sz w:val="72"/>
          <w:szCs w:val="72"/>
          <w:highlight w:val="none"/>
        </w:rPr>
      </w:pPr>
      <w:bookmarkStart w:id="0" w:name="_Toc3308"/>
      <w:bookmarkStart w:id="1" w:name="_Toc17915"/>
      <w:bookmarkStart w:id="2" w:name="_Toc18014"/>
      <w:bookmarkStart w:id="3" w:name="_Toc7363"/>
      <w:r>
        <w:rPr>
          <w:rFonts w:hint="eastAsia" w:ascii="黑体" w:hAnsi="黑体" w:eastAsia="黑体" w:cs="黑体"/>
          <w:b/>
          <w:color w:val="auto"/>
          <w:sz w:val="72"/>
          <w:szCs w:val="72"/>
          <w:highlight w:val="none"/>
        </w:rPr>
        <w:t>公开招标采购文件</w:t>
      </w:r>
      <w:bookmarkEnd w:id="0"/>
      <w:bookmarkEnd w:id="1"/>
      <w:bookmarkEnd w:id="2"/>
      <w:bookmarkEnd w:id="3"/>
    </w:p>
    <w:p w14:paraId="67117EAA">
      <w:pPr>
        <w:spacing w:line="360" w:lineRule="auto"/>
        <w:jc w:val="center"/>
        <w:rPr>
          <w:rFonts w:ascii="宋体" w:hAnsi="宋体" w:cs="宋体"/>
          <w:b/>
          <w:color w:val="auto"/>
          <w:sz w:val="44"/>
          <w:highlight w:val="none"/>
        </w:rPr>
      </w:pPr>
    </w:p>
    <w:p w14:paraId="25353E2A">
      <w:pPr>
        <w:spacing w:line="360" w:lineRule="auto"/>
        <w:jc w:val="center"/>
        <w:rPr>
          <w:rFonts w:ascii="宋体" w:hAnsi="宋体" w:cs="宋体"/>
          <w:b/>
          <w:color w:val="auto"/>
          <w:sz w:val="44"/>
          <w:highlight w:val="none"/>
        </w:rPr>
      </w:pPr>
    </w:p>
    <w:p w14:paraId="069E9526">
      <w:pPr>
        <w:pStyle w:val="63"/>
        <w:ind w:firstLine="883"/>
        <w:rPr>
          <w:rFonts w:ascii="宋体" w:hAnsi="宋体" w:cs="宋体"/>
          <w:b/>
          <w:color w:val="auto"/>
          <w:sz w:val="44"/>
          <w:highlight w:val="none"/>
        </w:rPr>
      </w:pPr>
    </w:p>
    <w:p w14:paraId="0CCC75A6">
      <w:pPr>
        <w:spacing w:line="360" w:lineRule="auto"/>
        <w:rPr>
          <w:rFonts w:ascii="宋体" w:hAnsi="宋体" w:cs="宋体"/>
          <w:b/>
          <w:color w:val="auto"/>
          <w:sz w:val="44"/>
          <w:highlight w:val="none"/>
        </w:rPr>
      </w:pPr>
    </w:p>
    <w:tbl>
      <w:tblPr>
        <w:tblStyle w:val="42"/>
        <w:tblW w:w="8656" w:type="dxa"/>
        <w:jc w:val="center"/>
        <w:tblLayout w:type="fixed"/>
        <w:tblCellMar>
          <w:top w:w="0" w:type="dxa"/>
          <w:left w:w="108" w:type="dxa"/>
          <w:bottom w:w="0" w:type="dxa"/>
          <w:right w:w="108" w:type="dxa"/>
        </w:tblCellMar>
      </w:tblPr>
      <w:tblGrid>
        <w:gridCol w:w="1902"/>
        <w:gridCol w:w="6754"/>
      </w:tblGrid>
      <w:tr w14:paraId="103E8DFF">
        <w:tblPrEx>
          <w:tblCellMar>
            <w:top w:w="0" w:type="dxa"/>
            <w:left w:w="108" w:type="dxa"/>
            <w:bottom w:w="0" w:type="dxa"/>
            <w:right w:w="108" w:type="dxa"/>
          </w:tblCellMar>
        </w:tblPrEx>
        <w:trPr>
          <w:trHeight w:val="886" w:hRule="atLeast"/>
          <w:jc w:val="center"/>
        </w:trPr>
        <w:tc>
          <w:tcPr>
            <w:tcW w:w="1902" w:type="dxa"/>
            <w:vAlign w:val="center"/>
          </w:tcPr>
          <w:p w14:paraId="1ACA268B">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项目编号：</w:t>
            </w:r>
          </w:p>
        </w:tc>
        <w:tc>
          <w:tcPr>
            <w:tcW w:w="6754" w:type="dxa"/>
            <w:vAlign w:val="center"/>
          </w:tcPr>
          <w:p w14:paraId="58354FAD">
            <w:pPr>
              <w:jc w:val="left"/>
              <w:rPr>
                <w:rFonts w:ascii="宋体" w:hAnsi="宋体" w:cs="宋体"/>
                <w:b/>
                <w:color w:val="auto"/>
                <w:sz w:val="32"/>
                <w:szCs w:val="32"/>
                <w:highlight w:val="none"/>
              </w:rPr>
            </w:pPr>
            <w:r>
              <w:rPr>
                <w:rFonts w:hint="eastAsia" w:ascii="宋体" w:hAnsi="宋体" w:cs="宋体"/>
                <w:b/>
                <w:color w:val="auto"/>
                <w:sz w:val="32"/>
                <w:szCs w:val="32"/>
                <w:highlight w:val="none"/>
              </w:rPr>
              <w:t xml:space="preserve">NBSD2026-029 </w:t>
            </w:r>
          </w:p>
        </w:tc>
      </w:tr>
      <w:tr w14:paraId="005002FE">
        <w:tblPrEx>
          <w:tblCellMar>
            <w:top w:w="0" w:type="dxa"/>
            <w:left w:w="108" w:type="dxa"/>
            <w:bottom w:w="0" w:type="dxa"/>
            <w:right w:w="108" w:type="dxa"/>
          </w:tblCellMar>
        </w:tblPrEx>
        <w:trPr>
          <w:trHeight w:val="908" w:hRule="atLeast"/>
          <w:jc w:val="center"/>
        </w:trPr>
        <w:tc>
          <w:tcPr>
            <w:tcW w:w="1902" w:type="dxa"/>
            <w:vAlign w:val="center"/>
          </w:tcPr>
          <w:p w14:paraId="4ADA2390">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项目名称：</w:t>
            </w:r>
          </w:p>
        </w:tc>
        <w:tc>
          <w:tcPr>
            <w:tcW w:w="6754" w:type="dxa"/>
            <w:vAlign w:val="center"/>
          </w:tcPr>
          <w:p w14:paraId="2D93206F">
            <w:pPr>
              <w:jc w:val="left"/>
              <w:rPr>
                <w:rFonts w:ascii="宋体" w:hAnsi="宋体" w:cs="宋体"/>
                <w:b/>
                <w:color w:val="auto"/>
                <w:sz w:val="32"/>
                <w:szCs w:val="32"/>
                <w:highlight w:val="none"/>
              </w:rPr>
            </w:pPr>
            <w:r>
              <w:rPr>
                <w:rFonts w:hint="eastAsia" w:ascii="宋体" w:hAnsi="宋体" w:cs="宋体"/>
                <w:b/>
                <w:color w:val="auto"/>
                <w:sz w:val="32"/>
                <w:szCs w:val="32"/>
                <w:highlight w:val="none"/>
              </w:rPr>
              <w:t>2026-2029年江北区教育系统网络安全采购</w:t>
            </w:r>
          </w:p>
        </w:tc>
      </w:tr>
      <w:tr w14:paraId="483362A9">
        <w:tblPrEx>
          <w:tblCellMar>
            <w:top w:w="0" w:type="dxa"/>
            <w:left w:w="108" w:type="dxa"/>
            <w:bottom w:w="0" w:type="dxa"/>
            <w:right w:w="108" w:type="dxa"/>
          </w:tblCellMar>
        </w:tblPrEx>
        <w:trPr>
          <w:trHeight w:val="886" w:hRule="atLeast"/>
          <w:jc w:val="center"/>
        </w:trPr>
        <w:tc>
          <w:tcPr>
            <w:tcW w:w="1902" w:type="dxa"/>
            <w:vAlign w:val="center"/>
          </w:tcPr>
          <w:p w14:paraId="188F7463">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采购单位：</w:t>
            </w:r>
          </w:p>
        </w:tc>
        <w:tc>
          <w:tcPr>
            <w:tcW w:w="6754" w:type="dxa"/>
            <w:vAlign w:val="center"/>
          </w:tcPr>
          <w:p w14:paraId="5270B097">
            <w:pPr>
              <w:jc w:val="left"/>
              <w:rPr>
                <w:rFonts w:ascii="宋体" w:hAnsi="宋体" w:cs="宋体"/>
                <w:b/>
                <w:color w:val="auto"/>
                <w:sz w:val="32"/>
                <w:szCs w:val="32"/>
                <w:highlight w:val="none"/>
              </w:rPr>
            </w:pPr>
            <w:r>
              <w:rPr>
                <w:rFonts w:hint="eastAsia" w:ascii="宋体" w:hAnsi="宋体" w:cs="宋体"/>
                <w:b/>
                <w:bCs/>
                <w:color w:val="auto"/>
                <w:w w:val="95"/>
                <w:sz w:val="32"/>
                <w:szCs w:val="32"/>
                <w:highlight w:val="none"/>
              </w:rPr>
              <w:t>宁波市江北区教育局教研室</w:t>
            </w:r>
          </w:p>
        </w:tc>
      </w:tr>
      <w:tr w14:paraId="4D1861E1">
        <w:tblPrEx>
          <w:tblCellMar>
            <w:top w:w="0" w:type="dxa"/>
            <w:left w:w="108" w:type="dxa"/>
            <w:bottom w:w="0" w:type="dxa"/>
            <w:right w:w="108" w:type="dxa"/>
          </w:tblCellMar>
        </w:tblPrEx>
        <w:trPr>
          <w:trHeight w:val="886" w:hRule="atLeast"/>
          <w:jc w:val="center"/>
        </w:trPr>
        <w:tc>
          <w:tcPr>
            <w:tcW w:w="1902" w:type="dxa"/>
            <w:vAlign w:val="center"/>
          </w:tcPr>
          <w:p w14:paraId="765CB63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代理机构：</w:t>
            </w:r>
          </w:p>
        </w:tc>
        <w:tc>
          <w:tcPr>
            <w:tcW w:w="6754" w:type="dxa"/>
            <w:vAlign w:val="center"/>
          </w:tcPr>
          <w:p w14:paraId="5DC797D3">
            <w:pPr>
              <w:jc w:val="left"/>
              <w:rPr>
                <w:rFonts w:ascii="宋体" w:hAnsi="宋体" w:cs="宋体"/>
                <w:b/>
                <w:color w:val="auto"/>
                <w:sz w:val="32"/>
                <w:szCs w:val="32"/>
                <w:highlight w:val="none"/>
              </w:rPr>
            </w:pPr>
            <w:r>
              <w:rPr>
                <w:rFonts w:hint="eastAsia" w:ascii="宋体" w:hAnsi="宋体" w:cs="宋体"/>
                <w:b/>
                <w:color w:val="auto"/>
                <w:sz w:val="32"/>
                <w:szCs w:val="32"/>
                <w:highlight w:val="none"/>
              </w:rPr>
              <w:t>宁波市盛达工程管理咨询有限公司</w:t>
            </w:r>
          </w:p>
        </w:tc>
      </w:tr>
      <w:tr w14:paraId="49638BD0">
        <w:tblPrEx>
          <w:tblCellMar>
            <w:top w:w="0" w:type="dxa"/>
            <w:left w:w="108" w:type="dxa"/>
            <w:bottom w:w="0" w:type="dxa"/>
            <w:right w:w="108" w:type="dxa"/>
          </w:tblCellMar>
        </w:tblPrEx>
        <w:trPr>
          <w:trHeight w:val="886" w:hRule="atLeast"/>
          <w:jc w:val="center"/>
        </w:trPr>
        <w:tc>
          <w:tcPr>
            <w:tcW w:w="8656" w:type="dxa"/>
            <w:gridSpan w:val="2"/>
            <w:vAlign w:val="center"/>
          </w:tcPr>
          <w:p w14:paraId="3B6FC19E">
            <w:pPr>
              <w:jc w:val="center"/>
              <w:rPr>
                <w:rFonts w:ascii="宋体" w:hAnsi="宋体" w:cs="宋体"/>
                <w:b/>
                <w:color w:val="auto"/>
                <w:sz w:val="32"/>
                <w:szCs w:val="32"/>
                <w:highlight w:val="none"/>
              </w:rPr>
            </w:pPr>
            <w:r>
              <w:rPr>
                <w:rFonts w:hint="eastAsia" w:ascii="宋体" w:hAnsi="宋体" w:cs="宋体"/>
                <w:b/>
                <w:color w:val="auto"/>
                <w:sz w:val="32"/>
                <w:szCs w:val="32"/>
                <w:highlight w:val="none"/>
              </w:rPr>
              <w:t>2026年0</w:t>
            </w:r>
            <w:r>
              <w:rPr>
                <w:rFonts w:hint="eastAsia" w:ascii="宋体" w:hAnsi="宋体" w:cs="宋体"/>
                <w:b/>
                <w:color w:val="auto"/>
                <w:sz w:val="32"/>
                <w:szCs w:val="32"/>
                <w:highlight w:val="none"/>
                <w:lang w:val="en-US" w:eastAsia="zh-CN"/>
              </w:rPr>
              <w:t>4</w:t>
            </w:r>
            <w:r>
              <w:rPr>
                <w:rFonts w:hint="eastAsia" w:ascii="宋体" w:hAnsi="宋体" w:cs="宋体"/>
                <w:b/>
                <w:color w:val="auto"/>
                <w:sz w:val="32"/>
                <w:szCs w:val="32"/>
                <w:highlight w:val="none"/>
              </w:rPr>
              <w:t>月</w:t>
            </w:r>
          </w:p>
        </w:tc>
      </w:tr>
    </w:tbl>
    <w:p w14:paraId="0AF773FF">
      <w:pPr>
        <w:pStyle w:val="23"/>
        <w:spacing w:before="0" w:beforeLines="0" w:after="0" w:afterLines="0" w:line="240" w:lineRule="auto"/>
        <w:jc w:val="center"/>
        <w:rPr>
          <w:rFonts w:hAnsi="宋体" w:cs="宋体"/>
          <w:color w:val="auto"/>
          <w:sz w:val="44"/>
          <w:szCs w:val="44"/>
          <w:highlight w:val="none"/>
        </w:rPr>
        <w:sectPr>
          <w:footerReference r:id="rId3" w:type="default"/>
          <w:pgSz w:w="11922" w:h="16849"/>
          <w:pgMar w:top="1179" w:right="1417" w:bottom="1179" w:left="1417" w:header="0" w:footer="567" w:gutter="0"/>
          <w:cols w:space="0" w:num="1"/>
          <w:docGrid w:linePitch="312" w:charSpace="0"/>
        </w:sectPr>
      </w:pPr>
    </w:p>
    <w:p w14:paraId="471A2C29">
      <w:pPr>
        <w:pStyle w:val="23"/>
        <w:spacing w:before="0" w:beforeLines="0" w:after="0" w:afterLines="0" w:line="360" w:lineRule="auto"/>
        <w:jc w:val="center"/>
        <w:outlineLvl w:val="0"/>
        <w:rPr>
          <w:rFonts w:ascii="黑体" w:hAnsi="黑体" w:eastAsia="黑体" w:cs="黑体"/>
          <w:b/>
          <w:bCs/>
          <w:color w:val="auto"/>
          <w:sz w:val="36"/>
          <w:szCs w:val="36"/>
          <w:highlight w:val="none"/>
        </w:rPr>
      </w:pPr>
      <w:bookmarkStart w:id="4" w:name="_Toc7740"/>
      <w:bookmarkStart w:id="5" w:name="_Toc3864"/>
      <w:bookmarkStart w:id="6" w:name="_Toc11078"/>
      <w:bookmarkStart w:id="7" w:name="_Toc25573"/>
      <w:r>
        <w:rPr>
          <w:rStyle w:val="58"/>
          <w:rFonts w:hint="eastAsia" w:ascii="黑体" w:hAnsi="黑体" w:eastAsia="黑体" w:cs="黑体"/>
          <w:color w:val="auto"/>
          <w:sz w:val="32"/>
          <w:szCs w:val="32"/>
          <w:highlight w:val="none"/>
        </w:rPr>
        <w:br w:type="page"/>
      </w:r>
      <w:r>
        <w:rPr>
          <w:rFonts w:hint="eastAsia" w:ascii="黑体" w:hAnsi="黑体" w:eastAsia="黑体" w:cs="黑体"/>
          <w:b/>
          <w:bCs/>
          <w:color w:val="auto"/>
          <w:sz w:val="36"/>
          <w:szCs w:val="36"/>
          <w:highlight w:val="none"/>
        </w:rPr>
        <w:t>目    录</w:t>
      </w:r>
    </w:p>
    <w:sdt>
      <w:sdtPr>
        <w:rPr>
          <w:rFonts w:ascii="宋体" w:hAnsi="宋体"/>
          <w:color w:val="auto"/>
          <w:highlight w:val="none"/>
        </w:rPr>
        <w:id w:val="147474390"/>
        <w15:color w:val="DBDBDB"/>
        <w:docPartObj>
          <w:docPartGallery w:val="Table of Contents"/>
          <w:docPartUnique/>
        </w:docPartObj>
      </w:sdtPr>
      <w:sdtEndPr>
        <w:rPr>
          <w:rFonts w:hint="eastAsia" w:ascii="Times New Roman" w:hAnsi="Times New Roman"/>
          <w:color w:val="auto"/>
          <w:highlight w:val="none"/>
        </w:rPr>
      </w:sdtEndPr>
      <w:sdtContent>
        <w:p w14:paraId="744F14FC">
          <w:pPr>
            <w:rPr>
              <w:color w:val="auto"/>
              <w:highlight w:val="none"/>
            </w:rPr>
          </w:pPr>
          <w:r>
            <w:rPr>
              <w:color w:val="auto"/>
              <w:highlight w:val="none"/>
            </w:rPr>
            <w:fldChar w:fldCharType="begin"/>
          </w:r>
          <w:r>
            <w:rPr>
              <w:color w:val="auto"/>
              <w:highlight w:val="none"/>
            </w:rPr>
            <w:instrText xml:space="preserve">TOC \o "1-4" \h \u </w:instrText>
          </w:r>
          <w:r>
            <w:rPr>
              <w:color w:val="auto"/>
              <w:highlight w:val="none"/>
            </w:rPr>
            <w:fldChar w:fldCharType="separate"/>
          </w:r>
        </w:p>
        <w:p w14:paraId="2E465E93">
          <w:pPr>
            <w:pStyle w:val="29"/>
            <w:tabs>
              <w:tab w:val="right" w:leader="dot" w:pos="8503"/>
            </w:tabs>
            <w:spacing w:line="360" w:lineRule="auto"/>
            <w:rPr>
              <w:color w:val="auto"/>
              <w:highlight w:val="none"/>
            </w:rPr>
          </w:pPr>
        </w:p>
        <w:p w14:paraId="222D528A">
          <w:pPr>
            <w:pStyle w:val="29"/>
            <w:tabs>
              <w:tab w:val="right" w:leader="dot" w:pos="8503"/>
            </w:tabs>
            <w:spacing w:line="480" w:lineRule="auto"/>
            <w:rPr>
              <w:color w:val="auto"/>
              <w:highlight w:val="none"/>
            </w:rPr>
          </w:pPr>
          <w:r>
            <w:rPr>
              <w:color w:val="auto"/>
              <w:highlight w:val="none"/>
            </w:rPr>
            <w:fldChar w:fldCharType="begin"/>
          </w:r>
          <w:r>
            <w:rPr>
              <w:color w:val="auto"/>
              <w:highlight w:val="none"/>
            </w:rPr>
            <w:instrText xml:space="preserve"> HYPERLINK \l "_Toc1386" </w:instrText>
          </w:r>
          <w:r>
            <w:rPr>
              <w:color w:val="auto"/>
              <w:highlight w:val="none"/>
            </w:rPr>
            <w:fldChar w:fldCharType="separate"/>
          </w:r>
          <w:r>
            <w:rPr>
              <w:rFonts w:hint="eastAsia" w:ascii="黑体" w:hAnsi="黑体" w:eastAsia="黑体" w:cs="黑体"/>
              <w:color w:val="auto"/>
              <w:szCs w:val="32"/>
              <w:highlight w:val="none"/>
            </w:rPr>
            <w:t>第一章  公开招标采购公告</w:t>
          </w:r>
          <w:r>
            <w:rPr>
              <w:color w:val="auto"/>
              <w:highlight w:val="none"/>
            </w:rPr>
            <w:tab/>
          </w:r>
          <w:r>
            <w:rPr>
              <w:rFonts w:hint="eastAsia"/>
              <w:color w:val="auto"/>
              <w:highlight w:val="none"/>
              <w:lang w:val="en-US" w:eastAsia="zh-CN"/>
            </w:rPr>
            <w:t>3</w:t>
          </w:r>
          <w:r>
            <w:rPr>
              <w:color w:val="auto"/>
              <w:highlight w:val="none"/>
            </w:rPr>
            <w:fldChar w:fldCharType="end"/>
          </w:r>
        </w:p>
        <w:p w14:paraId="69AD3FB3">
          <w:pPr>
            <w:pStyle w:val="29"/>
            <w:tabs>
              <w:tab w:val="right" w:leader="dot" w:pos="8503"/>
            </w:tabs>
            <w:spacing w:line="480" w:lineRule="auto"/>
            <w:rPr>
              <w:color w:val="auto"/>
              <w:highlight w:val="none"/>
            </w:rPr>
          </w:pPr>
          <w:r>
            <w:rPr>
              <w:color w:val="auto"/>
              <w:highlight w:val="none"/>
            </w:rPr>
            <w:fldChar w:fldCharType="begin"/>
          </w:r>
          <w:r>
            <w:rPr>
              <w:color w:val="auto"/>
              <w:highlight w:val="none"/>
            </w:rPr>
            <w:instrText xml:space="preserve"> HYPERLINK \l "_Toc24117" </w:instrText>
          </w:r>
          <w:r>
            <w:rPr>
              <w:color w:val="auto"/>
              <w:highlight w:val="none"/>
            </w:rPr>
            <w:fldChar w:fldCharType="separate"/>
          </w:r>
          <w:r>
            <w:rPr>
              <w:rFonts w:hint="eastAsia" w:ascii="黑体" w:hAnsi="黑体" w:eastAsia="黑体" w:cs="黑体"/>
              <w:color w:val="auto"/>
              <w:szCs w:val="32"/>
              <w:highlight w:val="none"/>
            </w:rPr>
            <w:t>第二章  采购需求</w:t>
          </w:r>
          <w:r>
            <w:rPr>
              <w:color w:val="auto"/>
              <w:highlight w:val="none"/>
            </w:rPr>
            <w:tab/>
          </w:r>
          <w:r>
            <w:rPr>
              <w:rFonts w:hint="eastAsia"/>
              <w:color w:val="auto"/>
              <w:highlight w:val="none"/>
              <w:lang w:val="en-US" w:eastAsia="zh-CN"/>
            </w:rPr>
            <w:t>8</w:t>
          </w:r>
          <w:r>
            <w:rPr>
              <w:color w:val="auto"/>
              <w:highlight w:val="none"/>
            </w:rPr>
            <w:fldChar w:fldCharType="end"/>
          </w:r>
        </w:p>
        <w:p w14:paraId="2CB8C03E">
          <w:pPr>
            <w:pStyle w:val="29"/>
            <w:tabs>
              <w:tab w:val="right" w:leader="dot" w:pos="8503"/>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"_Toc336" </w:instrText>
          </w:r>
          <w:r>
            <w:rPr>
              <w:color w:val="auto"/>
              <w:highlight w:val="none"/>
            </w:rPr>
            <w:fldChar w:fldCharType="separate"/>
          </w:r>
          <w:r>
            <w:rPr>
              <w:rFonts w:hint="eastAsia" w:ascii="黑体" w:hAnsi="黑体" w:eastAsia="黑体" w:cs="黑体"/>
              <w:color w:val="auto"/>
              <w:szCs w:val="32"/>
              <w:highlight w:val="none"/>
            </w:rPr>
            <w:t>第三章  供应商须知</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3</w:t>
          </w:r>
        </w:p>
        <w:p w14:paraId="6DEAF9C4">
          <w:pPr>
            <w:pStyle w:val="29"/>
            <w:tabs>
              <w:tab w:val="right" w:leader="dot" w:pos="8503"/>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"_Toc31824" </w:instrText>
          </w:r>
          <w:r>
            <w:rPr>
              <w:color w:val="auto"/>
              <w:highlight w:val="none"/>
            </w:rPr>
            <w:fldChar w:fldCharType="separate"/>
          </w:r>
          <w:r>
            <w:rPr>
              <w:rFonts w:hint="eastAsia" w:ascii="黑体" w:hAnsi="黑体" w:eastAsia="黑体" w:cs="黑体"/>
              <w:color w:val="auto"/>
              <w:szCs w:val="32"/>
              <w:highlight w:val="none"/>
            </w:rPr>
            <w:t>第四章  评标办法及评分标准</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8</w:t>
          </w:r>
        </w:p>
        <w:p w14:paraId="60F14D37">
          <w:pPr>
            <w:pStyle w:val="29"/>
            <w:tabs>
              <w:tab w:val="right" w:leader="dot" w:pos="8503"/>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"_Toc28750" </w:instrText>
          </w:r>
          <w:r>
            <w:rPr>
              <w:color w:val="auto"/>
              <w:highlight w:val="none"/>
            </w:rPr>
            <w:fldChar w:fldCharType="separate"/>
          </w:r>
          <w:r>
            <w:rPr>
              <w:rFonts w:hint="eastAsia" w:ascii="黑体" w:hAnsi="黑体" w:eastAsia="黑体" w:cs="黑体"/>
              <w:color w:val="auto"/>
              <w:szCs w:val="32"/>
              <w:highlight w:val="none"/>
            </w:rPr>
            <w:t>第五章  合同主要条款</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9</w:t>
          </w:r>
        </w:p>
        <w:p w14:paraId="44B4BB8E">
          <w:pPr>
            <w:pStyle w:val="29"/>
            <w:tabs>
              <w:tab w:val="right" w:leader="dot" w:pos="8503"/>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"_Toc6748" </w:instrText>
          </w:r>
          <w:r>
            <w:rPr>
              <w:color w:val="auto"/>
              <w:highlight w:val="none"/>
            </w:rPr>
            <w:fldChar w:fldCharType="separate"/>
          </w:r>
          <w:r>
            <w:rPr>
              <w:rFonts w:hint="eastAsia" w:ascii="黑体" w:hAnsi="黑体" w:eastAsia="黑体" w:cs="黑体"/>
              <w:color w:val="auto"/>
              <w:szCs w:val="32"/>
              <w:highlight w:val="none"/>
            </w:rPr>
            <w:t>第六章　投标文件格式</w:t>
          </w:r>
          <w:r>
            <w:rPr>
              <w:color w:val="auto"/>
              <w:highlight w:val="none"/>
            </w:rPr>
            <w:tab/>
          </w:r>
          <w:r>
            <w:rPr>
              <w:rFonts w:hint="eastAsia"/>
              <w:color w:val="auto"/>
              <w:highlight w:val="none"/>
              <w:lang w:val="en-US" w:eastAsia="zh-CN"/>
            </w:rPr>
            <w:t>4</w:t>
          </w:r>
          <w:r>
            <w:rPr>
              <w:color w:val="auto"/>
              <w:highlight w:val="none"/>
            </w:rPr>
            <w:fldChar w:fldCharType="end"/>
          </w:r>
          <w:r>
            <w:rPr>
              <w:rFonts w:hint="eastAsia"/>
              <w:color w:val="auto"/>
              <w:highlight w:val="none"/>
              <w:lang w:val="en-US" w:eastAsia="zh-CN"/>
            </w:rPr>
            <w:t>3</w:t>
          </w:r>
        </w:p>
        <w:p w14:paraId="231A77CB">
          <w:pPr>
            <w:pStyle w:val="22"/>
            <w:tabs>
              <w:tab w:val="right" w:leader="dot" w:pos="8503"/>
            </w:tabs>
            <w:rPr>
              <w:color w:val="auto"/>
              <w:highlight w:val="none"/>
            </w:rPr>
          </w:pPr>
        </w:p>
        <w:p w14:paraId="028028C8">
          <w:pPr>
            <w:jc w:val="center"/>
            <w:rPr>
              <w:color w:val="auto"/>
              <w:highlight w:val="none"/>
            </w:rPr>
          </w:pPr>
          <w:r>
            <w:rPr>
              <w:color w:val="auto"/>
              <w:highlight w:val="none"/>
            </w:rPr>
            <w:fldChar w:fldCharType="end"/>
          </w:r>
        </w:p>
      </w:sdtContent>
    </w:sdt>
    <w:p w14:paraId="39DDC3FD">
      <w:pPr>
        <w:pStyle w:val="23"/>
        <w:snapToGrid w:val="0"/>
        <w:spacing w:before="0" w:beforeLines="0" w:after="0" w:afterLines="0" w:line="440" w:lineRule="exact"/>
        <w:jc w:val="center"/>
        <w:outlineLvl w:val="0"/>
        <w:rPr>
          <w:rStyle w:val="58"/>
          <w:rFonts w:ascii="黑体" w:hAnsi="黑体" w:eastAsia="黑体" w:cs="黑体"/>
          <w:color w:val="auto"/>
          <w:sz w:val="32"/>
          <w:szCs w:val="32"/>
          <w:highlight w:val="none"/>
        </w:rPr>
        <w:sectPr>
          <w:headerReference r:id="rId4" w:type="default"/>
          <w:footerReference r:id="rId5" w:type="default"/>
          <w:pgSz w:w="11922" w:h="16849"/>
          <w:pgMar w:top="1179" w:right="1417" w:bottom="1179" w:left="1417" w:header="0" w:footer="567" w:gutter="0"/>
          <w:pgNumType w:start="1"/>
          <w:cols w:space="0" w:num="1"/>
        </w:sectPr>
      </w:pPr>
      <w:bookmarkStart w:id="8" w:name="_Toc1386"/>
      <w:bookmarkStart w:id="9" w:name="_Toc17570"/>
    </w:p>
    <w:bookmarkEnd w:id="8"/>
    <w:bookmarkEnd w:id="9"/>
    <w:p w14:paraId="6D20497B">
      <w:pPr>
        <w:rPr>
          <w:rStyle w:val="58"/>
          <w:rFonts w:hint="eastAsia" w:ascii="黑体" w:hAnsi="黑体" w:eastAsia="黑体" w:cs="黑体"/>
          <w:color w:val="auto"/>
          <w:sz w:val="32"/>
          <w:szCs w:val="32"/>
          <w:highlight w:val="none"/>
        </w:rPr>
      </w:pPr>
    </w:p>
    <w:p w14:paraId="68DB1D3E">
      <w:pPr>
        <w:pStyle w:val="23"/>
        <w:snapToGrid w:val="0"/>
        <w:spacing w:before="0" w:beforeLines="0" w:after="0" w:afterLines="0" w:line="440" w:lineRule="exact"/>
        <w:jc w:val="center"/>
        <w:outlineLvl w:val="0"/>
        <w:rPr>
          <w:rStyle w:val="58"/>
          <w:rFonts w:ascii="黑体" w:hAnsi="黑体" w:eastAsia="黑体" w:cs="黑体"/>
          <w:color w:val="auto"/>
          <w:sz w:val="32"/>
          <w:szCs w:val="32"/>
          <w:highlight w:val="none"/>
        </w:rPr>
      </w:pPr>
      <w:r>
        <w:rPr>
          <w:rStyle w:val="58"/>
          <w:rFonts w:hint="eastAsia" w:ascii="黑体" w:hAnsi="黑体" w:eastAsia="黑体" w:cs="黑体"/>
          <w:color w:val="auto"/>
          <w:sz w:val="32"/>
          <w:szCs w:val="32"/>
          <w:highlight w:val="none"/>
        </w:rPr>
        <w:t>第一章  公开招标采购公告</w:t>
      </w:r>
    </w:p>
    <w:p w14:paraId="7DB2E80F">
      <w:pPr>
        <w:snapToGrid w:val="0"/>
        <w:spacing w:line="360" w:lineRule="auto"/>
        <w:ind w:firstLine="411" w:firstLineChars="196"/>
        <w:rPr>
          <w:rFonts w:ascii="宋体" w:hAnsi="宋体" w:cs="宋体"/>
          <w:color w:val="auto"/>
          <w:szCs w:val="21"/>
          <w:highlight w:val="none"/>
        </w:rPr>
      </w:pPr>
    </w:p>
    <w:tbl>
      <w:tblPr>
        <w:tblStyle w:val="4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5A86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960" w:type="dxa"/>
          </w:tcPr>
          <w:p w14:paraId="22AAF902">
            <w:pPr>
              <w:pStyle w:val="5"/>
              <w:spacing w:before="0" w:after="0"/>
              <w:rPr>
                <w:rFonts w:ascii="宋体" w:hAnsi="宋体" w:cs="宋体"/>
                <w:color w:val="auto"/>
                <w:sz w:val="22"/>
                <w:szCs w:val="22"/>
                <w:highlight w:val="none"/>
              </w:rPr>
            </w:pPr>
            <w:bookmarkStart w:id="10" w:name="_Toc18883"/>
            <w:bookmarkStart w:id="11" w:name="_Toc3965"/>
            <w:bookmarkStart w:id="12" w:name="_Toc17516"/>
            <w:bookmarkStart w:id="13" w:name="_Toc919"/>
            <w:r>
              <w:rPr>
                <w:rFonts w:hint="eastAsia" w:ascii="宋体" w:hAnsi="宋体" w:cs="宋体"/>
                <w:color w:val="auto"/>
                <w:sz w:val="22"/>
                <w:szCs w:val="22"/>
                <w:highlight w:val="none"/>
              </w:rPr>
              <w:t>项目概况：</w:t>
            </w:r>
            <w:bookmarkEnd w:id="10"/>
            <w:bookmarkEnd w:id="11"/>
            <w:bookmarkEnd w:id="12"/>
            <w:bookmarkEnd w:id="13"/>
          </w:p>
          <w:p w14:paraId="0EB25176">
            <w:pPr>
              <w:spacing w:line="360" w:lineRule="auto"/>
              <w:ind w:firstLine="420" w:firstLineChars="200"/>
              <w:rPr>
                <w:rFonts w:ascii="宋体" w:hAnsi="宋体" w:cs="宋体"/>
                <w:color w:val="auto"/>
                <w:sz w:val="22"/>
                <w:szCs w:val="22"/>
                <w:highlight w:val="none"/>
              </w:rPr>
            </w:pPr>
            <w:r>
              <w:rPr>
                <w:rFonts w:hint="eastAsia" w:ascii="宋体" w:hAnsi="宋体" w:cs="宋体"/>
                <w:color w:val="auto"/>
                <w:kern w:val="0"/>
                <w:szCs w:val="21"/>
                <w:highlight w:val="none"/>
                <w:u w:val="single"/>
              </w:rPr>
              <w:t>2026-2029年江北区教育系统网络安全采购</w:t>
            </w:r>
            <w:r>
              <w:rPr>
                <w:rFonts w:hint="eastAsia" w:ascii="宋体" w:hAnsi="宋体" w:cs="宋体"/>
                <w:color w:val="auto"/>
                <w:kern w:val="0"/>
                <w:szCs w:val="21"/>
                <w:highlight w:val="none"/>
              </w:rPr>
              <w:t>的潜在供应商应在政府采购云平台（www.zcygov.cn）获取（下载）采购文件，并于</w:t>
            </w:r>
            <w:bookmarkStart w:id="500" w:name="_GoBack"/>
            <w:bookmarkEnd w:id="500"/>
            <w:r>
              <w:rPr>
                <w:rFonts w:hint="eastAsia" w:ascii="宋体" w:hAnsi="宋体" w:cs="宋体"/>
                <w:color w:val="auto"/>
                <w:kern w:val="0"/>
                <w:szCs w:val="21"/>
                <w:highlight w:val="none"/>
                <w:u w:val="single"/>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cs="宋体"/>
                <w:color w:val="auto"/>
                <w:kern w:val="0"/>
                <w:szCs w:val="21"/>
                <w:highlight w:val="none"/>
              </w:rPr>
              <w:t>（北京时间）前递交（上传）投标文件。</w:t>
            </w:r>
          </w:p>
        </w:tc>
      </w:tr>
    </w:tbl>
    <w:p w14:paraId="5C4EC57F">
      <w:pPr>
        <w:keepNext/>
        <w:keepLines/>
        <w:rPr>
          <w:rFonts w:ascii="宋体" w:hAnsi="宋体" w:cs="宋体"/>
          <w:color w:val="auto"/>
          <w:sz w:val="22"/>
          <w:szCs w:val="22"/>
          <w:highlight w:val="none"/>
        </w:rPr>
      </w:pPr>
    </w:p>
    <w:p w14:paraId="0A4C612E">
      <w:pPr>
        <w:pStyle w:val="5"/>
        <w:spacing w:before="0" w:after="0"/>
        <w:rPr>
          <w:rFonts w:ascii="宋体" w:hAnsi="宋体" w:cs="宋体"/>
          <w:color w:val="auto"/>
          <w:szCs w:val="21"/>
          <w:highlight w:val="none"/>
        </w:rPr>
      </w:pPr>
      <w:bookmarkStart w:id="14" w:name="_Toc23884"/>
      <w:bookmarkStart w:id="15" w:name="_Toc12653"/>
      <w:bookmarkStart w:id="16" w:name="_Toc16274"/>
      <w:bookmarkStart w:id="17" w:name="_Toc4940"/>
      <w:r>
        <w:rPr>
          <w:rFonts w:hint="eastAsia" w:ascii="宋体" w:hAnsi="宋体" w:cs="宋体"/>
          <w:color w:val="auto"/>
          <w:szCs w:val="21"/>
          <w:highlight w:val="none"/>
        </w:rPr>
        <w:t>一、项目基本情况</w:t>
      </w:r>
      <w:bookmarkEnd w:id="14"/>
      <w:bookmarkEnd w:id="15"/>
      <w:bookmarkEnd w:id="16"/>
      <w:bookmarkEnd w:id="17"/>
    </w:p>
    <w:p w14:paraId="2C10361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NBSD2026-029</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交易登记号：FSCG2026118</w:t>
      </w:r>
      <w:r>
        <w:rPr>
          <w:rFonts w:hint="eastAsia" w:ascii="宋体" w:hAnsi="宋体" w:cs="宋体"/>
          <w:color w:val="auto"/>
          <w:szCs w:val="21"/>
          <w:highlight w:val="none"/>
          <w:u w:val="single"/>
          <w:lang w:eastAsia="zh-CN"/>
        </w:rPr>
        <w:t>）</w:t>
      </w:r>
    </w:p>
    <w:p w14:paraId="68837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kern w:val="0"/>
          <w:szCs w:val="21"/>
          <w:highlight w:val="none"/>
          <w:u w:val="single"/>
        </w:rPr>
        <w:t>2026-2029年江北区教育系统网络安全采购</w:t>
      </w:r>
    </w:p>
    <w:p w14:paraId="7171E3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u w:val="single"/>
        </w:rPr>
        <w:t>130000元/年，390000元/三年</w:t>
      </w:r>
    </w:p>
    <w:p w14:paraId="5AFA51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最高限价（元）：</w:t>
      </w:r>
      <w:bookmarkStart w:id="18" w:name="_Toc28359080"/>
      <w:bookmarkStart w:id="19" w:name="_Toc35393791"/>
      <w:bookmarkStart w:id="20" w:name="_Toc28359003"/>
      <w:bookmarkStart w:id="21" w:name="_Toc35393622"/>
      <w:r>
        <w:rPr>
          <w:rFonts w:hint="eastAsia" w:ascii="宋体" w:hAnsi="宋体" w:cs="宋体"/>
          <w:color w:val="auto"/>
          <w:szCs w:val="21"/>
          <w:highlight w:val="none"/>
          <w:u w:val="single"/>
        </w:rPr>
        <w:t>130000元/年，390000元/三年</w:t>
      </w:r>
    </w:p>
    <w:p w14:paraId="50672A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53FC814">
      <w:pPr>
        <w:pStyle w:val="38"/>
        <w:spacing w:before="0" w:beforeAutospacing="0" w:after="0" w:afterAutospacing="0" w:line="360" w:lineRule="auto"/>
        <w:ind w:firstLine="422" w:firstLineChars="200"/>
        <w:jc w:val="both"/>
        <w:rPr>
          <w:color w:val="auto"/>
          <w:sz w:val="21"/>
          <w:szCs w:val="21"/>
          <w:highlight w:val="none"/>
        </w:rPr>
      </w:pPr>
      <w:r>
        <w:rPr>
          <w:rFonts w:hint="eastAsia"/>
          <w:b/>
          <w:bCs/>
          <w:color w:val="auto"/>
          <w:sz w:val="21"/>
          <w:szCs w:val="21"/>
          <w:highlight w:val="none"/>
        </w:rPr>
        <w:t>标项一：</w:t>
      </w:r>
      <w:r>
        <w:rPr>
          <w:rFonts w:hint="eastAsia"/>
          <w:color w:val="auto"/>
          <w:sz w:val="21"/>
          <w:szCs w:val="21"/>
          <w:highlight w:val="none"/>
        </w:rPr>
        <w:t xml:space="preserve">                                             </w:t>
      </w:r>
    </w:p>
    <w:p w14:paraId="1D7C92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标项名称：</w:t>
      </w:r>
      <w:r>
        <w:rPr>
          <w:rFonts w:hint="eastAsia" w:ascii="宋体" w:hAnsi="宋体" w:cs="宋体"/>
          <w:color w:val="auto"/>
          <w:kern w:val="0"/>
          <w:szCs w:val="21"/>
          <w:highlight w:val="none"/>
          <w:u w:val="single"/>
        </w:rPr>
        <w:t>2026-2029年江北区教育系统网络安全采购</w:t>
      </w:r>
    </w:p>
    <w:p w14:paraId="26C4DF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数量：1  </w:t>
      </w:r>
    </w:p>
    <w:p w14:paraId="026FF0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u w:val="single"/>
        </w:rPr>
        <w:t>130000元/年，390000元/三年</w:t>
      </w:r>
    </w:p>
    <w:p w14:paraId="2F2FF99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u w:val="single"/>
        </w:rPr>
        <w:t>协助宁波市江北区教育局教研室做好日常网络安全维护工作，有效提升网络、信息系统的安全性，确保各信息系统的稳定及数据安全，杜绝网络安全及数据泄漏事件发生等</w:t>
      </w:r>
      <w:r>
        <w:rPr>
          <w:rFonts w:hint="eastAsia" w:ascii="宋体" w:hAnsi="宋体" w:cs="宋体"/>
          <w:color w:val="auto"/>
          <w:kern w:val="0"/>
          <w:szCs w:val="21"/>
          <w:highlight w:val="none"/>
          <w:u w:val="single"/>
        </w:rPr>
        <w:t>，具体详见“第二章 采购需求”</w:t>
      </w:r>
      <w:r>
        <w:rPr>
          <w:rFonts w:hint="eastAsia" w:ascii="宋体" w:hAnsi="宋体" w:cs="宋体"/>
          <w:color w:val="auto"/>
          <w:kern w:val="0"/>
          <w:szCs w:val="21"/>
          <w:highlight w:val="none"/>
        </w:rPr>
        <w:t>。</w:t>
      </w:r>
    </w:p>
    <w:p w14:paraId="4E9097FA">
      <w:pPr>
        <w:spacing w:line="360" w:lineRule="auto"/>
        <w:ind w:firstLine="420" w:firstLineChars="200"/>
        <w:rPr>
          <w:color w:val="auto"/>
          <w:highlight w:val="none"/>
        </w:rPr>
      </w:pPr>
      <w:r>
        <w:rPr>
          <w:rFonts w:hint="eastAsia"/>
          <w:color w:val="auto"/>
          <w:highlight w:val="none"/>
        </w:rPr>
        <w:t>合同履约期限：</w:t>
      </w:r>
      <w:r>
        <w:rPr>
          <w:rFonts w:hint="eastAsia" w:ascii="宋体" w:hAnsi="宋体" w:cs="宋体"/>
          <w:color w:val="auto"/>
          <w:szCs w:val="21"/>
          <w:highlight w:val="none"/>
          <w:u w:val="single"/>
        </w:rPr>
        <w:t>总服务期限为自合同签订之日起三年。（合同一年一签。第一年自合同签订之日起计算。第二年采购人根据供应商在上一年度的合同履约、考核情况、业主需求，决定是否续签）。</w:t>
      </w:r>
    </w:p>
    <w:p w14:paraId="514FC004">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备注：</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C75F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u w:val="single"/>
        </w:rPr>
        <w:t>不接受</w:t>
      </w:r>
      <w:r>
        <w:rPr>
          <w:rFonts w:hint="eastAsia" w:ascii="宋体" w:hAnsi="宋体" w:cs="宋体"/>
          <w:color w:val="auto"/>
          <w:szCs w:val="21"/>
          <w:highlight w:val="none"/>
        </w:rPr>
        <w:t>联合体投标。</w:t>
      </w:r>
    </w:p>
    <w:p w14:paraId="55811A6F">
      <w:pPr>
        <w:pStyle w:val="5"/>
        <w:spacing w:before="0" w:after="0"/>
        <w:rPr>
          <w:rFonts w:ascii="宋体" w:hAnsi="宋体" w:cs="宋体"/>
          <w:color w:val="auto"/>
          <w:szCs w:val="21"/>
          <w:highlight w:val="none"/>
        </w:rPr>
      </w:pPr>
      <w:bookmarkStart w:id="22" w:name="_Toc13784"/>
      <w:bookmarkStart w:id="23" w:name="_Toc26211"/>
      <w:bookmarkStart w:id="24" w:name="_Toc22065"/>
      <w:bookmarkStart w:id="25" w:name="_Toc2939"/>
      <w:r>
        <w:rPr>
          <w:rFonts w:hint="eastAsia" w:ascii="宋体" w:hAnsi="宋体" w:cs="宋体"/>
          <w:color w:val="auto"/>
          <w:szCs w:val="21"/>
          <w:highlight w:val="none"/>
        </w:rPr>
        <w:t>二、申请人的资格要求</w:t>
      </w:r>
      <w:bookmarkEnd w:id="18"/>
      <w:bookmarkEnd w:id="19"/>
      <w:bookmarkEnd w:id="20"/>
      <w:bookmarkEnd w:id="21"/>
      <w:bookmarkEnd w:id="22"/>
      <w:bookmarkEnd w:id="23"/>
      <w:bookmarkEnd w:id="24"/>
      <w:bookmarkEnd w:id="25"/>
    </w:p>
    <w:p w14:paraId="3A662D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6718F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u w:val="single"/>
        </w:rPr>
        <w:t>本项目属于专门面向中小企业采购的项目，供应商应符合《政府采购促进中小企业发展管理办法》（财库﹝2020﹞46 号）规定的中小企业（其中，小微企业包括视同为小型、微型企业的监狱企业、残疾人福利性单位）并提供中小企业声明函 。</w:t>
      </w:r>
    </w:p>
    <w:p w14:paraId="3BB0F86D">
      <w:pPr>
        <w:spacing w:line="360" w:lineRule="auto"/>
        <w:ind w:firstLine="420" w:firstLineChars="200"/>
        <w:rPr>
          <w:rFonts w:ascii="宋体" w:hAnsi="宋体" w:cs="宋体"/>
          <w:color w:val="auto"/>
          <w:szCs w:val="21"/>
          <w:highlight w:val="none"/>
        </w:rPr>
      </w:pPr>
      <w:bookmarkStart w:id="26" w:name="_Toc32756"/>
      <w:bookmarkStart w:id="27" w:name="_Toc10129"/>
      <w:bookmarkStart w:id="28" w:name="_Toc19567"/>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bookmarkEnd w:id="26"/>
      <w:bookmarkEnd w:id="27"/>
      <w:bookmarkEnd w:id="28"/>
    </w:p>
    <w:p w14:paraId="25C20793">
      <w:pPr>
        <w:pStyle w:val="5"/>
        <w:spacing w:before="0" w:after="0"/>
        <w:rPr>
          <w:rFonts w:ascii="宋体" w:hAnsi="宋体" w:cs="宋体"/>
          <w:color w:val="auto"/>
          <w:szCs w:val="21"/>
          <w:highlight w:val="none"/>
        </w:rPr>
      </w:pPr>
      <w:bookmarkStart w:id="29" w:name="_Toc11041"/>
      <w:bookmarkStart w:id="30" w:name="_Toc30851"/>
      <w:bookmarkStart w:id="31" w:name="_Toc5571"/>
      <w:bookmarkStart w:id="32" w:name="_Toc24837"/>
      <w:r>
        <w:rPr>
          <w:rFonts w:hint="eastAsia" w:ascii="宋体" w:hAnsi="宋体" w:cs="宋体"/>
          <w:color w:val="auto"/>
          <w:szCs w:val="21"/>
          <w:highlight w:val="none"/>
        </w:rPr>
        <w:t>三、获取（下载）采购文件</w:t>
      </w:r>
      <w:bookmarkEnd w:id="29"/>
      <w:bookmarkEnd w:id="30"/>
      <w:bookmarkEnd w:id="31"/>
      <w:bookmarkEnd w:id="32"/>
    </w:p>
    <w:p w14:paraId="76D991E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至</w:t>
      </w:r>
      <w:r>
        <w:rPr>
          <w:rFonts w:hint="eastAsia" w:ascii="宋体" w:hAnsi="宋体" w:cs="宋体"/>
          <w:color w:val="auto"/>
          <w:kern w:val="0"/>
          <w:szCs w:val="21"/>
          <w:highlight w:val="none"/>
          <w:u w:val="single"/>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rPr>
        <w:t>日</w:t>
      </w:r>
      <w:r>
        <w:rPr>
          <w:rFonts w:hint="eastAsia" w:ascii="宋体" w:hAnsi="宋体" w:cs="宋体"/>
          <w:color w:val="auto"/>
          <w:szCs w:val="21"/>
          <w:highlight w:val="none"/>
        </w:rPr>
        <w:t>，每天上午00:00至12:00，下午12:00至23:59（北京时间，线上获取法定节假日均可，线下获取文件法定节假日除外）</w:t>
      </w:r>
    </w:p>
    <w:p w14:paraId="3EB4F90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2.地点：政采云平台（http://zfcg.czt.zj.gov.cn）</w:t>
      </w:r>
    </w:p>
    <w:p w14:paraId="3692C8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方式：本项目采购文件于“政府采购云平台”在线获取。供应商获取采购文件前应先完成“政府采购云平台”的账号注册，登录政府采购云平台（www.zcygov.cn）在线申请获取采购文件（政府采购云平台→“政采云用户”登录→【项目采购】→【获取采购文件】），进入“项目采购”应用，在获取采购文件菜单中选择项目，申请获取采购文件，仅浏览采购文件的供应商可点击“游客，浏览采购文件”下载采购文件浏览；招标公告附件内的采购文件仅供阅览，供应商只有在“政府采购云平台”完成获取采购文件申请并下载了采购文件后方视作依法获取采购文件（法律、法规所指的获取采购文件时间以供应商完成获取采购文件申请后下载采购文件的时间为准）。注：请供应商按上述要求获取采购文件，如未在“政府采购云平台”完成相关流程引起的无效投标，责任自负。</w:t>
      </w:r>
    </w:p>
    <w:p w14:paraId="26B10645">
      <w:pPr>
        <w:spacing w:line="360" w:lineRule="auto"/>
        <w:ind w:firstLine="420" w:firstLineChars="200"/>
        <w:rPr>
          <w:rFonts w:ascii="宋体" w:hAnsi="宋体" w:cs="宋体"/>
          <w:color w:val="auto"/>
          <w:szCs w:val="21"/>
          <w:highlight w:val="none"/>
        </w:rPr>
      </w:pPr>
      <w:bookmarkStart w:id="33" w:name="_Toc63"/>
      <w:bookmarkStart w:id="34" w:name="_Toc24832"/>
      <w:bookmarkStart w:id="35" w:name="_Toc21440"/>
      <w:r>
        <w:rPr>
          <w:rFonts w:hint="eastAsia" w:ascii="宋体" w:hAnsi="宋体" w:cs="宋体"/>
          <w:color w:val="auto"/>
          <w:szCs w:val="21"/>
          <w:highlight w:val="none"/>
        </w:rPr>
        <w:t>4.采购文件售价：免费。</w:t>
      </w:r>
      <w:bookmarkEnd w:id="33"/>
      <w:bookmarkEnd w:id="34"/>
      <w:bookmarkEnd w:id="35"/>
      <w:r>
        <w:rPr>
          <w:rFonts w:hint="eastAsia" w:ascii="宋体" w:hAnsi="宋体" w:cs="宋体"/>
          <w:color w:val="auto"/>
          <w:szCs w:val="21"/>
          <w:highlight w:val="none"/>
        </w:rPr>
        <w:t xml:space="preserve">  </w:t>
      </w:r>
    </w:p>
    <w:p w14:paraId="04BAE3A6">
      <w:pPr>
        <w:spacing w:line="360" w:lineRule="auto"/>
        <w:outlineLvl w:val="1"/>
        <w:rPr>
          <w:rFonts w:ascii="宋体" w:hAnsi="宋体" w:cs="宋体"/>
          <w:b/>
          <w:bCs/>
          <w:color w:val="auto"/>
          <w:szCs w:val="21"/>
          <w:highlight w:val="none"/>
        </w:rPr>
      </w:pPr>
      <w:bookmarkStart w:id="36" w:name="_Toc27715"/>
      <w:bookmarkStart w:id="37" w:name="_Toc16359"/>
      <w:bookmarkStart w:id="38" w:name="_Toc16376"/>
      <w:bookmarkStart w:id="39" w:name="_Toc12808"/>
      <w:r>
        <w:rPr>
          <w:rFonts w:hint="eastAsia" w:ascii="宋体" w:hAnsi="宋体" w:cs="宋体"/>
          <w:b/>
          <w:bCs/>
          <w:color w:val="auto"/>
          <w:szCs w:val="21"/>
          <w:highlight w:val="none"/>
        </w:rPr>
        <w:t>四、投标文件提交（上传）截止时间及地点</w:t>
      </w:r>
      <w:bookmarkEnd w:id="36"/>
      <w:bookmarkEnd w:id="37"/>
      <w:bookmarkEnd w:id="38"/>
      <w:bookmarkEnd w:id="39"/>
    </w:p>
    <w:p w14:paraId="66D536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提交投标文件截止时间：</w:t>
      </w:r>
      <w:r>
        <w:rPr>
          <w:rFonts w:hint="eastAsia" w:ascii="宋体" w:hAnsi="宋体" w:cs="宋体"/>
          <w:color w:val="auto"/>
          <w:kern w:val="0"/>
          <w:szCs w:val="21"/>
          <w:highlight w:val="none"/>
          <w:u w:val="single"/>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 </w:t>
      </w:r>
    </w:p>
    <w:p w14:paraId="194F6D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投标地点（网址）：供应商通过“政府采购云平台（www.zcygov.cn）”在线制作、传输递交电子投标文件。 </w:t>
      </w:r>
    </w:p>
    <w:p w14:paraId="59CEAA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kern w:val="0"/>
          <w:szCs w:val="21"/>
          <w:highlight w:val="none"/>
          <w:u w:val="single"/>
        </w:rPr>
        <w:t>2026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05</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22</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 </w:t>
      </w:r>
    </w:p>
    <w:p w14:paraId="28BCFB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开标地点（网址）：宁波市江北区政务服务中心开标室（江北区育才路138号北投大厦南楼7楼）。本项目通过“政府采购云平台”实行在线电子投标，供应商应在线参加开标。 </w:t>
      </w:r>
    </w:p>
    <w:p w14:paraId="340427BB">
      <w:pPr>
        <w:spacing w:line="360" w:lineRule="auto"/>
        <w:outlineLvl w:val="1"/>
        <w:rPr>
          <w:rFonts w:ascii="宋体" w:hAnsi="宋体" w:cs="宋体"/>
          <w:b/>
          <w:bCs/>
          <w:color w:val="auto"/>
          <w:szCs w:val="21"/>
          <w:highlight w:val="none"/>
        </w:rPr>
      </w:pPr>
      <w:bookmarkStart w:id="40" w:name="_Toc27875"/>
      <w:bookmarkStart w:id="41" w:name="_Toc23416"/>
      <w:bookmarkStart w:id="42" w:name="_Toc1472"/>
      <w:bookmarkStart w:id="43" w:name="_Toc28020"/>
      <w:r>
        <w:rPr>
          <w:rFonts w:hint="eastAsia" w:ascii="宋体" w:hAnsi="宋体" w:cs="宋体"/>
          <w:b/>
          <w:bCs/>
          <w:color w:val="auto"/>
          <w:szCs w:val="21"/>
          <w:highlight w:val="none"/>
        </w:rPr>
        <w:t>五、公告期限</w:t>
      </w:r>
      <w:bookmarkEnd w:id="40"/>
      <w:bookmarkEnd w:id="41"/>
      <w:bookmarkEnd w:id="42"/>
      <w:bookmarkEnd w:id="43"/>
    </w:p>
    <w:p w14:paraId="6FCB96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03A155B">
      <w:pPr>
        <w:spacing w:line="360" w:lineRule="auto"/>
        <w:outlineLvl w:val="1"/>
        <w:rPr>
          <w:rFonts w:ascii="宋体" w:hAnsi="宋体" w:cs="宋体"/>
          <w:b/>
          <w:bCs/>
          <w:color w:val="auto"/>
          <w:szCs w:val="21"/>
          <w:highlight w:val="none"/>
        </w:rPr>
      </w:pPr>
      <w:bookmarkStart w:id="44" w:name="_Toc2166"/>
      <w:bookmarkStart w:id="45" w:name="_Toc6834"/>
      <w:bookmarkStart w:id="46" w:name="_Toc16602"/>
      <w:bookmarkStart w:id="47" w:name="_Toc2901"/>
      <w:r>
        <w:rPr>
          <w:rFonts w:hint="eastAsia" w:ascii="宋体" w:hAnsi="宋体" w:cs="宋体"/>
          <w:b/>
          <w:bCs/>
          <w:color w:val="auto"/>
          <w:szCs w:val="21"/>
          <w:highlight w:val="none"/>
        </w:rPr>
        <w:t>六、其他补充事宜</w:t>
      </w:r>
      <w:bookmarkEnd w:id="44"/>
      <w:bookmarkEnd w:id="45"/>
      <w:bookmarkEnd w:id="46"/>
      <w:bookmarkEnd w:id="47"/>
    </w:p>
    <w:p w14:paraId="7CF898AC">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D73B8E6">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C1394E5">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5CD6198">
      <w:pPr>
        <w:pStyle w:val="38"/>
        <w:widowControl w:val="0"/>
        <w:spacing w:before="0" w:beforeAutospacing="0" w:after="0" w:afterAutospacing="0" w:line="360" w:lineRule="auto"/>
        <w:ind w:firstLine="420" w:firstLineChars="200"/>
        <w:jc w:val="both"/>
        <w:rPr>
          <w:color w:val="auto"/>
          <w:sz w:val="21"/>
          <w:szCs w:val="21"/>
          <w:highlight w:val="none"/>
        </w:rPr>
      </w:pPr>
      <w:bookmarkStart w:id="48" w:name="_Toc28207"/>
      <w:bookmarkStart w:id="49" w:name="_Toc20802"/>
      <w:bookmarkStart w:id="50" w:name="_Toc22601"/>
      <w:r>
        <w:rPr>
          <w:rFonts w:hint="eastAsia"/>
          <w:color w:val="auto"/>
          <w:sz w:val="21"/>
          <w:szCs w:val="21"/>
          <w:highlight w:val="none"/>
        </w:rPr>
        <w:t>4.其他事项：</w:t>
      </w:r>
      <w:bookmarkEnd w:id="48"/>
      <w:bookmarkEnd w:id="49"/>
      <w:bookmarkEnd w:id="50"/>
    </w:p>
    <w:p w14:paraId="65856968">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6F2AAE6">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4.2供应商未被列入“信用中国”网站(www.creditchina.gov.cn)中的“失信被执行人或重大税收违法案件当事人名单或政府采购严重违法失信名单”，不处于中国政府采购网(www.ccgp.gov.cn)“政府采购严重违法失信行为记录名单”处罚结果确定为禁止参加政府采购活动期间。（以采购代理机构于投标截止日当天在信用中国网站及中国政府采购网查询结果为准；若在开标当天因不可抗力事件导致无法查询且一时无法恢复查询的，可在中标公告前对中标候选人进行事后查询。中标候选人被列入失信被执行人、重大税收违法案件当事人名单或政府采购严重违法失信名单、政府采购严重违法失信行为记录名单处罚结果确定为禁止参加政府采购活动期间的，采购人将依法取消其中标资格。）</w:t>
      </w:r>
    </w:p>
    <w:p w14:paraId="222E77F1">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4.3落实的政策：《政府采购促进中小企业发展管理办法》（财库〔2020〕46 号）、《财政部司法部关于政府采购支持监狱企业发展有关问题的通知》（财库〔2014〕68号）、《关于促进残疾人就业政府采购政策的通知》（财库[2017]141号）等。</w:t>
      </w:r>
    </w:p>
    <w:p w14:paraId="1719F6CA">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4.4参加投标的供应商应于投标前到“浙江政府采购网(zfcg.czt.zj.gov.cn)”上进行供应商注册申请，并通过财政部门的终审后登记加入到“浙江省政府采购供应商库”。中标供应商必须注册并登记加入“浙江省政府采购供应商库”。具体要求及注册申请流程详见《浙江省政府采购供应商注册及诚信管理暂行办法》(浙财采监字〔2009〕28号)和浙江政府采购网“网上办事指南”的“供应商注册申请”。如未注册的供应商，请注意注册所需时间。</w:t>
      </w:r>
    </w:p>
    <w:p w14:paraId="2202D927">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4.5投标与开标注意事项</w:t>
      </w:r>
    </w:p>
    <w:p w14:paraId="70BFFAE5">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4.5.1本项目实行网上投标，采用电子投标文件。若供应商参与投标，自行承担投标一切费用。</w:t>
      </w:r>
    </w:p>
    <w:p w14:paraId="712C2D52">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4.5.2标前准备：各供应商应在投标截止时间前确保成为浙江政府采购网正式注册入库供应商，并完成CA数字证书办理。因未注册入库、未办理CA数字证书等原因造成无法投标或投标失败等后果由供应商自行承担（具体操作详见供应商-CA申领操作指南https://help.zcygov.cn/web/site_2/2018/11-29/2452.html），完成CA数字证书办理预计一周左右，请供应商自行把握时间。</w:t>
      </w:r>
    </w:p>
    <w:p w14:paraId="08EC2203">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4.5.3投标文件制作：</w:t>
      </w:r>
    </w:p>
    <w:p w14:paraId="79FF1C46">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4.5.3.1应按照本项目采购文件和政府采购云平台的要求编制、加密并递交投标文件。供应商在使用系统进行投标的过程中遇到涉及平台使用的任何问题，可致电政府采购云平台技术支持热线咨询，联系方式：95763。</w:t>
      </w:r>
    </w:p>
    <w:p w14:paraId="51AAE45F">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4.5.3.2供应商通过政府采购云平台电子投标工具制作投标文件，电子投标工具请供应商自行前往浙江政府采购网下载并安装，投标文件制作具体流程详见政采云供应商-政府采购项目电子交易操作指南。</w:t>
      </w:r>
    </w:p>
    <w:p w14:paraId="6E31FAFC">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4.5.3.3以U盘或光盘存储的电子备份投标文件1份，按政府采购云平台要求制作的电子备份文件，以用于异常情况处理。（如有）</w:t>
      </w:r>
    </w:p>
    <w:p w14:paraId="67EE7628">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4.6 供应商应于投标截止时间前将电子投标文件上传到政府采购云平台www.zcygov.cn，未上传电子投标文件，视为供应商放弃投标。</w:t>
      </w:r>
    </w:p>
    <w:p w14:paraId="706E74BB">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4.7供应商如提供备份投标文件的，应于提交投标文件截止时间前，将以U盘或光盘存储的电子备份投标文件密封后送至开标地点：宁波市江北区政务服务中心开标室（江北区育才路138号北投大厦南楼7楼）。供应商仅提供备份投标文件的，投标无效。</w:t>
      </w:r>
    </w:p>
    <w:p w14:paraId="2A62DF7B">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4.8 采购代理机构将在采购文件规定的开标时间通过政府采购云平台组织开标、开启投标文件，所有供应商均应准时在线参加。开标时间后30分钟内供应商可以登录政府采购云平台https://www.zcygov.cn/，用“项目采购-开标评标”功能进行解密投标文件。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仍以备份电子投标文件作为评审依据）。如因系统或部分电子响应文件无法解密，供应商在截止时间前未提交电子备份响应文件的，视为供应商放弃投标。无论是否启用备份电子投标文件，均不退还供应商。</w:t>
      </w:r>
    </w:p>
    <w:p w14:paraId="4C393406">
      <w:pPr>
        <w:pStyle w:val="38"/>
        <w:widowControl w:val="0"/>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5.发布本次招标公告、中标结果公告的媒体：浙江政府采购网、宁波市政府采购网、宁波市公共资源交易电子服务系统。参加投标的供应商有义务在采购活动期间浏览上述网站。</w:t>
      </w:r>
    </w:p>
    <w:p w14:paraId="4A2BD7A3">
      <w:pPr>
        <w:pStyle w:val="38"/>
        <w:widowControl w:val="0"/>
        <w:spacing w:before="0" w:beforeAutospacing="0" w:after="0" w:afterAutospacing="0" w:line="360" w:lineRule="auto"/>
        <w:ind w:firstLine="420" w:firstLineChars="200"/>
        <w:jc w:val="both"/>
        <w:rPr>
          <w:color w:val="auto"/>
          <w:sz w:val="21"/>
          <w:szCs w:val="21"/>
          <w:highlight w:val="none"/>
        </w:rPr>
      </w:pPr>
      <w:bookmarkStart w:id="51" w:name="_Toc18781"/>
      <w:bookmarkStart w:id="52" w:name="_Toc22902"/>
      <w:bookmarkStart w:id="53" w:name="_Toc5258"/>
      <w:r>
        <w:rPr>
          <w:rFonts w:hint="eastAsia"/>
          <w:color w:val="auto"/>
          <w:sz w:val="21"/>
          <w:szCs w:val="21"/>
          <w:highlight w:val="none"/>
        </w:rPr>
        <w:t>6.本项目供应商的备份电子投标文件不予退还。</w:t>
      </w:r>
      <w:bookmarkEnd w:id="51"/>
      <w:bookmarkEnd w:id="52"/>
      <w:bookmarkEnd w:id="53"/>
    </w:p>
    <w:p w14:paraId="3288A158">
      <w:pPr>
        <w:pStyle w:val="5"/>
        <w:spacing w:before="0" w:after="0"/>
        <w:rPr>
          <w:rFonts w:ascii="宋体" w:hAnsi="宋体" w:cs="宋体"/>
          <w:color w:val="auto"/>
          <w:szCs w:val="21"/>
          <w:highlight w:val="none"/>
        </w:rPr>
      </w:pPr>
      <w:bookmarkStart w:id="54" w:name="_Toc16661"/>
      <w:bookmarkStart w:id="55" w:name="_Toc24797"/>
      <w:bookmarkStart w:id="56" w:name="_Toc2744"/>
      <w:bookmarkStart w:id="57" w:name="_Toc23155"/>
      <w:r>
        <w:rPr>
          <w:rFonts w:hint="eastAsia" w:ascii="宋体" w:hAnsi="宋体" w:cs="宋体"/>
          <w:color w:val="auto"/>
          <w:szCs w:val="21"/>
          <w:highlight w:val="none"/>
        </w:rPr>
        <w:t>七、对本次采购提出询问、质疑、投诉，请按以下方式联系</w:t>
      </w:r>
      <w:bookmarkEnd w:id="54"/>
      <w:bookmarkEnd w:id="55"/>
      <w:bookmarkEnd w:id="56"/>
      <w:bookmarkEnd w:id="57"/>
    </w:p>
    <w:p w14:paraId="09E13FFF">
      <w:pPr>
        <w:spacing w:line="360" w:lineRule="auto"/>
        <w:ind w:firstLine="420" w:firstLineChars="200"/>
        <w:rPr>
          <w:rFonts w:ascii="宋体" w:hAnsi="宋体" w:cs="宋体"/>
          <w:color w:val="auto"/>
          <w:kern w:val="0"/>
          <w:szCs w:val="21"/>
          <w:highlight w:val="none"/>
        </w:rPr>
      </w:pPr>
      <w:bookmarkStart w:id="58" w:name="_Toc18764"/>
      <w:bookmarkStart w:id="59" w:name="_Toc31013"/>
      <w:bookmarkStart w:id="60" w:name="_Toc18400"/>
      <w:r>
        <w:rPr>
          <w:rFonts w:hint="eastAsia" w:ascii="宋体" w:hAnsi="宋体" w:cs="宋体"/>
          <w:color w:val="auto"/>
          <w:kern w:val="0"/>
          <w:szCs w:val="21"/>
          <w:highlight w:val="none"/>
        </w:rPr>
        <w:t>1.采购人名称：</w:t>
      </w:r>
      <w:bookmarkEnd w:id="58"/>
      <w:bookmarkEnd w:id="59"/>
      <w:bookmarkEnd w:id="60"/>
      <w:r>
        <w:rPr>
          <w:rFonts w:hint="eastAsia" w:ascii="宋体" w:hAnsi="宋体" w:cs="宋体"/>
          <w:color w:val="auto"/>
          <w:szCs w:val="21"/>
          <w:highlight w:val="none"/>
        </w:rPr>
        <w:t>宁波市江北区教育局教研室</w:t>
      </w:r>
      <w:r>
        <w:rPr>
          <w:rFonts w:hint="eastAsia" w:ascii="宋体" w:hAnsi="宋体" w:cs="宋体"/>
          <w:color w:val="auto"/>
          <w:kern w:val="0"/>
          <w:szCs w:val="21"/>
          <w:highlight w:val="none"/>
        </w:rPr>
        <w:t>　　　　</w:t>
      </w:r>
    </w:p>
    <w:p w14:paraId="2EEB0A1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项目联系人（询问）：宋老师</w:t>
      </w:r>
    </w:p>
    <w:p w14:paraId="2C4BF94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项目联系方式（询问）：0574-87668729</w:t>
      </w:r>
    </w:p>
    <w:p w14:paraId="136BDCE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质疑联系人：宋老师</w:t>
      </w:r>
    </w:p>
    <w:p w14:paraId="7839425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质疑联系方式：0574-87668729 </w:t>
      </w:r>
    </w:p>
    <w:p w14:paraId="304B03D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联系地址：宁波市江北区丽江东路85弄16号</w:t>
      </w:r>
    </w:p>
    <w:p w14:paraId="7804FF4B">
      <w:pPr>
        <w:spacing w:line="360" w:lineRule="auto"/>
        <w:ind w:firstLine="420" w:firstLineChars="200"/>
        <w:rPr>
          <w:rFonts w:ascii="宋体" w:hAnsi="宋体" w:cs="宋体"/>
          <w:color w:val="auto"/>
          <w:szCs w:val="21"/>
          <w:highlight w:val="none"/>
        </w:rPr>
      </w:pPr>
    </w:p>
    <w:p w14:paraId="315570D2">
      <w:pPr>
        <w:spacing w:line="360" w:lineRule="auto"/>
        <w:ind w:firstLine="420" w:firstLineChars="200"/>
        <w:rPr>
          <w:rFonts w:ascii="宋体" w:hAnsi="宋体" w:cs="宋体"/>
          <w:color w:val="auto"/>
          <w:kern w:val="0"/>
          <w:szCs w:val="21"/>
          <w:highlight w:val="none"/>
        </w:rPr>
      </w:pPr>
      <w:bookmarkStart w:id="61" w:name="_Toc18091"/>
      <w:bookmarkStart w:id="62" w:name="_Toc27265"/>
      <w:bookmarkStart w:id="63" w:name="_Toc2467"/>
      <w:r>
        <w:rPr>
          <w:rFonts w:hint="eastAsia" w:ascii="宋体" w:hAnsi="宋体" w:cs="宋体"/>
          <w:color w:val="auto"/>
          <w:kern w:val="0"/>
          <w:szCs w:val="21"/>
          <w:highlight w:val="none"/>
        </w:rPr>
        <w:t>2.采购代理机构信息：宁波市盛达工程管理咨询有限公司</w:t>
      </w:r>
      <w:bookmarkEnd w:id="61"/>
      <w:bookmarkEnd w:id="62"/>
      <w:bookmarkEnd w:id="63"/>
      <w:r>
        <w:rPr>
          <w:rFonts w:hint="eastAsia" w:ascii="宋体" w:hAnsi="宋体" w:cs="宋体"/>
          <w:color w:val="auto"/>
          <w:kern w:val="0"/>
          <w:szCs w:val="21"/>
          <w:highlight w:val="none"/>
        </w:rPr>
        <w:t xml:space="preserve">  </w:t>
      </w:r>
    </w:p>
    <w:p w14:paraId="3C6F69F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地址：宁波市江北区唐虞路319号（创富商业中心） 5楼</w:t>
      </w:r>
    </w:p>
    <w:p w14:paraId="27D0B2CE">
      <w:pPr>
        <w:pStyle w:val="38"/>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项目联系人（询问）：蔡青青、徐超瑜、何周军、郑梅英、吕玲卓、顾静芬、张琳玲       </w:t>
      </w:r>
    </w:p>
    <w:p w14:paraId="460E1EEE">
      <w:pPr>
        <w:pStyle w:val="38"/>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项目联系方式（询问）：0574-87636525</w:t>
      </w:r>
    </w:p>
    <w:p w14:paraId="1EBD7264">
      <w:pPr>
        <w:pStyle w:val="38"/>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 xml:space="preserve">质疑联系人：朱老师           </w:t>
      </w:r>
    </w:p>
    <w:p w14:paraId="4F7A9FDD">
      <w:pPr>
        <w:pStyle w:val="38"/>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质疑联系方式：0574-87631572</w:t>
      </w:r>
    </w:p>
    <w:p w14:paraId="5B002FBB">
      <w:pPr>
        <w:pStyle w:val="38"/>
        <w:spacing w:before="0" w:beforeAutospacing="0" w:after="0" w:afterAutospacing="0" w:line="360" w:lineRule="auto"/>
        <w:ind w:firstLine="420" w:firstLineChars="200"/>
        <w:jc w:val="both"/>
        <w:rPr>
          <w:color w:val="auto"/>
          <w:sz w:val="21"/>
          <w:szCs w:val="21"/>
          <w:highlight w:val="none"/>
        </w:rPr>
      </w:pPr>
    </w:p>
    <w:p w14:paraId="5BFB3C29">
      <w:pPr>
        <w:pStyle w:val="38"/>
        <w:spacing w:before="0" w:beforeAutospacing="0" w:after="0" w:afterAutospacing="0" w:line="360" w:lineRule="auto"/>
        <w:ind w:firstLine="420" w:firstLineChars="200"/>
        <w:jc w:val="both"/>
        <w:rPr>
          <w:color w:val="auto"/>
          <w:sz w:val="21"/>
          <w:szCs w:val="21"/>
          <w:highlight w:val="none"/>
        </w:rPr>
      </w:pPr>
      <w:bookmarkStart w:id="64" w:name="_Toc3564"/>
      <w:bookmarkStart w:id="65" w:name="_Toc22213"/>
      <w:bookmarkStart w:id="66" w:name="_Toc15401"/>
      <w:r>
        <w:rPr>
          <w:rFonts w:hint="eastAsia"/>
          <w:color w:val="auto"/>
          <w:sz w:val="21"/>
          <w:szCs w:val="21"/>
          <w:highlight w:val="none"/>
        </w:rPr>
        <w:t>3.同级政府采购监督管理部门            </w:t>
      </w:r>
      <w:bookmarkEnd w:id="64"/>
      <w:bookmarkEnd w:id="65"/>
      <w:bookmarkEnd w:id="66"/>
    </w:p>
    <w:p w14:paraId="46B6EC3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名称：宁波市江北区政府采购管理办公室             </w:t>
      </w:r>
    </w:p>
    <w:p w14:paraId="301A2C5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地址：宁波市江北区大庆南路181号             </w:t>
      </w:r>
    </w:p>
    <w:p w14:paraId="3F8870F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传真：/             </w:t>
      </w:r>
    </w:p>
    <w:p w14:paraId="560B18E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联系人：张老师             </w:t>
      </w:r>
    </w:p>
    <w:p w14:paraId="4518C8D2">
      <w:pPr>
        <w:pStyle w:val="38"/>
        <w:spacing w:before="0" w:beforeAutospacing="0" w:after="0" w:afterAutospacing="0" w:line="360" w:lineRule="auto"/>
        <w:ind w:firstLine="420" w:firstLineChars="200"/>
        <w:jc w:val="both"/>
        <w:rPr>
          <w:color w:val="auto"/>
          <w:sz w:val="21"/>
          <w:szCs w:val="21"/>
          <w:highlight w:val="none"/>
        </w:rPr>
      </w:pPr>
      <w:r>
        <w:rPr>
          <w:rFonts w:hint="eastAsia"/>
          <w:color w:val="auto"/>
          <w:sz w:val="21"/>
          <w:szCs w:val="21"/>
          <w:highlight w:val="none"/>
        </w:rPr>
        <w:t>监督投诉电话：0574-87388032   </w:t>
      </w:r>
    </w:p>
    <w:p w14:paraId="546AFA1F">
      <w:pPr>
        <w:pStyle w:val="38"/>
        <w:spacing w:before="0" w:beforeAutospacing="0" w:after="0" w:afterAutospacing="0" w:line="360" w:lineRule="auto"/>
        <w:ind w:firstLine="420" w:firstLineChars="200"/>
        <w:jc w:val="both"/>
        <w:rPr>
          <w:color w:val="auto"/>
          <w:sz w:val="21"/>
          <w:szCs w:val="21"/>
          <w:highlight w:val="none"/>
        </w:rPr>
      </w:pPr>
    </w:p>
    <w:p w14:paraId="159C01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若对项目采购电子交易系统操作有疑问，可登录政采云（https://www.zcygov.cn/），点击右侧咨询小采，获取采小蜜智能服务管家帮助，或拨打政采云服务热线95763获取热线服务帮助。</w:t>
      </w:r>
    </w:p>
    <w:p w14:paraId="3E0B75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CA问题联系电话（人工）：汇信CA 400-888-4636；天谷CA 400-087-8198。</w:t>
      </w:r>
    </w:p>
    <w:p w14:paraId="20DAD372">
      <w:pPr>
        <w:rPr>
          <w:rStyle w:val="58"/>
          <w:rFonts w:ascii="黑体" w:hAnsi="黑体" w:eastAsia="黑体" w:cs="黑体"/>
          <w:color w:val="auto"/>
          <w:sz w:val="32"/>
          <w:szCs w:val="32"/>
          <w:highlight w:val="none"/>
        </w:rPr>
      </w:pPr>
    </w:p>
    <w:p w14:paraId="252B2F1D">
      <w:pPr>
        <w:rPr>
          <w:rStyle w:val="58"/>
          <w:rFonts w:ascii="黑体" w:hAnsi="黑体" w:eastAsia="黑体" w:cs="黑体"/>
          <w:color w:val="auto"/>
          <w:sz w:val="32"/>
          <w:szCs w:val="32"/>
          <w:highlight w:val="none"/>
        </w:rPr>
      </w:pPr>
      <w:r>
        <w:rPr>
          <w:rStyle w:val="58"/>
          <w:rFonts w:hint="eastAsia" w:ascii="黑体" w:hAnsi="黑体" w:eastAsia="黑体" w:cs="黑体"/>
          <w:color w:val="auto"/>
          <w:sz w:val="32"/>
          <w:szCs w:val="32"/>
          <w:highlight w:val="none"/>
        </w:rPr>
        <w:br w:type="page"/>
      </w:r>
    </w:p>
    <w:bookmarkEnd w:id="4"/>
    <w:bookmarkEnd w:id="5"/>
    <w:bookmarkEnd w:id="6"/>
    <w:bookmarkEnd w:id="7"/>
    <w:p w14:paraId="503D376E">
      <w:pPr>
        <w:pStyle w:val="23"/>
        <w:snapToGrid w:val="0"/>
        <w:spacing w:before="0" w:beforeLines="0" w:after="0" w:afterLines="0" w:line="440" w:lineRule="exact"/>
        <w:jc w:val="center"/>
        <w:outlineLvl w:val="0"/>
        <w:rPr>
          <w:rStyle w:val="58"/>
          <w:rFonts w:ascii="黑体" w:hAnsi="黑体" w:eastAsia="黑体" w:cs="黑体"/>
          <w:color w:val="auto"/>
          <w:sz w:val="32"/>
          <w:szCs w:val="32"/>
          <w:highlight w:val="none"/>
        </w:rPr>
      </w:pPr>
      <w:bookmarkStart w:id="67" w:name="_Toc24117"/>
      <w:bookmarkStart w:id="68" w:name="_Toc5856"/>
      <w:bookmarkStart w:id="69" w:name="_Toc35393627"/>
      <w:bookmarkStart w:id="70" w:name="_Toc28359085"/>
      <w:bookmarkStart w:id="71" w:name="_Toc35393796"/>
      <w:bookmarkStart w:id="72" w:name="_Toc28359008"/>
      <w:r>
        <w:rPr>
          <w:rStyle w:val="58"/>
          <w:rFonts w:hint="eastAsia" w:ascii="黑体" w:hAnsi="黑体" w:eastAsia="黑体" w:cs="黑体"/>
          <w:color w:val="auto"/>
          <w:sz w:val="32"/>
          <w:szCs w:val="32"/>
          <w:highlight w:val="none"/>
        </w:rPr>
        <w:t>第二章  采购需求</w:t>
      </w:r>
      <w:bookmarkEnd w:id="67"/>
      <w:bookmarkEnd w:id="68"/>
    </w:p>
    <w:p w14:paraId="57844EC7">
      <w:pPr>
        <w:pStyle w:val="21"/>
        <w:spacing w:after="0"/>
        <w:ind w:left="0" w:leftChars="0" w:right="1470"/>
        <w:jc w:val="left"/>
        <w:rPr>
          <w:rFonts w:ascii="宋体" w:hAnsi="宋体" w:cs="宋体"/>
          <w:color w:val="auto"/>
          <w:sz w:val="22"/>
          <w:szCs w:val="22"/>
          <w:highlight w:val="none"/>
        </w:rPr>
      </w:pPr>
    </w:p>
    <w:bookmarkEnd w:id="69"/>
    <w:bookmarkEnd w:id="70"/>
    <w:bookmarkEnd w:id="71"/>
    <w:bookmarkEnd w:id="72"/>
    <w:p w14:paraId="09CEFDA4">
      <w:pPr>
        <w:spacing w:line="360" w:lineRule="auto"/>
        <w:ind w:firstLine="420" w:firstLineChars="200"/>
        <w:rPr>
          <w:rFonts w:ascii="宋体" w:hAnsi="宋体" w:cs="宋体"/>
          <w:color w:val="auto"/>
          <w:szCs w:val="21"/>
          <w:highlight w:val="none"/>
        </w:rPr>
      </w:pPr>
      <w:bookmarkStart w:id="73" w:name="_Toc115103402"/>
      <w:r>
        <w:rPr>
          <w:rFonts w:hint="eastAsia" w:ascii="宋体" w:hAnsi="宋体" w:cs="宋体"/>
          <w:color w:val="auto"/>
          <w:szCs w:val="21"/>
          <w:highlight w:val="none"/>
        </w:rPr>
        <w:t>服务人员需要严格按照采购人要求的相关安全服务规范开展工作，包括制定服务计划、编写方案、执行安全评估并提交相关报告，具体要求如下：</w:t>
      </w:r>
    </w:p>
    <w:p w14:paraId="64E52B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1、要求提供详细的服务实施方案，项目实施方案中要体现各项服务内容实施方法、服务工具及人员配置、风险控制方案、项目进度安排、服务成果输出等。</w:t>
      </w:r>
    </w:p>
    <w:p w14:paraId="46CD82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必须提供项目组人员名单（5人及以上），其中项目经理1名，负责整体项目沟通与协调、进度把控；数据安全工程师1名，负责数据安全相关巡检、培训服务；运维工程师2名，负责安全检测、加固等日常工作实施，完成招标人交办的日常事务工作；应急工程师1名，负责应急处置工作。</w:t>
      </w:r>
    </w:p>
    <w:p w14:paraId="55060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3、投标人须提供至少两种主流商业漏洞扫描工具，实现漏洞的交叉检测，规避漏洞的误报、漏报情况，准确输出漏洞报告。</w:t>
      </w:r>
    </w:p>
    <w:p w14:paraId="63BE4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4、投标人须提供一套安全服务工具箱，实现资产测绘与资产管理，自动化主机巡检、配置核查与加固、两高一弱专项检测、专项漏洞检测及漏洞生命周期管理。</w:t>
      </w:r>
    </w:p>
    <w:p w14:paraId="14B638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5、针对应急响应服务，要求提供详细的应急响应服务机制，包括事件定级、应急流程、事件升级和扩大应急流程等。紧急事件响应时间要求1小时以内。</w:t>
      </w:r>
    </w:p>
    <w:p w14:paraId="2D92D4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6、服务方及人员须对本次安全服务项目实施过程的数据和结果数据严格保密、未经授权，不得泄露给任何其他单位和个人，同时应在项目结束之后销毁所有和本项目相关的数据和文档。</w:t>
      </w:r>
    </w:p>
    <w:p w14:paraId="74E750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7、合同签订后，因中标人服务响应不及时或服务内容、工具、人员不符合采购要求，经采购方提醒后仍拒不整改，采购方有权终止合同，且不支付任何款项。</w:t>
      </w:r>
    </w:p>
    <w:p w14:paraId="6913EFE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8、因中标人原因造成信息安全责任事故产生重大损失或不良影响的，采购方有权随时终止合同，不支付任何合同款并保留追偿权。</w:t>
      </w:r>
    </w:p>
    <w:p w14:paraId="3CE8A2D4">
      <w:pPr>
        <w:spacing w:line="360" w:lineRule="auto"/>
        <w:ind w:firstLine="480" w:firstLineChars="200"/>
        <w:rPr>
          <w:rFonts w:ascii="宋体" w:hAnsi="宋体" w:cs="宋体"/>
          <w:color w:val="auto"/>
          <w:sz w:val="24"/>
          <w:highlight w:val="none"/>
        </w:rPr>
      </w:pPr>
    </w:p>
    <w:p w14:paraId="43BB7449">
      <w:pPr>
        <w:pStyle w:val="17"/>
        <w:pageBreakBefore/>
        <w:outlineLvl w:val="0"/>
        <w:rPr>
          <w:rFonts w:ascii="宋体" w:hAnsi="宋体" w:cs="宋体"/>
          <w:b/>
          <w:color w:val="auto"/>
          <w:sz w:val="32"/>
          <w:szCs w:val="32"/>
          <w:highlight w:val="none"/>
        </w:rPr>
      </w:pPr>
      <w:r>
        <w:rPr>
          <w:rFonts w:hint="eastAsia" w:ascii="宋体" w:hAnsi="宋体" w:cs="宋体"/>
          <w:b/>
          <w:color w:val="auto"/>
          <w:sz w:val="32"/>
          <w:szCs w:val="32"/>
          <w:highlight w:val="none"/>
        </w:rPr>
        <w:t>附件：采购需求清单</w:t>
      </w:r>
    </w:p>
    <w:tbl>
      <w:tblPr>
        <w:tblStyle w:val="42"/>
        <w:tblW w:w="9208" w:type="dxa"/>
        <w:tblInd w:w="96" w:type="dxa"/>
        <w:tblLayout w:type="fixed"/>
        <w:tblCellMar>
          <w:top w:w="0" w:type="dxa"/>
          <w:left w:w="108" w:type="dxa"/>
          <w:bottom w:w="0" w:type="dxa"/>
          <w:right w:w="108" w:type="dxa"/>
        </w:tblCellMar>
      </w:tblPr>
      <w:tblGrid>
        <w:gridCol w:w="1033"/>
        <w:gridCol w:w="844"/>
        <w:gridCol w:w="5371"/>
        <w:gridCol w:w="1960"/>
      </w:tblGrid>
      <w:tr w14:paraId="3E27BA75">
        <w:tblPrEx>
          <w:tblCellMar>
            <w:top w:w="0" w:type="dxa"/>
            <w:left w:w="108" w:type="dxa"/>
            <w:bottom w:w="0" w:type="dxa"/>
            <w:right w:w="108" w:type="dxa"/>
          </w:tblCellMar>
        </w:tblPrEx>
        <w:trPr>
          <w:trHeight w:val="646" w:hRule="atLeast"/>
        </w:trPr>
        <w:tc>
          <w:tcPr>
            <w:tcW w:w="1033" w:type="dxa"/>
            <w:tcBorders>
              <w:top w:val="single" w:color="000000" w:sz="4" w:space="0"/>
              <w:left w:val="single" w:color="000000" w:sz="4" w:space="0"/>
              <w:bottom w:val="single" w:color="000000" w:sz="4" w:space="0"/>
              <w:right w:val="single" w:color="000000" w:sz="4" w:space="0"/>
            </w:tcBorders>
            <w:noWrap/>
            <w:vAlign w:val="center"/>
          </w:tcPr>
          <w:p w14:paraId="0968E31F">
            <w:pPr>
              <w:widowControl/>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服务类型</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7DDE47F">
            <w:pPr>
              <w:widowControl/>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w:t>
            </w:r>
          </w:p>
        </w:tc>
        <w:tc>
          <w:tcPr>
            <w:tcW w:w="5371" w:type="dxa"/>
            <w:tcBorders>
              <w:top w:val="single" w:color="000000" w:sz="4" w:space="0"/>
              <w:left w:val="single" w:color="000000" w:sz="4" w:space="0"/>
              <w:bottom w:val="single" w:color="000000" w:sz="4" w:space="0"/>
              <w:right w:val="single" w:color="000000" w:sz="4" w:space="0"/>
            </w:tcBorders>
            <w:noWrap/>
            <w:vAlign w:val="center"/>
          </w:tcPr>
          <w:p w14:paraId="36939382">
            <w:pPr>
              <w:widowControl/>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服务描述</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568EC4FB">
            <w:pPr>
              <w:widowControl/>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BC85B90">
        <w:tblPrEx>
          <w:tblCellMar>
            <w:top w:w="0" w:type="dxa"/>
            <w:left w:w="108" w:type="dxa"/>
            <w:bottom w:w="0" w:type="dxa"/>
            <w:right w:w="108" w:type="dxa"/>
          </w:tblCellMar>
        </w:tblPrEx>
        <w:trPr>
          <w:trHeight w:val="646" w:hRule="atLeast"/>
        </w:trPr>
        <w:tc>
          <w:tcPr>
            <w:tcW w:w="1033" w:type="dxa"/>
            <w:vMerge w:val="restart"/>
            <w:tcBorders>
              <w:top w:val="single" w:color="000000" w:sz="4" w:space="0"/>
              <w:left w:val="single" w:color="000000" w:sz="4" w:space="0"/>
              <w:right w:val="single" w:color="000000" w:sz="4" w:space="0"/>
            </w:tcBorders>
            <w:noWrap/>
            <w:vAlign w:val="center"/>
          </w:tcPr>
          <w:p w14:paraId="5AE11E79">
            <w:pPr>
              <w:widowControl/>
              <w:spacing w:line="30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highlight w:val="none"/>
                <w:lang w:bidi="ar"/>
              </w:rPr>
              <w:t>应急保障</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E98D">
            <w:pPr>
              <w:widowControl/>
              <w:spacing w:line="300" w:lineRule="exact"/>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应急处理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0C18">
            <w:pPr>
              <w:widowControl/>
              <w:spacing w:line="300" w:lineRule="exact"/>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帮助教育系统在教育系统应用、各直属单位终端发生安全事件后，按照标准应急响应流程，定位、排查、修复相关漏洞及问题，最终形成相关报告。提供7*24小时全年无休的应急响应服务。</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FA23">
            <w:pPr>
              <w:spacing w:line="3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7*24小时应急响应</w:t>
            </w:r>
          </w:p>
        </w:tc>
      </w:tr>
      <w:tr w14:paraId="3C9EE35D">
        <w:tblPrEx>
          <w:tblCellMar>
            <w:top w:w="0" w:type="dxa"/>
            <w:left w:w="108" w:type="dxa"/>
            <w:bottom w:w="0" w:type="dxa"/>
            <w:right w:w="108" w:type="dxa"/>
          </w:tblCellMar>
        </w:tblPrEx>
        <w:trPr>
          <w:trHeight w:val="646" w:hRule="atLeast"/>
        </w:trPr>
        <w:tc>
          <w:tcPr>
            <w:tcW w:w="1033" w:type="dxa"/>
            <w:vMerge w:val="continue"/>
            <w:tcBorders>
              <w:left w:val="single" w:color="000000" w:sz="4" w:space="0"/>
              <w:right w:val="single" w:color="000000" w:sz="4" w:space="0"/>
            </w:tcBorders>
            <w:noWrap/>
            <w:vAlign w:val="center"/>
          </w:tcPr>
          <w:p w14:paraId="0EE2CA1B">
            <w:pPr>
              <w:spacing w:line="300" w:lineRule="exact"/>
              <w:jc w:val="center"/>
              <w:rPr>
                <w:rFonts w:hint="eastAsia" w:ascii="宋体" w:hAnsi="宋体" w:eastAsia="宋体" w:cs="宋体"/>
                <w:b/>
                <w:bCs/>
                <w:color w:val="auto"/>
                <w:kern w:val="0"/>
                <w:sz w:val="21"/>
                <w:szCs w:val="21"/>
                <w:highlight w:val="none"/>
                <w:lang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2932">
            <w:pPr>
              <w:widowControl/>
              <w:spacing w:line="300" w:lineRule="exact"/>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节点保障</w:t>
            </w:r>
          </w:p>
        </w:tc>
        <w:tc>
          <w:tcPr>
            <w:tcW w:w="5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DAD8">
            <w:pPr>
              <w:widowControl/>
              <w:spacing w:line="300" w:lineRule="exact"/>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在国家、地方重大会议或活动期间（具体时间节点已教育系统通知为准），供应商须安排安全专家双人双岗7*24小时电话待命，随时响应各类网络安全事件，输出《节点值班计划》。</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001A">
            <w:pPr>
              <w:spacing w:line="3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持续保障</w:t>
            </w:r>
          </w:p>
        </w:tc>
      </w:tr>
      <w:tr w14:paraId="663B98C6">
        <w:tblPrEx>
          <w:tblCellMar>
            <w:top w:w="0" w:type="dxa"/>
            <w:left w:w="108" w:type="dxa"/>
            <w:bottom w:w="0" w:type="dxa"/>
            <w:right w:w="108" w:type="dxa"/>
          </w:tblCellMar>
        </w:tblPrEx>
        <w:trPr>
          <w:trHeight w:val="646" w:hRule="atLeast"/>
        </w:trPr>
        <w:tc>
          <w:tcPr>
            <w:tcW w:w="1033" w:type="dxa"/>
            <w:vMerge w:val="continue"/>
            <w:tcBorders>
              <w:left w:val="single" w:color="000000" w:sz="4" w:space="0"/>
              <w:bottom w:val="single" w:color="000000" w:sz="4" w:space="0"/>
              <w:right w:val="single" w:color="000000" w:sz="4" w:space="0"/>
            </w:tcBorders>
            <w:noWrap/>
            <w:vAlign w:val="center"/>
          </w:tcPr>
          <w:p w14:paraId="221FF0C8">
            <w:pPr>
              <w:spacing w:line="300" w:lineRule="exact"/>
              <w:jc w:val="center"/>
              <w:rPr>
                <w:rFonts w:hint="eastAsia" w:ascii="宋体" w:hAnsi="宋体" w:eastAsia="宋体" w:cs="宋体"/>
                <w:b/>
                <w:bCs/>
                <w:color w:val="auto"/>
                <w:kern w:val="0"/>
                <w:sz w:val="21"/>
                <w:szCs w:val="21"/>
                <w:highlight w:val="none"/>
                <w:lang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E9D0">
            <w:pPr>
              <w:widowControl/>
              <w:spacing w:line="300" w:lineRule="exact"/>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应急管理</w:t>
            </w:r>
          </w:p>
        </w:tc>
        <w:tc>
          <w:tcPr>
            <w:tcW w:w="5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2FCE">
            <w:pPr>
              <w:widowControl/>
              <w:spacing w:line="300" w:lineRule="exact"/>
              <w:jc w:val="left"/>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供应商需依据网络安全相关法律法规要求及相关标准，结合教育系统信息系统实际情况，帮助教育系统制定网络安全应急预案，协助教育系统开展网络安全应急演练。</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2889">
            <w:pPr>
              <w:spacing w:line="3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预案修订一次，预案演练一次</w:t>
            </w:r>
          </w:p>
        </w:tc>
      </w:tr>
      <w:tr w14:paraId="100B885D">
        <w:tblPrEx>
          <w:tblCellMar>
            <w:top w:w="0" w:type="dxa"/>
            <w:left w:w="108" w:type="dxa"/>
            <w:bottom w:w="0" w:type="dxa"/>
            <w:right w:w="108" w:type="dxa"/>
          </w:tblCellMar>
        </w:tblPrEx>
        <w:trPr>
          <w:trHeight w:val="798"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ign w:val="center"/>
          </w:tcPr>
          <w:p w14:paraId="1528FC37">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安全管理</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060780F">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资产维护</w:t>
            </w:r>
          </w:p>
        </w:tc>
        <w:tc>
          <w:tcPr>
            <w:tcW w:w="5371" w:type="dxa"/>
            <w:tcBorders>
              <w:top w:val="single" w:color="000000" w:sz="4" w:space="0"/>
              <w:left w:val="single" w:color="000000" w:sz="4" w:space="0"/>
              <w:bottom w:val="single" w:color="000000" w:sz="4" w:space="0"/>
              <w:right w:val="single" w:color="000000" w:sz="4" w:space="0"/>
            </w:tcBorders>
            <w:vAlign w:val="center"/>
          </w:tcPr>
          <w:p w14:paraId="6FEACC7C">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盘点教育系统核心机房应用系统及相关资源使用情况、下属单位终端IP段使用情况，及时更新《资产登记册》，发生网安事件及时精准定位响应。</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1DB3A69D">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按需维护</w:t>
            </w:r>
          </w:p>
        </w:tc>
      </w:tr>
      <w:tr w14:paraId="2B8CC436">
        <w:tblPrEx>
          <w:tblCellMar>
            <w:top w:w="0" w:type="dxa"/>
            <w:left w:w="108" w:type="dxa"/>
            <w:bottom w:w="0" w:type="dxa"/>
            <w:right w:w="108" w:type="dxa"/>
          </w:tblCellMar>
        </w:tblPrEx>
        <w:trPr>
          <w:trHeight w:val="1058"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257B1B86">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EDB9EF2">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风险跟踪</w:t>
            </w:r>
          </w:p>
        </w:tc>
        <w:tc>
          <w:tcPr>
            <w:tcW w:w="5371" w:type="dxa"/>
            <w:tcBorders>
              <w:top w:val="single" w:color="000000" w:sz="4" w:space="0"/>
              <w:left w:val="single" w:color="000000" w:sz="4" w:space="0"/>
              <w:bottom w:val="single" w:color="000000" w:sz="4" w:space="0"/>
              <w:right w:val="single" w:color="000000" w:sz="4" w:space="0"/>
            </w:tcBorders>
            <w:vAlign w:val="center"/>
          </w:tcPr>
          <w:p w14:paraId="4A6D9DC1">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对机房信息系统及教育系统终端资产安全风险进行跟踪，协助业主单位处理全流程网安风险隐患，并输出风险等级清单。</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6A49C80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持续跟踪</w:t>
            </w:r>
          </w:p>
        </w:tc>
      </w:tr>
      <w:tr w14:paraId="3E7D7004">
        <w:tblPrEx>
          <w:tblCellMar>
            <w:top w:w="0" w:type="dxa"/>
            <w:left w:w="108" w:type="dxa"/>
            <w:bottom w:w="0" w:type="dxa"/>
            <w:right w:w="108" w:type="dxa"/>
          </w:tblCellMar>
        </w:tblPrEx>
        <w:trPr>
          <w:trHeight w:val="838"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52502083">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6FC13B6">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运维报告</w:t>
            </w:r>
          </w:p>
        </w:tc>
        <w:tc>
          <w:tcPr>
            <w:tcW w:w="5371" w:type="dxa"/>
            <w:tcBorders>
              <w:top w:val="single" w:color="000000" w:sz="4" w:space="0"/>
              <w:left w:val="single" w:color="000000" w:sz="4" w:space="0"/>
              <w:bottom w:val="single" w:color="000000" w:sz="4" w:space="0"/>
              <w:right w:val="single" w:color="000000" w:sz="4" w:space="0"/>
            </w:tcBorders>
            <w:vAlign w:val="center"/>
          </w:tcPr>
          <w:p w14:paraId="6F8D09F3">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每年度整理运维期间风险安全隐患，总结反思不足，输出《运维服务报告》。</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10C3B18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每年一次</w:t>
            </w:r>
          </w:p>
        </w:tc>
      </w:tr>
      <w:tr w14:paraId="76AD4F21">
        <w:tblPrEx>
          <w:tblCellMar>
            <w:top w:w="0" w:type="dxa"/>
            <w:left w:w="108" w:type="dxa"/>
            <w:bottom w:w="0" w:type="dxa"/>
            <w:right w:w="108" w:type="dxa"/>
          </w:tblCellMar>
        </w:tblPrEx>
        <w:trPr>
          <w:trHeight w:val="1216"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ign w:val="center"/>
          </w:tcPr>
          <w:p w14:paraId="6D3F0E3C">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安全检测</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7120A43">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技术评估</w:t>
            </w:r>
          </w:p>
        </w:tc>
        <w:tc>
          <w:tcPr>
            <w:tcW w:w="5371" w:type="dxa"/>
            <w:tcBorders>
              <w:top w:val="single" w:color="000000" w:sz="4" w:space="0"/>
              <w:left w:val="single" w:color="000000" w:sz="4" w:space="0"/>
              <w:bottom w:val="single" w:color="000000" w:sz="4" w:space="0"/>
              <w:right w:val="single" w:color="000000" w:sz="4" w:space="0"/>
            </w:tcBorders>
            <w:vAlign w:val="center"/>
          </w:tcPr>
          <w:p w14:paraId="7A20668E">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依据国家网络安全标准，供应商需结合系统实际从技术层面评估脆弱性、识别安全风险，出具专业《技术评估报告》并提整改建议，协助教育系统进行落实整改，保障系统安全稳定。</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480B5AF5">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每年一次</w:t>
            </w:r>
          </w:p>
        </w:tc>
      </w:tr>
      <w:tr w14:paraId="160B5DEE">
        <w:tblPrEx>
          <w:tblCellMar>
            <w:top w:w="0" w:type="dxa"/>
            <w:left w:w="108" w:type="dxa"/>
            <w:bottom w:w="0" w:type="dxa"/>
            <w:right w:w="108" w:type="dxa"/>
          </w:tblCellMar>
        </w:tblPrEx>
        <w:trPr>
          <w:trHeight w:val="126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71C194EE">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A7B56B0">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安全巡检</w:t>
            </w:r>
          </w:p>
        </w:tc>
        <w:tc>
          <w:tcPr>
            <w:tcW w:w="5371" w:type="dxa"/>
            <w:tcBorders>
              <w:top w:val="single" w:color="000000" w:sz="4" w:space="0"/>
              <w:left w:val="single" w:color="000000" w:sz="4" w:space="0"/>
              <w:bottom w:val="single" w:color="000000" w:sz="4" w:space="0"/>
              <w:right w:val="single" w:color="000000" w:sz="4" w:space="0"/>
            </w:tcBorders>
            <w:vAlign w:val="center"/>
          </w:tcPr>
          <w:p w14:paraId="58B96AE3">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全巡检服务，供应商需定期对网络安全设备及信息系统开展安全运行检查，全面排查安全隐患并及时处置，保障设备与系统持续安全、平稳运行，并按要求规范出具《安全巡检报表》，满足网络安全管理相关要求。</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5C467535">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每周一次（含每月安全日志审计）</w:t>
            </w:r>
          </w:p>
        </w:tc>
      </w:tr>
      <w:tr w14:paraId="31153AF5">
        <w:tblPrEx>
          <w:tblCellMar>
            <w:top w:w="0" w:type="dxa"/>
            <w:left w:w="108" w:type="dxa"/>
            <w:bottom w:w="0" w:type="dxa"/>
            <w:right w:w="108" w:type="dxa"/>
          </w:tblCellMar>
        </w:tblPrEx>
        <w:trPr>
          <w:trHeight w:val="1448"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4D1F279C">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F3F75B2">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漏洞检测</w:t>
            </w:r>
          </w:p>
        </w:tc>
        <w:tc>
          <w:tcPr>
            <w:tcW w:w="5371" w:type="dxa"/>
            <w:tcBorders>
              <w:top w:val="single" w:color="000000" w:sz="4" w:space="0"/>
              <w:left w:val="single" w:color="000000" w:sz="4" w:space="0"/>
              <w:bottom w:val="single" w:color="000000" w:sz="4" w:space="0"/>
              <w:right w:val="single" w:color="000000" w:sz="4" w:space="0"/>
            </w:tcBorders>
            <w:vAlign w:val="center"/>
          </w:tcPr>
          <w:p w14:paraId="00930855">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漏洞检测服务，供应商需对教育系统的主机、应用等资产开展全面漏洞检测，重点排查暴露面资产安全风险，识别高危漏洞，按规范出具完整《漏洞检测报告》，为后续安全整改提供技术依据。</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23B3501D">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每月一次（含主机漏洞检测）</w:t>
            </w:r>
          </w:p>
        </w:tc>
      </w:tr>
      <w:tr w14:paraId="61EF9B37">
        <w:tblPrEx>
          <w:tblCellMar>
            <w:top w:w="0" w:type="dxa"/>
            <w:left w:w="108" w:type="dxa"/>
            <w:bottom w:w="0" w:type="dxa"/>
            <w:right w:w="108" w:type="dxa"/>
          </w:tblCellMar>
        </w:tblPrEx>
        <w:trPr>
          <w:trHeight w:val="1158"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1683A6DB">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D339">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渗透测试</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019D">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供应商需采用模拟黑客漏洞发现技术，综合运用网络漏洞攻击、弱口令猜解等手段，对目标系统脆弱性进行发现与验证，全面排查安全隐患，并按规范出具专业《渗透测试报告》。</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ECB4">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标准渗透测试一次</w:t>
            </w:r>
          </w:p>
        </w:tc>
      </w:tr>
      <w:tr w14:paraId="0A56B3A9">
        <w:tblPrEx>
          <w:tblCellMar>
            <w:top w:w="0" w:type="dxa"/>
            <w:left w:w="108" w:type="dxa"/>
            <w:bottom w:w="0" w:type="dxa"/>
            <w:right w:w="108" w:type="dxa"/>
          </w:tblCellMar>
        </w:tblPrEx>
        <w:trPr>
          <w:trHeight w:val="416"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4022876A">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BFB5">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网站安全</w:t>
            </w:r>
          </w:p>
        </w:tc>
        <w:tc>
          <w:tcPr>
            <w:tcW w:w="5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032">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供应商需对教育系统的网站进行实时安全监测，及时发现网站安全事件并进行预警，协助采购人进行安全预警处置，并输出《安全监测报表》。</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95E8">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被黑监测一次，存活监测一次</w:t>
            </w:r>
          </w:p>
        </w:tc>
      </w:tr>
      <w:tr w14:paraId="24F9AC05">
        <w:tblPrEx>
          <w:tblCellMar>
            <w:top w:w="0" w:type="dxa"/>
            <w:left w:w="108" w:type="dxa"/>
            <w:bottom w:w="0" w:type="dxa"/>
            <w:right w:w="108" w:type="dxa"/>
          </w:tblCellMar>
        </w:tblPrEx>
        <w:trPr>
          <w:trHeight w:val="90"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ign w:val="center"/>
          </w:tcPr>
          <w:p w14:paraId="3B370DB9">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优化改善</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4A1635F1">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基线加固</w:t>
            </w:r>
          </w:p>
        </w:tc>
        <w:tc>
          <w:tcPr>
            <w:tcW w:w="5371" w:type="dxa"/>
            <w:tcBorders>
              <w:top w:val="single" w:color="000000" w:sz="4" w:space="0"/>
              <w:left w:val="single" w:color="000000" w:sz="4" w:space="0"/>
              <w:bottom w:val="single" w:color="000000" w:sz="4" w:space="0"/>
              <w:right w:val="single" w:color="000000" w:sz="4" w:space="0"/>
            </w:tcBorders>
            <w:vAlign w:val="center"/>
          </w:tcPr>
          <w:p w14:paraId="5120402E">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供应商需根据信息安全相关标准和政策法规要求，根据教育系统的实际情况，建立专属《安全基线规范》，编制安全基线文件，并根据要求协助教育系统对目标资产实施基线加固。</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5D4B188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整体加固一次，持续维护</w:t>
            </w:r>
          </w:p>
        </w:tc>
      </w:tr>
      <w:tr w14:paraId="2759E99D">
        <w:tblPrEx>
          <w:tblCellMar>
            <w:top w:w="0" w:type="dxa"/>
            <w:left w:w="108" w:type="dxa"/>
            <w:bottom w:w="0" w:type="dxa"/>
            <w:right w:w="108" w:type="dxa"/>
          </w:tblCellMar>
        </w:tblPrEx>
        <w:trPr>
          <w:trHeight w:val="9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19490AA5">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22A12B7">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策略优化</w:t>
            </w:r>
          </w:p>
        </w:tc>
        <w:tc>
          <w:tcPr>
            <w:tcW w:w="5371" w:type="dxa"/>
            <w:tcBorders>
              <w:top w:val="single" w:color="000000" w:sz="4" w:space="0"/>
              <w:left w:val="single" w:color="000000" w:sz="4" w:space="0"/>
              <w:bottom w:val="single" w:color="000000" w:sz="4" w:space="0"/>
              <w:right w:val="single" w:color="000000" w:sz="4" w:space="0"/>
            </w:tcBorders>
            <w:vAlign w:val="center"/>
          </w:tcPr>
          <w:p w14:paraId="431CC7DA">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供应商需针对服务过程中发现的新增安全风险等相关问题，针对性的对教育系统已有安全防护策略进行优化调整，提升信息系统的安全防护水平。</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422BDA1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整体优化一次，持续优化</w:t>
            </w:r>
          </w:p>
        </w:tc>
      </w:tr>
      <w:tr w14:paraId="68AE1DB1">
        <w:tblPrEx>
          <w:tblCellMar>
            <w:top w:w="0" w:type="dxa"/>
            <w:left w:w="108" w:type="dxa"/>
            <w:bottom w:w="0" w:type="dxa"/>
            <w:right w:w="108" w:type="dxa"/>
          </w:tblCellMar>
        </w:tblPrEx>
        <w:trPr>
          <w:trHeight w:val="9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3F63F64A">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8EC4EF2">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安全培训</w:t>
            </w:r>
          </w:p>
        </w:tc>
        <w:tc>
          <w:tcPr>
            <w:tcW w:w="5371" w:type="dxa"/>
            <w:tcBorders>
              <w:top w:val="single" w:color="000000" w:sz="4" w:space="0"/>
              <w:left w:val="single" w:color="000000" w:sz="4" w:space="0"/>
              <w:bottom w:val="single" w:color="000000" w:sz="4" w:space="0"/>
              <w:right w:val="single" w:color="000000" w:sz="4" w:space="0"/>
            </w:tcBorders>
            <w:vAlign w:val="center"/>
          </w:tcPr>
          <w:p w14:paraId="1C9D807E">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供应商需教育系统面向相关工作人员、管理人员等开展信息安全培训，从多个维度来设计培训课程，降低人员安全风险。</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61572E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每年一次</w:t>
            </w:r>
          </w:p>
        </w:tc>
      </w:tr>
      <w:tr w14:paraId="19626FC4">
        <w:tblPrEx>
          <w:tblCellMar>
            <w:top w:w="0" w:type="dxa"/>
            <w:left w:w="108" w:type="dxa"/>
            <w:bottom w:w="0" w:type="dxa"/>
            <w:right w:w="108" w:type="dxa"/>
          </w:tblCellMar>
        </w:tblPrEx>
        <w:trPr>
          <w:trHeight w:val="138"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ign w:val="center"/>
          </w:tcPr>
          <w:p w14:paraId="5E12BFC8">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其他服务</w:t>
            </w: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10544D67">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检测服务</w:t>
            </w:r>
          </w:p>
        </w:tc>
        <w:tc>
          <w:tcPr>
            <w:tcW w:w="5371" w:type="dxa"/>
            <w:tcBorders>
              <w:top w:val="single" w:color="000000" w:sz="4" w:space="0"/>
              <w:left w:val="single" w:color="000000" w:sz="4" w:space="0"/>
              <w:bottom w:val="single" w:color="000000" w:sz="4" w:space="0"/>
              <w:right w:val="single" w:color="000000" w:sz="4" w:space="0"/>
            </w:tcBorders>
            <w:vAlign w:val="center"/>
          </w:tcPr>
          <w:p w14:paraId="0D2A118F">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供应商需依据网络安全相关法律法规要求及相关标准，协助教育系统完成来自监管、主管部门等相关部门的各项网络安全检查及相关工作。</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21F043B6">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7*8小时持续检测</w:t>
            </w:r>
          </w:p>
        </w:tc>
      </w:tr>
      <w:tr w14:paraId="045354B3">
        <w:tblPrEx>
          <w:tblCellMar>
            <w:top w:w="0" w:type="dxa"/>
            <w:left w:w="108" w:type="dxa"/>
            <w:bottom w:w="0" w:type="dxa"/>
            <w:right w:w="108" w:type="dxa"/>
          </w:tblCellMar>
        </w:tblPrEx>
        <w:trPr>
          <w:trHeight w:val="638"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70667317">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55A1EBC">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上线检测</w:t>
            </w:r>
          </w:p>
        </w:tc>
        <w:tc>
          <w:tcPr>
            <w:tcW w:w="5371" w:type="dxa"/>
            <w:tcBorders>
              <w:top w:val="single" w:color="000000" w:sz="4" w:space="0"/>
              <w:left w:val="single" w:color="000000" w:sz="4" w:space="0"/>
              <w:bottom w:val="single" w:color="000000" w:sz="4" w:space="0"/>
              <w:right w:val="single" w:color="000000" w:sz="4" w:space="0"/>
            </w:tcBorders>
            <w:vAlign w:val="center"/>
          </w:tcPr>
          <w:p w14:paraId="0D59E300">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教育系统如有新系统上线或系统需进行重大变更时，供应商需在新系统上线前或系统发生重大变更后，对该系统实施安全进行检测，并协助教育系统进行整改加固，并输出《安全检测报告》。</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4C661C2A">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按采购人需求</w:t>
            </w:r>
          </w:p>
        </w:tc>
      </w:tr>
      <w:tr w14:paraId="1936F0A9">
        <w:tblPrEx>
          <w:tblCellMar>
            <w:top w:w="0" w:type="dxa"/>
            <w:left w:w="108" w:type="dxa"/>
            <w:bottom w:w="0" w:type="dxa"/>
            <w:right w:w="108" w:type="dxa"/>
          </w:tblCellMar>
        </w:tblPrEx>
        <w:trPr>
          <w:trHeight w:val="9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0BE4F78D">
            <w:pPr>
              <w:spacing w:line="300" w:lineRule="exact"/>
              <w:jc w:val="center"/>
              <w:rPr>
                <w:rFonts w:hint="eastAsia" w:ascii="宋体" w:hAnsi="宋体" w:eastAsia="宋体" w:cs="宋体"/>
                <w:color w:val="auto"/>
                <w:sz w:val="21"/>
                <w:szCs w:val="21"/>
                <w:highlight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69F98941">
            <w:pPr>
              <w:widowControl/>
              <w:spacing w:line="3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等保测评协助</w:t>
            </w:r>
          </w:p>
        </w:tc>
        <w:tc>
          <w:tcPr>
            <w:tcW w:w="5371" w:type="dxa"/>
            <w:tcBorders>
              <w:top w:val="single" w:color="000000" w:sz="4" w:space="0"/>
              <w:left w:val="single" w:color="000000" w:sz="4" w:space="0"/>
              <w:bottom w:val="single" w:color="000000" w:sz="4" w:space="0"/>
              <w:right w:val="single" w:color="000000" w:sz="4" w:space="0"/>
            </w:tcBorders>
            <w:vAlign w:val="center"/>
          </w:tcPr>
          <w:p w14:paraId="251362D3">
            <w:pPr>
              <w:widowControl/>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在等保测评期间，协助采购人开展等保测评工作，配合测评方完成等保测评工作。</w:t>
            </w:r>
          </w:p>
        </w:tc>
        <w:tc>
          <w:tcPr>
            <w:tcW w:w="1960" w:type="dxa"/>
            <w:tcBorders>
              <w:top w:val="single" w:color="000000" w:sz="4" w:space="0"/>
              <w:left w:val="single" w:color="000000" w:sz="4" w:space="0"/>
              <w:bottom w:val="single" w:color="000000" w:sz="4" w:space="0"/>
              <w:right w:val="single" w:color="000000" w:sz="4" w:space="0"/>
            </w:tcBorders>
            <w:noWrap/>
            <w:vAlign w:val="center"/>
          </w:tcPr>
          <w:p w14:paraId="73C2F4D1">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根据采购人要求进行服务</w:t>
            </w:r>
          </w:p>
        </w:tc>
      </w:tr>
    </w:tbl>
    <w:p w14:paraId="6BBB4B40">
      <w:pPr>
        <w:rPr>
          <w:rFonts w:ascii="宋体" w:hAnsi="宋体" w:cs="宋体"/>
          <w:color w:val="auto"/>
          <w:szCs w:val="21"/>
          <w:highlight w:val="none"/>
        </w:rPr>
      </w:pPr>
      <w:r>
        <w:rPr>
          <w:rFonts w:hint="eastAsia" w:ascii="宋体" w:hAnsi="宋体" w:cs="宋体"/>
          <w:color w:val="auto"/>
          <w:szCs w:val="21"/>
          <w:highlight w:val="none"/>
        </w:rPr>
        <w:br w:type="page"/>
      </w:r>
    </w:p>
    <w:p w14:paraId="0B42B783">
      <w:pPr>
        <w:autoSpaceDE w:val="0"/>
        <w:autoSpaceDN w:val="0"/>
        <w:spacing w:line="400" w:lineRule="exact"/>
        <w:rPr>
          <w:rFonts w:ascii="宋体" w:hAnsi="宋体" w:cs="宋体"/>
          <w:color w:val="auto"/>
          <w:szCs w:val="21"/>
          <w:highlight w:val="none"/>
        </w:rPr>
        <w:sectPr>
          <w:headerReference r:id="rId6" w:type="default"/>
          <w:footerReference r:id="rId7" w:type="default"/>
          <w:pgSz w:w="11922" w:h="16849"/>
          <w:pgMar w:top="1179" w:right="1417" w:bottom="1179" w:left="1417" w:header="0" w:footer="567" w:gutter="0"/>
          <w:cols w:space="0" w:num="1"/>
        </w:sectPr>
      </w:pPr>
    </w:p>
    <w:bookmarkEnd w:id="73"/>
    <w:p w14:paraId="1986C760">
      <w:pPr>
        <w:pStyle w:val="62"/>
        <w:keepNext/>
        <w:keepLines/>
        <w:numPr>
          <w:ilvl w:val="0"/>
          <w:numId w:val="6"/>
        </w:numPr>
        <w:spacing w:line="360" w:lineRule="auto"/>
        <w:ind w:firstLineChars="0"/>
        <w:outlineLvl w:val="1"/>
        <w:rPr>
          <w:b/>
          <w:bCs/>
          <w:vanish/>
          <w:color w:val="auto"/>
          <w:szCs w:val="21"/>
          <w:highlight w:val="none"/>
        </w:rPr>
      </w:pPr>
      <w:bookmarkStart w:id="74" w:name="_Toc113268407"/>
      <w:bookmarkEnd w:id="74"/>
      <w:bookmarkStart w:id="75" w:name="_Toc114586262"/>
      <w:bookmarkEnd w:id="75"/>
      <w:bookmarkStart w:id="76" w:name="_Toc113268638"/>
      <w:bookmarkEnd w:id="76"/>
      <w:bookmarkStart w:id="77" w:name="_Toc114647469"/>
      <w:bookmarkEnd w:id="77"/>
      <w:bookmarkStart w:id="78" w:name="_Toc115103403"/>
      <w:bookmarkEnd w:id="78"/>
      <w:bookmarkStart w:id="79" w:name="_Toc106187915"/>
      <w:bookmarkEnd w:id="79"/>
      <w:bookmarkStart w:id="80" w:name="_Toc113267771"/>
      <w:bookmarkEnd w:id="80"/>
      <w:bookmarkStart w:id="81" w:name="_Toc113955884"/>
      <w:bookmarkEnd w:id="81"/>
      <w:bookmarkStart w:id="82" w:name="_Toc106188078"/>
      <w:bookmarkEnd w:id="82"/>
      <w:bookmarkStart w:id="83" w:name="_Toc114646848"/>
      <w:bookmarkEnd w:id="83"/>
      <w:bookmarkStart w:id="84" w:name="_Toc114671927"/>
      <w:bookmarkEnd w:id="84"/>
      <w:bookmarkStart w:id="85" w:name="_Toc113268828"/>
      <w:bookmarkEnd w:id="85"/>
      <w:bookmarkStart w:id="86" w:name="OLE_LINK240"/>
    </w:p>
    <w:bookmarkEnd w:id="86"/>
    <w:p w14:paraId="629B7CD9">
      <w:pPr>
        <w:spacing w:line="400" w:lineRule="exact"/>
        <w:outlineLvl w:val="1"/>
        <w:rPr>
          <w:rFonts w:ascii="宋体" w:hAnsi="宋体" w:cs="宋体"/>
          <w:color w:val="auto"/>
          <w:szCs w:val="21"/>
          <w:highlight w:val="none"/>
        </w:rPr>
      </w:pPr>
      <w:bookmarkStart w:id="87" w:name="_Toc12316"/>
      <w:bookmarkStart w:id="88" w:name="_Toc13837"/>
      <w:r>
        <w:rPr>
          <w:rFonts w:hint="eastAsia" w:ascii="宋体" w:hAnsi="宋体" w:cs="宋体"/>
          <w:b/>
          <w:bCs/>
          <w:color w:val="auto"/>
          <w:szCs w:val="21"/>
          <w:highlight w:val="none"/>
        </w:rPr>
        <w:t>五、商务要求</w:t>
      </w:r>
      <w:bookmarkEnd w:id="87"/>
      <w:bookmarkEnd w:id="88"/>
    </w:p>
    <w:tbl>
      <w:tblPr>
        <w:tblStyle w:val="42"/>
        <w:tblW w:w="53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8152"/>
      </w:tblGrid>
      <w:tr w14:paraId="56D96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02117BE9">
            <w:pPr>
              <w:pStyle w:val="23"/>
              <w:widowControl/>
              <w:spacing w:beforeLines="0" w:afterLines="0" w:line="240" w:lineRule="auto"/>
              <w:jc w:val="center"/>
              <w:outlineLvl w:val="0"/>
              <w:rPr>
                <w:rFonts w:hAnsi="宋体" w:cs="宋体"/>
                <w:color w:val="auto"/>
                <w:sz w:val="21"/>
                <w:szCs w:val="21"/>
                <w:highlight w:val="none"/>
              </w:rPr>
            </w:pPr>
            <w:bookmarkStart w:id="89" w:name="_Toc8358"/>
            <w:bookmarkStart w:id="90" w:name="_Toc6830"/>
            <w:bookmarkStart w:id="91" w:name="_Toc12154"/>
            <w:bookmarkStart w:id="92" w:name="_Toc9660"/>
            <w:bookmarkStart w:id="93" w:name="_Toc7213"/>
            <w:r>
              <w:rPr>
                <w:rFonts w:hint="eastAsia" w:hAnsi="宋体" w:cs="宋体"/>
                <w:color w:val="auto"/>
                <w:sz w:val="21"/>
                <w:szCs w:val="21"/>
                <w:highlight w:val="none"/>
              </w:rPr>
              <w:t>项目名称</w:t>
            </w:r>
            <w:bookmarkEnd w:id="89"/>
            <w:bookmarkEnd w:id="90"/>
            <w:bookmarkEnd w:id="91"/>
            <w:bookmarkEnd w:id="92"/>
            <w:bookmarkEnd w:id="93"/>
          </w:p>
        </w:tc>
        <w:tc>
          <w:tcPr>
            <w:tcW w:w="4132" w:type="pct"/>
            <w:vAlign w:val="center"/>
          </w:tcPr>
          <w:p w14:paraId="73CB3C69">
            <w:pPr>
              <w:pStyle w:val="23"/>
              <w:widowControl/>
              <w:spacing w:beforeLines="0" w:afterLines="0" w:line="240" w:lineRule="auto"/>
              <w:outlineLvl w:val="0"/>
              <w:rPr>
                <w:rFonts w:hAnsi="宋体" w:cs="宋体"/>
                <w:color w:val="auto"/>
                <w:sz w:val="21"/>
                <w:szCs w:val="21"/>
                <w:highlight w:val="none"/>
              </w:rPr>
            </w:pPr>
            <w:r>
              <w:rPr>
                <w:rFonts w:hint="eastAsia" w:hAnsi="宋体" w:cs="宋体"/>
                <w:color w:val="auto"/>
                <w:sz w:val="21"/>
                <w:szCs w:val="21"/>
                <w:highlight w:val="none"/>
              </w:rPr>
              <w:t>2026-2029年江北区教育系统网络安全采购</w:t>
            </w:r>
          </w:p>
        </w:tc>
      </w:tr>
      <w:tr w14:paraId="090B1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6E2ED699">
            <w:pPr>
              <w:pStyle w:val="23"/>
              <w:widowControl/>
              <w:spacing w:beforeLines="0" w:afterLines="0" w:line="240" w:lineRule="auto"/>
              <w:jc w:val="center"/>
              <w:outlineLvl w:val="0"/>
              <w:rPr>
                <w:rFonts w:hAnsi="宋体" w:cs="宋体"/>
                <w:color w:val="auto"/>
                <w:sz w:val="21"/>
                <w:szCs w:val="21"/>
                <w:highlight w:val="none"/>
              </w:rPr>
            </w:pPr>
            <w:bookmarkStart w:id="94" w:name="_Toc10495"/>
            <w:bookmarkStart w:id="95" w:name="_Toc2704"/>
            <w:bookmarkStart w:id="96" w:name="_Toc25304"/>
            <w:bookmarkStart w:id="97" w:name="_Toc14750"/>
            <w:bookmarkStart w:id="98" w:name="_Toc22457"/>
            <w:r>
              <w:rPr>
                <w:rFonts w:hint="eastAsia" w:hAnsi="宋体" w:cs="宋体"/>
                <w:color w:val="auto"/>
                <w:sz w:val="21"/>
                <w:szCs w:val="21"/>
                <w:highlight w:val="none"/>
              </w:rPr>
              <w:t>采购人</w:t>
            </w:r>
            <w:bookmarkEnd w:id="94"/>
            <w:bookmarkEnd w:id="95"/>
            <w:bookmarkEnd w:id="96"/>
            <w:bookmarkEnd w:id="97"/>
            <w:bookmarkEnd w:id="98"/>
          </w:p>
        </w:tc>
        <w:tc>
          <w:tcPr>
            <w:tcW w:w="4132" w:type="pct"/>
            <w:vAlign w:val="center"/>
          </w:tcPr>
          <w:p w14:paraId="15EB904A">
            <w:pPr>
              <w:pStyle w:val="23"/>
              <w:widowControl/>
              <w:spacing w:beforeLines="0" w:afterLines="0" w:line="240" w:lineRule="auto"/>
              <w:outlineLvl w:val="0"/>
              <w:rPr>
                <w:rFonts w:hAnsi="宋体" w:cs="宋体"/>
                <w:color w:val="auto"/>
                <w:sz w:val="21"/>
                <w:szCs w:val="21"/>
                <w:highlight w:val="none"/>
              </w:rPr>
            </w:pPr>
            <w:r>
              <w:rPr>
                <w:rFonts w:hint="eastAsia" w:hAnsi="宋体" w:cs="宋体"/>
                <w:color w:val="auto"/>
                <w:sz w:val="21"/>
                <w:szCs w:val="21"/>
                <w:highlight w:val="none"/>
              </w:rPr>
              <w:t>宁波市江北区教育局教研室</w:t>
            </w:r>
          </w:p>
        </w:tc>
      </w:tr>
      <w:tr w14:paraId="0CE4A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0AB704D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采购内容</w:t>
            </w:r>
          </w:p>
        </w:tc>
        <w:tc>
          <w:tcPr>
            <w:tcW w:w="4132" w:type="pct"/>
            <w:vAlign w:val="center"/>
          </w:tcPr>
          <w:p w14:paraId="2A40A41D">
            <w:pPr>
              <w:spacing w:line="400" w:lineRule="exact"/>
              <w:rPr>
                <w:rFonts w:ascii="宋体" w:hAnsi="宋体" w:cs="宋体"/>
                <w:color w:val="auto"/>
                <w:szCs w:val="21"/>
                <w:highlight w:val="none"/>
              </w:rPr>
            </w:pPr>
            <w:r>
              <w:rPr>
                <w:rFonts w:hint="eastAsia" w:ascii="宋体" w:hAnsi="宋体" w:cs="宋体"/>
                <w:color w:val="auto"/>
                <w:szCs w:val="21"/>
                <w:highlight w:val="none"/>
              </w:rPr>
              <w:t>协助宁波市江北区教育局教研室做好日常网络安全维护工作，有效提升网络、信息系统的安全性，确保各信息系统的稳定及数据安全，杜绝网络安全及数据泄漏事件发生等，具体详见“第二章 采购需求”。</w:t>
            </w:r>
          </w:p>
        </w:tc>
      </w:tr>
      <w:tr w14:paraId="5A4F6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3BB5AF6C">
            <w:pPr>
              <w:jc w:val="center"/>
              <w:rPr>
                <w:rFonts w:ascii="宋体" w:hAnsi="宋体" w:cs="宋体"/>
                <w:color w:val="auto"/>
                <w:szCs w:val="21"/>
                <w:highlight w:val="none"/>
              </w:rPr>
            </w:pPr>
            <w:r>
              <w:rPr>
                <w:rFonts w:hint="eastAsia" w:ascii="宋体" w:hAnsi="宋体" w:cs="宋体"/>
                <w:color w:val="auto"/>
                <w:szCs w:val="21"/>
                <w:highlight w:val="none"/>
              </w:rPr>
              <w:t>最高限价</w:t>
            </w:r>
          </w:p>
        </w:tc>
        <w:tc>
          <w:tcPr>
            <w:tcW w:w="4132" w:type="pct"/>
            <w:vAlign w:val="center"/>
          </w:tcPr>
          <w:p w14:paraId="4417A630">
            <w:pPr>
              <w:snapToGrid w:val="0"/>
              <w:rPr>
                <w:rFonts w:ascii="宋体" w:hAnsi="宋体" w:cs="宋体"/>
                <w:color w:val="auto"/>
                <w:szCs w:val="21"/>
                <w:highlight w:val="none"/>
              </w:rPr>
            </w:pPr>
            <w:r>
              <w:rPr>
                <w:rFonts w:hint="eastAsia" w:ascii="宋体" w:hAnsi="宋体" w:cs="宋体"/>
                <w:color w:val="auto"/>
                <w:szCs w:val="21"/>
                <w:highlight w:val="none"/>
              </w:rPr>
              <w:t>本项目最高限价总金额为</w:t>
            </w:r>
            <w:r>
              <w:rPr>
                <w:rFonts w:hint="eastAsia" w:ascii="宋体" w:hAnsi="宋体" w:cs="宋体"/>
                <w:color w:val="auto"/>
                <w:szCs w:val="21"/>
                <w:highlight w:val="none"/>
                <w:u w:val="single"/>
              </w:rPr>
              <w:t>130000元/年，390000元/三年</w:t>
            </w:r>
            <w:r>
              <w:rPr>
                <w:rFonts w:hint="eastAsia" w:ascii="宋体" w:hAnsi="宋体" w:cs="宋体"/>
                <w:color w:val="auto"/>
                <w:szCs w:val="21"/>
                <w:highlight w:val="none"/>
              </w:rPr>
              <w:t>。</w:t>
            </w:r>
          </w:p>
        </w:tc>
      </w:tr>
      <w:tr w14:paraId="0A17F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32E6F608">
            <w:pPr>
              <w:pStyle w:val="23"/>
              <w:widowControl/>
              <w:spacing w:beforeLines="0" w:afterLines="0" w:line="240" w:lineRule="auto"/>
              <w:jc w:val="center"/>
              <w:outlineLvl w:val="0"/>
              <w:rPr>
                <w:rFonts w:hAnsi="宋体" w:cs="宋体"/>
                <w:color w:val="auto"/>
                <w:sz w:val="21"/>
                <w:szCs w:val="21"/>
                <w:highlight w:val="none"/>
              </w:rPr>
            </w:pPr>
            <w:bookmarkStart w:id="99" w:name="_Toc110"/>
            <w:bookmarkStart w:id="100" w:name="_Toc31124"/>
            <w:bookmarkStart w:id="101" w:name="_Toc32643"/>
            <w:bookmarkStart w:id="102" w:name="_Toc19755"/>
            <w:bookmarkStart w:id="103" w:name="_Toc147"/>
            <w:r>
              <w:rPr>
                <w:rFonts w:hint="eastAsia" w:hAnsi="宋体" w:cs="宋体"/>
                <w:color w:val="auto"/>
                <w:sz w:val="21"/>
                <w:szCs w:val="21"/>
                <w:highlight w:val="none"/>
              </w:rPr>
              <w:t>合同履约</w:t>
            </w:r>
            <w:bookmarkEnd w:id="99"/>
            <w:bookmarkEnd w:id="100"/>
            <w:bookmarkEnd w:id="101"/>
            <w:bookmarkEnd w:id="102"/>
            <w:bookmarkEnd w:id="103"/>
            <w:bookmarkStart w:id="104" w:name="_Toc7229"/>
            <w:bookmarkStart w:id="105" w:name="_Toc31100"/>
            <w:bookmarkStart w:id="106" w:name="_Toc32228"/>
            <w:bookmarkStart w:id="107" w:name="_Toc22638"/>
            <w:bookmarkStart w:id="108" w:name="_Toc19850"/>
            <w:r>
              <w:rPr>
                <w:rFonts w:hint="eastAsia" w:hAnsi="宋体" w:cs="宋体"/>
                <w:color w:val="auto"/>
                <w:sz w:val="21"/>
                <w:szCs w:val="21"/>
                <w:highlight w:val="none"/>
              </w:rPr>
              <w:t>期限</w:t>
            </w:r>
            <w:bookmarkEnd w:id="104"/>
            <w:bookmarkEnd w:id="105"/>
            <w:bookmarkEnd w:id="106"/>
            <w:bookmarkEnd w:id="107"/>
            <w:bookmarkEnd w:id="108"/>
          </w:p>
        </w:tc>
        <w:tc>
          <w:tcPr>
            <w:tcW w:w="4132" w:type="pct"/>
            <w:vAlign w:val="center"/>
          </w:tcPr>
          <w:p w14:paraId="61796B58">
            <w:pPr>
              <w:spacing w:line="440" w:lineRule="exact"/>
              <w:rPr>
                <w:rFonts w:ascii="宋体" w:hAnsi="宋体" w:cs="宋体"/>
                <w:color w:val="auto"/>
                <w:szCs w:val="21"/>
                <w:highlight w:val="none"/>
              </w:rPr>
            </w:pPr>
            <w:r>
              <w:rPr>
                <w:rFonts w:hint="eastAsia"/>
                <w:color w:val="auto"/>
                <w:highlight w:val="none"/>
              </w:rPr>
              <w:t>总服务期限为自合同签订之日起三年。（合同一年一签。第一年自合同签订之日起计算。第二年采购人根据供应商在上一年度的合同履约、考核情况、业主需求，决定是否续签）。</w:t>
            </w:r>
          </w:p>
        </w:tc>
      </w:tr>
      <w:tr w14:paraId="594AA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53ACAEF7">
            <w:pPr>
              <w:pStyle w:val="23"/>
              <w:widowControl/>
              <w:spacing w:beforeLines="0" w:afterLines="0"/>
              <w:jc w:val="center"/>
              <w:outlineLvl w:val="0"/>
              <w:rPr>
                <w:rFonts w:hAnsi="宋体" w:cs="宋体"/>
                <w:color w:val="auto"/>
                <w:sz w:val="21"/>
                <w:szCs w:val="21"/>
                <w:highlight w:val="none"/>
              </w:rPr>
            </w:pPr>
            <w:bookmarkStart w:id="109" w:name="_Toc26479"/>
            <w:bookmarkStart w:id="110" w:name="_Toc3404"/>
            <w:bookmarkStart w:id="111" w:name="_Toc3197"/>
            <w:bookmarkStart w:id="112" w:name="_Toc20650"/>
            <w:bookmarkStart w:id="113" w:name="_Toc20419"/>
            <w:r>
              <w:rPr>
                <w:rFonts w:hint="eastAsia" w:hAnsi="宋体" w:cs="宋体"/>
                <w:color w:val="auto"/>
                <w:sz w:val="21"/>
                <w:szCs w:val="21"/>
                <w:highlight w:val="none"/>
              </w:rPr>
              <w:t>付款方式</w:t>
            </w:r>
            <w:bookmarkEnd w:id="109"/>
            <w:bookmarkEnd w:id="110"/>
            <w:bookmarkEnd w:id="111"/>
            <w:bookmarkEnd w:id="112"/>
            <w:bookmarkEnd w:id="113"/>
          </w:p>
        </w:tc>
        <w:tc>
          <w:tcPr>
            <w:tcW w:w="4132" w:type="pct"/>
            <w:vAlign w:val="center"/>
          </w:tcPr>
          <w:p w14:paraId="22C10AF4">
            <w:pPr>
              <w:spacing w:line="440" w:lineRule="exact"/>
              <w:rPr>
                <w:rFonts w:ascii="宋体" w:hAnsi="宋体" w:cs="宋体"/>
                <w:color w:val="auto"/>
                <w:highlight w:val="none"/>
              </w:rPr>
            </w:pPr>
            <w:r>
              <w:rPr>
                <w:rFonts w:hint="eastAsia" w:ascii="宋体" w:hAnsi="宋体" w:cs="宋体"/>
                <w:color w:val="auto"/>
                <w:highlight w:val="none"/>
              </w:rPr>
              <w:t>（1）合同签订生效并具备实施条件后7个工作日内支付至合同总价的40%。</w:t>
            </w:r>
          </w:p>
          <w:p w14:paraId="62CE0895">
            <w:pPr>
              <w:spacing w:line="440" w:lineRule="exact"/>
              <w:rPr>
                <w:rFonts w:ascii="宋体" w:hAnsi="宋体" w:cs="宋体"/>
                <w:color w:val="auto"/>
                <w:highlight w:val="none"/>
              </w:rPr>
            </w:pPr>
            <w:r>
              <w:rPr>
                <w:rFonts w:hint="eastAsia" w:ascii="宋体" w:hAnsi="宋体" w:cs="宋体"/>
                <w:color w:val="auto"/>
                <w:highlight w:val="none"/>
              </w:rPr>
              <w:t>（2）采购人根据年度考核得分支付本项目剩余款项：考核得分在80分（含）至100分之间的，支付至合同金额的100%；得分在60分（不含）至80分（不含）之间的，支付至合同金额的80%；得分在60分（含）一下的，支付至合同金额的60%。考核标准详见“考核标准表”。</w:t>
            </w:r>
          </w:p>
          <w:p w14:paraId="152C2315">
            <w:pPr>
              <w:spacing w:line="440" w:lineRule="exact"/>
              <w:rPr>
                <w:rFonts w:ascii="宋体" w:hAnsi="宋体" w:cs="宋体"/>
                <w:color w:val="auto"/>
                <w:szCs w:val="21"/>
                <w:highlight w:val="none"/>
              </w:rPr>
            </w:pPr>
            <w:r>
              <w:rPr>
                <w:rFonts w:hint="eastAsia"/>
                <w:color w:val="auto"/>
                <w:highlight w:val="none"/>
              </w:rPr>
              <w:t>备注：每次支付合同款项前，成交供应商须开具符合采购要求</w:t>
            </w:r>
            <w:r>
              <w:rPr>
                <w:rFonts w:hint="eastAsia" w:ascii="宋体" w:hAnsi="宋体" w:cs="宋体"/>
                <w:color w:val="auto"/>
                <w:szCs w:val="21"/>
                <w:highlight w:val="none"/>
              </w:rPr>
              <w:t>的税务发票，采购单位对于满足合同约定支付条件的，自收到符合采购单位要求的发票后7个工作日内容支付对应款项。</w:t>
            </w:r>
          </w:p>
        </w:tc>
      </w:tr>
      <w:tr w14:paraId="291C3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1FD44776">
            <w:pPr>
              <w:pStyle w:val="23"/>
              <w:widowControl/>
              <w:spacing w:beforeLines="0" w:afterLines="0"/>
              <w:jc w:val="center"/>
              <w:outlineLvl w:val="0"/>
              <w:rPr>
                <w:rFonts w:hAnsi="宋体" w:cs="宋体"/>
                <w:color w:val="auto"/>
                <w:sz w:val="21"/>
                <w:szCs w:val="21"/>
                <w:highlight w:val="none"/>
              </w:rPr>
            </w:pPr>
            <w:bookmarkStart w:id="114" w:name="_Toc31934"/>
            <w:bookmarkStart w:id="115" w:name="_Toc21892"/>
            <w:bookmarkStart w:id="116" w:name="_Toc2145"/>
            <w:bookmarkStart w:id="117" w:name="_Toc9652"/>
            <w:bookmarkStart w:id="118" w:name="_Toc14719"/>
            <w:r>
              <w:rPr>
                <w:rFonts w:hint="eastAsia" w:hAnsi="宋体" w:cs="宋体"/>
                <w:color w:val="auto"/>
                <w:sz w:val="21"/>
                <w:szCs w:val="21"/>
                <w:highlight w:val="none"/>
              </w:rPr>
              <w:t>履约保</w:t>
            </w:r>
            <w:bookmarkEnd w:id="114"/>
            <w:bookmarkEnd w:id="115"/>
            <w:bookmarkEnd w:id="116"/>
            <w:bookmarkEnd w:id="117"/>
            <w:bookmarkEnd w:id="118"/>
            <w:bookmarkStart w:id="119" w:name="_Toc15818"/>
            <w:bookmarkStart w:id="120" w:name="_Toc1244"/>
            <w:bookmarkStart w:id="121" w:name="_Toc2546"/>
            <w:bookmarkStart w:id="122" w:name="_Toc24642"/>
            <w:bookmarkStart w:id="123" w:name="_Toc27379"/>
            <w:r>
              <w:rPr>
                <w:rFonts w:hint="eastAsia" w:hAnsi="宋体" w:cs="宋体"/>
                <w:color w:val="auto"/>
                <w:sz w:val="21"/>
                <w:szCs w:val="21"/>
                <w:highlight w:val="none"/>
              </w:rPr>
              <w:t>证金</w:t>
            </w:r>
            <w:bookmarkEnd w:id="119"/>
            <w:bookmarkEnd w:id="120"/>
            <w:bookmarkEnd w:id="121"/>
            <w:bookmarkEnd w:id="122"/>
            <w:bookmarkEnd w:id="123"/>
          </w:p>
        </w:tc>
        <w:tc>
          <w:tcPr>
            <w:tcW w:w="4132" w:type="pct"/>
            <w:vAlign w:val="center"/>
          </w:tcPr>
          <w:p w14:paraId="2DC63CE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本项目不适用。</w:t>
            </w:r>
          </w:p>
        </w:tc>
      </w:tr>
      <w:tr w14:paraId="350CB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pct"/>
            <w:vAlign w:val="center"/>
          </w:tcPr>
          <w:p w14:paraId="3BC6283A">
            <w:pPr>
              <w:pStyle w:val="23"/>
              <w:widowControl/>
              <w:spacing w:beforeLines="0" w:afterLines="0"/>
              <w:jc w:val="center"/>
              <w:outlineLvl w:val="0"/>
              <w:rPr>
                <w:rFonts w:hAnsi="宋体" w:cs="宋体"/>
                <w:color w:val="auto"/>
                <w:sz w:val="21"/>
                <w:szCs w:val="21"/>
                <w:highlight w:val="none"/>
              </w:rPr>
            </w:pPr>
            <w:r>
              <w:rPr>
                <w:rFonts w:hint="eastAsia" w:hAnsi="宋体" w:cs="宋体"/>
                <w:color w:val="auto"/>
                <w:sz w:val="21"/>
                <w:szCs w:val="21"/>
                <w:highlight w:val="none"/>
              </w:rPr>
              <w:t>其他说明</w:t>
            </w:r>
          </w:p>
        </w:tc>
        <w:tc>
          <w:tcPr>
            <w:tcW w:w="4132" w:type="pct"/>
            <w:vAlign w:val="center"/>
          </w:tcPr>
          <w:p w14:paraId="3C02087F">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涉及本项目的所有规范、文件、国家标准、实施细则等如有更新，以最新版本为准。</w:t>
            </w:r>
          </w:p>
        </w:tc>
      </w:tr>
    </w:tbl>
    <w:p w14:paraId="4406EC03">
      <w:pPr>
        <w:rPr>
          <w:rFonts w:cs="仿宋"/>
          <w:b/>
          <w:color w:val="auto"/>
          <w:szCs w:val="21"/>
          <w:highlight w:val="none"/>
        </w:rPr>
      </w:pPr>
    </w:p>
    <w:p w14:paraId="589915F7">
      <w:pPr>
        <w:rPr>
          <w:rFonts w:cs="仿宋"/>
          <w:b/>
          <w:color w:val="auto"/>
          <w:szCs w:val="21"/>
          <w:highlight w:val="none"/>
        </w:rPr>
      </w:pPr>
      <w:r>
        <w:rPr>
          <w:rFonts w:hint="eastAsia" w:cs="仿宋"/>
          <w:b/>
          <w:color w:val="auto"/>
          <w:szCs w:val="21"/>
          <w:highlight w:val="none"/>
        </w:rPr>
        <w:t>六、服务考核</w:t>
      </w:r>
    </w:p>
    <w:p w14:paraId="03EC8D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w:t>
      </w:r>
      <w:bookmarkStart w:id="124" w:name="_Toc224907397"/>
      <w:bookmarkStart w:id="125" w:name="_Toc178155732"/>
      <w:r>
        <w:rPr>
          <w:rFonts w:hint="eastAsia" w:ascii="宋体" w:hAnsi="宋体" w:cs="宋体"/>
          <w:color w:val="auto"/>
          <w:szCs w:val="21"/>
          <w:highlight w:val="none"/>
        </w:rPr>
        <w:t>考核时间</w:t>
      </w:r>
      <w:bookmarkEnd w:id="124"/>
      <w:bookmarkEnd w:id="125"/>
    </w:p>
    <w:p w14:paraId="25023E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在2026-2029年江北区教育系统网络安全采购当年度服务到期前由采购单位相关人员组成的考评组根据考核办法对服务单位进行监督考核。考核周期：年度综合考核。</w:t>
      </w:r>
    </w:p>
    <w:p w14:paraId="622CDB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（二）考核标准表</w:t>
      </w:r>
    </w:p>
    <w:tbl>
      <w:tblPr>
        <w:tblStyle w:val="42"/>
        <w:tblW w:w="5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0"/>
        <w:gridCol w:w="1164"/>
        <w:gridCol w:w="732"/>
        <w:gridCol w:w="2553"/>
        <w:gridCol w:w="4987"/>
      </w:tblGrid>
      <w:tr w14:paraId="2E8A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tblHeader/>
          <w:jc w:val="center"/>
        </w:trPr>
        <w:tc>
          <w:tcPr>
            <w:tcW w:w="345" w:type="pct"/>
            <w:tcMar>
              <w:top w:w="120" w:type="dxa"/>
              <w:left w:w="120" w:type="dxa"/>
              <w:bottom w:w="120" w:type="dxa"/>
              <w:right w:w="120" w:type="dxa"/>
            </w:tcMar>
            <w:vAlign w:val="center"/>
          </w:tcPr>
          <w:p w14:paraId="6DEEBD35">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574" w:type="pct"/>
            <w:tcMar>
              <w:top w:w="120" w:type="dxa"/>
              <w:left w:w="120" w:type="dxa"/>
              <w:bottom w:w="120" w:type="dxa"/>
              <w:right w:w="120" w:type="dxa"/>
            </w:tcMar>
            <w:vAlign w:val="center"/>
          </w:tcPr>
          <w:p w14:paraId="7ADD7B0F">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考核项目</w:t>
            </w:r>
          </w:p>
        </w:tc>
        <w:tc>
          <w:tcPr>
            <w:tcW w:w="361" w:type="pct"/>
            <w:tcMar>
              <w:top w:w="120" w:type="dxa"/>
              <w:left w:w="120" w:type="dxa"/>
              <w:bottom w:w="120" w:type="dxa"/>
              <w:right w:w="120" w:type="dxa"/>
            </w:tcMar>
            <w:vAlign w:val="center"/>
          </w:tcPr>
          <w:p w14:paraId="1DC6E25E">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分值</w:t>
            </w:r>
          </w:p>
        </w:tc>
        <w:tc>
          <w:tcPr>
            <w:tcW w:w="1259" w:type="pct"/>
            <w:tcMar>
              <w:top w:w="120" w:type="dxa"/>
              <w:left w:w="120" w:type="dxa"/>
              <w:bottom w:w="120" w:type="dxa"/>
              <w:right w:w="120" w:type="dxa"/>
            </w:tcMar>
            <w:vAlign w:val="center"/>
          </w:tcPr>
          <w:p w14:paraId="71E6E39F">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评分标准</w:t>
            </w:r>
          </w:p>
        </w:tc>
        <w:tc>
          <w:tcPr>
            <w:tcW w:w="2459" w:type="pct"/>
            <w:tcMar>
              <w:top w:w="120" w:type="dxa"/>
              <w:left w:w="120" w:type="dxa"/>
              <w:bottom w:w="120" w:type="dxa"/>
              <w:right w:w="120" w:type="dxa"/>
            </w:tcMar>
            <w:vAlign w:val="center"/>
          </w:tcPr>
          <w:p w14:paraId="41B742CC">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处理方式</w:t>
            </w:r>
          </w:p>
        </w:tc>
      </w:tr>
      <w:tr w14:paraId="7624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1" w:hRule="atLeast"/>
          <w:jc w:val="center"/>
        </w:trPr>
        <w:tc>
          <w:tcPr>
            <w:tcW w:w="345" w:type="pct"/>
            <w:tcMar>
              <w:top w:w="120" w:type="dxa"/>
              <w:left w:w="120" w:type="dxa"/>
              <w:bottom w:w="120" w:type="dxa"/>
              <w:right w:w="120" w:type="dxa"/>
            </w:tcMar>
            <w:vAlign w:val="center"/>
          </w:tcPr>
          <w:p w14:paraId="0E6A6D78">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574" w:type="pct"/>
            <w:tcMar>
              <w:top w:w="120" w:type="dxa"/>
              <w:left w:w="120" w:type="dxa"/>
              <w:bottom w:w="120" w:type="dxa"/>
              <w:right w:w="120" w:type="dxa"/>
            </w:tcMar>
            <w:vAlign w:val="center"/>
          </w:tcPr>
          <w:p w14:paraId="23F6581B">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安全管理服务</w:t>
            </w:r>
          </w:p>
        </w:tc>
        <w:tc>
          <w:tcPr>
            <w:tcW w:w="361" w:type="pct"/>
            <w:tcMar>
              <w:top w:w="120" w:type="dxa"/>
              <w:left w:w="120" w:type="dxa"/>
              <w:bottom w:w="120" w:type="dxa"/>
              <w:right w:w="120" w:type="dxa"/>
            </w:tcMar>
            <w:vAlign w:val="center"/>
          </w:tcPr>
          <w:p w14:paraId="3C9ED08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259" w:type="pct"/>
            <w:tcMar>
              <w:top w:w="120" w:type="dxa"/>
              <w:left w:w="120" w:type="dxa"/>
              <w:bottom w:w="120" w:type="dxa"/>
              <w:right w:w="120" w:type="dxa"/>
            </w:tcMar>
            <w:vAlign w:val="center"/>
          </w:tcPr>
          <w:p w14:paraId="33B2F19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按要求完成资产盘点、风险跟踪、年度运维报告，资料完整、跟踪及时</w:t>
            </w:r>
          </w:p>
        </w:tc>
        <w:tc>
          <w:tcPr>
            <w:tcW w:w="2459" w:type="pct"/>
            <w:tcMar>
              <w:top w:w="120" w:type="dxa"/>
              <w:left w:w="120" w:type="dxa"/>
              <w:bottom w:w="120" w:type="dxa"/>
              <w:right w:w="120" w:type="dxa"/>
            </w:tcMar>
            <w:vAlign w:val="center"/>
          </w:tcPr>
          <w:p w14:paraId="72EBBF57">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1.未更新《资产登记册》，每次扣2分</w:t>
            </w:r>
          </w:p>
          <w:p w14:paraId="59186C5B">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2.未输出风险等级清单，每次扣3分</w:t>
            </w:r>
          </w:p>
          <w:p w14:paraId="1901D3BA">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3.未提交年度《运维服务报告》，扣5分</w:t>
            </w:r>
          </w:p>
        </w:tc>
      </w:tr>
      <w:tr w14:paraId="6BD9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jc w:val="center"/>
        </w:trPr>
        <w:tc>
          <w:tcPr>
            <w:tcW w:w="345" w:type="pct"/>
            <w:tcMar>
              <w:top w:w="120" w:type="dxa"/>
              <w:left w:w="120" w:type="dxa"/>
              <w:bottom w:w="120" w:type="dxa"/>
              <w:right w:w="120" w:type="dxa"/>
            </w:tcMar>
            <w:vAlign w:val="center"/>
          </w:tcPr>
          <w:p w14:paraId="65C29C5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574" w:type="pct"/>
            <w:tcMar>
              <w:top w:w="120" w:type="dxa"/>
              <w:left w:w="120" w:type="dxa"/>
              <w:bottom w:w="120" w:type="dxa"/>
              <w:right w:w="120" w:type="dxa"/>
            </w:tcMar>
            <w:vAlign w:val="center"/>
          </w:tcPr>
          <w:p w14:paraId="75F3B0C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安全检测服务</w:t>
            </w:r>
          </w:p>
        </w:tc>
        <w:tc>
          <w:tcPr>
            <w:tcW w:w="361" w:type="pct"/>
            <w:tcMar>
              <w:top w:w="120" w:type="dxa"/>
              <w:left w:w="120" w:type="dxa"/>
              <w:bottom w:w="120" w:type="dxa"/>
              <w:right w:w="120" w:type="dxa"/>
            </w:tcMar>
            <w:vAlign w:val="center"/>
          </w:tcPr>
          <w:p w14:paraId="20D0DA72">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1259" w:type="pct"/>
            <w:tcMar>
              <w:top w:w="120" w:type="dxa"/>
              <w:left w:w="120" w:type="dxa"/>
              <w:bottom w:w="120" w:type="dxa"/>
              <w:right w:w="120" w:type="dxa"/>
            </w:tcMar>
            <w:vAlign w:val="center"/>
          </w:tcPr>
          <w:p w14:paraId="0759047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按频次完成技术评估、安全巡检、漏洞检测、渗透测试、网站安全监测，报告规范齐全</w:t>
            </w:r>
          </w:p>
        </w:tc>
        <w:tc>
          <w:tcPr>
            <w:tcW w:w="2459" w:type="pct"/>
            <w:tcMar>
              <w:top w:w="120" w:type="dxa"/>
              <w:left w:w="120" w:type="dxa"/>
              <w:bottom w:w="120" w:type="dxa"/>
              <w:right w:w="120" w:type="dxa"/>
            </w:tcMar>
            <w:vAlign w:val="center"/>
          </w:tcPr>
          <w:p w14:paraId="7D0DBDF1">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1.未开展月度安全巡检，单次扣5分</w:t>
            </w:r>
          </w:p>
          <w:p w14:paraId="133CCFE6">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2.未按要求完成技术评估、渗透测试、网站监测，每项扣5分</w:t>
            </w:r>
          </w:p>
          <w:p w14:paraId="1F005C1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3.安全巡检报表、检测报告缺失，每份扣2分</w:t>
            </w:r>
          </w:p>
        </w:tc>
      </w:tr>
      <w:tr w14:paraId="3B87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45" w:type="pct"/>
            <w:tcMar>
              <w:top w:w="120" w:type="dxa"/>
              <w:left w:w="120" w:type="dxa"/>
              <w:bottom w:w="120" w:type="dxa"/>
              <w:right w:w="120" w:type="dxa"/>
            </w:tcMar>
            <w:vAlign w:val="center"/>
          </w:tcPr>
          <w:p w14:paraId="0F5B8800">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574" w:type="pct"/>
            <w:tcMar>
              <w:top w:w="120" w:type="dxa"/>
              <w:left w:w="120" w:type="dxa"/>
              <w:bottom w:w="120" w:type="dxa"/>
              <w:right w:w="120" w:type="dxa"/>
            </w:tcMar>
            <w:vAlign w:val="center"/>
          </w:tcPr>
          <w:p w14:paraId="457D2C8F">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优化改善服务</w:t>
            </w:r>
          </w:p>
        </w:tc>
        <w:tc>
          <w:tcPr>
            <w:tcW w:w="361" w:type="pct"/>
            <w:tcMar>
              <w:top w:w="120" w:type="dxa"/>
              <w:left w:w="120" w:type="dxa"/>
              <w:bottom w:w="120" w:type="dxa"/>
              <w:right w:w="120" w:type="dxa"/>
            </w:tcMar>
            <w:vAlign w:val="center"/>
          </w:tcPr>
          <w:p w14:paraId="6E234B8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259" w:type="pct"/>
            <w:tcMar>
              <w:top w:w="120" w:type="dxa"/>
              <w:left w:w="120" w:type="dxa"/>
              <w:bottom w:w="120" w:type="dxa"/>
              <w:right w:w="120" w:type="dxa"/>
            </w:tcMar>
            <w:vAlign w:val="center"/>
          </w:tcPr>
          <w:p w14:paraId="5B1480B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完成安全基线加固、防护策略优化、年度安全培训，符合规范要求</w:t>
            </w:r>
          </w:p>
        </w:tc>
        <w:tc>
          <w:tcPr>
            <w:tcW w:w="2459" w:type="pct"/>
            <w:tcMar>
              <w:top w:w="120" w:type="dxa"/>
              <w:left w:w="120" w:type="dxa"/>
              <w:bottom w:w="120" w:type="dxa"/>
              <w:right w:w="120" w:type="dxa"/>
            </w:tcMar>
            <w:vAlign w:val="center"/>
          </w:tcPr>
          <w:p w14:paraId="3C9B834A">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1.未建立安全基线规范或未实施加固，扣5分</w:t>
            </w:r>
          </w:p>
          <w:p w14:paraId="3508834D">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2.未开展安全培训，扣5分</w:t>
            </w:r>
          </w:p>
          <w:p w14:paraId="22A1FD83">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3.策略优化未落实，每项扣3分</w:t>
            </w:r>
          </w:p>
        </w:tc>
      </w:tr>
      <w:tr w14:paraId="089A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6" w:hRule="atLeast"/>
          <w:jc w:val="center"/>
        </w:trPr>
        <w:tc>
          <w:tcPr>
            <w:tcW w:w="345" w:type="pct"/>
            <w:tcMar>
              <w:top w:w="120" w:type="dxa"/>
              <w:left w:w="120" w:type="dxa"/>
              <w:bottom w:w="120" w:type="dxa"/>
              <w:right w:w="120" w:type="dxa"/>
            </w:tcMar>
            <w:vAlign w:val="center"/>
          </w:tcPr>
          <w:p w14:paraId="5044EE40">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574" w:type="pct"/>
            <w:tcMar>
              <w:top w:w="120" w:type="dxa"/>
              <w:left w:w="120" w:type="dxa"/>
              <w:bottom w:w="120" w:type="dxa"/>
              <w:right w:w="120" w:type="dxa"/>
            </w:tcMar>
            <w:vAlign w:val="center"/>
          </w:tcPr>
          <w:p w14:paraId="7F74E8F5">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应急保障服务</w:t>
            </w:r>
          </w:p>
        </w:tc>
        <w:tc>
          <w:tcPr>
            <w:tcW w:w="361" w:type="pct"/>
            <w:tcMar>
              <w:top w:w="120" w:type="dxa"/>
              <w:left w:w="120" w:type="dxa"/>
              <w:bottom w:w="120" w:type="dxa"/>
              <w:right w:w="120" w:type="dxa"/>
            </w:tcMar>
            <w:vAlign w:val="center"/>
          </w:tcPr>
          <w:p w14:paraId="431A0BCB">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259" w:type="pct"/>
            <w:tcMar>
              <w:top w:w="120" w:type="dxa"/>
              <w:left w:w="120" w:type="dxa"/>
              <w:bottom w:w="120" w:type="dxa"/>
              <w:right w:w="120" w:type="dxa"/>
            </w:tcMar>
            <w:vAlign w:val="center"/>
          </w:tcPr>
          <w:p w14:paraId="5943504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完成应急预案修订、应急演练，提供 7×24 小时应急响应与重大节点保障</w:t>
            </w:r>
          </w:p>
        </w:tc>
        <w:tc>
          <w:tcPr>
            <w:tcW w:w="2459" w:type="pct"/>
            <w:tcMar>
              <w:top w:w="120" w:type="dxa"/>
              <w:left w:w="120" w:type="dxa"/>
              <w:bottom w:w="120" w:type="dxa"/>
              <w:right w:w="120" w:type="dxa"/>
            </w:tcMar>
            <w:vAlign w:val="center"/>
          </w:tcPr>
          <w:p w14:paraId="066B6BFE">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未修订预案、未开展演练，每项扣5分</w:t>
            </w:r>
          </w:p>
          <w:p w14:paraId="621AAB97">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2.重大节点未执行双人双岗待命，扣5分</w:t>
            </w:r>
          </w:p>
          <w:p w14:paraId="3435A22A">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3.运维响应不及时，单次扣5分</w:t>
            </w:r>
          </w:p>
        </w:tc>
      </w:tr>
      <w:tr w14:paraId="5903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0" w:hRule="atLeast"/>
          <w:jc w:val="center"/>
        </w:trPr>
        <w:tc>
          <w:tcPr>
            <w:tcW w:w="345" w:type="pct"/>
            <w:tcMar>
              <w:top w:w="120" w:type="dxa"/>
              <w:left w:w="120" w:type="dxa"/>
              <w:bottom w:w="120" w:type="dxa"/>
              <w:right w:w="120" w:type="dxa"/>
            </w:tcMar>
            <w:vAlign w:val="center"/>
          </w:tcPr>
          <w:p w14:paraId="3945614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574" w:type="pct"/>
            <w:tcMar>
              <w:top w:w="120" w:type="dxa"/>
              <w:left w:w="120" w:type="dxa"/>
              <w:bottom w:w="120" w:type="dxa"/>
              <w:right w:w="120" w:type="dxa"/>
            </w:tcMar>
            <w:vAlign w:val="center"/>
          </w:tcPr>
          <w:p w14:paraId="35B1B2FE">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其他配套服务</w:t>
            </w:r>
          </w:p>
        </w:tc>
        <w:tc>
          <w:tcPr>
            <w:tcW w:w="361" w:type="pct"/>
            <w:tcMar>
              <w:top w:w="120" w:type="dxa"/>
              <w:left w:w="120" w:type="dxa"/>
              <w:bottom w:w="120" w:type="dxa"/>
              <w:right w:w="120" w:type="dxa"/>
            </w:tcMar>
            <w:vAlign w:val="center"/>
          </w:tcPr>
          <w:p w14:paraId="7D2C77B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259" w:type="pct"/>
            <w:tcMar>
              <w:top w:w="120" w:type="dxa"/>
              <w:left w:w="120" w:type="dxa"/>
              <w:bottom w:w="120" w:type="dxa"/>
              <w:right w:w="120" w:type="dxa"/>
            </w:tcMar>
            <w:vAlign w:val="center"/>
          </w:tcPr>
          <w:p w14:paraId="2DF97F3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按要求完成监管检查协助、系统上线检测、等保测评协助</w:t>
            </w:r>
          </w:p>
        </w:tc>
        <w:tc>
          <w:tcPr>
            <w:tcW w:w="2459" w:type="pct"/>
            <w:tcMar>
              <w:top w:w="120" w:type="dxa"/>
              <w:left w:w="120" w:type="dxa"/>
              <w:bottom w:w="120" w:type="dxa"/>
              <w:right w:w="120" w:type="dxa"/>
            </w:tcMar>
            <w:vAlign w:val="center"/>
          </w:tcPr>
          <w:p w14:paraId="57927C28">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未配合监管部门网络安全检查，每次扣5分</w:t>
            </w:r>
          </w:p>
          <w:p w14:paraId="29B1EB31">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2.上线检测未按要求执行，每次扣2分</w:t>
            </w:r>
          </w:p>
          <w:p w14:paraId="2998766B">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3.等保测评协助不到位，扣3分</w:t>
            </w:r>
          </w:p>
        </w:tc>
      </w:tr>
      <w:tr w14:paraId="344B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jc w:val="center"/>
        </w:trPr>
        <w:tc>
          <w:tcPr>
            <w:tcW w:w="345" w:type="pct"/>
            <w:tcMar>
              <w:top w:w="120" w:type="dxa"/>
              <w:left w:w="120" w:type="dxa"/>
              <w:bottom w:w="120" w:type="dxa"/>
              <w:right w:w="120" w:type="dxa"/>
            </w:tcMar>
            <w:vAlign w:val="center"/>
          </w:tcPr>
          <w:p w14:paraId="7B7E6BE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574" w:type="pct"/>
            <w:tcMar>
              <w:top w:w="120" w:type="dxa"/>
              <w:left w:w="120" w:type="dxa"/>
              <w:bottom w:w="120" w:type="dxa"/>
              <w:right w:w="120" w:type="dxa"/>
            </w:tcMar>
            <w:vAlign w:val="center"/>
          </w:tcPr>
          <w:p w14:paraId="3BFE87D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合规与通报处置</w:t>
            </w:r>
          </w:p>
        </w:tc>
        <w:tc>
          <w:tcPr>
            <w:tcW w:w="361" w:type="pct"/>
            <w:tcMar>
              <w:top w:w="120" w:type="dxa"/>
              <w:left w:w="120" w:type="dxa"/>
              <w:bottom w:w="120" w:type="dxa"/>
              <w:right w:w="120" w:type="dxa"/>
            </w:tcMar>
            <w:vAlign w:val="center"/>
          </w:tcPr>
          <w:p w14:paraId="2EADED9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259" w:type="pct"/>
            <w:tcMar>
              <w:top w:w="120" w:type="dxa"/>
              <w:left w:w="120" w:type="dxa"/>
              <w:bottom w:w="120" w:type="dxa"/>
              <w:right w:w="120" w:type="dxa"/>
            </w:tcMar>
            <w:vAlign w:val="center"/>
          </w:tcPr>
          <w:p w14:paraId="6180935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及时处置安全通报、隐患整改，符合网络安全合规要求</w:t>
            </w:r>
          </w:p>
        </w:tc>
        <w:tc>
          <w:tcPr>
            <w:tcW w:w="2459" w:type="pct"/>
            <w:tcMar>
              <w:top w:w="120" w:type="dxa"/>
              <w:left w:w="120" w:type="dxa"/>
              <w:bottom w:w="120" w:type="dxa"/>
              <w:right w:w="120" w:type="dxa"/>
            </w:tcMar>
            <w:vAlign w:val="center"/>
          </w:tcPr>
          <w:p w14:paraId="1CA085FC">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1.受到省级以上安全通报未及时处置，单次扣5分</w:t>
            </w:r>
          </w:p>
          <w:p w14:paraId="5540DC2D">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2.安全隐患未按期整改，每次扣3分</w:t>
            </w:r>
          </w:p>
        </w:tc>
      </w:tr>
      <w:tr w14:paraId="2E7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4" w:hRule="atLeast"/>
          <w:jc w:val="center"/>
        </w:trPr>
        <w:tc>
          <w:tcPr>
            <w:tcW w:w="345" w:type="pct"/>
            <w:tcMar>
              <w:top w:w="120" w:type="dxa"/>
              <w:left w:w="120" w:type="dxa"/>
              <w:bottom w:w="120" w:type="dxa"/>
              <w:right w:w="120" w:type="dxa"/>
            </w:tcMar>
            <w:vAlign w:val="center"/>
          </w:tcPr>
          <w:p w14:paraId="53D54C2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574" w:type="pct"/>
            <w:tcMar>
              <w:top w:w="120" w:type="dxa"/>
              <w:left w:w="120" w:type="dxa"/>
              <w:bottom w:w="120" w:type="dxa"/>
              <w:right w:w="120" w:type="dxa"/>
            </w:tcMar>
            <w:vAlign w:val="center"/>
          </w:tcPr>
          <w:p w14:paraId="38D81A43">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服务满意度</w:t>
            </w:r>
          </w:p>
        </w:tc>
        <w:tc>
          <w:tcPr>
            <w:tcW w:w="361" w:type="pct"/>
            <w:tcMar>
              <w:top w:w="120" w:type="dxa"/>
              <w:left w:w="120" w:type="dxa"/>
              <w:bottom w:w="120" w:type="dxa"/>
              <w:right w:w="120" w:type="dxa"/>
            </w:tcMar>
            <w:vAlign w:val="center"/>
          </w:tcPr>
          <w:p w14:paraId="557453DB">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1259" w:type="pct"/>
            <w:tcMar>
              <w:top w:w="120" w:type="dxa"/>
              <w:left w:w="120" w:type="dxa"/>
              <w:bottom w:w="120" w:type="dxa"/>
              <w:right w:w="120" w:type="dxa"/>
            </w:tcMar>
            <w:vAlign w:val="center"/>
          </w:tcPr>
          <w:p w14:paraId="6AC1D864">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甲方对服务规范性、专业性、响应效率、配合度进行满意度评价</w:t>
            </w:r>
          </w:p>
        </w:tc>
        <w:tc>
          <w:tcPr>
            <w:tcW w:w="2459" w:type="pct"/>
            <w:tcMar>
              <w:top w:w="120" w:type="dxa"/>
              <w:left w:w="120" w:type="dxa"/>
              <w:bottom w:w="120" w:type="dxa"/>
              <w:right w:w="120" w:type="dxa"/>
            </w:tcMar>
            <w:vAlign w:val="center"/>
          </w:tcPr>
          <w:p w14:paraId="29975A62">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非常满意不扣分、一般扣2分、不满意扣3分</w:t>
            </w:r>
          </w:p>
        </w:tc>
      </w:tr>
      <w:tr w14:paraId="212D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919" w:type="pct"/>
            <w:gridSpan w:val="2"/>
            <w:tcMar>
              <w:top w:w="120" w:type="dxa"/>
              <w:left w:w="120" w:type="dxa"/>
              <w:bottom w:w="120" w:type="dxa"/>
              <w:right w:w="120" w:type="dxa"/>
            </w:tcMar>
            <w:vAlign w:val="center"/>
          </w:tcPr>
          <w:p w14:paraId="124117D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总分</w:t>
            </w:r>
          </w:p>
        </w:tc>
        <w:tc>
          <w:tcPr>
            <w:tcW w:w="1620" w:type="pct"/>
            <w:gridSpan w:val="2"/>
            <w:tcMar>
              <w:top w:w="120" w:type="dxa"/>
              <w:left w:w="120" w:type="dxa"/>
              <w:bottom w:w="120" w:type="dxa"/>
              <w:right w:w="120" w:type="dxa"/>
            </w:tcMar>
            <w:vAlign w:val="center"/>
          </w:tcPr>
          <w:p w14:paraId="663B6B7D">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2459" w:type="pct"/>
            <w:tcMar>
              <w:top w:w="120" w:type="dxa"/>
              <w:left w:w="120" w:type="dxa"/>
              <w:bottom w:w="120" w:type="dxa"/>
              <w:right w:w="120" w:type="dxa"/>
            </w:tcMar>
            <w:vAlign w:val="center"/>
          </w:tcPr>
          <w:p w14:paraId="10978DF4">
            <w:pPr>
              <w:widowControl/>
              <w:spacing w:line="300" w:lineRule="exact"/>
              <w:jc w:val="center"/>
              <w:rPr>
                <w:rFonts w:ascii="宋体" w:hAnsi="宋体" w:cs="宋体"/>
                <w:color w:val="auto"/>
                <w:szCs w:val="21"/>
                <w:highlight w:val="none"/>
              </w:rPr>
            </w:pPr>
          </w:p>
        </w:tc>
      </w:tr>
    </w:tbl>
    <w:p w14:paraId="69A9F3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37F3F666">
      <w:pPr>
        <w:pStyle w:val="23"/>
        <w:snapToGrid w:val="0"/>
        <w:spacing w:before="0" w:beforeLines="0" w:after="0" w:afterLines="0" w:line="360" w:lineRule="auto"/>
        <w:jc w:val="center"/>
        <w:outlineLvl w:val="0"/>
        <w:rPr>
          <w:rStyle w:val="58"/>
          <w:rFonts w:ascii="黑体" w:hAnsi="黑体" w:eastAsia="黑体" w:cs="黑体"/>
          <w:color w:val="auto"/>
          <w:sz w:val="32"/>
          <w:szCs w:val="32"/>
          <w:highlight w:val="none"/>
        </w:rPr>
      </w:pPr>
      <w:bookmarkStart w:id="126" w:name="_Toc336"/>
      <w:bookmarkStart w:id="127" w:name="_Toc1281"/>
      <w:r>
        <w:rPr>
          <w:rStyle w:val="58"/>
          <w:rFonts w:hint="eastAsia" w:ascii="黑体" w:hAnsi="黑体" w:eastAsia="黑体" w:cs="黑体"/>
          <w:color w:val="auto"/>
          <w:sz w:val="32"/>
          <w:szCs w:val="32"/>
          <w:highlight w:val="none"/>
        </w:rPr>
        <w:t>第三章  供应商须知</w:t>
      </w:r>
      <w:bookmarkEnd w:id="126"/>
      <w:bookmarkEnd w:id="127"/>
    </w:p>
    <w:p w14:paraId="25408684">
      <w:pPr>
        <w:pStyle w:val="5"/>
        <w:spacing w:before="0" w:after="0"/>
        <w:jc w:val="center"/>
        <w:rPr>
          <w:rFonts w:ascii="宋体" w:hAnsi="宋体" w:cs="宋体"/>
          <w:color w:val="auto"/>
          <w:highlight w:val="none"/>
        </w:rPr>
      </w:pPr>
      <w:bookmarkStart w:id="128" w:name="_Toc1910"/>
      <w:bookmarkStart w:id="129" w:name="_Toc12094"/>
      <w:bookmarkStart w:id="130" w:name="_Toc8410"/>
      <w:bookmarkStart w:id="131" w:name="_Toc4987"/>
      <w:r>
        <w:rPr>
          <w:rFonts w:hint="eastAsia" w:ascii="宋体" w:hAnsi="宋体" w:cs="宋体"/>
          <w:color w:val="auto"/>
          <w:highlight w:val="none"/>
        </w:rPr>
        <w:t>前附表</w:t>
      </w:r>
      <w:bookmarkEnd w:id="128"/>
      <w:bookmarkEnd w:id="129"/>
      <w:bookmarkEnd w:id="130"/>
      <w:bookmarkEnd w:id="131"/>
    </w:p>
    <w:tbl>
      <w:tblPr>
        <w:tblStyle w:val="43"/>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98"/>
        <w:gridCol w:w="7380"/>
      </w:tblGrid>
      <w:tr w14:paraId="653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8" w:type="dxa"/>
            <w:vAlign w:val="center"/>
          </w:tcPr>
          <w:p w14:paraId="3775392A">
            <w:pPr>
              <w:pStyle w:val="40"/>
              <w:spacing w:after="0"/>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9178" w:type="dxa"/>
            <w:gridSpan w:val="2"/>
            <w:vAlign w:val="center"/>
          </w:tcPr>
          <w:p w14:paraId="271ED77A">
            <w:pPr>
              <w:pStyle w:val="40"/>
              <w:spacing w:after="0"/>
              <w:ind w:firstLine="0" w:firstLineChars="0"/>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条款及内容</w:t>
            </w:r>
          </w:p>
        </w:tc>
      </w:tr>
      <w:tr w14:paraId="1C18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7618C554">
            <w:pPr>
              <w:jc w:val="center"/>
              <w:rPr>
                <w:rFonts w:ascii="宋体" w:hAnsi="宋体" w:cs="宋体"/>
                <w:b/>
                <w:bCs/>
                <w:color w:val="auto"/>
                <w:szCs w:val="21"/>
                <w:highlight w:val="none"/>
              </w:rPr>
            </w:pPr>
            <w:r>
              <w:rPr>
                <w:rFonts w:hint="eastAsia" w:ascii="宋体" w:hAnsi="宋体" w:cs="宋体"/>
                <w:color w:val="auto"/>
                <w:szCs w:val="21"/>
                <w:highlight w:val="none"/>
              </w:rPr>
              <w:t>1</w:t>
            </w:r>
          </w:p>
        </w:tc>
        <w:tc>
          <w:tcPr>
            <w:tcW w:w="1798" w:type="dxa"/>
            <w:vAlign w:val="center"/>
          </w:tcPr>
          <w:p w14:paraId="2F570EFE">
            <w:pPr>
              <w:jc w:val="center"/>
              <w:rPr>
                <w:rFonts w:ascii="宋体" w:hAnsi="宋体" w:cs="宋体"/>
                <w:b/>
                <w:bCs/>
                <w:color w:val="auto"/>
                <w:szCs w:val="21"/>
                <w:highlight w:val="none"/>
              </w:rPr>
            </w:pPr>
            <w:r>
              <w:rPr>
                <w:rFonts w:hint="eastAsia" w:ascii="宋体" w:hAnsi="宋体" w:cs="宋体"/>
                <w:color w:val="auto"/>
                <w:szCs w:val="21"/>
                <w:highlight w:val="none"/>
              </w:rPr>
              <w:t>采购人</w:t>
            </w:r>
          </w:p>
        </w:tc>
        <w:tc>
          <w:tcPr>
            <w:tcW w:w="7380" w:type="dxa"/>
            <w:vAlign w:val="center"/>
          </w:tcPr>
          <w:p w14:paraId="39E6FA45">
            <w:pPr>
              <w:spacing w:line="400" w:lineRule="exact"/>
              <w:rPr>
                <w:rFonts w:ascii="宋体" w:hAnsi="宋体" w:cs="宋体"/>
                <w:color w:val="auto"/>
                <w:szCs w:val="21"/>
                <w:highlight w:val="none"/>
              </w:rPr>
            </w:pPr>
            <w:r>
              <w:rPr>
                <w:rFonts w:hint="eastAsia" w:ascii="宋体" w:hAnsi="宋体" w:cs="宋体"/>
                <w:color w:val="auto"/>
                <w:szCs w:val="21"/>
                <w:highlight w:val="none"/>
              </w:rPr>
              <w:t>采购人名称：宁波市江北区教育局教研室  　　　　　</w:t>
            </w:r>
          </w:p>
          <w:p w14:paraId="6D1BF44B">
            <w:pPr>
              <w:spacing w:line="400" w:lineRule="exact"/>
              <w:rPr>
                <w:rFonts w:ascii="宋体" w:hAnsi="宋体" w:cs="宋体"/>
                <w:color w:val="auto"/>
                <w:kern w:val="0"/>
                <w:szCs w:val="21"/>
                <w:highlight w:val="none"/>
              </w:rPr>
            </w:pPr>
            <w:r>
              <w:rPr>
                <w:rFonts w:hint="eastAsia" w:ascii="宋体" w:hAnsi="宋体" w:cs="宋体"/>
                <w:color w:val="auto"/>
                <w:szCs w:val="21"/>
                <w:highlight w:val="none"/>
              </w:rPr>
              <w:t>项目联系人：</w:t>
            </w:r>
            <w:r>
              <w:rPr>
                <w:rFonts w:hint="eastAsia" w:ascii="宋体" w:hAnsi="宋体" w:cs="宋体"/>
                <w:color w:val="auto"/>
                <w:kern w:val="0"/>
                <w:szCs w:val="21"/>
                <w:highlight w:val="none"/>
              </w:rPr>
              <w:t>宋老师</w:t>
            </w:r>
          </w:p>
          <w:p w14:paraId="6477C92B">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项目联系方式：0574-87668729</w:t>
            </w:r>
            <w:r>
              <w:rPr>
                <w:rFonts w:hint="eastAsia" w:ascii="宋体" w:hAnsi="宋体" w:cs="宋体"/>
                <w:color w:val="auto"/>
                <w:szCs w:val="21"/>
                <w:highlight w:val="none"/>
              </w:rPr>
              <w:t xml:space="preserve">          </w:t>
            </w:r>
          </w:p>
          <w:p w14:paraId="626D746D">
            <w:pPr>
              <w:spacing w:line="400" w:lineRule="exact"/>
              <w:rPr>
                <w:rFonts w:ascii="宋体" w:hAnsi="宋体" w:cs="宋体"/>
                <w:color w:val="auto"/>
                <w:szCs w:val="21"/>
                <w:highlight w:val="none"/>
              </w:rPr>
            </w:pPr>
            <w:r>
              <w:rPr>
                <w:rFonts w:hint="eastAsia" w:ascii="宋体" w:hAnsi="宋体" w:cs="宋体"/>
                <w:color w:val="auto"/>
                <w:szCs w:val="21"/>
                <w:highlight w:val="none"/>
              </w:rPr>
              <w:t>联系地址：宁波市江北区丽江东路85弄16号</w:t>
            </w:r>
          </w:p>
        </w:tc>
      </w:tr>
      <w:tr w14:paraId="01E2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6C20630A">
            <w:pPr>
              <w:jc w:val="center"/>
              <w:rPr>
                <w:rFonts w:ascii="宋体" w:hAnsi="宋体" w:cs="宋体"/>
                <w:b/>
                <w:bCs/>
                <w:color w:val="auto"/>
                <w:szCs w:val="21"/>
                <w:highlight w:val="none"/>
              </w:rPr>
            </w:pPr>
            <w:r>
              <w:rPr>
                <w:rFonts w:hint="eastAsia" w:ascii="宋体" w:hAnsi="宋体" w:cs="宋体"/>
                <w:color w:val="auto"/>
                <w:szCs w:val="21"/>
                <w:highlight w:val="none"/>
              </w:rPr>
              <w:t>2</w:t>
            </w:r>
          </w:p>
        </w:tc>
        <w:tc>
          <w:tcPr>
            <w:tcW w:w="1798" w:type="dxa"/>
            <w:vAlign w:val="center"/>
          </w:tcPr>
          <w:p w14:paraId="31845F3C">
            <w:pPr>
              <w:jc w:val="center"/>
              <w:rPr>
                <w:rFonts w:ascii="宋体" w:hAnsi="宋体" w:cs="宋体"/>
                <w:b/>
                <w:bCs/>
                <w:color w:val="auto"/>
                <w:szCs w:val="21"/>
                <w:highlight w:val="none"/>
              </w:rPr>
            </w:pPr>
            <w:r>
              <w:rPr>
                <w:rFonts w:hint="eastAsia" w:ascii="宋体" w:hAnsi="宋体" w:cs="宋体"/>
                <w:color w:val="auto"/>
                <w:szCs w:val="21"/>
                <w:highlight w:val="none"/>
              </w:rPr>
              <w:t>代理机构</w:t>
            </w:r>
          </w:p>
        </w:tc>
        <w:tc>
          <w:tcPr>
            <w:tcW w:w="7380" w:type="dxa"/>
            <w:vAlign w:val="center"/>
          </w:tcPr>
          <w:p w14:paraId="3E464A27">
            <w:pPr>
              <w:spacing w:line="400" w:lineRule="exact"/>
              <w:rPr>
                <w:rFonts w:ascii="宋体" w:hAnsi="宋体" w:cs="宋体"/>
                <w:color w:val="auto"/>
                <w:szCs w:val="21"/>
                <w:highlight w:val="none"/>
              </w:rPr>
            </w:pPr>
            <w:r>
              <w:rPr>
                <w:rFonts w:hint="eastAsia" w:ascii="宋体" w:hAnsi="宋体" w:cs="宋体"/>
                <w:color w:val="auto"/>
                <w:szCs w:val="21"/>
                <w:highlight w:val="none"/>
              </w:rPr>
              <w:t>采购代理机构：宁波市盛达工程管理咨询有限公司</w:t>
            </w:r>
          </w:p>
          <w:p w14:paraId="29978D57">
            <w:pPr>
              <w:spacing w:line="400" w:lineRule="exact"/>
              <w:rPr>
                <w:rFonts w:ascii="宋体" w:hAnsi="宋体" w:cs="宋体"/>
                <w:color w:val="auto"/>
                <w:szCs w:val="21"/>
                <w:highlight w:val="none"/>
              </w:rPr>
            </w:pPr>
            <w:r>
              <w:rPr>
                <w:rFonts w:hint="eastAsia" w:ascii="宋体" w:hAnsi="宋体" w:cs="宋体"/>
                <w:color w:val="auto"/>
                <w:szCs w:val="21"/>
                <w:highlight w:val="none"/>
              </w:rPr>
              <w:t>地址：宁波市江北区唐虞路319号（创富商业中心）A座 5楼</w:t>
            </w:r>
          </w:p>
          <w:p w14:paraId="36160DE9">
            <w:pPr>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kern w:val="0"/>
                <w:szCs w:val="21"/>
                <w:highlight w:val="none"/>
              </w:rPr>
              <w:t>蔡青青、徐超瑜、何周军、郑梅英、吕玲卓、顾静芬、张琳玲</w:t>
            </w:r>
          </w:p>
          <w:p w14:paraId="07206C2E">
            <w:pPr>
              <w:spacing w:line="400" w:lineRule="exact"/>
              <w:rPr>
                <w:rFonts w:ascii="宋体" w:hAnsi="宋体" w:cs="宋体"/>
                <w:b/>
                <w:bCs/>
                <w:color w:val="auto"/>
                <w:szCs w:val="21"/>
                <w:highlight w:val="none"/>
              </w:rPr>
            </w:pPr>
            <w:r>
              <w:rPr>
                <w:rFonts w:hint="eastAsia" w:ascii="宋体" w:hAnsi="宋体" w:cs="宋体"/>
                <w:color w:val="auto"/>
                <w:szCs w:val="21"/>
                <w:highlight w:val="none"/>
              </w:rPr>
              <w:t>联系电话：0574-87636525</w:t>
            </w:r>
          </w:p>
        </w:tc>
      </w:tr>
      <w:tr w14:paraId="49B2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74F6127D">
            <w:pPr>
              <w:jc w:val="center"/>
              <w:rPr>
                <w:rFonts w:ascii="宋体" w:hAnsi="宋体" w:cs="宋体"/>
                <w:b/>
                <w:bCs/>
                <w:color w:val="auto"/>
                <w:szCs w:val="21"/>
                <w:highlight w:val="none"/>
              </w:rPr>
            </w:pPr>
            <w:r>
              <w:rPr>
                <w:rFonts w:hint="eastAsia" w:ascii="宋体" w:hAnsi="宋体" w:cs="宋体"/>
                <w:color w:val="auto"/>
                <w:szCs w:val="21"/>
                <w:highlight w:val="none"/>
              </w:rPr>
              <w:t>3</w:t>
            </w:r>
          </w:p>
        </w:tc>
        <w:tc>
          <w:tcPr>
            <w:tcW w:w="1798" w:type="dxa"/>
            <w:vAlign w:val="center"/>
          </w:tcPr>
          <w:p w14:paraId="1F303030">
            <w:pPr>
              <w:jc w:val="center"/>
              <w:rPr>
                <w:rFonts w:ascii="宋体" w:hAnsi="宋体" w:cs="宋体"/>
                <w:b/>
                <w:bCs/>
                <w:color w:val="auto"/>
                <w:szCs w:val="21"/>
                <w:highlight w:val="none"/>
              </w:rPr>
            </w:pPr>
            <w:r>
              <w:rPr>
                <w:rFonts w:hint="eastAsia" w:ascii="宋体" w:hAnsi="宋体" w:cs="宋体"/>
                <w:color w:val="auto"/>
                <w:szCs w:val="21"/>
                <w:highlight w:val="none"/>
              </w:rPr>
              <w:t>发布媒体</w:t>
            </w:r>
          </w:p>
        </w:tc>
        <w:tc>
          <w:tcPr>
            <w:tcW w:w="7380" w:type="dxa"/>
            <w:vAlign w:val="center"/>
          </w:tcPr>
          <w:p w14:paraId="16B565B3">
            <w:pPr>
              <w:spacing w:line="400" w:lineRule="exact"/>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 xml:space="preserve">浙江政府采购网                   </w:t>
            </w:r>
            <w:r>
              <w:rPr>
                <w:color w:val="auto"/>
                <w:highlight w:val="none"/>
              </w:rPr>
              <w:fldChar w:fldCharType="begin"/>
            </w:r>
            <w:r>
              <w:rPr>
                <w:color w:val="auto"/>
                <w:highlight w:val="none"/>
              </w:rPr>
              <w:instrText xml:space="preserve"> HYPERLINK "http://zfcg.czt.zj.gov.cn/" </w:instrText>
            </w:r>
            <w:r>
              <w:rPr>
                <w:color w:val="auto"/>
                <w:highlight w:val="none"/>
              </w:rPr>
              <w:fldChar w:fldCharType="separate"/>
            </w:r>
            <w:r>
              <w:rPr>
                <w:rFonts w:hint="eastAsia" w:ascii="宋体" w:hAnsi="宋体" w:cs="宋体"/>
                <w:color w:val="auto"/>
                <w:kern w:val="0"/>
                <w:szCs w:val="21"/>
                <w:highlight w:val="none"/>
                <w:lang w:val="en"/>
              </w:rPr>
              <w:t>http://zfcg.czt.zj.gov.cn/</w:t>
            </w:r>
            <w:r>
              <w:rPr>
                <w:rFonts w:hint="eastAsia" w:ascii="宋体" w:hAnsi="宋体" w:cs="宋体"/>
                <w:color w:val="auto"/>
                <w:kern w:val="0"/>
                <w:szCs w:val="21"/>
                <w:highlight w:val="none"/>
                <w:lang w:val="en"/>
              </w:rPr>
              <w:fldChar w:fldCharType="end"/>
            </w:r>
          </w:p>
          <w:p w14:paraId="480B49B6">
            <w:pPr>
              <w:spacing w:line="400" w:lineRule="exact"/>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宁波政府采购网                   https://zfcg.czj.ningbo.gov.cn/</w:t>
            </w:r>
          </w:p>
          <w:p w14:paraId="7417A21B">
            <w:pPr>
              <w:spacing w:line="400" w:lineRule="exact"/>
              <w:rPr>
                <w:rFonts w:ascii="宋体" w:hAnsi="宋体" w:cs="宋体"/>
                <w:b/>
                <w:bCs/>
                <w:color w:val="auto"/>
                <w:szCs w:val="21"/>
                <w:highlight w:val="none"/>
              </w:rPr>
            </w:pPr>
            <w:r>
              <w:rPr>
                <w:rFonts w:hint="eastAsia" w:ascii="宋体" w:hAnsi="宋体" w:cs="宋体"/>
                <w:color w:val="auto"/>
                <w:szCs w:val="21"/>
                <w:highlight w:val="none"/>
              </w:rPr>
              <w:t>宁波市公共资源交易电子服务系统</w:t>
            </w:r>
            <w:r>
              <w:rPr>
                <w:rFonts w:hint="eastAsia" w:ascii="宋体" w:hAnsi="宋体" w:cs="宋体"/>
                <w:color w:val="auto"/>
                <w:kern w:val="0"/>
                <w:szCs w:val="21"/>
                <w:highlight w:val="none"/>
              </w:rPr>
              <w:t xml:space="preserve">   http://jyxt.zwb.ningbo.gov.cn:4011/</w:t>
            </w:r>
          </w:p>
        </w:tc>
      </w:tr>
      <w:tr w14:paraId="48C1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6E853A64">
            <w:pPr>
              <w:ind w:left="-108" w:right="-113"/>
              <w:jc w:val="center"/>
              <w:rPr>
                <w:rFonts w:ascii="宋体" w:hAnsi="宋体" w:cs="宋体"/>
                <w:color w:val="auto"/>
                <w:szCs w:val="21"/>
                <w:highlight w:val="none"/>
              </w:rPr>
            </w:pPr>
            <w:r>
              <w:rPr>
                <w:rFonts w:hint="eastAsia" w:ascii="宋体" w:hAnsi="宋体" w:cs="宋体"/>
                <w:color w:val="auto"/>
                <w:szCs w:val="21"/>
                <w:highlight w:val="none"/>
              </w:rPr>
              <w:t>4</w:t>
            </w:r>
          </w:p>
        </w:tc>
        <w:tc>
          <w:tcPr>
            <w:tcW w:w="1798" w:type="dxa"/>
            <w:vAlign w:val="center"/>
          </w:tcPr>
          <w:p w14:paraId="081DF4AF">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380" w:type="dxa"/>
            <w:vAlign w:val="center"/>
          </w:tcPr>
          <w:p w14:paraId="004095D9">
            <w:pPr>
              <w:spacing w:line="400" w:lineRule="exact"/>
              <w:rPr>
                <w:rFonts w:ascii="宋体" w:hAnsi="宋体" w:cs="宋体"/>
                <w:color w:val="auto"/>
                <w:szCs w:val="21"/>
                <w:highlight w:val="none"/>
              </w:rPr>
            </w:pPr>
            <w:r>
              <w:rPr>
                <w:rFonts w:hint="eastAsia" w:ascii="宋体" w:hAnsi="宋体" w:cs="宋体"/>
                <w:color w:val="auto"/>
                <w:szCs w:val="21"/>
                <w:highlight w:val="none"/>
              </w:rPr>
              <w:t>2026-2029年江北区教育系统网络安全采购</w:t>
            </w:r>
          </w:p>
        </w:tc>
      </w:tr>
      <w:tr w14:paraId="35DD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8" w:type="dxa"/>
            <w:vAlign w:val="center"/>
          </w:tcPr>
          <w:p w14:paraId="3EEA8216">
            <w:pPr>
              <w:ind w:left="-108" w:right="-113"/>
              <w:jc w:val="center"/>
              <w:rPr>
                <w:rFonts w:ascii="宋体" w:hAnsi="宋体" w:cs="宋体"/>
                <w:color w:val="auto"/>
                <w:szCs w:val="21"/>
                <w:highlight w:val="none"/>
              </w:rPr>
            </w:pPr>
            <w:r>
              <w:rPr>
                <w:rFonts w:hint="eastAsia" w:ascii="宋体" w:hAnsi="宋体" w:cs="宋体"/>
                <w:color w:val="auto"/>
                <w:szCs w:val="21"/>
                <w:highlight w:val="none"/>
              </w:rPr>
              <w:t>5</w:t>
            </w:r>
          </w:p>
        </w:tc>
        <w:tc>
          <w:tcPr>
            <w:tcW w:w="1798" w:type="dxa"/>
            <w:vAlign w:val="center"/>
          </w:tcPr>
          <w:p w14:paraId="458D5438">
            <w:pPr>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380" w:type="dxa"/>
            <w:vAlign w:val="center"/>
          </w:tcPr>
          <w:p w14:paraId="59E4B418">
            <w:pPr>
              <w:spacing w:line="400" w:lineRule="exact"/>
              <w:rPr>
                <w:rFonts w:ascii="宋体" w:hAnsi="宋体" w:cs="宋体"/>
                <w:color w:val="auto"/>
                <w:szCs w:val="21"/>
                <w:highlight w:val="none"/>
              </w:rPr>
            </w:pPr>
            <w:r>
              <w:rPr>
                <w:rFonts w:hint="eastAsia" w:ascii="宋体" w:hAnsi="宋体" w:cs="宋体"/>
                <w:color w:val="auto"/>
                <w:szCs w:val="21"/>
                <w:highlight w:val="none"/>
              </w:rPr>
              <w:t>财政预算资金</w:t>
            </w:r>
          </w:p>
        </w:tc>
      </w:tr>
      <w:tr w14:paraId="5497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1E28F355">
            <w:pPr>
              <w:ind w:left="-108" w:right="-113"/>
              <w:jc w:val="center"/>
              <w:rPr>
                <w:rFonts w:ascii="宋体" w:hAnsi="宋体" w:cs="宋体"/>
                <w:color w:val="auto"/>
                <w:szCs w:val="21"/>
                <w:highlight w:val="none"/>
              </w:rPr>
            </w:pPr>
            <w:r>
              <w:rPr>
                <w:rFonts w:hint="eastAsia" w:ascii="宋体" w:hAnsi="宋体" w:cs="宋体"/>
                <w:color w:val="auto"/>
                <w:szCs w:val="21"/>
                <w:highlight w:val="none"/>
              </w:rPr>
              <w:t>6</w:t>
            </w:r>
          </w:p>
        </w:tc>
        <w:tc>
          <w:tcPr>
            <w:tcW w:w="1798" w:type="dxa"/>
            <w:vAlign w:val="center"/>
          </w:tcPr>
          <w:p w14:paraId="240BD866">
            <w:pPr>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380" w:type="dxa"/>
            <w:vAlign w:val="center"/>
          </w:tcPr>
          <w:p w14:paraId="757996B2">
            <w:pPr>
              <w:spacing w:line="400" w:lineRule="exact"/>
              <w:rPr>
                <w:rFonts w:ascii="宋体" w:hAnsi="宋体" w:cs="宋体"/>
                <w:color w:val="auto"/>
                <w:szCs w:val="21"/>
                <w:highlight w:val="none"/>
              </w:rPr>
            </w:pPr>
            <w:r>
              <w:rPr>
                <w:rFonts w:hint="eastAsia" w:ascii="宋体" w:hAnsi="宋体" w:cs="宋体"/>
                <w:bCs/>
                <w:color w:val="auto"/>
                <w:kern w:val="0"/>
                <w:szCs w:val="21"/>
                <w:highlight w:val="none"/>
              </w:rPr>
              <w:t>具体详见第二章《采购需求》。</w:t>
            </w:r>
          </w:p>
        </w:tc>
      </w:tr>
      <w:tr w14:paraId="0990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441E11F3">
            <w:pPr>
              <w:pStyle w:val="40"/>
              <w:spacing w:after="0"/>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7</w:t>
            </w:r>
          </w:p>
        </w:tc>
        <w:tc>
          <w:tcPr>
            <w:tcW w:w="1798" w:type="dxa"/>
            <w:vAlign w:val="center"/>
          </w:tcPr>
          <w:p w14:paraId="50A35E75">
            <w:pPr>
              <w:jc w:val="center"/>
              <w:rPr>
                <w:rFonts w:ascii="宋体" w:hAnsi="宋体" w:cs="宋体"/>
                <w:color w:val="auto"/>
                <w:szCs w:val="21"/>
                <w:highlight w:val="none"/>
              </w:rPr>
            </w:pPr>
            <w:r>
              <w:rPr>
                <w:rFonts w:hint="eastAsia" w:ascii="宋体" w:hAnsi="宋体" w:cs="宋体"/>
                <w:color w:val="auto"/>
                <w:szCs w:val="21"/>
                <w:highlight w:val="none"/>
              </w:rPr>
              <w:t>采购方式</w:t>
            </w:r>
          </w:p>
        </w:tc>
        <w:tc>
          <w:tcPr>
            <w:tcW w:w="7380" w:type="dxa"/>
            <w:vAlign w:val="center"/>
          </w:tcPr>
          <w:p w14:paraId="266B9DC6">
            <w:pPr>
              <w:spacing w:line="400" w:lineRule="exact"/>
              <w:rPr>
                <w:rFonts w:ascii="宋体" w:hAnsi="宋体" w:cs="宋体"/>
                <w:color w:val="auto"/>
                <w:szCs w:val="21"/>
                <w:highlight w:val="none"/>
              </w:rPr>
            </w:pPr>
            <w:r>
              <w:rPr>
                <w:rFonts w:hint="eastAsia" w:ascii="宋体" w:hAnsi="宋体" w:cs="宋体"/>
                <w:color w:val="auto"/>
                <w:szCs w:val="21"/>
                <w:highlight w:val="none"/>
              </w:rPr>
              <w:t>公开招标</w:t>
            </w:r>
          </w:p>
        </w:tc>
      </w:tr>
      <w:tr w14:paraId="4D18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083DDEB3">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798" w:type="dxa"/>
            <w:vAlign w:val="center"/>
          </w:tcPr>
          <w:p w14:paraId="48953F4F">
            <w:pPr>
              <w:jc w:val="center"/>
              <w:rPr>
                <w:rFonts w:ascii="宋体" w:hAnsi="宋体" w:cs="宋体"/>
                <w:color w:val="auto"/>
                <w:szCs w:val="21"/>
                <w:highlight w:val="none"/>
              </w:rPr>
            </w:pPr>
            <w:r>
              <w:rPr>
                <w:rFonts w:hint="eastAsia" w:ascii="宋体" w:hAnsi="宋体" w:cs="宋体"/>
                <w:color w:val="auto"/>
                <w:szCs w:val="21"/>
                <w:highlight w:val="none"/>
              </w:rPr>
              <w:t>现场踏勘</w:t>
            </w:r>
          </w:p>
        </w:tc>
        <w:tc>
          <w:tcPr>
            <w:tcW w:w="7380" w:type="dxa"/>
            <w:vAlign w:val="center"/>
          </w:tcPr>
          <w:p w14:paraId="20AAA214">
            <w:pPr>
              <w:spacing w:line="400" w:lineRule="exact"/>
              <w:rPr>
                <w:rFonts w:ascii="宋体" w:hAnsi="宋体" w:cs="宋体"/>
                <w:color w:val="auto"/>
                <w:szCs w:val="21"/>
                <w:highlight w:val="none"/>
              </w:rPr>
            </w:pPr>
            <w:r>
              <w:rPr>
                <w:rFonts w:hint="eastAsia" w:ascii="宋体" w:hAnsi="宋体" w:cs="宋体"/>
                <w:iCs/>
                <w:color w:val="auto"/>
                <w:szCs w:val="21"/>
                <w:highlight w:val="none"/>
              </w:rPr>
              <w:t>1.</w:t>
            </w:r>
            <w:r>
              <w:rPr>
                <w:rFonts w:hint="eastAsia" w:ascii="宋体" w:hAnsi="宋体" w:cs="宋体"/>
                <w:color w:val="auto"/>
                <w:szCs w:val="21"/>
                <w:highlight w:val="none"/>
              </w:rPr>
              <w:t>本项目不统一组织现场勘察，供应商可自行对本项目现场和周围环境进行勘察。</w:t>
            </w:r>
            <w:r>
              <w:rPr>
                <w:rFonts w:hint="eastAsia" w:ascii="宋体" w:hAnsi="宋体" w:cs="宋体"/>
                <w:iCs/>
                <w:color w:val="auto"/>
                <w:szCs w:val="21"/>
                <w:highlight w:val="none"/>
              </w:rPr>
              <w:t>投标人可自行对本项目现场和周围环境进行勘察。勘察现场所发生的费用由投标人自己承担。不论何种原因所造成，在勘察过程中，投标人自行对由此次踏勘现场而造成的死亡、人身伤害、财产损失、损害以及任何其它损失、损害和引起的费用和开支承担责任。中标后，供应商不得以不完全了解施工现场和周围环境情况为借口，提出额外补偿的要求。</w:t>
            </w:r>
          </w:p>
        </w:tc>
      </w:tr>
      <w:tr w14:paraId="17FF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42018504">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798" w:type="dxa"/>
            <w:vAlign w:val="center"/>
          </w:tcPr>
          <w:p w14:paraId="4F58B4A2">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▲投标报价及费用</w:t>
            </w:r>
          </w:p>
        </w:tc>
        <w:tc>
          <w:tcPr>
            <w:tcW w:w="7380" w:type="dxa"/>
            <w:vAlign w:val="center"/>
          </w:tcPr>
          <w:p w14:paraId="19167DF3">
            <w:pPr>
              <w:spacing w:line="400" w:lineRule="exact"/>
              <w:rPr>
                <w:rFonts w:ascii="宋体" w:hAnsi="宋体" w:cs="宋体"/>
                <w:b/>
                <w:color w:val="auto"/>
                <w:szCs w:val="21"/>
                <w:highlight w:val="none"/>
              </w:rPr>
            </w:pPr>
            <w:r>
              <w:rPr>
                <w:rFonts w:hint="eastAsia" w:ascii="宋体" w:hAnsi="宋体" w:cs="宋体"/>
                <w:b/>
                <w:color w:val="auto"/>
                <w:kern w:val="0"/>
                <w:szCs w:val="21"/>
                <w:highlight w:val="none"/>
              </w:rPr>
              <w:t>1.本项目设置最高限价，最高限价总金额为</w:t>
            </w:r>
            <w:r>
              <w:rPr>
                <w:rFonts w:hint="eastAsia" w:ascii="宋体" w:hAnsi="宋体" w:cs="宋体"/>
                <w:b/>
                <w:color w:val="auto"/>
                <w:kern w:val="0"/>
                <w:szCs w:val="21"/>
                <w:highlight w:val="none"/>
                <w:u w:val="single"/>
              </w:rPr>
              <w:t>130000元/年，390000元/三年</w:t>
            </w:r>
            <w:r>
              <w:rPr>
                <w:rFonts w:hint="eastAsia" w:ascii="宋体" w:hAnsi="宋体" w:cs="宋体"/>
                <w:b/>
                <w:color w:val="auto"/>
                <w:kern w:val="0"/>
                <w:szCs w:val="21"/>
                <w:highlight w:val="none"/>
              </w:rPr>
              <w:t>，投标报价超过最高限价的，作无效标处理。</w:t>
            </w:r>
          </w:p>
          <w:p w14:paraId="0EEA979E">
            <w:pPr>
              <w:autoSpaceDE w:val="0"/>
              <w:autoSpaceDN w:val="0"/>
              <w:spacing w:line="400" w:lineRule="exact"/>
              <w:rPr>
                <w:rFonts w:ascii="宋体" w:hAnsi="宋体" w:cs="宋体"/>
                <w:color w:val="auto"/>
                <w:szCs w:val="21"/>
                <w:highlight w:val="none"/>
              </w:rPr>
            </w:pPr>
            <w:r>
              <w:rPr>
                <w:rFonts w:hint="eastAsia" w:ascii="宋体" w:hAnsi="宋体" w:cs="宋体"/>
                <w:bCs/>
                <w:color w:val="auto"/>
                <w:kern w:val="0"/>
                <w:szCs w:val="21"/>
                <w:highlight w:val="none"/>
              </w:rPr>
              <w:t>2.</w:t>
            </w:r>
            <w:r>
              <w:rPr>
                <w:rFonts w:hint="eastAsia" w:ascii="宋体" w:hAnsi="宋体" w:cs="宋体"/>
                <w:iCs/>
                <w:color w:val="auto"/>
                <w:kern w:val="0"/>
                <w:szCs w:val="21"/>
                <w:highlight w:val="none"/>
              </w:rPr>
              <w:t>本项目的投标总价已包含完成本服务所需的所有费用，包括但不限于：人员基本工资、社保、岗位津贴等各类福利和补贴（如加班补贴、高温补贴、早餐补贴等）的缴纳，住宿费、各种保险及处理一切伤亡事故等费用，人员工作服的配置，人员所使用作业工具等各类耗材费，设施设备管理维护费用，税金、利润及其他与本次服务相关的一切费用，招标人不再另行支付其他费用。</w:t>
            </w:r>
          </w:p>
          <w:p w14:paraId="58C72EB0">
            <w:pPr>
              <w:autoSpaceDE w:val="0"/>
              <w:autoSpaceDN w:val="0"/>
              <w:spacing w:line="400" w:lineRule="exact"/>
              <w:rPr>
                <w:rFonts w:ascii="宋体" w:hAnsi="宋体" w:cs="宋体"/>
                <w:color w:val="auto"/>
                <w:szCs w:val="21"/>
                <w:highlight w:val="none"/>
              </w:rPr>
            </w:pPr>
            <w:r>
              <w:rPr>
                <w:rFonts w:hint="eastAsia" w:ascii="宋体" w:hAnsi="宋体" w:cs="宋体"/>
                <w:color w:val="auto"/>
                <w:szCs w:val="21"/>
                <w:highlight w:val="none"/>
              </w:rPr>
              <w:t>3、供应商在报价时须充分预估项目实施过程中可能遇到的各种风险，事后不得以任何理由要求增加费用。</w:t>
            </w:r>
          </w:p>
          <w:p w14:paraId="6C56E8CE">
            <w:pPr>
              <w:spacing w:line="400" w:lineRule="exact"/>
              <w:rPr>
                <w:rFonts w:ascii="宋体" w:hAnsi="宋体" w:cs="宋体"/>
                <w:bCs/>
                <w:color w:val="auto"/>
                <w:kern w:val="0"/>
                <w:szCs w:val="21"/>
                <w:highlight w:val="none"/>
              </w:rPr>
            </w:pPr>
            <w:r>
              <w:rPr>
                <w:rFonts w:hint="eastAsia" w:ascii="宋体" w:hAnsi="宋体" w:cs="宋体"/>
                <w:color w:val="auto"/>
                <w:szCs w:val="21"/>
                <w:highlight w:val="none"/>
              </w:rPr>
              <w:t>4、不论投标结果如何，供应商均应自行承担所有与投标有关的全部费用。</w:t>
            </w:r>
          </w:p>
          <w:p w14:paraId="5D2E22FE">
            <w:pPr>
              <w:pStyle w:val="97"/>
              <w:spacing w:line="400" w:lineRule="exact"/>
              <w:rPr>
                <w:bCs/>
                <w:color w:val="auto"/>
                <w:kern w:val="0"/>
                <w:szCs w:val="21"/>
                <w:highlight w:val="none"/>
                <w:lang w:val="en-US" w:bidi="ar-SA"/>
              </w:rPr>
            </w:pPr>
            <w:r>
              <w:rPr>
                <w:rFonts w:hint="eastAsia"/>
                <w:bCs/>
                <w:color w:val="auto"/>
                <w:kern w:val="0"/>
                <w:szCs w:val="21"/>
                <w:highlight w:val="none"/>
                <w:lang w:val="en-US" w:bidi="ar-SA"/>
              </w:rPr>
              <w:t>5.报价货币：一律以人民币计算。</w:t>
            </w:r>
          </w:p>
          <w:p w14:paraId="4E01435D">
            <w:pPr>
              <w:pStyle w:val="97"/>
              <w:spacing w:line="400" w:lineRule="exact"/>
              <w:rPr>
                <w:bCs/>
                <w:color w:val="auto"/>
                <w:kern w:val="0"/>
                <w:szCs w:val="21"/>
                <w:highlight w:val="none"/>
                <w:lang w:val="en-US" w:bidi="ar-SA"/>
              </w:rPr>
            </w:pPr>
            <w:r>
              <w:rPr>
                <w:rFonts w:hint="eastAsia"/>
                <w:bCs/>
                <w:color w:val="auto"/>
                <w:kern w:val="0"/>
                <w:szCs w:val="21"/>
                <w:highlight w:val="none"/>
                <w:lang w:val="en-US" w:bidi="ar-SA"/>
              </w:rPr>
              <w:t>6.投标报价为一次性报价且只允许一个报价，不接受两个及两个以上的投标报价，不接受选择性报价或者具有附加条件的报价。</w:t>
            </w:r>
          </w:p>
          <w:p w14:paraId="21821F81">
            <w:pPr>
              <w:pStyle w:val="97"/>
              <w:spacing w:line="400" w:lineRule="exact"/>
              <w:rPr>
                <w:bCs/>
                <w:color w:val="auto"/>
                <w:kern w:val="0"/>
                <w:szCs w:val="21"/>
                <w:highlight w:val="none"/>
                <w:lang w:val="en-US" w:bidi="ar-SA"/>
              </w:rPr>
            </w:pPr>
            <w:r>
              <w:rPr>
                <w:rFonts w:hint="eastAsia"/>
                <w:bCs/>
                <w:color w:val="auto"/>
                <w:kern w:val="0"/>
                <w:szCs w:val="21"/>
                <w:highlight w:val="none"/>
                <w:lang w:val="en-US" w:bidi="ar-SA"/>
              </w:rPr>
              <w:t>7.系统软件、通用软件必须是具有在中国境内的合法使用权或版权的正版软件，涉及到第三方提出侵权或知识产权的起诉及支付版税等费用由投标人承担所有责任及费用。</w:t>
            </w:r>
          </w:p>
        </w:tc>
      </w:tr>
      <w:tr w14:paraId="018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38561624">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798" w:type="dxa"/>
            <w:vAlign w:val="center"/>
          </w:tcPr>
          <w:p w14:paraId="599C2BAF">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付款方式</w:t>
            </w:r>
          </w:p>
        </w:tc>
        <w:tc>
          <w:tcPr>
            <w:tcW w:w="7380" w:type="dxa"/>
            <w:vAlign w:val="center"/>
          </w:tcPr>
          <w:p w14:paraId="5744B2C9">
            <w:pPr>
              <w:pStyle w:val="95"/>
              <w:adjustRightInd/>
              <w:spacing w:line="400" w:lineRule="exact"/>
              <w:ind w:firstLine="0" w:firstLineChars="0"/>
              <w:textAlignment w:val="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具体详见第二章《采购需求》。</w:t>
            </w:r>
          </w:p>
        </w:tc>
      </w:tr>
      <w:tr w14:paraId="34BE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68F2F58D">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798" w:type="dxa"/>
            <w:vAlign w:val="center"/>
          </w:tcPr>
          <w:p w14:paraId="4BC318AF">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bCs/>
                <w:color w:val="auto"/>
                <w:sz w:val="21"/>
                <w:szCs w:val="21"/>
                <w:highlight w:val="none"/>
              </w:rPr>
              <w:t>履约保证金</w:t>
            </w:r>
          </w:p>
        </w:tc>
        <w:tc>
          <w:tcPr>
            <w:tcW w:w="7380" w:type="dxa"/>
            <w:vAlign w:val="center"/>
          </w:tcPr>
          <w:p w14:paraId="1696DD8C">
            <w:pPr>
              <w:pStyle w:val="40"/>
              <w:spacing w:after="0" w:line="400" w:lineRule="exact"/>
              <w:ind w:firstLine="0" w:firstLineChars="0"/>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具体详见第二章《采购需求》。</w:t>
            </w:r>
          </w:p>
        </w:tc>
      </w:tr>
      <w:tr w14:paraId="2115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7B0D9EA3">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798" w:type="dxa"/>
            <w:vAlign w:val="center"/>
          </w:tcPr>
          <w:p w14:paraId="548BD5BD">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7380" w:type="dxa"/>
            <w:vAlign w:val="center"/>
          </w:tcPr>
          <w:p w14:paraId="13939DB0">
            <w:pPr>
              <w:pStyle w:val="40"/>
              <w:spacing w:after="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投标截止日起90天。</w:t>
            </w:r>
          </w:p>
        </w:tc>
      </w:tr>
      <w:tr w14:paraId="1C2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420F7EC2">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1798" w:type="dxa"/>
            <w:vAlign w:val="center"/>
          </w:tcPr>
          <w:p w14:paraId="677EAAE5">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7380" w:type="dxa"/>
            <w:vAlign w:val="center"/>
          </w:tcPr>
          <w:p w14:paraId="016F0BE8">
            <w:pPr>
              <w:pStyle w:val="40"/>
              <w:spacing w:after="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不适用（本项目所有涉及保证金内容的条款均不适用）</w:t>
            </w:r>
          </w:p>
        </w:tc>
      </w:tr>
      <w:tr w14:paraId="5660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5535FB1C">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1798" w:type="dxa"/>
            <w:vAlign w:val="center"/>
          </w:tcPr>
          <w:p w14:paraId="12EF3BCD">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投标文件要求</w:t>
            </w:r>
          </w:p>
        </w:tc>
        <w:tc>
          <w:tcPr>
            <w:tcW w:w="7380" w:type="dxa"/>
            <w:vAlign w:val="center"/>
          </w:tcPr>
          <w:p w14:paraId="7ED5E25D">
            <w:pPr>
              <w:spacing w:line="400" w:lineRule="exact"/>
              <w:rPr>
                <w:rFonts w:ascii="宋体" w:hAnsi="宋体" w:cs="宋体"/>
                <w:color w:val="auto"/>
                <w:szCs w:val="21"/>
                <w:highlight w:val="none"/>
              </w:rPr>
            </w:pPr>
            <w:r>
              <w:rPr>
                <w:rFonts w:hint="eastAsia" w:ascii="宋体" w:hAnsi="宋体" w:cs="宋体"/>
                <w:color w:val="auto"/>
                <w:szCs w:val="21"/>
                <w:highlight w:val="none"/>
              </w:rPr>
              <w:t>本项目实行网上投标，供应商应准备以下投标文件：</w:t>
            </w:r>
          </w:p>
          <w:p w14:paraId="6E5A0125">
            <w:pPr>
              <w:spacing w:line="400" w:lineRule="exact"/>
              <w:rPr>
                <w:rFonts w:ascii="宋体" w:hAnsi="宋体" w:cs="宋体"/>
                <w:color w:val="auto"/>
                <w:szCs w:val="21"/>
                <w:highlight w:val="none"/>
              </w:rPr>
            </w:pPr>
            <w:r>
              <w:rPr>
                <w:rFonts w:hint="eastAsia" w:ascii="宋体" w:hAnsi="宋体" w:cs="宋体"/>
                <w:color w:val="auto"/>
                <w:szCs w:val="21"/>
                <w:highlight w:val="none"/>
              </w:rPr>
              <w:t>▲（1）上传到政府采购云平台的电子投标文件（含资格审查文件、商务和技术文件、报价文件）1份。</w:t>
            </w:r>
          </w:p>
          <w:p w14:paraId="0DEACFEC">
            <w:pPr>
              <w:spacing w:line="400" w:lineRule="exact"/>
              <w:rPr>
                <w:rFonts w:ascii="宋体" w:hAnsi="宋体" w:cs="宋体"/>
                <w:color w:val="auto"/>
                <w:szCs w:val="21"/>
                <w:highlight w:val="none"/>
              </w:rPr>
            </w:pPr>
            <w:r>
              <w:rPr>
                <w:rFonts w:hint="eastAsia" w:ascii="宋体" w:hAnsi="宋体" w:cs="宋体"/>
                <w:color w:val="auto"/>
                <w:szCs w:val="21"/>
                <w:highlight w:val="none"/>
              </w:rPr>
              <w:t>（2）以U盘存储的电子备份投标文件（含资格审查文件、商务和技术文件、报价文件）1份（电子备份投标文件不作实质性要求，是否提交由供应商自行决定，用于异常情况处理）。</w:t>
            </w:r>
          </w:p>
          <w:p w14:paraId="04373E5F">
            <w:pPr>
              <w:pStyle w:val="17"/>
              <w:spacing w:after="0" w:line="400" w:lineRule="exact"/>
              <w:rPr>
                <w:rFonts w:ascii="宋体" w:hAnsi="宋体" w:cs="宋体"/>
                <w:color w:val="auto"/>
                <w:sz w:val="21"/>
                <w:szCs w:val="21"/>
                <w:highlight w:val="none"/>
              </w:rPr>
            </w:pPr>
            <w:r>
              <w:rPr>
                <w:rFonts w:hint="eastAsia" w:ascii="宋体" w:hAnsi="宋体" w:cs="宋体"/>
                <w:color w:val="auto"/>
                <w:sz w:val="21"/>
                <w:szCs w:val="21"/>
                <w:highlight w:val="none"/>
              </w:rPr>
              <w:t>（3）纸质备份文件：中标人须在中标后3个工作日内提供资格审查文件、商务和技术文件、报价文件正副本各1份，纸质投标文件需与电子投标文件一致。</w:t>
            </w:r>
          </w:p>
        </w:tc>
      </w:tr>
      <w:tr w14:paraId="5E29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4B6AB5CD">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1798" w:type="dxa"/>
            <w:vAlign w:val="center"/>
          </w:tcPr>
          <w:p w14:paraId="57CD50D7">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投标截止时间及地点</w:t>
            </w:r>
          </w:p>
        </w:tc>
        <w:tc>
          <w:tcPr>
            <w:tcW w:w="7380" w:type="dxa"/>
            <w:vAlign w:val="center"/>
          </w:tcPr>
          <w:p w14:paraId="7AA31A00">
            <w:pPr>
              <w:pStyle w:val="40"/>
              <w:spacing w:after="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详见采购文件第一章《公开招标采购公告》。</w:t>
            </w:r>
          </w:p>
        </w:tc>
      </w:tr>
      <w:tr w14:paraId="3D7A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74600578">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1798" w:type="dxa"/>
            <w:vAlign w:val="center"/>
          </w:tcPr>
          <w:p w14:paraId="22BEBFD6">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开标时间及地点</w:t>
            </w:r>
          </w:p>
        </w:tc>
        <w:tc>
          <w:tcPr>
            <w:tcW w:w="7380" w:type="dxa"/>
            <w:vAlign w:val="center"/>
          </w:tcPr>
          <w:p w14:paraId="0AD2364F">
            <w:pPr>
              <w:pStyle w:val="40"/>
              <w:spacing w:after="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详见采购文件第一章《公开招标采购公告》。</w:t>
            </w:r>
          </w:p>
        </w:tc>
      </w:tr>
      <w:tr w14:paraId="709D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12053C4A">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1798" w:type="dxa"/>
            <w:vAlign w:val="center"/>
          </w:tcPr>
          <w:p w14:paraId="6DE6AAD0">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评标办法及评分标准</w:t>
            </w:r>
          </w:p>
        </w:tc>
        <w:tc>
          <w:tcPr>
            <w:tcW w:w="7380" w:type="dxa"/>
            <w:vAlign w:val="center"/>
          </w:tcPr>
          <w:p w14:paraId="4533D5CA">
            <w:pPr>
              <w:pStyle w:val="40"/>
              <w:spacing w:after="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详见采购文件第四章《评标办法及评分标准》。</w:t>
            </w:r>
          </w:p>
        </w:tc>
      </w:tr>
      <w:tr w14:paraId="539D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635E729F">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1798" w:type="dxa"/>
            <w:vAlign w:val="center"/>
          </w:tcPr>
          <w:p w14:paraId="39602996">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签订合同时间</w:t>
            </w:r>
          </w:p>
        </w:tc>
        <w:tc>
          <w:tcPr>
            <w:tcW w:w="7380" w:type="dxa"/>
            <w:vAlign w:val="center"/>
          </w:tcPr>
          <w:p w14:paraId="39282194">
            <w:pPr>
              <w:pStyle w:val="40"/>
              <w:spacing w:after="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中标通知书发出后30日内</w:t>
            </w:r>
          </w:p>
        </w:tc>
      </w:tr>
      <w:tr w14:paraId="37D8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4AF73246">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1798" w:type="dxa"/>
            <w:vAlign w:val="center"/>
          </w:tcPr>
          <w:p w14:paraId="085071FD">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中标服务费</w:t>
            </w:r>
          </w:p>
        </w:tc>
        <w:tc>
          <w:tcPr>
            <w:tcW w:w="7380" w:type="dxa"/>
            <w:vAlign w:val="center"/>
          </w:tcPr>
          <w:p w14:paraId="1131A020">
            <w:pPr>
              <w:spacing w:line="400" w:lineRule="exact"/>
              <w:rPr>
                <w:rFonts w:ascii="宋体" w:hAnsi="宋体" w:cs="宋体"/>
                <w:color w:val="auto"/>
                <w:szCs w:val="21"/>
                <w:highlight w:val="none"/>
              </w:rPr>
            </w:pPr>
            <w:r>
              <w:rPr>
                <w:rFonts w:hint="eastAsia" w:ascii="宋体" w:hAnsi="宋体" w:cs="宋体"/>
                <w:bCs/>
                <w:color w:val="auto"/>
                <w:highlight w:val="none"/>
              </w:rPr>
              <w:t>招标代理服务费参照宁波市招标投标协会制定发布规定的《宁波市招标（采购）代理服务收费标准指引》计取，结合宁波市中介超市网中选价格2080元向中标人收取，此费用在中标通知书发出前一次性缴纳。</w:t>
            </w:r>
          </w:p>
        </w:tc>
      </w:tr>
      <w:tr w14:paraId="77B4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0BCCC096">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1798" w:type="dxa"/>
            <w:vAlign w:val="center"/>
          </w:tcPr>
          <w:p w14:paraId="4904FBC1">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采购标的及其对应的中小企业划分标准所属行业</w:t>
            </w:r>
          </w:p>
        </w:tc>
        <w:tc>
          <w:tcPr>
            <w:tcW w:w="7380" w:type="dxa"/>
            <w:vAlign w:val="center"/>
          </w:tcPr>
          <w:p w14:paraId="5F3AFCF8">
            <w:pPr>
              <w:autoSpaceDE w:val="0"/>
              <w:autoSpaceDN w:val="0"/>
              <w:snapToGrid w:val="0"/>
              <w:spacing w:line="400" w:lineRule="exact"/>
              <w:rPr>
                <w:rFonts w:ascii="宋体" w:hAnsi="宋体" w:cs="宋体"/>
                <w:bCs/>
                <w:color w:val="auto"/>
                <w:kern w:val="0"/>
                <w:szCs w:val="21"/>
                <w:highlight w:val="none"/>
              </w:rPr>
            </w:pPr>
            <w:r>
              <w:rPr>
                <w:rFonts w:hint="eastAsia" w:ascii="宋体" w:hAnsi="宋体" w:cs="宋体"/>
                <w:bCs/>
                <w:color w:val="auto"/>
                <w:szCs w:val="21"/>
                <w:highlight w:val="none"/>
              </w:rPr>
              <w:t>本项目为</w:t>
            </w:r>
            <w:r>
              <w:rPr>
                <w:rFonts w:hint="eastAsia" w:ascii="宋体" w:hAnsi="宋体" w:cs="宋体"/>
                <w:b/>
                <w:color w:val="auto"/>
                <w:szCs w:val="21"/>
                <w:highlight w:val="none"/>
                <w:u w:val="single"/>
              </w:rPr>
              <w:t>专门面向中小企业</w:t>
            </w:r>
            <w:r>
              <w:rPr>
                <w:rFonts w:hint="eastAsia" w:ascii="宋体" w:hAnsi="宋体" w:cs="宋体"/>
                <w:bCs/>
                <w:color w:val="auto"/>
                <w:szCs w:val="21"/>
                <w:highlight w:val="none"/>
              </w:rPr>
              <w:t>采购项目。</w:t>
            </w:r>
          </w:p>
          <w:p w14:paraId="75079879">
            <w:pPr>
              <w:autoSpaceDE w:val="0"/>
              <w:autoSpaceDN w:val="0"/>
              <w:snapToGrid w:val="0"/>
              <w:spacing w:line="40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采购标的：</w:t>
            </w:r>
            <w:r>
              <w:rPr>
                <w:rFonts w:hint="eastAsia" w:ascii="宋体" w:hAnsi="宋体" w:cs="宋体"/>
                <w:b/>
                <w:color w:val="auto"/>
                <w:szCs w:val="21"/>
                <w:highlight w:val="none"/>
                <w:u w:val="single"/>
              </w:rPr>
              <w:t>2026-2029年江北区教育系统网络安全采购</w:t>
            </w:r>
            <w:r>
              <w:rPr>
                <w:rFonts w:hint="eastAsia" w:ascii="宋体" w:hAnsi="宋体" w:cs="宋体"/>
                <w:bCs/>
                <w:color w:val="auto"/>
                <w:kern w:val="0"/>
                <w:szCs w:val="21"/>
                <w:highlight w:val="none"/>
              </w:rPr>
              <w:t>，属于</w:t>
            </w:r>
            <w:r>
              <w:rPr>
                <w:rFonts w:hint="eastAsia" w:ascii="宋体" w:hAnsi="宋体" w:cs="宋体"/>
                <w:b/>
                <w:bCs/>
                <w:color w:val="auto"/>
                <w:szCs w:val="21"/>
                <w:highlight w:val="none"/>
                <w:u w:val="single"/>
              </w:rPr>
              <w:t>软件和信息技术服务业</w:t>
            </w:r>
            <w:r>
              <w:rPr>
                <w:rFonts w:hint="eastAsia" w:ascii="宋体" w:hAnsi="宋体" w:cs="宋体"/>
                <w:bCs/>
                <w:color w:val="auto"/>
                <w:kern w:val="0"/>
                <w:szCs w:val="21"/>
                <w:highlight w:val="none"/>
              </w:rPr>
              <w:t>；</w:t>
            </w:r>
          </w:p>
          <w:p w14:paraId="3F7146C1">
            <w:pPr>
              <w:spacing w:line="400" w:lineRule="exact"/>
              <w:rPr>
                <w:rFonts w:ascii="宋体" w:hAnsi="宋体" w:cs="宋体"/>
                <w:color w:val="auto"/>
                <w:szCs w:val="21"/>
                <w:highlight w:val="none"/>
              </w:rPr>
            </w:pPr>
            <w:r>
              <w:rPr>
                <w:rFonts w:hint="eastAsia" w:ascii="宋体" w:hAnsi="宋体" w:cs="宋体"/>
                <w:bCs/>
                <w:color w:val="auto"/>
                <w:szCs w:val="21"/>
                <w:highlight w:val="none"/>
              </w:rPr>
              <w:t>备注：所属行业标准按《</w:t>
            </w:r>
            <w:r>
              <w:rPr>
                <w:rFonts w:hint="eastAsia" w:ascii="宋体" w:hAnsi="宋体" w:cs="宋体"/>
                <w:bCs/>
                <w:color w:val="auto"/>
                <w:kern w:val="28"/>
                <w:szCs w:val="21"/>
                <w:highlight w:val="none"/>
              </w:rPr>
              <w:t>关于印发中小企业划型标准规定的通知》（工信部联企业〔2011〕300）执行。</w:t>
            </w:r>
          </w:p>
        </w:tc>
      </w:tr>
      <w:tr w14:paraId="2577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55BE7A62">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1798" w:type="dxa"/>
            <w:vAlign w:val="center"/>
          </w:tcPr>
          <w:p w14:paraId="0769E20A">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解释</w:t>
            </w:r>
          </w:p>
        </w:tc>
        <w:tc>
          <w:tcPr>
            <w:tcW w:w="7380" w:type="dxa"/>
            <w:vAlign w:val="center"/>
          </w:tcPr>
          <w:p w14:paraId="04114459">
            <w:pPr>
              <w:pStyle w:val="40"/>
              <w:spacing w:after="0"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本采购文件的解释权属于招标采购单位</w:t>
            </w:r>
          </w:p>
        </w:tc>
      </w:tr>
      <w:tr w14:paraId="444F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8" w:type="dxa"/>
            <w:vAlign w:val="center"/>
          </w:tcPr>
          <w:p w14:paraId="7B0D5EA6">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1798" w:type="dxa"/>
            <w:vAlign w:val="center"/>
          </w:tcPr>
          <w:p w14:paraId="4AF4F56C">
            <w:pPr>
              <w:pStyle w:val="40"/>
              <w:spacing w:after="0"/>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其他</w:t>
            </w:r>
          </w:p>
        </w:tc>
        <w:tc>
          <w:tcPr>
            <w:tcW w:w="7380" w:type="dxa"/>
            <w:vAlign w:val="center"/>
          </w:tcPr>
          <w:p w14:paraId="32781876">
            <w:pPr>
              <w:pStyle w:val="40"/>
              <w:spacing w:after="0"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“供应商须知前附表”是供应商须知正文内容的补充和细化，如本前附表与正文内容表述不一致的，以“供应商须知前附表”为准。</w:t>
            </w:r>
          </w:p>
        </w:tc>
      </w:tr>
    </w:tbl>
    <w:p w14:paraId="2D80E7CD">
      <w:pPr>
        <w:pStyle w:val="18"/>
        <w:ind w:firstLine="0"/>
        <w:rPr>
          <w:rFonts w:hAnsi="宋体" w:cs="宋体"/>
          <w:color w:val="auto"/>
          <w:highlight w:val="none"/>
        </w:rPr>
      </w:pPr>
    </w:p>
    <w:p w14:paraId="45496CE7">
      <w:pPr>
        <w:pStyle w:val="23"/>
        <w:spacing w:before="0" w:beforeLines="0" w:after="0" w:afterLines="0" w:line="360" w:lineRule="auto"/>
        <w:outlineLvl w:val="1"/>
        <w:rPr>
          <w:rFonts w:hAnsi="宋体" w:cs="宋体"/>
          <w:b/>
          <w:color w:val="auto"/>
          <w:sz w:val="21"/>
          <w:szCs w:val="21"/>
          <w:highlight w:val="none"/>
        </w:rPr>
      </w:pPr>
      <w:r>
        <w:rPr>
          <w:rFonts w:hint="eastAsia" w:hAnsi="宋体" w:cs="宋体"/>
          <w:b/>
          <w:color w:val="auto"/>
          <w:sz w:val="21"/>
          <w:szCs w:val="21"/>
          <w:highlight w:val="none"/>
        </w:rPr>
        <w:br w:type="page"/>
      </w:r>
      <w:bookmarkStart w:id="132" w:name="_Toc22150"/>
      <w:bookmarkStart w:id="133" w:name="_Toc27082"/>
      <w:bookmarkStart w:id="134" w:name="_Toc23485"/>
      <w:bookmarkStart w:id="135" w:name="_Toc68"/>
      <w:bookmarkStart w:id="136" w:name="_Toc485712536"/>
      <w:r>
        <w:rPr>
          <w:rFonts w:hint="eastAsia" w:hAnsi="宋体" w:cs="宋体"/>
          <w:b/>
          <w:bCs/>
          <w:color w:val="auto"/>
          <w:sz w:val="21"/>
          <w:szCs w:val="21"/>
          <w:highlight w:val="none"/>
        </w:rPr>
        <w:t>一、总则</w:t>
      </w:r>
      <w:bookmarkEnd w:id="132"/>
      <w:bookmarkEnd w:id="133"/>
      <w:bookmarkEnd w:id="134"/>
      <w:bookmarkEnd w:id="135"/>
    </w:p>
    <w:p w14:paraId="2CE3B40F">
      <w:pPr>
        <w:spacing w:line="360" w:lineRule="auto"/>
        <w:ind w:firstLine="422" w:firstLineChars="200"/>
        <w:outlineLvl w:val="2"/>
        <w:rPr>
          <w:rFonts w:ascii="宋体" w:hAnsi="宋体" w:cs="宋体"/>
          <w:color w:val="auto"/>
          <w:szCs w:val="21"/>
          <w:highlight w:val="none"/>
        </w:rPr>
      </w:pPr>
      <w:bookmarkStart w:id="137" w:name="_Toc485712529"/>
      <w:bookmarkStart w:id="138" w:name="_Toc15529"/>
      <w:bookmarkStart w:id="139" w:name="_Toc23590"/>
      <w:bookmarkStart w:id="140" w:name="_Toc32555"/>
      <w:bookmarkStart w:id="141" w:name="_Toc17587"/>
      <w:r>
        <w:rPr>
          <w:rFonts w:hint="eastAsia" w:ascii="宋体" w:hAnsi="宋体" w:cs="宋体"/>
          <w:b/>
          <w:color w:val="auto"/>
          <w:szCs w:val="21"/>
          <w:highlight w:val="none"/>
        </w:rPr>
        <w:t>（一） 适用范围</w:t>
      </w:r>
      <w:bookmarkEnd w:id="137"/>
      <w:bookmarkEnd w:id="138"/>
      <w:bookmarkEnd w:id="139"/>
      <w:bookmarkEnd w:id="140"/>
      <w:bookmarkEnd w:id="141"/>
    </w:p>
    <w:p w14:paraId="367F6A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本采购文件适用于本项目的招标、投标、评标、定标、验收、合同履约、付款等行为（法律、法规另有规定的，从其规定）。</w:t>
      </w:r>
    </w:p>
    <w:p w14:paraId="512A91C2">
      <w:pPr>
        <w:spacing w:line="360" w:lineRule="auto"/>
        <w:ind w:firstLine="422" w:firstLineChars="200"/>
        <w:outlineLvl w:val="2"/>
        <w:rPr>
          <w:rFonts w:ascii="宋体" w:hAnsi="宋体" w:cs="宋体"/>
          <w:b/>
          <w:color w:val="auto"/>
          <w:szCs w:val="21"/>
          <w:highlight w:val="none"/>
        </w:rPr>
      </w:pPr>
      <w:bookmarkStart w:id="142" w:name="_Toc7355"/>
      <w:bookmarkStart w:id="143" w:name="_Toc26818"/>
      <w:bookmarkStart w:id="144" w:name="_Toc485712530"/>
      <w:bookmarkStart w:id="145" w:name="_Toc29347"/>
      <w:bookmarkStart w:id="146" w:name="_Toc6307"/>
      <w:r>
        <w:rPr>
          <w:rFonts w:hint="eastAsia" w:ascii="宋体" w:hAnsi="宋体" w:cs="宋体"/>
          <w:b/>
          <w:color w:val="auto"/>
          <w:szCs w:val="21"/>
          <w:highlight w:val="none"/>
        </w:rPr>
        <w:t>（二）定义</w:t>
      </w:r>
      <w:bookmarkEnd w:id="142"/>
      <w:bookmarkEnd w:id="143"/>
      <w:bookmarkEnd w:id="144"/>
      <w:bookmarkEnd w:id="145"/>
      <w:bookmarkEnd w:id="146"/>
    </w:p>
    <w:p w14:paraId="69268F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1.“采购人”系指招标公告中载明的本项目的采购人。</w:t>
      </w:r>
    </w:p>
    <w:p w14:paraId="07507B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2.“采购代理机构”系指招标公告中载明的本项目的采购代理机构。</w:t>
      </w:r>
    </w:p>
    <w:p w14:paraId="35A0E3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3.“供应商（供应商）”系指是指响应招标、参加投标竞争的法人、其他组织或者自然人。</w:t>
      </w:r>
    </w:p>
    <w:p w14:paraId="783A36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4.“负责人”系指法人企业的法定负责人，或其他组织为法律、行政法规规定代表单位行使职权的主要负责人，或自然人本人。</w:t>
      </w:r>
    </w:p>
    <w:p w14:paraId="6C557E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电子签章”系指数据电文中以电子形式所含、所附用于识别签名人身份并表明签名人认可其中内容的数据；“公章”系指单位法定名称章。因特殊原因需要使用冠以法定名称的业务专用章的，投标时须提供《业务专用章使用说明函》（格式自拟）。</w:t>
      </w:r>
    </w:p>
    <w:p w14:paraId="26D018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6.“电子交易平台”系指本项目政府采购活动所依托的政府采购云平台。</w:t>
      </w:r>
    </w:p>
    <w:p w14:paraId="184D7C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7.“书面形式”包括信函、传真、电报等。</w:t>
      </w:r>
    </w:p>
    <w:p w14:paraId="6FA96F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8.“▲”系指实质性要求条款，供应商的投标对任何带“▲”号的重要商务和技术条款的负偏离和未作实质性响应都将直接导致投标无效。</w:t>
      </w:r>
    </w:p>
    <w:p w14:paraId="521FC38C">
      <w:pPr>
        <w:spacing w:line="360" w:lineRule="auto"/>
        <w:ind w:firstLine="422" w:firstLineChars="200"/>
        <w:outlineLvl w:val="2"/>
        <w:rPr>
          <w:rFonts w:ascii="宋体" w:hAnsi="宋体" w:cs="宋体"/>
          <w:b/>
          <w:color w:val="auto"/>
          <w:szCs w:val="21"/>
          <w:highlight w:val="none"/>
        </w:rPr>
      </w:pPr>
      <w:bookmarkStart w:id="147" w:name="_Toc31882"/>
      <w:bookmarkStart w:id="148" w:name="_Toc31155"/>
      <w:bookmarkStart w:id="149" w:name="_Toc12703"/>
      <w:bookmarkStart w:id="150" w:name="_Toc19619"/>
      <w:bookmarkStart w:id="151" w:name="_Toc485712531"/>
      <w:r>
        <w:rPr>
          <w:rFonts w:hint="eastAsia" w:ascii="宋体" w:hAnsi="宋体" w:cs="宋体"/>
          <w:b/>
          <w:color w:val="auto"/>
          <w:szCs w:val="21"/>
          <w:highlight w:val="none"/>
        </w:rPr>
        <w:t>（三）招标方式</w:t>
      </w:r>
      <w:bookmarkEnd w:id="147"/>
      <w:bookmarkEnd w:id="148"/>
      <w:bookmarkEnd w:id="149"/>
      <w:bookmarkEnd w:id="150"/>
      <w:bookmarkEnd w:id="151"/>
    </w:p>
    <w:p w14:paraId="279DC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本次招标采用公开招标方式进行。</w:t>
      </w:r>
    </w:p>
    <w:p w14:paraId="6AA7D778">
      <w:pPr>
        <w:spacing w:line="360" w:lineRule="auto"/>
        <w:ind w:firstLine="422" w:firstLineChars="200"/>
        <w:outlineLvl w:val="2"/>
        <w:rPr>
          <w:rFonts w:ascii="宋体" w:hAnsi="宋体" w:cs="宋体"/>
          <w:b/>
          <w:color w:val="auto"/>
          <w:szCs w:val="21"/>
          <w:highlight w:val="none"/>
        </w:rPr>
      </w:pPr>
      <w:bookmarkStart w:id="152" w:name="_Toc485712532"/>
      <w:bookmarkStart w:id="153" w:name="_Toc30078"/>
      <w:bookmarkStart w:id="154" w:name="_Toc5786"/>
      <w:bookmarkStart w:id="155" w:name="_Toc32471"/>
      <w:bookmarkStart w:id="156" w:name="_Toc4064"/>
      <w:r>
        <w:rPr>
          <w:rFonts w:hint="eastAsia" w:ascii="宋体" w:hAnsi="宋体" w:cs="宋体"/>
          <w:b/>
          <w:color w:val="auto"/>
          <w:szCs w:val="21"/>
          <w:highlight w:val="none"/>
        </w:rPr>
        <w:t>（四）投标委托</w:t>
      </w:r>
      <w:bookmarkEnd w:id="152"/>
      <w:bookmarkEnd w:id="153"/>
      <w:bookmarkEnd w:id="154"/>
      <w:bookmarkEnd w:id="155"/>
      <w:bookmarkEnd w:id="156"/>
    </w:p>
    <w:p w14:paraId="4401FA06">
      <w:pPr>
        <w:spacing w:line="360" w:lineRule="auto"/>
        <w:ind w:firstLine="420" w:firstLineChars="200"/>
        <w:rPr>
          <w:rFonts w:ascii="宋体" w:hAnsi="宋体" w:cs="宋体"/>
          <w:color w:val="auto"/>
          <w:szCs w:val="21"/>
          <w:highlight w:val="none"/>
        </w:rPr>
      </w:pPr>
      <w:bookmarkStart w:id="157" w:name="_Toc485712533"/>
      <w:r>
        <w:rPr>
          <w:rFonts w:hint="eastAsia" w:ascii="宋体" w:hAnsi="宋体" w:cs="宋体"/>
          <w:color w:val="auto"/>
          <w:szCs w:val="21"/>
          <w:highlight w:val="none"/>
        </w:rPr>
        <w:t>1.投标文件的签署人应当为供应商的法定代表人或其授权的代表。投标文件的签署人为供应商的法定代表人时，投标文件中必须提供与营业执照相符合的法定代表人身份证明；投标文件的签署人非供应商的法定代表人时，投标文件中必须提供供应商的法定代表人出具的授权委托书及法定代表人授权代表的身份证复印件；或《组织授权书》（适用非法人的其它组织，格式参照《法定代表人授权委托书》）。</w:t>
      </w:r>
    </w:p>
    <w:p w14:paraId="1AE193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根据政府采购相关法律、法规、规章、文件规定并满足采购文件规定资格条件的区域性分支机构、个体工商户、个人独资企业、合伙企业参加本项目投标并由单位负责人签署的相关投标资料与采购文件规定由法定代表人签署的文件材料具有同等效力。</w:t>
      </w:r>
    </w:p>
    <w:p w14:paraId="5AE23908">
      <w:pPr>
        <w:spacing w:line="360" w:lineRule="auto"/>
        <w:ind w:firstLine="422" w:firstLineChars="200"/>
        <w:outlineLvl w:val="2"/>
        <w:rPr>
          <w:rFonts w:ascii="宋体" w:hAnsi="宋体" w:cs="宋体"/>
          <w:b/>
          <w:color w:val="auto"/>
          <w:szCs w:val="21"/>
          <w:highlight w:val="none"/>
        </w:rPr>
      </w:pPr>
      <w:bookmarkStart w:id="158" w:name="_Toc27246"/>
      <w:bookmarkStart w:id="159" w:name="_Toc16626"/>
      <w:bookmarkStart w:id="160" w:name="_Toc31918"/>
      <w:bookmarkStart w:id="161" w:name="_Toc18038"/>
      <w:r>
        <w:rPr>
          <w:rFonts w:hint="eastAsia" w:ascii="宋体" w:hAnsi="宋体" w:cs="宋体"/>
          <w:b/>
          <w:color w:val="auto"/>
          <w:szCs w:val="21"/>
          <w:highlight w:val="none"/>
        </w:rPr>
        <w:t>（五）投标费用</w:t>
      </w:r>
      <w:bookmarkEnd w:id="157"/>
      <w:bookmarkEnd w:id="158"/>
      <w:bookmarkEnd w:id="159"/>
      <w:bookmarkEnd w:id="160"/>
      <w:bookmarkEnd w:id="161"/>
    </w:p>
    <w:p w14:paraId="33B2BF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不论投标结果如何，供应商均应自行承担所有与投标有关的全部费用（采购文件有相反规定除外）。</w:t>
      </w:r>
    </w:p>
    <w:p w14:paraId="6B71F18C">
      <w:pPr>
        <w:spacing w:line="360" w:lineRule="auto"/>
        <w:ind w:firstLine="422" w:firstLineChars="200"/>
        <w:outlineLvl w:val="2"/>
        <w:rPr>
          <w:rFonts w:ascii="宋体" w:hAnsi="宋体" w:cs="宋体"/>
          <w:b/>
          <w:color w:val="auto"/>
          <w:szCs w:val="21"/>
          <w:highlight w:val="none"/>
        </w:rPr>
      </w:pPr>
      <w:bookmarkStart w:id="162" w:name="_Toc10491"/>
      <w:bookmarkStart w:id="163" w:name="_Toc26098"/>
      <w:bookmarkStart w:id="164" w:name="_Toc9252"/>
      <w:bookmarkStart w:id="165" w:name="_Toc9824"/>
      <w:r>
        <w:rPr>
          <w:rFonts w:hint="eastAsia" w:ascii="宋体" w:hAnsi="宋体" w:cs="宋体"/>
          <w:b/>
          <w:color w:val="auto"/>
          <w:szCs w:val="21"/>
          <w:highlight w:val="none"/>
        </w:rPr>
        <w:t>（六）联合体投标</w:t>
      </w:r>
      <w:bookmarkEnd w:id="162"/>
      <w:bookmarkEnd w:id="163"/>
      <w:bookmarkEnd w:id="164"/>
      <w:bookmarkEnd w:id="165"/>
    </w:p>
    <w:p w14:paraId="0D4C8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本项目联合体投标要求详见第一章《公开招标采购公告》。</w:t>
      </w:r>
    </w:p>
    <w:p w14:paraId="4B68C701">
      <w:pPr>
        <w:spacing w:line="360" w:lineRule="auto"/>
        <w:ind w:firstLine="422" w:firstLineChars="200"/>
        <w:outlineLvl w:val="2"/>
        <w:rPr>
          <w:rFonts w:ascii="宋体" w:hAnsi="宋体" w:cs="宋体"/>
          <w:b/>
          <w:color w:val="auto"/>
          <w:szCs w:val="21"/>
          <w:highlight w:val="none"/>
        </w:rPr>
      </w:pPr>
      <w:bookmarkStart w:id="166" w:name="_Toc9843"/>
      <w:bookmarkStart w:id="167" w:name="_Toc5732"/>
      <w:bookmarkStart w:id="168" w:name="_Toc27276"/>
      <w:bookmarkStart w:id="169" w:name="_Toc4385"/>
      <w:r>
        <w:rPr>
          <w:rFonts w:hint="eastAsia" w:ascii="宋体" w:hAnsi="宋体" w:cs="宋体"/>
          <w:b/>
          <w:color w:val="auto"/>
          <w:szCs w:val="21"/>
          <w:highlight w:val="none"/>
        </w:rPr>
        <w:t>（七）转包与分包</w:t>
      </w:r>
      <w:bookmarkEnd w:id="166"/>
      <w:bookmarkEnd w:id="167"/>
      <w:bookmarkEnd w:id="168"/>
      <w:bookmarkEnd w:id="169"/>
    </w:p>
    <w:p w14:paraId="0DA75D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1.本项目不允许转包。</w:t>
      </w:r>
    </w:p>
    <w:p w14:paraId="68B75C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2.若供应商需要分包的须经采购人书面同意，同时供应商应确保分包人具有相应服务能力。分包不减轻或免除供应商的责任和义务，供应商和分包人就分包工程向采购人承担连带责任。</w:t>
      </w:r>
    </w:p>
    <w:p w14:paraId="5D568022">
      <w:pPr>
        <w:spacing w:line="360" w:lineRule="auto"/>
        <w:ind w:firstLine="422" w:firstLineChars="200"/>
        <w:outlineLvl w:val="2"/>
        <w:rPr>
          <w:rFonts w:ascii="宋体" w:hAnsi="宋体" w:cs="宋体"/>
          <w:b/>
          <w:color w:val="auto"/>
          <w:szCs w:val="21"/>
          <w:highlight w:val="none"/>
        </w:rPr>
      </w:pPr>
      <w:bookmarkStart w:id="170" w:name="_Toc26223"/>
      <w:bookmarkStart w:id="171" w:name="_Toc26282"/>
      <w:bookmarkStart w:id="172" w:name="_Toc2915"/>
      <w:bookmarkStart w:id="173" w:name="_Toc485712534"/>
      <w:bookmarkStart w:id="174" w:name="_Toc27968"/>
      <w:r>
        <w:rPr>
          <w:rFonts w:hint="eastAsia" w:ascii="宋体" w:hAnsi="宋体" w:cs="宋体"/>
          <w:b/>
          <w:color w:val="auto"/>
          <w:szCs w:val="21"/>
          <w:highlight w:val="none"/>
        </w:rPr>
        <w:t>（八）特别说明</w:t>
      </w:r>
      <w:bookmarkEnd w:id="170"/>
      <w:bookmarkEnd w:id="171"/>
      <w:bookmarkEnd w:id="172"/>
      <w:bookmarkEnd w:id="173"/>
      <w:bookmarkEnd w:id="174"/>
    </w:p>
    <w:p w14:paraId="5A7E74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40570ED1">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非单一产品采购项目，多家供应商提供的核心产品品牌相同的，按前款处理。</w:t>
      </w:r>
    </w:p>
    <w:p w14:paraId="66E046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▲2.供应商应仔细阅读采购文件的所有内容，按照采购文件的要求提交投标文件，并对所提供的全部资料的真实性承担法律责任。</w:t>
      </w:r>
    </w:p>
    <w:p w14:paraId="44FA05DB">
      <w:pPr>
        <w:pStyle w:val="23"/>
        <w:spacing w:before="0" w:beforeLines="0" w:after="0" w:afterLines="0" w:line="360" w:lineRule="auto"/>
        <w:ind w:firstLine="420" w:firstLineChars="200"/>
        <w:rPr>
          <w:rFonts w:hAnsi="宋体" w:cs="宋体"/>
          <w:b/>
          <w:color w:val="auto"/>
          <w:sz w:val="21"/>
          <w:szCs w:val="21"/>
          <w:highlight w:val="none"/>
        </w:rPr>
      </w:pPr>
      <w:r>
        <w:rPr>
          <w:rFonts w:hint="eastAsia" w:hAnsi="宋体" w:cs="宋体"/>
          <w:color w:val="auto"/>
          <w:sz w:val="21"/>
          <w:szCs w:val="21"/>
          <w:highlight w:val="none"/>
        </w:rPr>
        <w:t>▲3.供应商在投标活动中提供任何虚假材料,其投标无效，并报监管部门查处。</w:t>
      </w:r>
    </w:p>
    <w:p w14:paraId="46BF88FC">
      <w:pPr>
        <w:spacing w:line="360" w:lineRule="auto"/>
        <w:ind w:firstLine="422" w:firstLineChars="200"/>
        <w:outlineLvl w:val="2"/>
        <w:rPr>
          <w:rFonts w:ascii="宋体" w:hAnsi="宋体" w:cs="宋体"/>
          <w:b/>
          <w:color w:val="auto"/>
          <w:szCs w:val="21"/>
          <w:highlight w:val="none"/>
        </w:rPr>
      </w:pPr>
      <w:bookmarkStart w:id="175" w:name="_Toc7998"/>
      <w:bookmarkStart w:id="176" w:name="_Toc12735"/>
      <w:bookmarkStart w:id="177" w:name="_Toc7673"/>
      <w:bookmarkStart w:id="178" w:name="_Toc4557"/>
      <w:bookmarkStart w:id="179" w:name="_Toc485712535"/>
      <w:r>
        <w:rPr>
          <w:rFonts w:hint="eastAsia" w:ascii="宋体" w:hAnsi="宋体" w:cs="宋体"/>
          <w:b/>
          <w:color w:val="auto"/>
          <w:szCs w:val="21"/>
          <w:highlight w:val="none"/>
        </w:rPr>
        <w:t>（九）关于分公司投标</w:t>
      </w:r>
      <w:bookmarkEnd w:id="175"/>
      <w:bookmarkEnd w:id="176"/>
      <w:bookmarkEnd w:id="177"/>
      <w:bookmarkEnd w:id="178"/>
    </w:p>
    <w:p w14:paraId="3CF711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法人的分支机构由于其不能独立承担民事责任，不能以分支机构的身份参加政府采购，只能以法人身份参加。分公司为法人的分支机构，以分公司名义参与投标的为无效投标。</w:t>
      </w:r>
    </w:p>
    <w:p w14:paraId="6D5404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公开招标采购活动。</w:t>
      </w:r>
    </w:p>
    <w:p w14:paraId="4B40FBA8">
      <w:pPr>
        <w:spacing w:line="360" w:lineRule="auto"/>
        <w:ind w:firstLine="422" w:firstLineChars="200"/>
        <w:outlineLvl w:val="2"/>
        <w:rPr>
          <w:rFonts w:ascii="宋体" w:hAnsi="宋体" w:cs="宋体"/>
          <w:b/>
          <w:color w:val="auto"/>
          <w:szCs w:val="21"/>
          <w:highlight w:val="none"/>
        </w:rPr>
      </w:pPr>
      <w:bookmarkStart w:id="180" w:name="_Toc26653"/>
      <w:bookmarkStart w:id="181" w:name="_Toc19354"/>
      <w:bookmarkStart w:id="182" w:name="_Toc17303"/>
      <w:bookmarkStart w:id="183" w:name="_Toc2645"/>
      <w:r>
        <w:rPr>
          <w:rFonts w:hint="eastAsia" w:ascii="宋体" w:hAnsi="宋体" w:cs="宋体"/>
          <w:b/>
          <w:color w:val="auto"/>
          <w:szCs w:val="21"/>
          <w:highlight w:val="none"/>
        </w:rPr>
        <w:t>（十）关于知识产权</w:t>
      </w:r>
      <w:bookmarkEnd w:id="180"/>
      <w:bookmarkEnd w:id="181"/>
      <w:bookmarkEnd w:id="182"/>
      <w:bookmarkEnd w:id="183"/>
    </w:p>
    <w:p w14:paraId="17033DF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必须保证，采购人在中华人民共和国境内使用投标、资料、技术、服务或其任何一部分时，享有不受限制的无偿使用权，如有第三方向采购人提出侵犯其专利权、商标权或其它知识产权的主张，该责任应由供应商承担。</w:t>
      </w:r>
    </w:p>
    <w:p w14:paraId="726CEFB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2.投标报价应包含所有应向所有权人支付的专利权、商标权或其它知识产权的一切相关费用。</w:t>
      </w:r>
    </w:p>
    <w:p w14:paraId="5835282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3.系统软件、通用软件必须是具有在中国境内的合法使用权或版权的正版软件，涉及到第三方提出侵权或知识产权的起诉及支付版税等费用由供应商承担所有责任及费用。</w:t>
      </w:r>
    </w:p>
    <w:p w14:paraId="0A5256EF">
      <w:pPr>
        <w:spacing w:line="360" w:lineRule="auto"/>
        <w:ind w:firstLine="422" w:firstLineChars="200"/>
        <w:outlineLvl w:val="2"/>
        <w:rPr>
          <w:rFonts w:ascii="宋体" w:hAnsi="宋体" w:cs="宋体"/>
          <w:b/>
          <w:color w:val="auto"/>
          <w:szCs w:val="21"/>
          <w:highlight w:val="none"/>
        </w:rPr>
      </w:pPr>
      <w:bookmarkStart w:id="184" w:name="_Toc15477"/>
      <w:bookmarkStart w:id="185" w:name="_Toc16426"/>
      <w:bookmarkStart w:id="186" w:name="_Toc16109"/>
      <w:bookmarkStart w:id="187" w:name="_Toc8090"/>
      <w:r>
        <w:rPr>
          <w:rFonts w:hint="eastAsia" w:ascii="宋体" w:hAnsi="宋体" w:cs="宋体"/>
          <w:b/>
          <w:color w:val="auto"/>
          <w:szCs w:val="21"/>
          <w:highlight w:val="none"/>
        </w:rPr>
        <w:t>（十一）质疑和投诉</w:t>
      </w:r>
      <w:bookmarkEnd w:id="179"/>
      <w:bookmarkEnd w:id="184"/>
      <w:bookmarkEnd w:id="185"/>
      <w:bookmarkEnd w:id="186"/>
      <w:bookmarkEnd w:id="187"/>
    </w:p>
    <w:p w14:paraId="13DDBE7B">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供应商认为招标过程或中标结果使自己的合法权益受到损害的，应当在知道或者应知其权益受到损害之日起七个工作日内，以书面形式向采购单位、采购代理机构提出质疑。供应商对招标采购单位的质疑答复不满意或者招标采购单位未在规定时间内作出答复的，可以在答复期满后十五个工作日内向同级采购监管部门投诉。</w:t>
      </w:r>
    </w:p>
    <w:p w14:paraId="3CE13C3E">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质疑、投诉应当采用书面形式，质疑书、投诉书均应明确阐述采购文件、招标过程或中标结果中使自己合法权益受到损害的实质性内容，提供相关事实、依据和证据及其来源或线索，便于有关单位调查、答复和处理。</w:t>
      </w:r>
    </w:p>
    <w:p w14:paraId="27D0DBE9">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3.提出质疑的供应商应当是参与所质疑项目采购活动的供应商。</w:t>
      </w:r>
    </w:p>
    <w:p w14:paraId="129134C4">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4．根据中国人民共和国财政部令第94号——政府采购质疑和投诉办法第二章第十条规定，供应商在法定质疑期内针对同一采购程序环节的质疑只能一次性提出。</w:t>
      </w:r>
    </w:p>
    <w:p w14:paraId="67A202BD">
      <w:pPr>
        <w:keepNext/>
        <w:keepLines/>
        <w:spacing w:line="360" w:lineRule="auto"/>
        <w:outlineLvl w:val="1"/>
        <w:rPr>
          <w:rFonts w:ascii="宋体" w:hAnsi="宋体" w:cs="宋体"/>
          <w:b/>
          <w:bCs/>
          <w:color w:val="auto"/>
          <w:szCs w:val="21"/>
          <w:highlight w:val="none"/>
        </w:rPr>
      </w:pPr>
      <w:bookmarkStart w:id="188" w:name="_Toc16517"/>
      <w:bookmarkStart w:id="189" w:name="_Toc11059"/>
      <w:bookmarkStart w:id="190" w:name="_Toc2146"/>
      <w:bookmarkStart w:id="191" w:name="_Toc28697"/>
      <w:r>
        <w:rPr>
          <w:rFonts w:hint="eastAsia" w:ascii="宋体" w:hAnsi="宋体" w:cs="宋体"/>
          <w:b/>
          <w:bCs/>
          <w:color w:val="auto"/>
          <w:szCs w:val="21"/>
          <w:highlight w:val="none"/>
        </w:rPr>
        <w:t>二、</w:t>
      </w:r>
      <w:bookmarkEnd w:id="136"/>
      <w:r>
        <w:rPr>
          <w:rFonts w:hint="eastAsia" w:ascii="宋体" w:hAnsi="宋体" w:cs="宋体"/>
          <w:b/>
          <w:bCs/>
          <w:color w:val="auto"/>
          <w:szCs w:val="21"/>
          <w:highlight w:val="none"/>
        </w:rPr>
        <w:t>采购文件</w:t>
      </w:r>
      <w:bookmarkEnd w:id="188"/>
      <w:bookmarkEnd w:id="189"/>
      <w:bookmarkEnd w:id="190"/>
      <w:bookmarkEnd w:id="191"/>
    </w:p>
    <w:p w14:paraId="4D500E10">
      <w:pPr>
        <w:spacing w:line="360" w:lineRule="auto"/>
        <w:ind w:firstLine="422" w:firstLineChars="200"/>
        <w:outlineLvl w:val="2"/>
        <w:rPr>
          <w:rFonts w:ascii="宋体" w:hAnsi="宋体" w:cs="宋体"/>
          <w:b/>
          <w:color w:val="auto"/>
          <w:szCs w:val="21"/>
          <w:highlight w:val="none"/>
        </w:rPr>
      </w:pPr>
      <w:bookmarkStart w:id="192" w:name="_Toc9412"/>
      <w:bookmarkStart w:id="193" w:name="_Toc15887"/>
      <w:bookmarkStart w:id="194" w:name="_Toc25120"/>
      <w:bookmarkStart w:id="195" w:name="_Toc17742"/>
      <w:r>
        <w:rPr>
          <w:rFonts w:hint="eastAsia" w:ascii="宋体" w:hAnsi="宋体" w:cs="宋体"/>
          <w:b/>
          <w:color w:val="auto"/>
          <w:szCs w:val="21"/>
          <w:highlight w:val="none"/>
        </w:rPr>
        <w:t>（一）采购文件的构成</w:t>
      </w:r>
      <w:bookmarkEnd w:id="192"/>
      <w:bookmarkEnd w:id="193"/>
      <w:bookmarkEnd w:id="194"/>
      <w:bookmarkEnd w:id="195"/>
    </w:p>
    <w:p w14:paraId="133849E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本采购文件由以下部分组成</w:t>
      </w:r>
    </w:p>
    <w:p w14:paraId="71776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1.公开招标采购公告</w:t>
      </w:r>
    </w:p>
    <w:p w14:paraId="0DB627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2.采购需求</w:t>
      </w:r>
    </w:p>
    <w:p w14:paraId="20093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3.供应商须知</w:t>
      </w:r>
    </w:p>
    <w:p w14:paraId="1B8458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4.评标办法及评分标准</w:t>
      </w:r>
    </w:p>
    <w:p w14:paraId="3F34DC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5.合同主要条款</w:t>
      </w:r>
    </w:p>
    <w:p w14:paraId="69F43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59E0B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7.本项目采购文件的澄清、答复、修改、补充的内容</w:t>
      </w:r>
    </w:p>
    <w:p w14:paraId="1BD39C32">
      <w:pPr>
        <w:spacing w:line="360" w:lineRule="auto"/>
        <w:ind w:firstLine="422" w:firstLineChars="200"/>
        <w:outlineLvl w:val="2"/>
        <w:rPr>
          <w:rFonts w:ascii="宋体" w:hAnsi="宋体" w:cs="宋体"/>
          <w:b/>
          <w:color w:val="auto"/>
          <w:szCs w:val="21"/>
          <w:highlight w:val="none"/>
        </w:rPr>
      </w:pPr>
      <w:bookmarkStart w:id="196" w:name="_Toc9179"/>
      <w:bookmarkStart w:id="197" w:name="_Toc8379"/>
      <w:bookmarkStart w:id="198" w:name="_Toc1317"/>
      <w:bookmarkStart w:id="199" w:name="_Toc1211"/>
      <w:r>
        <w:rPr>
          <w:rFonts w:hint="eastAsia" w:ascii="宋体" w:hAnsi="宋体" w:cs="宋体"/>
          <w:b/>
          <w:color w:val="auto"/>
          <w:szCs w:val="21"/>
          <w:highlight w:val="none"/>
        </w:rPr>
        <w:t>（二）供应商的风险</w:t>
      </w:r>
      <w:bookmarkEnd w:id="196"/>
      <w:bookmarkEnd w:id="197"/>
      <w:bookmarkEnd w:id="198"/>
      <w:bookmarkEnd w:id="199"/>
    </w:p>
    <w:p w14:paraId="201BE895">
      <w:pPr>
        <w:pStyle w:val="34"/>
        <w:snapToGrid/>
        <w:spacing w:line="360" w:lineRule="auto"/>
        <w:ind w:firstLine="420"/>
        <w:jc w:val="both"/>
        <w:rPr>
          <w:rFonts w:ascii="宋体" w:eastAsia="宋体" w:cs="宋体"/>
          <w:color w:val="auto"/>
          <w:sz w:val="21"/>
          <w:szCs w:val="21"/>
          <w:highlight w:val="none"/>
        </w:rPr>
      </w:pPr>
      <w:r>
        <w:rPr>
          <w:rFonts w:hint="eastAsia" w:ascii="宋体" w:eastAsia="宋体" w:cs="宋体"/>
          <w:color w:val="auto"/>
          <w:sz w:val="21"/>
          <w:szCs w:val="21"/>
          <w:highlight w:val="none"/>
        </w:rPr>
        <w:t>供应商没有按照采购文件要求提供全部资料，或者供应商没有对采购文件在各方面作出实质性响应是供应商的风险，并可能导致其投标被拒绝。</w:t>
      </w:r>
    </w:p>
    <w:p w14:paraId="69B65B5E">
      <w:pPr>
        <w:pStyle w:val="13"/>
        <w:numPr>
          <w:ilvl w:val="0"/>
          <w:numId w:val="0"/>
        </w:numPr>
        <w:spacing w:after="0" w:afterLines="0" w:line="360" w:lineRule="auto"/>
        <w:ind w:firstLine="422" w:firstLineChars="200"/>
        <w:jc w:val="both"/>
        <w:outlineLvl w:val="2"/>
        <w:rPr>
          <w:rFonts w:ascii="宋体" w:hAnsi="宋体" w:cs="宋体"/>
          <w:b/>
          <w:color w:val="auto"/>
          <w:sz w:val="21"/>
          <w:szCs w:val="21"/>
          <w:highlight w:val="none"/>
        </w:rPr>
      </w:pPr>
      <w:bookmarkStart w:id="200" w:name="_Toc23134"/>
      <w:bookmarkStart w:id="201" w:name="_Toc24716"/>
      <w:bookmarkStart w:id="202" w:name="_Toc7552"/>
      <w:bookmarkStart w:id="203" w:name="_Toc6229"/>
      <w:r>
        <w:rPr>
          <w:rFonts w:hint="eastAsia" w:ascii="宋体" w:hAnsi="宋体" w:cs="宋体"/>
          <w:b/>
          <w:color w:val="auto"/>
          <w:sz w:val="21"/>
          <w:szCs w:val="21"/>
          <w:highlight w:val="none"/>
        </w:rPr>
        <w:t>（三）采购文件的澄清与修改</w:t>
      </w:r>
      <w:bookmarkEnd w:id="200"/>
      <w:bookmarkEnd w:id="201"/>
      <w:bookmarkEnd w:id="202"/>
      <w:bookmarkEnd w:id="203"/>
      <w:r>
        <w:rPr>
          <w:rFonts w:hint="eastAsia" w:ascii="宋体" w:hAnsi="宋体" w:cs="宋体"/>
          <w:b/>
          <w:color w:val="auto"/>
          <w:sz w:val="21"/>
          <w:szCs w:val="21"/>
          <w:highlight w:val="none"/>
        </w:rPr>
        <w:t xml:space="preserve"> </w:t>
      </w:r>
    </w:p>
    <w:p w14:paraId="13DC0AAE">
      <w:pPr>
        <w:pStyle w:val="23"/>
        <w:spacing w:before="0" w:beforeLines="0" w:after="0" w:afterLines="0" w:line="360" w:lineRule="auto"/>
        <w:ind w:firstLine="420" w:firstLineChars="200"/>
        <w:rPr>
          <w:rFonts w:hAnsi="宋体" w:cs="宋体"/>
          <w:color w:val="auto"/>
          <w:sz w:val="21"/>
          <w:szCs w:val="21"/>
          <w:highlight w:val="none"/>
        </w:rPr>
      </w:pPr>
      <w:bookmarkStart w:id="204" w:name="_Toc485712539"/>
      <w:r>
        <w:rPr>
          <w:rFonts w:hint="eastAsia" w:hAnsi="宋体" w:cs="宋体"/>
          <w:color w:val="auto"/>
          <w:sz w:val="21"/>
          <w:szCs w:val="21"/>
          <w:highlight w:val="none"/>
        </w:rPr>
        <w:t>1.采购人或者采购代理机构可以对已发出的采购文件、资格预审文件、投标邀请书进行必要的澄清或者修改，但不得改变采购标的和资格条件。澄清或者修改应当在原公告发布媒体上发布澄清公告。澄清或者修改的内容为采购文件、资格预审文件、投标邀请书的组成部分。</w:t>
      </w:r>
    </w:p>
    <w:p w14:paraId="7B926D67">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澄清或者修改的内容可能影响投标文件编制的，采购人或者采购代理机构应当在投标截止时间至少15日前，以书面形式通知所有获取采购文件的潜在供应商；不足15日的，采购人或者采购代理机构应当顺延提交投标文件的截止时间。</w:t>
      </w:r>
    </w:p>
    <w:p w14:paraId="3B7C1176">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3.采购文件澄清、答复、修改、补充的内容为采购文件的组成部分。当采购文件与采购文件的答复、澄清、修改、补充通知就同一内容的表述不一致时，以最后发出的书面文件为准</w:t>
      </w:r>
    </w:p>
    <w:p w14:paraId="21B6BE40">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澄清或者修改的内容可能影响资格预审申请文件编制的，采购人或者采购代理机构应当在提交资格预审申请文件截止时间至少3日前，以书面形式通知所有获取资格预审文件的潜在供应商；不足3日的，采购人或者采购代理机构应当顺延提交资格预审申请文件的截止时间。</w:t>
      </w:r>
    </w:p>
    <w:p w14:paraId="7AAD63AE">
      <w:pPr>
        <w:pStyle w:val="23"/>
        <w:spacing w:before="0" w:beforeLines="0" w:after="0" w:afterLines="0" w:line="360" w:lineRule="auto"/>
        <w:ind w:firstLine="422" w:firstLineChars="200"/>
        <w:outlineLvl w:val="2"/>
        <w:rPr>
          <w:rFonts w:hAnsi="宋体" w:cs="宋体"/>
          <w:b/>
          <w:color w:val="auto"/>
          <w:sz w:val="21"/>
          <w:szCs w:val="21"/>
          <w:highlight w:val="none"/>
        </w:rPr>
      </w:pPr>
      <w:bookmarkStart w:id="205" w:name="_Toc32304"/>
      <w:bookmarkStart w:id="206" w:name="_Toc20867"/>
      <w:bookmarkStart w:id="207" w:name="_Toc7913"/>
      <w:bookmarkStart w:id="208" w:name="_Toc6279"/>
      <w:r>
        <w:rPr>
          <w:rFonts w:hint="eastAsia" w:hAnsi="宋体" w:cs="宋体"/>
          <w:b/>
          <w:color w:val="auto"/>
          <w:sz w:val="21"/>
          <w:szCs w:val="21"/>
          <w:highlight w:val="none"/>
        </w:rPr>
        <w:t>（四）对采购文件的异议</w:t>
      </w:r>
      <w:bookmarkEnd w:id="205"/>
      <w:bookmarkEnd w:id="206"/>
      <w:bookmarkEnd w:id="207"/>
      <w:bookmarkEnd w:id="208"/>
    </w:p>
    <w:p w14:paraId="68D60085">
      <w:pPr>
        <w:pStyle w:val="23"/>
        <w:snapToGrid w:val="0"/>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供应商认为招标过程或中标结果使自己的合法权益受到损害的，应当在知道或者应知其权益受到损害之日起七个工作日内，以书面形式向采购单位、采购代理机构提出质疑。</w:t>
      </w:r>
    </w:p>
    <w:p w14:paraId="74DEE753">
      <w:pPr>
        <w:keepNext/>
        <w:keepLines/>
        <w:spacing w:line="360" w:lineRule="auto"/>
        <w:outlineLvl w:val="1"/>
        <w:rPr>
          <w:rFonts w:ascii="宋体" w:hAnsi="宋体" w:cs="宋体"/>
          <w:b/>
          <w:bCs/>
          <w:color w:val="auto"/>
          <w:szCs w:val="21"/>
          <w:highlight w:val="none"/>
        </w:rPr>
      </w:pPr>
      <w:bookmarkStart w:id="209" w:name="_Toc29141"/>
      <w:bookmarkStart w:id="210" w:name="_Toc11376"/>
      <w:bookmarkStart w:id="211" w:name="_Toc4766"/>
      <w:bookmarkStart w:id="212" w:name="_Toc15699"/>
      <w:r>
        <w:rPr>
          <w:rFonts w:hint="eastAsia" w:ascii="宋体" w:hAnsi="宋体" w:cs="宋体"/>
          <w:b/>
          <w:bCs/>
          <w:color w:val="auto"/>
          <w:szCs w:val="21"/>
          <w:highlight w:val="none"/>
        </w:rPr>
        <w:t>三、投标文件的编制</w:t>
      </w:r>
      <w:bookmarkEnd w:id="209"/>
      <w:bookmarkEnd w:id="210"/>
      <w:bookmarkEnd w:id="211"/>
      <w:bookmarkEnd w:id="212"/>
    </w:p>
    <w:p w14:paraId="265D4268">
      <w:pPr>
        <w:tabs>
          <w:tab w:val="left" w:pos="440"/>
        </w:tabs>
        <w:snapToGrid w:val="0"/>
        <w:spacing w:line="360" w:lineRule="auto"/>
        <w:ind w:firstLine="422" w:firstLineChars="200"/>
        <w:outlineLvl w:val="2"/>
        <w:rPr>
          <w:rFonts w:ascii="宋体" w:hAnsi="宋体" w:cs="宋体"/>
          <w:b/>
          <w:color w:val="auto"/>
          <w:szCs w:val="21"/>
          <w:highlight w:val="none"/>
        </w:rPr>
      </w:pPr>
      <w:bookmarkStart w:id="213" w:name="_Toc17848"/>
      <w:bookmarkStart w:id="214" w:name="_Toc13280"/>
      <w:bookmarkStart w:id="215" w:name="_Toc14771"/>
      <w:bookmarkStart w:id="216" w:name="_Toc8444"/>
      <w:r>
        <w:rPr>
          <w:rFonts w:hint="eastAsia" w:ascii="宋体" w:hAnsi="宋体" w:cs="宋体"/>
          <w:b/>
          <w:color w:val="auto"/>
          <w:szCs w:val="21"/>
          <w:highlight w:val="none"/>
        </w:rPr>
        <w:t>（一）投标文件的组成</w:t>
      </w:r>
      <w:bookmarkEnd w:id="213"/>
      <w:bookmarkEnd w:id="214"/>
      <w:bookmarkEnd w:id="215"/>
      <w:bookmarkEnd w:id="216"/>
    </w:p>
    <w:p w14:paraId="62C94EF2">
      <w:pPr>
        <w:tabs>
          <w:tab w:val="left" w:pos="440"/>
        </w:tabs>
        <w:snapToGrid w:val="0"/>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投标文件由</w:t>
      </w:r>
      <w:r>
        <w:rPr>
          <w:rFonts w:hint="eastAsia" w:ascii="宋体" w:hAnsi="宋体" w:cs="宋体"/>
          <w:b/>
          <w:bCs/>
          <w:color w:val="auto"/>
          <w:szCs w:val="21"/>
          <w:highlight w:val="none"/>
          <w:u w:val="single"/>
        </w:rPr>
        <w:t>资格审查文件、技术商务文件、报价文件</w:t>
      </w:r>
      <w:r>
        <w:rPr>
          <w:rFonts w:hint="eastAsia" w:ascii="宋体" w:hAnsi="宋体" w:cs="宋体"/>
          <w:color w:val="auto"/>
          <w:szCs w:val="21"/>
          <w:highlight w:val="none"/>
        </w:rPr>
        <w:t>三部分组成。</w:t>
      </w:r>
    </w:p>
    <w:p w14:paraId="5FE678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1.资格审查文件组成：</w:t>
      </w:r>
    </w:p>
    <w:p w14:paraId="27A89C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（1）资格条件自查表；</w:t>
      </w:r>
    </w:p>
    <w:p w14:paraId="0A8DFB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（2）投标声明书；</w:t>
      </w:r>
    </w:p>
    <w:p w14:paraId="03F70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（3）法定代表人身份证明或法定代表人授权委托书；</w:t>
      </w:r>
    </w:p>
    <w:p w14:paraId="364076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（4）具备《中华人民共和国政府采购法》第二十二条规定的资格条件的承诺函；</w:t>
      </w:r>
    </w:p>
    <w:p w14:paraId="620F5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（5）提供具有履行合同所必需的设备和专业技术能力的声明；</w:t>
      </w:r>
    </w:p>
    <w:p w14:paraId="00C16F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（6）提供参加政府采购活动前3年内在经营活动中没有重大违法记录的声明；</w:t>
      </w:r>
    </w:p>
    <w:p w14:paraId="17EBC9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（7）中小企业声明函；</w:t>
      </w:r>
    </w:p>
    <w:p w14:paraId="4B99F6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（8）残疾人福利性单位声明函（如有）；</w:t>
      </w:r>
    </w:p>
    <w:p w14:paraId="6C81CF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（9）由省级以上监狱管理局、戒毒管理局（含新疆生产建设兵团）出具的属于监狱企业的证明文件（如有，须提供）；</w:t>
      </w:r>
    </w:p>
    <w:p w14:paraId="4AFD1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（10）供应商认为有必要说明的其他资料。</w:t>
      </w:r>
    </w:p>
    <w:p w14:paraId="6B1782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2.技术商务文件组成： </w:t>
      </w:r>
    </w:p>
    <w:p w14:paraId="7FF1DB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（1）符合性自查表；</w:t>
      </w:r>
    </w:p>
    <w:p w14:paraId="7C788E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（2）投标承诺函；</w:t>
      </w:r>
    </w:p>
    <w:p w14:paraId="38042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（3）供应商评标索引；</w:t>
      </w:r>
    </w:p>
    <w:p w14:paraId="1160F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（4）商务条款偏离表；</w:t>
      </w:r>
    </w:p>
    <w:p w14:paraId="50459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（5）技术条款偏离表；</w:t>
      </w:r>
    </w:p>
    <w:p w14:paraId="19C4A8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（6）供应商基本情况表；</w:t>
      </w:r>
    </w:p>
    <w:p w14:paraId="28850C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（7）拟投入本项目服务人员情况表；</w:t>
      </w:r>
    </w:p>
    <w:p w14:paraId="134E29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（8）服务承诺函</w:t>
      </w:r>
    </w:p>
    <w:p w14:paraId="38A3BC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（9）同类项目业绩表（如有）；</w:t>
      </w:r>
    </w:p>
    <w:p w14:paraId="7C92DF2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（10）现场</w:t>
      </w:r>
      <w:r>
        <w:rPr>
          <w:rFonts w:hint="eastAsia" w:ascii="宋体" w:hAnsi="宋体" w:cs="宋体"/>
          <w:color w:val="auto"/>
          <w:szCs w:val="21"/>
          <w:highlight w:val="none"/>
          <w:lang w:val="en-US" w:eastAsia="zh-CN"/>
        </w:rPr>
        <w:t>踏勘</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2988C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（11）针对本项目第四章《评标办法及评标标准》中的条款拟定各种方案；</w:t>
      </w:r>
    </w:p>
    <w:p w14:paraId="7FFFD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（12）第四章《评标办法及评标标准》中需提供的其他相关证书及合同等复印件加盖公章（如有）； </w:t>
      </w:r>
    </w:p>
    <w:p w14:paraId="15FB48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（13）供应商认为有必要提交的其他资料及说明。</w:t>
      </w:r>
    </w:p>
    <w:p w14:paraId="641D174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▲注：资格审查文件、技术商务文件中不能出现报价。</w:t>
      </w:r>
    </w:p>
    <w:p w14:paraId="4B130F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3.投标报价文件组成：</w:t>
      </w:r>
    </w:p>
    <w:p w14:paraId="353752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（1）投标函；</w:t>
      </w:r>
    </w:p>
    <w:p w14:paraId="2664F4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（2）开标一览表；</w:t>
      </w:r>
    </w:p>
    <w:p w14:paraId="0A07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（3）投标分项报价表；</w:t>
      </w:r>
    </w:p>
    <w:p w14:paraId="67E3F6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（4）供应商认为有必要提供的其他资料及说明</w:t>
      </w:r>
    </w:p>
    <w:p w14:paraId="2F697BF7">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以上格式详见第六章《投标文件格式》，若未提供格式的由供应商自行编制。</w:t>
      </w:r>
    </w:p>
    <w:p w14:paraId="7CC5805A">
      <w:pPr>
        <w:spacing w:line="360" w:lineRule="auto"/>
        <w:ind w:firstLine="422" w:firstLineChars="200"/>
        <w:rPr>
          <w:rFonts w:ascii="宋体" w:hAnsi="宋体" w:cs="宋体"/>
          <w:b/>
          <w:bCs/>
          <w:snapToGrid w:val="0"/>
          <w:color w:val="auto"/>
          <w:szCs w:val="21"/>
          <w:highlight w:val="none"/>
        </w:rPr>
      </w:pPr>
      <w:r>
        <w:rPr>
          <w:rFonts w:hint="eastAsia" w:ascii="宋体" w:hAnsi="宋体" w:cs="宋体"/>
          <w:b/>
          <w:bCs/>
          <w:snapToGrid w:val="0"/>
          <w:color w:val="auto"/>
          <w:szCs w:val="21"/>
          <w:highlight w:val="none"/>
        </w:rPr>
        <w:t>备注：如联合体投标的，</w:t>
      </w:r>
      <w:r>
        <w:rPr>
          <w:rFonts w:hint="eastAsia" w:ascii="宋体" w:hAnsi="宋体" w:cs="宋体"/>
          <w:b/>
          <w:bCs/>
          <w:color w:val="auto"/>
          <w:szCs w:val="21"/>
          <w:highlight w:val="none"/>
        </w:rPr>
        <w:t>除联合体协议书、中小微企业声明函外，</w:t>
      </w:r>
      <w:r>
        <w:rPr>
          <w:rFonts w:hint="eastAsia" w:ascii="宋体" w:hAnsi="宋体" w:cs="宋体"/>
          <w:b/>
          <w:bCs/>
          <w:snapToGrid w:val="0"/>
          <w:color w:val="auto"/>
          <w:szCs w:val="21"/>
          <w:highlight w:val="none"/>
        </w:rPr>
        <w:t>投标文件由联合体牵头人按第六章“投标文件格式”规定加盖联合体牵头人单位电子印章和（或）法定代表人的个人电子印章或电子签名章。</w:t>
      </w:r>
    </w:p>
    <w:p w14:paraId="3FDA03CB">
      <w:pPr>
        <w:spacing w:line="360" w:lineRule="auto"/>
        <w:ind w:firstLine="422" w:firstLineChars="200"/>
        <w:outlineLvl w:val="2"/>
        <w:rPr>
          <w:rFonts w:ascii="宋体" w:hAnsi="宋体" w:cs="宋体"/>
          <w:b/>
          <w:color w:val="auto"/>
          <w:szCs w:val="21"/>
          <w:highlight w:val="none"/>
        </w:rPr>
      </w:pPr>
      <w:bookmarkStart w:id="217" w:name="_Toc22795"/>
      <w:bookmarkStart w:id="218" w:name="_Toc13523"/>
      <w:bookmarkStart w:id="219" w:name="_Toc21021"/>
      <w:bookmarkStart w:id="220" w:name="_Toc8779"/>
      <w:r>
        <w:rPr>
          <w:rFonts w:hint="eastAsia" w:ascii="宋体" w:hAnsi="宋体" w:cs="宋体"/>
          <w:b/>
          <w:color w:val="auto"/>
          <w:szCs w:val="21"/>
          <w:highlight w:val="none"/>
        </w:rPr>
        <w:t>（二）投标文件的语言及计量</w:t>
      </w:r>
      <w:bookmarkEnd w:id="204"/>
      <w:bookmarkEnd w:id="217"/>
      <w:bookmarkEnd w:id="218"/>
      <w:bookmarkEnd w:id="219"/>
      <w:bookmarkEnd w:id="220"/>
    </w:p>
    <w:p w14:paraId="29D049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▲1.投标文件以及供应商与采购人就有关投标事宜的所有来往函电，均应以中文汉语书写。除签名、盖章、专用名称等特殊情形外，以中文汉语以外的文字表述的投标文件视同未提供。</w:t>
      </w:r>
    </w:p>
    <w:p w14:paraId="369CD9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▲2.投标计量单位，采购文件已有明确规定的，使用采购文件规定的计量单位；采购文件没有规定的，应采用中华人民共和国法定计量单位（货币单位：人民币元），否则视同未响应。</w:t>
      </w:r>
    </w:p>
    <w:p w14:paraId="3A4818A3">
      <w:pPr>
        <w:spacing w:line="360" w:lineRule="auto"/>
        <w:ind w:firstLine="422" w:firstLineChars="200"/>
        <w:outlineLvl w:val="2"/>
        <w:rPr>
          <w:rFonts w:ascii="宋体" w:hAnsi="宋体" w:cs="宋体"/>
          <w:b/>
          <w:color w:val="auto"/>
          <w:szCs w:val="21"/>
          <w:highlight w:val="none"/>
        </w:rPr>
      </w:pPr>
      <w:bookmarkStart w:id="221" w:name="_Toc5252"/>
      <w:bookmarkStart w:id="222" w:name="_Toc485712540"/>
      <w:bookmarkStart w:id="223" w:name="_Toc14036"/>
      <w:bookmarkStart w:id="224" w:name="_Toc24715"/>
      <w:bookmarkStart w:id="225" w:name="_Toc5583"/>
      <w:r>
        <w:rPr>
          <w:rFonts w:hint="eastAsia" w:ascii="宋体" w:hAnsi="宋体" w:cs="宋体"/>
          <w:b/>
          <w:color w:val="auto"/>
          <w:szCs w:val="21"/>
          <w:highlight w:val="none"/>
        </w:rPr>
        <w:t>（三）投标报价</w:t>
      </w:r>
      <w:bookmarkEnd w:id="221"/>
      <w:bookmarkEnd w:id="222"/>
      <w:bookmarkEnd w:id="223"/>
      <w:bookmarkEnd w:id="224"/>
      <w:bookmarkEnd w:id="225"/>
    </w:p>
    <w:p w14:paraId="7AE6069E">
      <w:pPr>
        <w:pStyle w:val="13"/>
        <w:numPr>
          <w:ilvl w:val="0"/>
          <w:numId w:val="0"/>
        </w:numPr>
        <w:spacing w:after="0" w:afterLines="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1.投标报价应按采购文件中相关附表格式填写。</w:t>
      </w:r>
    </w:p>
    <w:p w14:paraId="6598E0B2">
      <w:pPr>
        <w:pStyle w:val="13"/>
        <w:numPr>
          <w:ilvl w:val="0"/>
          <w:numId w:val="0"/>
        </w:numPr>
        <w:spacing w:after="0" w:afterLines="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▲2.报价要求：详见招标文第三章《供应商须知》前附表。</w:t>
      </w:r>
    </w:p>
    <w:p w14:paraId="34F0EBE6">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▲3.投标文件只允许有一个报价，有选择的或有条件的报价将不予接受。</w:t>
      </w:r>
    </w:p>
    <w:p w14:paraId="1996AB3A">
      <w:pPr>
        <w:pStyle w:val="13"/>
        <w:numPr>
          <w:ilvl w:val="0"/>
          <w:numId w:val="0"/>
        </w:numPr>
        <w:spacing w:after="0" w:afterLines="0" w:line="360" w:lineRule="auto"/>
        <w:ind w:firstLine="422" w:firstLineChars="200"/>
        <w:jc w:val="both"/>
        <w:outlineLvl w:val="2"/>
        <w:rPr>
          <w:rFonts w:ascii="宋体" w:hAnsi="宋体" w:cs="宋体"/>
          <w:b/>
          <w:color w:val="auto"/>
          <w:sz w:val="21"/>
          <w:szCs w:val="21"/>
          <w:highlight w:val="none"/>
        </w:rPr>
      </w:pPr>
      <w:bookmarkStart w:id="226" w:name="_Toc13463"/>
      <w:bookmarkStart w:id="227" w:name="_Toc20703"/>
      <w:bookmarkStart w:id="228" w:name="_Toc10683"/>
      <w:bookmarkStart w:id="229" w:name="_Toc14847"/>
      <w:r>
        <w:rPr>
          <w:rFonts w:hint="eastAsia" w:ascii="宋体" w:hAnsi="宋体" w:cs="宋体"/>
          <w:b/>
          <w:color w:val="auto"/>
          <w:sz w:val="21"/>
          <w:szCs w:val="21"/>
          <w:highlight w:val="none"/>
        </w:rPr>
        <w:t>（四）投标文件的有效期</w:t>
      </w:r>
      <w:bookmarkEnd w:id="226"/>
      <w:bookmarkEnd w:id="227"/>
      <w:bookmarkEnd w:id="228"/>
      <w:bookmarkEnd w:id="229"/>
    </w:p>
    <w:p w14:paraId="44338D49">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▲1.自投标截止日起</w:t>
      </w:r>
      <w:r>
        <w:rPr>
          <w:rFonts w:hint="eastAsia" w:hAnsi="宋体" w:cs="宋体"/>
          <w:color w:val="auto"/>
          <w:sz w:val="21"/>
          <w:szCs w:val="21"/>
          <w:highlight w:val="none"/>
          <w:u w:val="single"/>
        </w:rPr>
        <w:t xml:space="preserve"> 90 </w:t>
      </w:r>
      <w:r>
        <w:rPr>
          <w:rFonts w:hint="eastAsia" w:hAnsi="宋体" w:cs="宋体"/>
          <w:color w:val="auto"/>
          <w:sz w:val="21"/>
          <w:szCs w:val="21"/>
          <w:highlight w:val="none"/>
        </w:rPr>
        <w:t>天投标文件应保持有效。有效期不足的投标文件将被拒绝。</w:t>
      </w:r>
    </w:p>
    <w:p w14:paraId="08C012B9">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2.在特殊情况下，采购人可与供应商协商延长投标书的有效期，这种要求和答复均以书面形式进行。</w:t>
      </w:r>
    </w:p>
    <w:p w14:paraId="4B9AF795">
      <w:pPr>
        <w:pStyle w:val="23"/>
        <w:spacing w:before="0" w:beforeLines="0" w:after="0" w:afterLines="0" w:line="360" w:lineRule="auto"/>
        <w:ind w:firstLine="420" w:firstLineChars="200"/>
        <w:rPr>
          <w:rFonts w:hAnsi="宋体" w:cs="宋体"/>
          <w:color w:val="auto"/>
          <w:sz w:val="21"/>
          <w:szCs w:val="21"/>
          <w:highlight w:val="none"/>
        </w:rPr>
      </w:pPr>
      <w:bookmarkStart w:id="230" w:name="_Toc485712541"/>
      <w:r>
        <w:rPr>
          <w:rFonts w:hint="eastAsia" w:hAnsi="宋体" w:cs="宋体"/>
          <w:color w:val="auto"/>
          <w:sz w:val="21"/>
          <w:szCs w:val="21"/>
          <w:highlight w:val="none"/>
        </w:rPr>
        <w:t>3.供应商可拒绝接受延期要求而不会导致投标保证金被没收。同意延长有效期的供应商需要相应延长投标保证金的有效期，但不能修改投标文件。</w:t>
      </w:r>
      <w:bookmarkEnd w:id="230"/>
      <w:r>
        <w:rPr>
          <w:rFonts w:hint="eastAsia" w:hAnsi="宋体" w:cs="宋体"/>
          <w:color w:val="auto"/>
          <w:sz w:val="21"/>
          <w:szCs w:val="21"/>
          <w:highlight w:val="none"/>
        </w:rPr>
        <w:t xml:space="preserve"> </w:t>
      </w:r>
    </w:p>
    <w:p w14:paraId="1318E7B2">
      <w:pPr>
        <w:spacing w:line="360" w:lineRule="auto"/>
        <w:ind w:firstLine="422" w:firstLineChars="200"/>
        <w:outlineLvl w:val="2"/>
        <w:rPr>
          <w:rFonts w:ascii="宋体" w:hAnsi="宋体" w:cs="宋体"/>
          <w:b/>
          <w:color w:val="auto"/>
          <w:szCs w:val="21"/>
          <w:highlight w:val="none"/>
        </w:rPr>
      </w:pPr>
      <w:bookmarkStart w:id="231" w:name="_Toc19462"/>
      <w:bookmarkStart w:id="232" w:name="_Toc17404"/>
      <w:bookmarkStart w:id="233" w:name="_Toc485712543"/>
      <w:bookmarkStart w:id="234" w:name="_Toc11002"/>
      <w:bookmarkStart w:id="235" w:name="_Toc16489"/>
      <w:r>
        <w:rPr>
          <w:rFonts w:hint="eastAsia" w:ascii="宋体" w:hAnsi="宋体" w:cs="宋体"/>
          <w:b/>
          <w:color w:val="auto"/>
          <w:szCs w:val="21"/>
          <w:highlight w:val="none"/>
        </w:rPr>
        <w:t>（五）投标保证金</w:t>
      </w:r>
      <w:bookmarkEnd w:id="231"/>
      <w:bookmarkEnd w:id="232"/>
      <w:bookmarkEnd w:id="233"/>
      <w:bookmarkEnd w:id="234"/>
      <w:bookmarkEnd w:id="235"/>
    </w:p>
    <w:p w14:paraId="3D7D65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u w:val="single"/>
        </w:rPr>
        <w:t>本项目投标保证金不作要求</w:t>
      </w:r>
      <w:r>
        <w:rPr>
          <w:rFonts w:hint="eastAsia" w:ascii="宋体" w:hAnsi="宋体" w:cs="宋体"/>
          <w:b/>
          <w:color w:val="auto"/>
          <w:szCs w:val="21"/>
          <w:highlight w:val="none"/>
        </w:rPr>
        <w:t>。</w:t>
      </w:r>
    </w:p>
    <w:p w14:paraId="0EBD8774">
      <w:pPr>
        <w:spacing w:line="360" w:lineRule="auto"/>
        <w:ind w:firstLine="422" w:firstLineChars="200"/>
        <w:outlineLvl w:val="2"/>
        <w:rPr>
          <w:rFonts w:ascii="宋体" w:hAnsi="宋体" w:cs="宋体"/>
          <w:b/>
          <w:color w:val="auto"/>
          <w:szCs w:val="21"/>
          <w:highlight w:val="none"/>
        </w:rPr>
      </w:pPr>
      <w:bookmarkStart w:id="236" w:name="_Toc16241"/>
      <w:bookmarkStart w:id="237" w:name="_Toc32067"/>
      <w:bookmarkStart w:id="238" w:name="_Toc20192"/>
      <w:bookmarkStart w:id="239" w:name="_Toc28973"/>
      <w:bookmarkStart w:id="240" w:name="_Toc485712544"/>
      <w:r>
        <w:rPr>
          <w:rFonts w:hint="eastAsia" w:ascii="宋体" w:hAnsi="宋体" w:cs="宋体"/>
          <w:b/>
          <w:color w:val="auto"/>
          <w:szCs w:val="21"/>
          <w:highlight w:val="none"/>
        </w:rPr>
        <w:t>（六）投标文件的签署和份数</w:t>
      </w:r>
      <w:bookmarkEnd w:id="236"/>
      <w:bookmarkEnd w:id="237"/>
      <w:bookmarkEnd w:id="238"/>
      <w:bookmarkEnd w:id="239"/>
      <w:bookmarkEnd w:id="240"/>
    </w:p>
    <w:p w14:paraId="18023500">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1.供应商应按本采购文件规定的格式和顺序编制投标文件，投标文件内容不完整、编排混乱导致投标文件被误读、漏读或者查找不到相关内容的，是供应商的责任。</w:t>
      </w:r>
    </w:p>
    <w:p w14:paraId="27B7FBE5">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2.投标文件的份数：</w:t>
      </w:r>
    </w:p>
    <w:p w14:paraId="58475130">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本项目实行网上投标，供应商应准备以下投标文件：</w:t>
      </w:r>
    </w:p>
    <w:p w14:paraId="430285D7">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（1）上传到政采云平台的“电子加密投标文件”（含资格文件、技术商务文件、报价文件）1份；</w:t>
      </w:r>
    </w:p>
    <w:p w14:paraId="52D5560E">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（2）以U盘或光盘存储的电子备份投标文件（含资格文件、技术商务文件、报价文件）1份。（如有）</w:t>
      </w:r>
    </w:p>
    <w:p w14:paraId="5D5345D4">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（3）中标人中标后3个工作日内根据采购人要求另行提供纸质投标文件：资格文件、技术商务文件和报价文件，纸质投标文件需与电子投标文件一致。 </w:t>
      </w:r>
    </w:p>
    <w:p w14:paraId="5EAAC1B0">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3.“电子加密投标文件”：是指通过“政采云电子交易客户端”完成投标文件编制后生成并加密的数据电文形式的投标文件。</w:t>
      </w:r>
    </w:p>
    <w:p w14:paraId="57D55773">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3.1供应商应根据政府采购云平台的要求及本采购文件规定的格式和顺序编制电子加密投标文件并进行关联定位。并在投标截止时间前将电子投标文件上传“政采云”平台。</w:t>
      </w:r>
    </w:p>
    <w:p w14:paraId="2E88C0CD">
      <w:pPr>
        <w:spacing w:line="360" w:lineRule="auto"/>
        <w:ind w:firstLine="422" w:firstLineChars="200"/>
        <w:outlineLvl w:val="2"/>
        <w:rPr>
          <w:rFonts w:ascii="宋体" w:hAnsi="宋体" w:cs="宋体"/>
          <w:b/>
          <w:color w:val="auto"/>
          <w:szCs w:val="21"/>
          <w:highlight w:val="none"/>
        </w:rPr>
      </w:pPr>
      <w:bookmarkStart w:id="241" w:name="_Toc6838"/>
      <w:bookmarkStart w:id="242" w:name="_Toc22823"/>
      <w:bookmarkStart w:id="243" w:name="_Toc6319"/>
      <w:bookmarkStart w:id="244" w:name="_Toc20017"/>
      <w:r>
        <w:rPr>
          <w:rFonts w:hint="eastAsia" w:ascii="宋体" w:hAnsi="宋体" w:cs="宋体"/>
          <w:b/>
          <w:color w:val="auto"/>
          <w:szCs w:val="21"/>
          <w:highlight w:val="none"/>
        </w:rPr>
        <w:t>（七）投标文件的包装、递交、修改和撤回</w:t>
      </w:r>
      <w:bookmarkEnd w:id="241"/>
      <w:bookmarkEnd w:id="242"/>
      <w:bookmarkEnd w:id="243"/>
      <w:bookmarkEnd w:id="244"/>
    </w:p>
    <w:p w14:paraId="4F595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1.以U盘或光盘存储的电子备份投标文件用封袋密封后递交。</w:t>
      </w:r>
    </w:p>
    <w:p w14:paraId="30D737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备份投标文件的的包装封面上应注明供应商名称、供应商地址、电子备份投标文件名称（资格审查文件审查/报价文件/技术商务文件）、项目名称、项目编号、子包/标项号、供应商名称，并加盖供应商公章。</w:t>
      </w:r>
    </w:p>
    <w:p w14:paraId="4B71C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3.未按规定密封或标记的电子备份投标文件将被拒绝，由此造成电子备份投标文件被误投或提前拆封的风险由供应商承担。</w:t>
      </w:r>
    </w:p>
    <w:p w14:paraId="6771C9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在投标截止时间之前，可以对已提交的电子备份投标文件进行修改或撤回，并书面通知采购人；投标截止时间后，供应商不得撤回、修改投标文件。修改后重新递交的电子备份投标文件应当按本采购文件的要求签署、盖章和密封。</w:t>
      </w:r>
    </w:p>
    <w:p w14:paraId="1347F3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政采云系统拒收。</w:t>
      </w:r>
    </w:p>
    <w:p w14:paraId="4A44C90A">
      <w:pPr>
        <w:pStyle w:val="23"/>
        <w:spacing w:before="0" w:beforeLines="0" w:after="0" w:afterLines="0" w:line="360" w:lineRule="auto"/>
        <w:ind w:firstLine="422" w:firstLineChars="200"/>
        <w:outlineLvl w:val="2"/>
        <w:rPr>
          <w:rFonts w:hAnsi="宋体" w:cs="宋体"/>
          <w:b/>
          <w:color w:val="auto"/>
          <w:sz w:val="21"/>
          <w:szCs w:val="21"/>
          <w:highlight w:val="none"/>
        </w:rPr>
      </w:pPr>
      <w:bookmarkStart w:id="245" w:name="_Toc10616"/>
      <w:bookmarkStart w:id="246" w:name="_Toc72"/>
      <w:bookmarkStart w:id="247" w:name="_Toc18880"/>
      <w:bookmarkStart w:id="248" w:name="_Toc2328"/>
      <w:r>
        <w:rPr>
          <w:rFonts w:hint="eastAsia" w:hAnsi="宋体" w:cs="宋体"/>
          <w:b/>
          <w:color w:val="auto"/>
          <w:sz w:val="21"/>
          <w:szCs w:val="21"/>
          <w:highlight w:val="none"/>
        </w:rPr>
        <w:t>（八）投标文件的形式和效力</w:t>
      </w:r>
      <w:bookmarkEnd w:id="245"/>
      <w:bookmarkEnd w:id="246"/>
      <w:bookmarkEnd w:id="247"/>
      <w:bookmarkEnd w:id="248"/>
    </w:p>
    <w:p w14:paraId="4BE153C2">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1.投标文件分为电子投标文件以及备份投标文件，备份文件为以U盘或光盘存储的数据电文形式的备份投标文件。</w:t>
      </w:r>
    </w:p>
    <w:p w14:paraId="1E570C20">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2.电子投标文件，按“政采云供应商项目采购-电子招投标操作指南”及本采购文件要求制作、加密并递交。</w:t>
      </w:r>
    </w:p>
    <w:p w14:paraId="0C78E884">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3.以U盘或光盘存储的数据电文形式的备份投标文件，即电子投标文件按“政采云供应商项目采购-电子招投标操作指南”制作的备份文件。</w:t>
      </w:r>
    </w:p>
    <w:p w14:paraId="157CCEF9">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4.投标文件的效力</w:t>
      </w:r>
    </w:p>
    <w:p w14:paraId="701CD0B7">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投标文件的启用，按先后顺位分别为电子投标文件、以U盘或光盘存储的数据电文形式的备份投标文件。在下一顺位的投标文件启用时，前一顺位的投标文件自动失效。</w:t>
      </w:r>
    </w:p>
    <w:p w14:paraId="1C7FE768">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bCs/>
          <w:color w:val="auto"/>
          <w:sz w:val="21"/>
          <w:szCs w:val="21"/>
          <w:highlight w:val="none"/>
        </w:rPr>
        <w:t>投标、响应文件未按时解密，供应商提供了备份投标、响应文件的，以备份投标、响应文件作为依据，否则视为投标、响应文件撤回。投标、响应文件已按时解密的，备份投标、响应文件自动失效。</w:t>
      </w:r>
    </w:p>
    <w:p w14:paraId="71DD3C0C">
      <w:pPr>
        <w:keepNext/>
        <w:keepLines/>
        <w:spacing w:line="360" w:lineRule="auto"/>
        <w:outlineLvl w:val="1"/>
        <w:rPr>
          <w:rFonts w:ascii="宋体" w:hAnsi="宋体" w:cs="宋体"/>
          <w:b/>
          <w:bCs/>
          <w:color w:val="auto"/>
          <w:szCs w:val="21"/>
          <w:highlight w:val="none"/>
        </w:rPr>
      </w:pPr>
      <w:bookmarkStart w:id="249" w:name="_Toc15869"/>
      <w:bookmarkStart w:id="250" w:name="_Toc32153"/>
      <w:bookmarkStart w:id="251" w:name="_Toc8290"/>
      <w:bookmarkStart w:id="252" w:name="_Toc24994"/>
      <w:r>
        <w:rPr>
          <w:rFonts w:hint="eastAsia" w:ascii="宋体" w:hAnsi="宋体" w:cs="宋体"/>
          <w:b/>
          <w:bCs/>
          <w:color w:val="auto"/>
          <w:szCs w:val="21"/>
          <w:highlight w:val="none"/>
        </w:rPr>
        <w:t>四、开标</w:t>
      </w:r>
      <w:bookmarkEnd w:id="249"/>
      <w:bookmarkEnd w:id="250"/>
      <w:bookmarkEnd w:id="251"/>
      <w:bookmarkEnd w:id="252"/>
    </w:p>
    <w:p w14:paraId="4F558C33">
      <w:pPr>
        <w:spacing w:line="360" w:lineRule="auto"/>
        <w:ind w:firstLine="422" w:firstLineChars="200"/>
        <w:outlineLvl w:val="2"/>
        <w:rPr>
          <w:rFonts w:ascii="宋体" w:hAnsi="宋体" w:cs="宋体"/>
          <w:b/>
          <w:color w:val="auto"/>
          <w:szCs w:val="21"/>
          <w:highlight w:val="none"/>
        </w:rPr>
      </w:pPr>
      <w:bookmarkStart w:id="253" w:name="_Toc8008"/>
      <w:bookmarkStart w:id="254" w:name="_Toc22185"/>
      <w:bookmarkStart w:id="255" w:name="_Toc24278"/>
      <w:bookmarkStart w:id="256" w:name="_Toc9232"/>
      <w:r>
        <w:rPr>
          <w:rFonts w:hint="eastAsia" w:ascii="宋体" w:hAnsi="宋体" w:cs="宋体"/>
          <w:b/>
          <w:color w:val="auto"/>
          <w:szCs w:val="21"/>
          <w:highlight w:val="none"/>
        </w:rPr>
        <w:t>（一）接收投标文件</w:t>
      </w:r>
      <w:bookmarkEnd w:id="253"/>
      <w:bookmarkEnd w:id="254"/>
      <w:bookmarkEnd w:id="255"/>
      <w:bookmarkEnd w:id="256"/>
    </w:p>
    <w:p w14:paraId="1FF053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1.采购代理机构将于投标截止时间前30分钟内安排工作人员在采购文件规定的投标地点接收投标文件。</w:t>
      </w:r>
    </w:p>
    <w:p w14:paraId="61BF2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2.有下列情形之一的电子备份投标文件拒绝接收：</w:t>
      </w:r>
    </w:p>
    <w:p w14:paraId="7D16D8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（1）逾期送达的电子备份投标文件；</w:t>
      </w:r>
    </w:p>
    <w:p w14:paraId="70859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（2）未按照采购文件要求密封的电子备份投标文件；</w:t>
      </w:r>
    </w:p>
    <w:p w14:paraId="50DC8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（3）未购买采购文件的供应商的电子备份投标文件。</w:t>
      </w:r>
    </w:p>
    <w:p w14:paraId="36609AB6">
      <w:pPr>
        <w:spacing w:line="360" w:lineRule="auto"/>
        <w:ind w:firstLine="422" w:firstLineChars="200"/>
        <w:outlineLvl w:val="2"/>
        <w:rPr>
          <w:rFonts w:ascii="宋体" w:hAnsi="宋体" w:cs="宋体"/>
          <w:b/>
          <w:color w:val="auto"/>
          <w:szCs w:val="21"/>
          <w:highlight w:val="none"/>
        </w:rPr>
      </w:pPr>
      <w:bookmarkStart w:id="257" w:name="_Toc6063"/>
      <w:bookmarkStart w:id="258" w:name="_Toc22555"/>
      <w:bookmarkStart w:id="259" w:name="_Toc15650"/>
      <w:bookmarkStart w:id="260" w:name="_Toc18796"/>
      <w:r>
        <w:rPr>
          <w:rFonts w:hint="eastAsia" w:ascii="宋体" w:hAnsi="宋体" w:cs="宋体"/>
          <w:b/>
          <w:color w:val="auto"/>
          <w:szCs w:val="21"/>
          <w:highlight w:val="none"/>
        </w:rPr>
        <w:t>（二）开标准备</w:t>
      </w:r>
      <w:bookmarkEnd w:id="257"/>
      <w:bookmarkEnd w:id="258"/>
      <w:bookmarkEnd w:id="259"/>
      <w:bookmarkEnd w:id="260"/>
    </w:p>
    <w:p w14:paraId="331C0D1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采购代理机构按照招标文件规定的时间通过电子交易平台组织开标，所有供应商均应当准时在线参加。供应商不足3家的，不得开标</w:t>
      </w:r>
      <w:r>
        <w:rPr>
          <w:rFonts w:hint="eastAsia" w:ascii="宋体" w:hAnsi="宋体" w:cs="宋体"/>
          <w:bCs/>
          <w:color w:val="auto"/>
          <w:szCs w:val="21"/>
          <w:highlight w:val="none"/>
        </w:rPr>
        <w:t>。</w:t>
      </w:r>
    </w:p>
    <w:p w14:paraId="562EDE15">
      <w:pPr>
        <w:spacing w:line="360" w:lineRule="auto"/>
        <w:ind w:firstLine="422" w:firstLineChars="200"/>
        <w:outlineLvl w:val="2"/>
        <w:rPr>
          <w:rFonts w:ascii="宋体" w:hAnsi="宋体" w:cs="宋体"/>
          <w:b/>
          <w:color w:val="auto"/>
          <w:szCs w:val="21"/>
          <w:highlight w:val="none"/>
        </w:rPr>
      </w:pPr>
      <w:bookmarkStart w:id="261" w:name="_Toc13174"/>
      <w:bookmarkStart w:id="262" w:name="_Toc16818"/>
      <w:bookmarkStart w:id="263" w:name="_Toc22796"/>
      <w:bookmarkStart w:id="264" w:name="_Toc9210"/>
      <w:r>
        <w:rPr>
          <w:rFonts w:hint="eastAsia" w:ascii="宋体" w:hAnsi="宋体" w:cs="宋体"/>
          <w:b/>
          <w:color w:val="auto"/>
          <w:szCs w:val="21"/>
          <w:highlight w:val="none"/>
        </w:rPr>
        <w:t>（三）开标程序</w:t>
      </w:r>
      <w:bookmarkEnd w:id="261"/>
      <w:bookmarkEnd w:id="262"/>
      <w:bookmarkEnd w:id="263"/>
      <w:bookmarkEnd w:id="264"/>
    </w:p>
    <w:p w14:paraId="5F0AA458">
      <w:pPr>
        <w:spacing w:line="360" w:lineRule="auto"/>
        <w:ind w:firstLine="420" w:firstLineChars="200"/>
        <w:outlineLvl w:val="3"/>
        <w:rPr>
          <w:rFonts w:ascii="宋体" w:hAnsi="宋体" w:cs="宋体"/>
          <w:bCs/>
          <w:color w:val="auto"/>
          <w:szCs w:val="21"/>
          <w:highlight w:val="none"/>
        </w:rPr>
      </w:pPr>
      <w:bookmarkStart w:id="265" w:name="_Toc14271"/>
      <w:bookmarkStart w:id="266" w:name="_Toc9217"/>
      <w:r>
        <w:rPr>
          <w:rFonts w:hint="eastAsia" w:ascii="宋体" w:hAnsi="宋体" w:cs="宋体"/>
          <w:bCs/>
          <w:color w:val="auto"/>
          <w:szCs w:val="21"/>
          <w:highlight w:val="none"/>
        </w:rPr>
        <w:t>1.电子招投标开标程序：</w:t>
      </w:r>
      <w:bookmarkEnd w:id="265"/>
      <w:bookmarkEnd w:id="266"/>
    </w:p>
    <w:p w14:paraId="364FA03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第一阶段：</w:t>
      </w:r>
    </w:p>
    <w:p w14:paraId="27C1DBB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（1）投标截止时间后，供应商登录政府采购云平台，用“项目采购-开标评标”功能对电子投标文件进行在线解密，在线解密电子投标文件时间为开标时间后30分钟内。</w:t>
      </w:r>
    </w:p>
    <w:p w14:paraId="531783E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（2）在政府采购云平台开启已解密供应商的“技术商务文件”，并做开标记录；</w:t>
      </w:r>
    </w:p>
    <w:p w14:paraId="482C0F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第二阶段：</w:t>
      </w:r>
    </w:p>
    <w:p w14:paraId="5D4D598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（1）在政府采购云平台宣告第一阶段评审无效供应商名单及理由；</w:t>
      </w:r>
    </w:p>
    <w:p w14:paraId="7B6F6EA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（2）公布经第一阶段评审符合采购文件要求的供应商的技术商务得分情况；</w:t>
      </w:r>
    </w:p>
    <w:p w14:paraId="7CF4A66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（3）在政府采购云平台开启除第一阶段无效标外的供应商的“报价文件”，并做开标记录；</w:t>
      </w:r>
    </w:p>
    <w:p w14:paraId="50A09E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（4）在政府采购云平台公布评审结果。</w:t>
      </w:r>
    </w:p>
    <w:p w14:paraId="3CDA45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（5）开标会议结束。</w:t>
      </w:r>
    </w:p>
    <w:p w14:paraId="1C9923BA">
      <w:pPr>
        <w:spacing w:line="360" w:lineRule="auto"/>
        <w:ind w:firstLine="420" w:firstLineChars="200"/>
        <w:outlineLvl w:val="3"/>
        <w:rPr>
          <w:rFonts w:ascii="宋体" w:hAnsi="宋体" w:cs="宋体"/>
          <w:bCs/>
          <w:color w:val="auto"/>
          <w:szCs w:val="21"/>
          <w:highlight w:val="none"/>
        </w:rPr>
      </w:pPr>
      <w:bookmarkStart w:id="267" w:name="_Toc568"/>
      <w:bookmarkStart w:id="268" w:name="_Toc3316"/>
      <w:r>
        <w:rPr>
          <w:rFonts w:hint="eastAsia" w:ascii="宋体" w:hAnsi="宋体" w:cs="宋体"/>
          <w:bCs/>
          <w:color w:val="auto"/>
          <w:szCs w:val="21"/>
          <w:highlight w:val="none"/>
        </w:rPr>
        <w:t>2.线下开标程序：</w:t>
      </w:r>
      <w:bookmarkEnd w:id="267"/>
      <w:bookmarkEnd w:id="268"/>
    </w:p>
    <w:p w14:paraId="39FC5C0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第一阶段：</w:t>
      </w:r>
    </w:p>
    <w:p w14:paraId="216360F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（1）开标会由采购代理机构主持，主持人宣布开标会议开始；</w:t>
      </w:r>
    </w:p>
    <w:p w14:paraId="7C8CD20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（2）主持人介绍参加开标会的人员名单； </w:t>
      </w:r>
    </w:p>
    <w:p w14:paraId="41633E8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（3）主持人宣布评标期间的有关事项，告知应当回避的情形,提请有关人员回避；</w:t>
      </w:r>
    </w:p>
    <w:p w14:paraId="17617F0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（4）由供应商或其当场推荐的代表检查</w:t>
      </w:r>
      <w:r>
        <w:rPr>
          <w:rFonts w:hint="eastAsia" w:ascii="宋体" w:hAnsi="宋体" w:cs="宋体"/>
          <w:color w:val="auto"/>
          <w:szCs w:val="21"/>
          <w:highlight w:val="none"/>
        </w:rPr>
        <w:t>资格审查文件、报价文件、技术商务文件</w:t>
      </w:r>
      <w:r>
        <w:rPr>
          <w:rFonts w:hint="eastAsia" w:ascii="宋体" w:hAnsi="宋体" w:cs="宋体"/>
          <w:bCs/>
          <w:color w:val="auto"/>
          <w:szCs w:val="21"/>
          <w:highlight w:val="none"/>
        </w:rPr>
        <w:t>密封的完整性；</w:t>
      </w:r>
    </w:p>
    <w:p w14:paraId="12540BA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（5）开启供应商的</w:t>
      </w:r>
      <w:r>
        <w:rPr>
          <w:rFonts w:hint="eastAsia" w:ascii="宋体" w:hAnsi="宋体" w:cs="宋体"/>
          <w:color w:val="auto"/>
          <w:szCs w:val="21"/>
          <w:highlight w:val="none"/>
        </w:rPr>
        <w:t>资格审查文件、技术商务文件</w:t>
      </w:r>
      <w:r>
        <w:rPr>
          <w:rFonts w:hint="eastAsia" w:ascii="宋体" w:hAnsi="宋体" w:cs="宋体"/>
          <w:bCs/>
          <w:color w:val="auto"/>
          <w:szCs w:val="21"/>
          <w:highlight w:val="none"/>
        </w:rPr>
        <w:t>外包装，清点投标文件正本、副本数量，并做开标记录；</w:t>
      </w:r>
    </w:p>
    <w:p w14:paraId="3D50287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第二阶段：</w:t>
      </w:r>
    </w:p>
    <w:p w14:paraId="472E11E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（1）由主持人公布第一阶段评审无效供应商名单及理由；</w:t>
      </w:r>
    </w:p>
    <w:p w14:paraId="4D72E57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（2）公布经第一阶段评审符合采购文件要求的供应商的技术商务得分情况；</w:t>
      </w:r>
    </w:p>
    <w:p w14:paraId="4BD94EA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（3）再开启报价文件，由主持人宣读《开标一览表》中的供应商名称及在其投标文件中承诺的投标报价、交货期（服务期限）等投标内容，以及采购代理机构认为有必要宣读的其他内容；</w:t>
      </w:r>
    </w:p>
    <w:p w14:paraId="6AAA7F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（4）采购代理机构做开标记录, 同时由记录人、监督人当场签字确认；</w:t>
      </w:r>
    </w:p>
    <w:p w14:paraId="29DFE7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（5）主持人公布评审结果。</w:t>
      </w:r>
    </w:p>
    <w:p w14:paraId="0DB6926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（6）开标会议结束。</w:t>
      </w:r>
    </w:p>
    <w:p w14:paraId="301A8C2D">
      <w:pPr>
        <w:snapToGrid w:val="0"/>
        <w:spacing w:line="360" w:lineRule="auto"/>
        <w:ind w:firstLine="422" w:firstLineChars="200"/>
        <w:outlineLvl w:val="2"/>
        <w:rPr>
          <w:rFonts w:ascii="宋体" w:hAnsi="宋体" w:cs="宋体"/>
          <w:b/>
          <w:color w:val="auto"/>
          <w:szCs w:val="21"/>
          <w:highlight w:val="none"/>
        </w:rPr>
      </w:pPr>
      <w:bookmarkStart w:id="269" w:name="_Toc16299"/>
      <w:bookmarkStart w:id="270" w:name="_Toc60"/>
      <w:bookmarkStart w:id="271" w:name="_Toc27734"/>
      <w:bookmarkStart w:id="272" w:name="_Toc6332"/>
      <w:r>
        <w:rPr>
          <w:rFonts w:hint="eastAsia" w:ascii="宋体" w:hAnsi="宋体" w:cs="宋体"/>
          <w:b/>
          <w:color w:val="auto"/>
          <w:szCs w:val="21"/>
          <w:highlight w:val="none"/>
        </w:rPr>
        <w:t>（三）特别说明</w:t>
      </w:r>
      <w:bookmarkEnd w:id="269"/>
      <w:bookmarkEnd w:id="270"/>
      <w:bookmarkEnd w:id="271"/>
      <w:bookmarkEnd w:id="272"/>
    </w:p>
    <w:p w14:paraId="05805445">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本项目原则上采用政采云电子招投标开标及评审程序，但有下情形之一的，按以下情况处理：</w:t>
      </w:r>
    </w:p>
    <w:p w14:paraId="272D9E34">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（1）若供应商在规定时间内无法解密或解密失败，采购组织机构开启所有供应商递交的以U盘或光盘存储的数据电文形式的备份投标文件，上传至政采云平台项目采购模块，以完成开标，电子投标文件自动失效。</w:t>
      </w:r>
    </w:p>
    <w:p w14:paraId="1C1B0124">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（2）采购过程中出现以下情形，导致电子交易平台无法正常运行，或者无法保证电子交易的公平、公正和安全时，采购组织机构可中止电子交易活动：</w:t>
      </w:r>
    </w:p>
    <w:p w14:paraId="53078A29">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 xml:space="preserve">a.电子交易平台发生故障而无法登录访问的； </w:t>
      </w:r>
    </w:p>
    <w:p w14:paraId="634C16B1">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b.电子交易平台应用或数据库出现错误，不能进行正常操作的；</w:t>
      </w:r>
    </w:p>
    <w:p w14:paraId="790F6F4C">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c.电子交易平台发现严重安全漏洞，有潜在泄密危险的；</w:t>
      </w:r>
    </w:p>
    <w:p w14:paraId="602D9F22">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 xml:space="preserve">d.病毒发作导致不能进行正常操作的； </w:t>
      </w:r>
    </w:p>
    <w:p w14:paraId="513EC42D">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e.其他无法保证电子交易的公平、公正和安全的情况。</w:t>
      </w:r>
    </w:p>
    <w:p w14:paraId="6FF8D09B">
      <w:pPr>
        <w:pStyle w:val="23"/>
        <w:snapToGrid w:val="0"/>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出现前款规定情形，不影响采购公平、公正性的，采购组织机构可以待上述情形消除后继续组织电子交易活动。</w:t>
      </w:r>
    </w:p>
    <w:p w14:paraId="3767B77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（3）若供应商在规定时间内无法解密或解密失败且未提供备份投标文件或所提供的备份投标文件无法读取的，视为投标文件撤回。</w:t>
      </w:r>
    </w:p>
    <w:p w14:paraId="20F6B630">
      <w:pPr>
        <w:keepNext/>
        <w:keepLines/>
        <w:spacing w:line="360" w:lineRule="auto"/>
        <w:outlineLvl w:val="1"/>
        <w:rPr>
          <w:rFonts w:ascii="宋体" w:hAnsi="宋体" w:cs="宋体"/>
          <w:b/>
          <w:bCs/>
          <w:color w:val="auto"/>
          <w:szCs w:val="21"/>
          <w:highlight w:val="none"/>
        </w:rPr>
      </w:pPr>
      <w:bookmarkStart w:id="273" w:name="_Toc16300"/>
      <w:bookmarkStart w:id="274" w:name="_Toc22625"/>
      <w:bookmarkStart w:id="275" w:name="_Toc23136"/>
      <w:bookmarkStart w:id="276" w:name="_Toc28856"/>
      <w:r>
        <w:rPr>
          <w:rFonts w:hint="eastAsia" w:ascii="宋体" w:hAnsi="宋体" w:cs="宋体"/>
          <w:b/>
          <w:bCs/>
          <w:color w:val="auto"/>
          <w:szCs w:val="21"/>
          <w:highlight w:val="none"/>
        </w:rPr>
        <w:t>五、评标</w:t>
      </w:r>
      <w:bookmarkEnd w:id="273"/>
      <w:bookmarkEnd w:id="274"/>
      <w:bookmarkEnd w:id="275"/>
      <w:bookmarkEnd w:id="276"/>
    </w:p>
    <w:p w14:paraId="33B8145F">
      <w:pPr>
        <w:spacing w:line="360" w:lineRule="auto"/>
        <w:ind w:firstLine="422" w:firstLineChars="200"/>
        <w:outlineLvl w:val="2"/>
        <w:rPr>
          <w:rFonts w:ascii="宋体" w:hAnsi="宋体" w:cs="宋体"/>
          <w:b/>
          <w:color w:val="auto"/>
          <w:szCs w:val="21"/>
          <w:highlight w:val="none"/>
        </w:rPr>
      </w:pPr>
      <w:bookmarkStart w:id="277" w:name="_Toc20888"/>
      <w:bookmarkStart w:id="278" w:name="_Toc2838"/>
      <w:bookmarkStart w:id="279" w:name="_Toc16417"/>
      <w:bookmarkStart w:id="280" w:name="_Toc10025"/>
      <w:r>
        <w:rPr>
          <w:rFonts w:hint="eastAsia" w:ascii="宋体" w:hAnsi="宋体" w:cs="宋体"/>
          <w:b/>
          <w:color w:val="auto"/>
          <w:szCs w:val="21"/>
          <w:highlight w:val="none"/>
        </w:rPr>
        <w:t>（一）组建评标委员会</w:t>
      </w:r>
      <w:bookmarkEnd w:id="277"/>
      <w:bookmarkEnd w:id="278"/>
      <w:bookmarkEnd w:id="279"/>
      <w:bookmarkEnd w:id="280"/>
    </w:p>
    <w:p w14:paraId="37F25E8C">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受采购人的委托，采购代理机构根据《中华人民共和国政府采购法》、财政部第87号令的规定和有关的法律法规组建评标委员会，评标委员会负责评标工作。评标委员会由采购人代表和评审专家组成。评审专家将在开标日之前在管理部门的评审专家库中随机抽取。评标委员会成员名单在评标结果公告前应当保密。</w:t>
      </w:r>
    </w:p>
    <w:p w14:paraId="6821F91F">
      <w:pPr>
        <w:spacing w:line="360" w:lineRule="auto"/>
        <w:ind w:firstLine="422" w:firstLineChars="200"/>
        <w:outlineLvl w:val="2"/>
        <w:rPr>
          <w:rFonts w:ascii="宋体" w:hAnsi="宋体" w:cs="宋体"/>
          <w:b/>
          <w:color w:val="auto"/>
          <w:szCs w:val="21"/>
          <w:highlight w:val="none"/>
        </w:rPr>
      </w:pPr>
      <w:bookmarkStart w:id="281" w:name="_Toc26650"/>
      <w:bookmarkStart w:id="282" w:name="_Toc30561"/>
      <w:bookmarkStart w:id="283" w:name="_Toc29964"/>
      <w:bookmarkStart w:id="284" w:name="_Toc26095"/>
      <w:r>
        <w:rPr>
          <w:rFonts w:hint="eastAsia" w:ascii="宋体" w:hAnsi="宋体" w:cs="宋体"/>
          <w:b/>
          <w:color w:val="auto"/>
          <w:szCs w:val="21"/>
          <w:highlight w:val="none"/>
        </w:rPr>
        <w:t>（二）评标的方式</w:t>
      </w:r>
      <w:bookmarkEnd w:id="281"/>
      <w:bookmarkEnd w:id="282"/>
      <w:bookmarkEnd w:id="283"/>
      <w:bookmarkEnd w:id="284"/>
    </w:p>
    <w:p w14:paraId="7A5F196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本项目采用不公开方式评标，评标的依据为采购文件和投标文件。</w:t>
      </w:r>
    </w:p>
    <w:p w14:paraId="2D5EDAB7">
      <w:pPr>
        <w:spacing w:line="360" w:lineRule="auto"/>
        <w:ind w:firstLine="422" w:firstLineChars="200"/>
        <w:outlineLvl w:val="2"/>
        <w:rPr>
          <w:rFonts w:ascii="宋体" w:hAnsi="宋体" w:cs="宋体"/>
          <w:b/>
          <w:color w:val="auto"/>
          <w:szCs w:val="21"/>
          <w:highlight w:val="none"/>
        </w:rPr>
      </w:pPr>
      <w:bookmarkStart w:id="285" w:name="_Toc28320"/>
      <w:bookmarkStart w:id="286" w:name="_Toc19055"/>
      <w:bookmarkStart w:id="287" w:name="_Toc30386"/>
      <w:bookmarkStart w:id="288" w:name="_Toc31560"/>
      <w:r>
        <w:rPr>
          <w:rFonts w:hint="eastAsia" w:ascii="宋体" w:hAnsi="宋体" w:cs="宋体"/>
          <w:b/>
          <w:color w:val="auto"/>
          <w:szCs w:val="21"/>
          <w:highlight w:val="none"/>
        </w:rPr>
        <w:t>（三）组织评标程序</w:t>
      </w:r>
      <w:bookmarkEnd w:id="285"/>
      <w:bookmarkEnd w:id="286"/>
      <w:bookmarkEnd w:id="287"/>
      <w:bookmarkEnd w:id="288"/>
    </w:p>
    <w:p w14:paraId="2AF964D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采购代理机构将按照采购文件规定的时间、地点和程序组织评标，各评审专家及相关人员应参加评审活动并接受核验、签到，无关人员不得进入评审现场。</w:t>
      </w:r>
    </w:p>
    <w:p w14:paraId="3C9E55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1.核验出席评审活动现场的评审小组各成员和相关监督人员身份，并要求其分别登记、签到，按规定统一收缴、保存其通讯工具，无关人员一律拒绝其进入评审现场。</w:t>
      </w:r>
    </w:p>
    <w:p w14:paraId="213303B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2.介绍评审现场的人员情况，宣布评审工作纪律，告知评审人员应当回避情形；组织推选评审小组组长。</w:t>
      </w:r>
    </w:p>
    <w:p w14:paraId="3D21307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3.宣读提交投标文件的供应商名单，组织评审小组各位成员签订《政府采购评审人员廉洁自律承诺书》。</w:t>
      </w:r>
    </w:p>
    <w:p w14:paraId="3D4DCBB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根据需要简要介绍采购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人员提出的有关采购文件、投标文件的问题进行必要的说明、解释或讨论。</w:t>
      </w:r>
    </w:p>
    <w:p w14:paraId="6C8C9D3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评审小组组长组织评审人员独立评审。评审小组对拟认定为投标文件无效、供应商资格不符合的，应组织相关供应商代表进行陈述、澄清或申辩；采购代理机构可协助评审小组组长对打分结果进行校对、核对并汇总统计；对明显畸高、畸低的评分，评审小组组长应提醒相关评审人员进行复核或书面说明理由，评审人员拒绝说明的，由现场监督员据实记录；评审人员的评审、修改记录应保留原件，随项目其他资料一并存档。</w:t>
      </w:r>
    </w:p>
    <w:p w14:paraId="6979401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6.做好评审现场相关记录，协助评审小组组长做好评审报告起草、有关内容电脑文字录入等工作，并要求评审小组各成员签字确认。</w:t>
      </w:r>
    </w:p>
    <w:p w14:paraId="6B9CBA3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7.评审结束后，采购代理机构应对评审小组各成员的专业水平、职业道德、遵纪守法等情况进行评价；同时按规定向评审专家发放评审费，并交还评审人员及其他现场相关人员的通讯工具。</w:t>
      </w:r>
    </w:p>
    <w:p w14:paraId="76A01C6D">
      <w:pPr>
        <w:spacing w:line="360" w:lineRule="auto"/>
        <w:ind w:firstLine="422" w:firstLineChars="200"/>
        <w:outlineLvl w:val="2"/>
        <w:rPr>
          <w:rFonts w:ascii="宋体" w:hAnsi="宋体" w:cs="宋体"/>
          <w:b/>
          <w:color w:val="auto"/>
          <w:szCs w:val="21"/>
          <w:highlight w:val="none"/>
        </w:rPr>
      </w:pPr>
      <w:bookmarkStart w:id="289" w:name="_Toc3362"/>
      <w:bookmarkStart w:id="290" w:name="_Toc1707"/>
      <w:bookmarkStart w:id="291" w:name="_Toc23692"/>
      <w:bookmarkStart w:id="292" w:name="_Toc4050"/>
      <w:r>
        <w:rPr>
          <w:rFonts w:hint="eastAsia" w:ascii="宋体" w:hAnsi="宋体" w:cs="宋体"/>
          <w:b/>
          <w:color w:val="auto"/>
          <w:szCs w:val="21"/>
          <w:highlight w:val="none"/>
        </w:rPr>
        <w:t>（四）评标委员评审程序</w:t>
      </w:r>
      <w:bookmarkEnd w:id="289"/>
      <w:bookmarkEnd w:id="290"/>
      <w:bookmarkEnd w:id="291"/>
      <w:bookmarkEnd w:id="292"/>
    </w:p>
    <w:p w14:paraId="776F82FF">
      <w:pPr>
        <w:spacing w:line="360" w:lineRule="auto"/>
        <w:ind w:firstLine="420" w:firstLineChars="200"/>
        <w:outlineLvl w:val="3"/>
        <w:rPr>
          <w:rFonts w:ascii="宋体" w:hAnsi="宋体" w:cs="宋体"/>
          <w:bCs/>
          <w:color w:val="auto"/>
          <w:szCs w:val="21"/>
          <w:highlight w:val="none"/>
        </w:rPr>
      </w:pPr>
      <w:bookmarkStart w:id="293" w:name="_Toc28500"/>
      <w:bookmarkStart w:id="294" w:name="_Toc19759"/>
      <w:r>
        <w:rPr>
          <w:rFonts w:hint="eastAsia" w:ascii="宋体" w:hAnsi="宋体" w:cs="宋体"/>
          <w:bCs/>
          <w:color w:val="auto"/>
          <w:szCs w:val="21"/>
          <w:highlight w:val="none"/>
        </w:rPr>
        <w:t>1.在评审专家中推选评审小组组长。</w:t>
      </w:r>
      <w:bookmarkEnd w:id="293"/>
      <w:bookmarkEnd w:id="294"/>
    </w:p>
    <w:p w14:paraId="0C01652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评审小组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2C924E0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3.评审人员对各供应商投标文件的有效性、完整性和响应程度进行审查，确定是否对采购文件作出实质性响应。</w:t>
      </w:r>
    </w:p>
    <w:p w14:paraId="03C8399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4.评审人员按采购文件规定的评审方法和评审标准，依法独立对供应商投标文件进行评估、比较，并给予评价或打分，不受任何单位和个人的干预。</w:t>
      </w:r>
    </w:p>
    <w:p w14:paraId="3356F2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评审人员对各供应商投标文件非实质性内容有疑议或异议，或者审查发现明显的文字或计算错误等，及时向评审小组组长提出。经评审小组商议认为需要供应商作出必要澄清或说明的，应通知该供应商以书面形式作出澄清或说明。书面通知及澄清说明文件应作为政府采购项目档案归档留存。</w:t>
      </w:r>
    </w:p>
    <w:p w14:paraId="299101D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人员需对采购代理机构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B01620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7．评审小组根据评审汇总情况和采购文件规定确定中标候选供应商排序名单。 采购单位、经其书面授权的采购单位代表或经其书面授权的评审小组按中标候选供应商排名确定中标供应商。</w:t>
      </w:r>
    </w:p>
    <w:p w14:paraId="3F19E80E">
      <w:pPr>
        <w:spacing w:line="360" w:lineRule="auto"/>
        <w:ind w:firstLine="420" w:firstLineChars="200"/>
        <w:outlineLvl w:val="3"/>
        <w:rPr>
          <w:rFonts w:ascii="宋体" w:hAnsi="宋体" w:cs="宋体"/>
          <w:bCs/>
          <w:color w:val="auto"/>
          <w:szCs w:val="21"/>
          <w:highlight w:val="none"/>
        </w:rPr>
      </w:pPr>
      <w:bookmarkStart w:id="295" w:name="_Toc14028"/>
      <w:bookmarkStart w:id="296" w:name="_Toc6441"/>
      <w:r>
        <w:rPr>
          <w:rFonts w:hint="eastAsia" w:ascii="宋体" w:hAnsi="宋体" w:cs="宋体"/>
          <w:bCs/>
          <w:color w:val="auto"/>
          <w:szCs w:val="21"/>
          <w:highlight w:val="none"/>
        </w:rPr>
        <w:t>8.起草评审报告，所有评审人员须在评审报告上签字确认。</w:t>
      </w:r>
      <w:bookmarkEnd w:id="295"/>
      <w:bookmarkEnd w:id="296"/>
    </w:p>
    <w:p w14:paraId="5FE82831">
      <w:pPr>
        <w:spacing w:line="360" w:lineRule="auto"/>
        <w:ind w:firstLine="422" w:firstLineChars="200"/>
        <w:outlineLvl w:val="2"/>
        <w:rPr>
          <w:rFonts w:ascii="宋体" w:hAnsi="宋体" w:cs="宋体"/>
          <w:b/>
          <w:color w:val="auto"/>
          <w:szCs w:val="21"/>
          <w:highlight w:val="none"/>
        </w:rPr>
      </w:pPr>
      <w:bookmarkStart w:id="297" w:name="_Toc8492"/>
      <w:bookmarkStart w:id="298" w:name="_Toc9055"/>
      <w:bookmarkStart w:id="299" w:name="_Toc9974"/>
      <w:bookmarkStart w:id="300" w:name="_Toc16318"/>
      <w:r>
        <w:rPr>
          <w:rFonts w:hint="eastAsia" w:ascii="宋体" w:hAnsi="宋体" w:cs="宋体"/>
          <w:b/>
          <w:color w:val="auto"/>
          <w:szCs w:val="21"/>
          <w:highlight w:val="none"/>
        </w:rPr>
        <w:t>（五）评标原则和评标办法</w:t>
      </w:r>
      <w:bookmarkEnd w:id="297"/>
      <w:bookmarkEnd w:id="298"/>
      <w:bookmarkEnd w:id="299"/>
      <w:bookmarkEnd w:id="300"/>
    </w:p>
    <w:p w14:paraId="685AC81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1.评标委员会必须公平、公正、客观，不带任何倾向性和启发性；不得向外界透露任何与评标有关的内容；任何单位和个人不得干扰、影响评标的正常进行；评标委员会及有关工作人员不得私下与供应商接触。</w:t>
      </w:r>
    </w:p>
    <w:p w14:paraId="7DBB614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1890378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评审人员对有关采购文件、投标文件、样品、现场演示（如有）的说明、解释、要求、标准存在不同意见的，持不同意见的评审人员及其意见或理由应予以完整记录，并在评审过程中按照少数服从多数的原则表决执行。对采购文件本身不明确或存在歧义、矛盾的内容，应作对供应商而非采购单位有利的解释；对因采购文件中有关产品技术参数需求表述不清导致供应商实质性响应不一致时，应终止评审，重新组织采购。评审人员拒绝在评审报告中签字又不说明其不同意见或理由的，由现场监督员记录在案后，可视为同意评审结果。</w:t>
      </w:r>
    </w:p>
    <w:p w14:paraId="6FAF73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4．评标办法。本项目评标办法是</w:t>
      </w:r>
      <w:r>
        <w:rPr>
          <w:rFonts w:hint="eastAsia" w:ascii="宋体" w:hAnsi="宋体" w:cs="宋体"/>
          <w:b/>
          <w:color w:val="auto"/>
          <w:szCs w:val="21"/>
          <w:highlight w:val="none"/>
          <w:u w:val="single"/>
        </w:rPr>
        <w:t>综合评分法</w:t>
      </w:r>
      <w:r>
        <w:rPr>
          <w:rFonts w:hint="eastAsia" w:ascii="宋体" w:hAnsi="宋体" w:cs="宋体"/>
          <w:bCs/>
          <w:color w:val="auto"/>
          <w:szCs w:val="21"/>
          <w:highlight w:val="none"/>
        </w:rPr>
        <w:t>，具体评标内容及评分标准等详见《第四章评标办法及评分标准》。</w:t>
      </w:r>
    </w:p>
    <w:p w14:paraId="38DEF78C">
      <w:pPr>
        <w:spacing w:line="360" w:lineRule="auto"/>
        <w:ind w:firstLine="422" w:firstLineChars="200"/>
        <w:outlineLvl w:val="2"/>
        <w:rPr>
          <w:rFonts w:ascii="宋体" w:hAnsi="宋体" w:cs="宋体"/>
          <w:b/>
          <w:color w:val="auto"/>
          <w:szCs w:val="21"/>
          <w:highlight w:val="none"/>
        </w:rPr>
      </w:pPr>
      <w:bookmarkStart w:id="301" w:name="_Toc4181"/>
      <w:bookmarkStart w:id="302" w:name="_Toc15092"/>
      <w:bookmarkStart w:id="303" w:name="_Toc724"/>
      <w:bookmarkStart w:id="304" w:name="_Toc17105"/>
      <w:r>
        <w:rPr>
          <w:rFonts w:hint="eastAsia" w:ascii="宋体" w:hAnsi="宋体" w:cs="宋体"/>
          <w:b/>
          <w:color w:val="auto"/>
          <w:szCs w:val="21"/>
          <w:highlight w:val="none"/>
        </w:rPr>
        <w:t>（六）评标过程的监控</w:t>
      </w:r>
      <w:bookmarkEnd w:id="301"/>
      <w:bookmarkEnd w:id="302"/>
      <w:bookmarkEnd w:id="303"/>
      <w:bookmarkEnd w:id="304"/>
    </w:p>
    <w:p w14:paraId="5CCB86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本项目评标过程实行全程录音、录像监控，供应商在评标过程中所进行的试图影响评标结果的不公正活动，可能导致其投标被拒绝。</w:t>
      </w:r>
    </w:p>
    <w:p w14:paraId="06FBA739">
      <w:pPr>
        <w:keepNext/>
        <w:keepLines/>
        <w:spacing w:line="360" w:lineRule="auto"/>
        <w:outlineLvl w:val="1"/>
        <w:rPr>
          <w:rFonts w:ascii="宋体" w:hAnsi="宋体" w:cs="宋体"/>
          <w:b/>
          <w:bCs/>
          <w:color w:val="auto"/>
          <w:szCs w:val="21"/>
          <w:highlight w:val="none"/>
        </w:rPr>
      </w:pPr>
      <w:bookmarkStart w:id="305" w:name="_Toc6113"/>
      <w:bookmarkStart w:id="306" w:name="_Toc27307"/>
      <w:bookmarkStart w:id="307" w:name="_Toc3124"/>
      <w:bookmarkStart w:id="308" w:name="_Toc17864"/>
      <w:r>
        <w:rPr>
          <w:rFonts w:hint="eastAsia" w:ascii="宋体" w:hAnsi="宋体" w:cs="宋体"/>
          <w:b/>
          <w:bCs/>
          <w:color w:val="auto"/>
          <w:szCs w:val="21"/>
          <w:highlight w:val="none"/>
        </w:rPr>
        <w:t>六、定标</w:t>
      </w:r>
      <w:bookmarkEnd w:id="305"/>
      <w:bookmarkEnd w:id="306"/>
      <w:bookmarkEnd w:id="307"/>
      <w:bookmarkEnd w:id="308"/>
    </w:p>
    <w:p w14:paraId="7F4AE489">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1.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14:paraId="772E49C3">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2.采购人自行组织招标的，应当在评标结束后5个工作日内确定中标人。</w:t>
      </w:r>
    </w:p>
    <w:p w14:paraId="45D0B08E">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3.采购人在收到评标报告5个工作日内未按评标报告推荐的中标候选人顺序确定中标人，又不能说明合法理由的，视同按评标报告推荐的顺序确定排名第一的中标候选人为中标人。</w:t>
      </w:r>
    </w:p>
    <w:p w14:paraId="72121505">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4.采购人或者采购代理机构应当自中标人确定之日起2个工作日内，在省级以上财政部门指定的媒体上公告中标结果，采购文件应当随中标结果同时公告。</w:t>
      </w:r>
    </w:p>
    <w:p w14:paraId="3ABD4E10">
      <w:pPr>
        <w:pStyle w:val="23"/>
        <w:spacing w:before="0" w:beforeLines="0" w:after="0" w:afterLines="0" w:line="360" w:lineRule="auto"/>
        <w:ind w:firstLine="420" w:firstLineChars="200"/>
        <w:outlineLvl w:val="2"/>
        <w:rPr>
          <w:rFonts w:hAnsi="宋体" w:cs="宋体"/>
          <w:bCs/>
          <w:color w:val="auto"/>
          <w:sz w:val="21"/>
          <w:szCs w:val="21"/>
          <w:highlight w:val="none"/>
        </w:rPr>
      </w:pPr>
      <w:bookmarkStart w:id="309" w:name="_Toc2551"/>
      <w:bookmarkStart w:id="310" w:name="_Toc32760"/>
      <w:bookmarkStart w:id="311" w:name="_Toc24382"/>
      <w:bookmarkStart w:id="312" w:name="_Toc7832"/>
      <w:r>
        <w:rPr>
          <w:rFonts w:hint="eastAsia" w:hAnsi="宋体" w:cs="宋体"/>
          <w:bCs/>
          <w:color w:val="auto"/>
          <w:sz w:val="21"/>
          <w:szCs w:val="21"/>
          <w:highlight w:val="none"/>
        </w:rPr>
        <w:t>5.中标公告期限为1个工作日。</w:t>
      </w:r>
      <w:bookmarkEnd w:id="309"/>
      <w:bookmarkEnd w:id="310"/>
      <w:bookmarkEnd w:id="311"/>
      <w:bookmarkEnd w:id="312"/>
    </w:p>
    <w:p w14:paraId="0B688F5C">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6.在公告中标结果的同时，采购人或者采购代理机构应当向中标人发出中标通知书；对未通过资格审查的供应商，应当告知其未通过的原因；采用综合评分法评审的，还应当告知未中标人本人的评审得分与排序。</w:t>
      </w:r>
    </w:p>
    <w:p w14:paraId="45508434">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7.中标通知书发出后，采购人不得违法改变中标结果，中标人无正当理由不得放弃中标。</w:t>
      </w:r>
    </w:p>
    <w:p w14:paraId="3CEC992E">
      <w:pPr>
        <w:pStyle w:val="23"/>
        <w:spacing w:before="0" w:beforeLines="0" w:after="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8.若中标人被投诉有效以及其他原因导致中标无效，或者拒不签订合同的，采购人将在评标委员会推荐的中标候选人中确定排名其次的中标候选人为本项目的中标人或重新招标。</w:t>
      </w:r>
    </w:p>
    <w:p w14:paraId="5BBD4ED4">
      <w:pPr>
        <w:keepNext/>
        <w:keepLines/>
        <w:spacing w:line="360" w:lineRule="auto"/>
        <w:outlineLvl w:val="1"/>
        <w:rPr>
          <w:rFonts w:ascii="宋体" w:hAnsi="宋体" w:cs="宋体"/>
          <w:b/>
          <w:bCs/>
          <w:color w:val="auto"/>
          <w:szCs w:val="21"/>
          <w:highlight w:val="none"/>
        </w:rPr>
      </w:pPr>
      <w:bookmarkStart w:id="313" w:name="_Toc22121"/>
      <w:bookmarkStart w:id="314" w:name="_Toc9274"/>
      <w:bookmarkStart w:id="315" w:name="_Toc25655"/>
      <w:bookmarkStart w:id="316" w:name="_Toc276"/>
      <w:r>
        <w:rPr>
          <w:rFonts w:hint="eastAsia" w:ascii="宋体" w:hAnsi="宋体" w:cs="宋体"/>
          <w:b/>
          <w:bCs/>
          <w:color w:val="auto"/>
          <w:szCs w:val="21"/>
          <w:highlight w:val="none"/>
        </w:rPr>
        <w:t>七、合同授予</w:t>
      </w:r>
      <w:bookmarkEnd w:id="313"/>
      <w:bookmarkEnd w:id="314"/>
      <w:bookmarkEnd w:id="315"/>
      <w:bookmarkEnd w:id="316"/>
    </w:p>
    <w:p w14:paraId="0886020C">
      <w:pPr>
        <w:spacing w:line="360" w:lineRule="auto"/>
        <w:ind w:firstLine="422" w:firstLineChars="200"/>
        <w:outlineLvl w:val="2"/>
        <w:rPr>
          <w:rFonts w:ascii="宋体" w:hAnsi="宋体" w:cs="宋体"/>
          <w:b/>
          <w:color w:val="auto"/>
          <w:szCs w:val="21"/>
          <w:highlight w:val="none"/>
        </w:rPr>
      </w:pPr>
      <w:bookmarkStart w:id="317" w:name="_Toc22473"/>
      <w:bookmarkStart w:id="318" w:name="_Toc14130"/>
      <w:bookmarkStart w:id="319" w:name="_Toc4372"/>
      <w:bookmarkStart w:id="320" w:name="_Toc7624"/>
      <w:r>
        <w:rPr>
          <w:rFonts w:hint="eastAsia" w:ascii="宋体" w:hAnsi="宋体" w:cs="宋体"/>
          <w:b/>
          <w:color w:val="auto"/>
          <w:szCs w:val="21"/>
          <w:highlight w:val="none"/>
        </w:rPr>
        <w:t>（一）签订合同</w:t>
      </w:r>
      <w:bookmarkEnd w:id="317"/>
      <w:bookmarkEnd w:id="318"/>
      <w:bookmarkEnd w:id="319"/>
      <w:bookmarkEnd w:id="320"/>
    </w:p>
    <w:p w14:paraId="1809307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1．采购人应当自中标通知书发出之日起30日内，按照采购文件和中标人投标文件的规定，与中标人签订书面合同。所签订的合同不得对采购文件确定的事项和中标人投标文件作实质性修改。</w:t>
      </w:r>
    </w:p>
    <w:p w14:paraId="3395489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2.采购人不得向中标人提出任何不合理的要求作为签订合同的条件。</w:t>
      </w:r>
    </w:p>
    <w:p w14:paraId="010E3F9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3.采购人与中标人应当根据合同的约定依法履行合同义务。</w:t>
      </w:r>
    </w:p>
    <w:p w14:paraId="1AA96370">
      <w:pPr>
        <w:pStyle w:val="23"/>
        <w:spacing w:before="0" w:beforeLines="0" w:after="0" w:afterLines="0" w:line="360" w:lineRule="auto"/>
        <w:ind w:firstLine="420" w:firstLineChars="200"/>
        <w:rPr>
          <w:rFonts w:hAnsi="宋体" w:cs="宋体"/>
          <w:bCs/>
          <w:color w:val="auto"/>
          <w:sz w:val="21"/>
          <w:szCs w:val="21"/>
          <w:highlight w:val="none"/>
        </w:rPr>
      </w:pPr>
      <w:r>
        <w:rPr>
          <w:rFonts w:hint="eastAsia" w:hAnsi="宋体" w:cs="宋体"/>
          <w:bCs/>
          <w:color w:val="auto"/>
          <w:sz w:val="21"/>
          <w:szCs w:val="21"/>
          <w:highlight w:val="none"/>
        </w:rPr>
        <w:t>4.政府采购合同的履行、违约责任和解决争议的方法等适用《中华人民共和国民法典》。</w:t>
      </w:r>
    </w:p>
    <w:p w14:paraId="6F587748">
      <w:pPr>
        <w:pStyle w:val="23"/>
        <w:autoSpaceDE w:val="0"/>
        <w:autoSpaceDN w:val="0"/>
        <w:spacing w:before="0" w:beforeLines="0" w:after="0" w:afterLines="0" w:line="360" w:lineRule="auto"/>
        <w:ind w:firstLine="422" w:firstLineChars="200"/>
        <w:outlineLvl w:val="2"/>
        <w:rPr>
          <w:rFonts w:hAnsi="宋体" w:cs="宋体"/>
          <w:b/>
          <w:color w:val="auto"/>
          <w:sz w:val="21"/>
          <w:szCs w:val="21"/>
          <w:highlight w:val="none"/>
        </w:rPr>
      </w:pPr>
      <w:bookmarkStart w:id="321" w:name="_Toc17191"/>
      <w:bookmarkStart w:id="322" w:name="_Toc22136"/>
      <w:bookmarkStart w:id="323" w:name="_Toc16212"/>
      <w:bookmarkStart w:id="324" w:name="_Toc25596"/>
      <w:r>
        <w:rPr>
          <w:rFonts w:hint="eastAsia" w:hAnsi="宋体" w:cs="宋体"/>
          <w:b/>
          <w:color w:val="auto"/>
          <w:sz w:val="21"/>
          <w:szCs w:val="21"/>
          <w:highlight w:val="none"/>
        </w:rPr>
        <w:t>（二）履约保证金</w:t>
      </w:r>
      <w:bookmarkEnd w:id="321"/>
      <w:bookmarkEnd w:id="322"/>
      <w:bookmarkEnd w:id="323"/>
      <w:bookmarkEnd w:id="324"/>
    </w:p>
    <w:p w14:paraId="2FE50852">
      <w:pPr>
        <w:pStyle w:val="23"/>
        <w:autoSpaceDE w:val="0"/>
        <w:autoSpaceDN w:val="0"/>
        <w:spacing w:before="0" w:beforeLines="0" w:after="0" w:afterLines="0" w:line="360" w:lineRule="auto"/>
        <w:ind w:firstLine="420" w:firstLineChars="200"/>
        <w:rPr>
          <w:rFonts w:hAnsi="宋体" w:cs="宋体"/>
          <w:bCs/>
          <w:color w:val="auto"/>
          <w:sz w:val="21"/>
          <w:szCs w:val="21"/>
          <w:highlight w:val="none"/>
          <w:lang w:bidi="zh-CN"/>
        </w:rPr>
      </w:pPr>
      <w:r>
        <w:rPr>
          <w:rFonts w:hint="eastAsia" w:hAnsi="宋体" w:cs="宋体"/>
          <w:bCs/>
          <w:color w:val="auto"/>
          <w:sz w:val="21"/>
          <w:szCs w:val="21"/>
          <w:highlight w:val="none"/>
          <w:lang w:bidi="zh-CN"/>
        </w:rPr>
        <w:t>详见第三章《供应商须知》前附表的规定。</w:t>
      </w:r>
    </w:p>
    <w:p w14:paraId="007CF71A">
      <w:pPr>
        <w:keepNext/>
        <w:keepLines/>
        <w:spacing w:line="360" w:lineRule="auto"/>
        <w:outlineLvl w:val="1"/>
        <w:rPr>
          <w:rFonts w:ascii="宋体" w:hAnsi="宋体" w:cs="宋体"/>
          <w:b/>
          <w:bCs/>
          <w:color w:val="auto"/>
          <w:szCs w:val="21"/>
          <w:highlight w:val="none"/>
        </w:rPr>
      </w:pPr>
      <w:bookmarkStart w:id="325" w:name="_Toc6235"/>
      <w:bookmarkStart w:id="326" w:name="_Toc18630"/>
      <w:bookmarkStart w:id="327" w:name="_Toc14283"/>
      <w:bookmarkStart w:id="328" w:name="_Toc30775"/>
      <w:r>
        <w:rPr>
          <w:rFonts w:hint="eastAsia" w:ascii="宋体" w:hAnsi="宋体" w:cs="宋体"/>
          <w:b/>
          <w:bCs/>
          <w:color w:val="auto"/>
          <w:szCs w:val="21"/>
          <w:highlight w:val="none"/>
        </w:rPr>
        <w:t>八、特别说明</w:t>
      </w:r>
      <w:bookmarkEnd w:id="325"/>
      <w:bookmarkEnd w:id="326"/>
      <w:bookmarkEnd w:id="327"/>
      <w:bookmarkEnd w:id="328"/>
    </w:p>
    <w:p w14:paraId="5520549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1.采购单位与中标人应当在《中标通知书》发出之日起30日内签订政府采购合同。</w:t>
      </w:r>
    </w:p>
    <w:p w14:paraId="545A353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2.本文件未及事项，在签订合同时供需及使用方友好商定。</w:t>
      </w:r>
    </w:p>
    <w:p w14:paraId="23B971A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3.本采购文件解释权归采购单位。</w:t>
      </w:r>
    </w:p>
    <w:p w14:paraId="1C49DD4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4.本次招标的招标代理服务费由中标人支付。</w:t>
      </w:r>
    </w:p>
    <w:p w14:paraId="58B9A1F6">
      <w:pPr>
        <w:keepNext/>
        <w:keepLines/>
        <w:spacing w:line="360" w:lineRule="auto"/>
        <w:outlineLvl w:val="1"/>
        <w:rPr>
          <w:rFonts w:ascii="宋体" w:hAnsi="宋体" w:cs="宋体"/>
          <w:b/>
          <w:bCs/>
          <w:color w:val="auto"/>
          <w:szCs w:val="21"/>
          <w:highlight w:val="none"/>
        </w:rPr>
      </w:pPr>
      <w:bookmarkStart w:id="329" w:name="_Toc6913"/>
      <w:bookmarkStart w:id="330" w:name="_Toc5023"/>
      <w:bookmarkStart w:id="331" w:name="_Toc16210"/>
      <w:bookmarkStart w:id="332" w:name="_Toc24103"/>
      <w:r>
        <w:rPr>
          <w:rFonts w:hint="eastAsia" w:ascii="宋体" w:hAnsi="宋体" w:cs="宋体"/>
          <w:b/>
          <w:bCs/>
          <w:color w:val="auto"/>
          <w:szCs w:val="21"/>
          <w:highlight w:val="none"/>
        </w:rPr>
        <w:t>九、落实政府采购政策的特别说明</w:t>
      </w:r>
      <w:bookmarkEnd w:id="329"/>
      <w:bookmarkEnd w:id="330"/>
      <w:bookmarkEnd w:id="331"/>
      <w:bookmarkEnd w:id="332"/>
    </w:p>
    <w:p w14:paraId="64873FA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 xml:space="preserve">国务院批准的中小企业划分标准：具体见工信部联企业[2011]300号。 </w:t>
      </w:r>
    </w:p>
    <w:p w14:paraId="33A27324">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本项目执行财政部、工业和信息化部《政府采购促进中小企业发展管理办法》（财库〔2020〕46号）的要求，政府采购活动中有关中小企业的相关规定如下：</w:t>
      </w:r>
    </w:p>
    <w:p w14:paraId="7A27F4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69E597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（2）符合中小企业划分标准的个体工商户，在政府采购活动中视同中小企业。</w:t>
      </w:r>
    </w:p>
    <w:p w14:paraId="27F7F880">
      <w:pPr>
        <w:pStyle w:val="62"/>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3.本项目对应的中小企业划分标准所属行业：</w:t>
      </w:r>
      <w:r>
        <w:rPr>
          <w:rFonts w:hint="eastAsia" w:ascii="宋体" w:hAnsi="宋体" w:cs="宋体"/>
          <w:b/>
          <w:bCs/>
          <w:color w:val="auto"/>
          <w:szCs w:val="21"/>
          <w:highlight w:val="none"/>
          <w:u w:val="single"/>
        </w:rPr>
        <w:t>详见第三章《供应商须知》前附表</w:t>
      </w:r>
      <w:r>
        <w:rPr>
          <w:rFonts w:hint="eastAsia" w:ascii="宋体" w:hAnsi="宋体" w:cs="宋体"/>
          <w:b/>
          <w:bCs/>
          <w:color w:val="auto"/>
          <w:szCs w:val="21"/>
          <w:highlight w:val="none"/>
        </w:rPr>
        <w:t>。</w:t>
      </w:r>
    </w:p>
    <w:p w14:paraId="6F0512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4.在政府采购活动中，供应商提供的货物、工程或者服务符合下列情形的，享受《政府采购促进中小企业发展管理办法》规定的中小企业扶持政策：</w:t>
      </w:r>
    </w:p>
    <w:p w14:paraId="30A87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w:t>
      </w:r>
    </w:p>
    <w:p w14:paraId="494E7A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w:t>
      </w:r>
    </w:p>
    <w:p w14:paraId="62B560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（3）在服务采购项目中，服务由中小企业承接，即提供服务的人员为中小企业依照《中华人民共和国劳动合同法》订立劳动合同的从业人员。 </w:t>
      </w:r>
    </w:p>
    <w:p w14:paraId="63332C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在货物采购项目中，供应商提供的货物既有中小企业制造货物，也有大型企业制造货物的，不享受《政府采购促进中小企业发展管理办法》规定的中小企业扶持政策。</w:t>
      </w:r>
    </w:p>
    <w:p w14:paraId="3D2F45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59985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5.中小企业参加政府采购活动，应当出具《政府采购促进中小企业发展管理办法》规定的《中小企业声明函》（格式见本采购文件附件），否则不得享受相关中小企业扶持政策。</w:t>
      </w:r>
    </w:p>
    <w:p w14:paraId="45085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6B78F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供应商提供声明函内容不实的，属于提供虚假材料谋取中标、成交，依照《中华人民共和国政府采购法》等国家有关规定追究相应责任。</w:t>
      </w:r>
    </w:p>
    <w:p w14:paraId="1BC04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适用招标投标法的政府采购工程建设项目，供应商提供声明函内容不实的，属于弄虚作假骗取中标，依照《中华人民共和国招标投标法》等国家有关规定追究相应责任。</w:t>
      </w:r>
    </w:p>
    <w:p w14:paraId="3AC069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7.《中小企业声明函》由参加投标的供应商提交，如供应商为代理商，须自行采集制造商的中小企业划分类型信息填入相应栏目并对其真实性负责。</w:t>
      </w:r>
    </w:p>
    <w:p w14:paraId="029070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符合《关于政府采购支持监狱企业发展有关问题的通知》（财库[2014]68号）的监狱企业（监狱和戒毒企业）提供自己企业的产品（服务）参加投标视同小型、微型企业，享受评审中价格扣除等政府采购促进中小企业发展的政府采购政策，监狱企业参加政府采购活动时，必须提供由省级以上监狱管理局、戒毒管理局（含新疆生产建设兵团）出具的属于监狱企业的证明文件，未能提供上述证明文件的不予认可。</w:t>
      </w:r>
    </w:p>
    <w:p w14:paraId="7A329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符合《关于促进残疾人就业政府采购政策的通知》（财库〔2017〕141号）规定的残疾人福利性单位视同小型、微型企业，享受评审中价格扣除等政府采购促进中小企业发展的政府采购政策，残疾人福利性单位参加政府采购活动时，应当提供《残疾人福利性单位声明函》（格式见本采购文件附件），并对声明的真实性负责，未能提供的不予认可。</w:t>
      </w:r>
    </w:p>
    <w:p w14:paraId="01D38825">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10.中小企业享受扶持政策获得政府采购合同的，小微企业不得将合同分包给大中型企业，中型企业不得将合同分包给大型企业。 </w:t>
      </w:r>
    </w:p>
    <w:p w14:paraId="2B1A996F">
      <w:pPr>
        <w:pStyle w:val="23"/>
        <w:snapToGrid w:val="0"/>
        <w:spacing w:before="0" w:beforeLines="0" w:after="0" w:afterLines="0" w:line="360" w:lineRule="auto"/>
        <w:jc w:val="center"/>
        <w:outlineLvl w:val="0"/>
        <w:rPr>
          <w:rFonts w:hAnsi="宋体" w:cs="宋体"/>
          <w:color w:val="auto"/>
          <w:sz w:val="28"/>
          <w:szCs w:val="28"/>
          <w:highlight w:val="none"/>
        </w:rPr>
      </w:pPr>
      <w:r>
        <w:rPr>
          <w:rFonts w:hint="eastAsia" w:hAnsi="宋体" w:cs="宋体"/>
          <w:color w:val="auto"/>
          <w:sz w:val="30"/>
          <w:szCs w:val="30"/>
          <w:highlight w:val="none"/>
        </w:rPr>
        <w:br w:type="page"/>
      </w:r>
      <w:bookmarkStart w:id="333" w:name="_Toc11118"/>
      <w:bookmarkStart w:id="334" w:name="_Toc31824"/>
      <w:r>
        <w:rPr>
          <w:rStyle w:val="58"/>
          <w:rFonts w:hint="eastAsia" w:ascii="黑体" w:hAnsi="黑体" w:eastAsia="黑体" w:cs="黑体"/>
          <w:color w:val="auto"/>
          <w:sz w:val="32"/>
          <w:szCs w:val="32"/>
          <w:highlight w:val="none"/>
        </w:rPr>
        <w:t>第四章  评标办法及评分标准</w:t>
      </w:r>
      <w:bookmarkEnd w:id="333"/>
      <w:bookmarkEnd w:id="334"/>
    </w:p>
    <w:p w14:paraId="367CEE53">
      <w:pPr>
        <w:keepNext/>
        <w:keepLines/>
        <w:spacing w:line="360" w:lineRule="auto"/>
        <w:rPr>
          <w:rFonts w:ascii="宋体" w:hAnsi="宋体" w:cs="宋体"/>
          <w:b/>
          <w:bCs/>
          <w:color w:val="auto"/>
          <w:szCs w:val="21"/>
          <w:highlight w:val="none"/>
        </w:rPr>
      </w:pPr>
    </w:p>
    <w:p w14:paraId="71CFBD11">
      <w:pPr>
        <w:keepNext/>
        <w:keepLines/>
        <w:spacing w:line="360" w:lineRule="auto"/>
        <w:outlineLvl w:val="1"/>
        <w:rPr>
          <w:rFonts w:ascii="宋体" w:hAnsi="宋体" w:cs="宋体"/>
          <w:b/>
          <w:bCs/>
          <w:color w:val="auto"/>
          <w:szCs w:val="21"/>
          <w:highlight w:val="none"/>
        </w:rPr>
      </w:pPr>
      <w:bookmarkStart w:id="335" w:name="_Toc3736"/>
      <w:bookmarkStart w:id="336" w:name="_Toc26957"/>
      <w:bookmarkStart w:id="337" w:name="_Toc3956"/>
      <w:r>
        <w:rPr>
          <w:rFonts w:hint="eastAsia" w:ascii="宋体" w:hAnsi="宋体" w:cs="宋体"/>
          <w:b/>
          <w:bCs/>
          <w:color w:val="auto"/>
          <w:szCs w:val="21"/>
          <w:highlight w:val="none"/>
        </w:rPr>
        <w:t>一、总则</w:t>
      </w:r>
      <w:bookmarkEnd w:id="335"/>
      <w:bookmarkEnd w:id="336"/>
      <w:bookmarkEnd w:id="337"/>
    </w:p>
    <w:p w14:paraId="499529FD">
      <w:pPr>
        <w:widowControl/>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招标活动遵循公平、公正、科学、择优的原则依法进行，招标活动及当事人接受依法实施的监督。</w:t>
      </w:r>
    </w:p>
    <w:p w14:paraId="7A78AFA4">
      <w:pPr>
        <w:widowControl/>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本项目评标采用</w:t>
      </w:r>
      <w:r>
        <w:rPr>
          <w:rFonts w:hint="eastAsia" w:ascii="宋体" w:hAnsi="宋体" w:cs="宋体"/>
          <w:b/>
          <w:bCs/>
          <w:color w:val="auto"/>
          <w:szCs w:val="21"/>
          <w:highlight w:val="none"/>
          <w:u w:val="single"/>
        </w:rPr>
        <w:t>综合评分法</w:t>
      </w:r>
      <w:r>
        <w:rPr>
          <w:rFonts w:hint="eastAsia" w:ascii="宋体" w:hAnsi="宋体" w:cs="宋体"/>
          <w:color w:val="auto"/>
          <w:szCs w:val="21"/>
          <w:highlight w:val="none"/>
        </w:rPr>
        <w:t>，采用百分制，总分100分。供应商的综合得分为技术商务得分与报价得分之和。按综合得分由高到低的排序，推荐中标候选人。</w:t>
      </w:r>
    </w:p>
    <w:p w14:paraId="02F713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评标委员会成员对需要共同认定的事项存在争议的，应当按照少数服从多数的原则作出结论。</w:t>
      </w:r>
    </w:p>
    <w:p w14:paraId="5BB4D9B7">
      <w:pPr>
        <w:keepNext/>
        <w:keepLines/>
        <w:spacing w:line="360" w:lineRule="auto"/>
        <w:outlineLvl w:val="1"/>
        <w:rPr>
          <w:rFonts w:ascii="宋体" w:hAnsi="宋体" w:cs="宋体"/>
          <w:b/>
          <w:bCs/>
          <w:color w:val="auto"/>
          <w:szCs w:val="21"/>
          <w:highlight w:val="none"/>
        </w:rPr>
      </w:pPr>
      <w:bookmarkStart w:id="338" w:name="_Toc25231"/>
      <w:bookmarkStart w:id="339" w:name="_Toc6399"/>
      <w:bookmarkStart w:id="340" w:name="_Toc32429"/>
      <w:r>
        <w:rPr>
          <w:rFonts w:hint="eastAsia" w:ascii="宋体" w:hAnsi="宋体" w:cs="宋体"/>
          <w:b/>
          <w:bCs/>
          <w:color w:val="auto"/>
          <w:szCs w:val="21"/>
          <w:highlight w:val="none"/>
        </w:rPr>
        <w:t>二、评标程序</w:t>
      </w:r>
      <w:bookmarkEnd w:id="338"/>
      <w:bookmarkEnd w:id="339"/>
      <w:bookmarkEnd w:id="340"/>
    </w:p>
    <w:p w14:paraId="441119C0">
      <w:pPr>
        <w:spacing w:line="360" w:lineRule="auto"/>
        <w:ind w:firstLine="420" w:firstLineChars="200"/>
        <w:outlineLvl w:val="2"/>
        <w:rPr>
          <w:rFonts w:ascii="宋体" w:hAnsi="宋体" w:cs="宋体"/>
          <w:color w:val="auto"/>
          <w:szCs w:val="21"/>
          <w:highlight w:val="none"/>
        </w:rPr>
      </w:pPr>
      <w:bookmarkStart w:id="341" w:name="_Toc7500"/>
      <w:bookmarkStart w:id="342" w:name="_Toc12802"/>
      <w:bookmarkStart w:id="343" w:name="_Toc3962"/>
      <w:r>
        <w:rPr>
          <w:rFonts w:hint="eastAsia" w:ascii="宋体" w:hAnsi="宋体" w:cs="宋体"/>
          <w:color w:val="auto"/>
          <w:szCs w:val="21"/>
          <w:highlight w:val="none"/>
        </w:rPr>
        <w:t>（一）初步审查</w:t>
      </w:r>
      <w:bookmarkEnd w:id="341"/>
      <w:bookmarkEnd w:id="342"/>
      <w:bookmarkEnd w:id="343"/>
    </w:p>
    <w:p w14:paraId="5F15A42E">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包含资格性审查和符合性审查。资格性审查是指采购人或代理机构根据“附表1：资格审查表”的要求对投标文件逐一进行评审。符合性审查是指评标委员会根据“附表2：符合性审查表”的要求对投标文件逐一进行评审。</w:t>
      </w:r>
      <w:r>
        <w:rPr>
          <w:rFonts w:hint="eastAsia" w:ascii="宋体" w:hAnsi="宋体" w:cs="宋体"/>
          <w:b/>
          <w:color w:val="auto"/>
          <w:szCs w:val="21"/>
          <w:highlight w:val="none"/>
        </w:rPr>
        <w:t>资格性审查和符合性审查中，有任意一项审查结论不合格的，作无效标处理。</w:t>
      </w:r>
    </w:p>
    <w:p w14:paraId="5C4852D9">
      <w:pPr>
        <w:widowControl/>
        <w:spacing w:line="360" w:lineRule="auto"/>
        <w:ind w:firstLine="420" w:firstLineChars="200"/>
        <w:outlineLvl w:val="2"/>
        <w:rPr>
          <w:rFonts w:ascii="宋体" w:hAnsi="宋体" w:cs="宋体"/>
          <w:color w:val="auto"/>
          <w:szCs w:val="21"/>
          <w:highlight w:val="none"/>
          <w:lang w:val="zh-CN"/>
        </w:rPr>
      </w:pPr>
      <w:bookmarkStart w:id="344" w:name="_Toc5862"/>
      <w:bookmarkStart w:id="345" w:name="_Toc15862"/>
      <w:bookmarkStart w:id="346" w:name="_Toc7800"/>
      <w:r>
        <w:rPr>
          <w:rFonts w:hint="eastAsia" w:ascii="宋体" w:hAnsi="宋体" w:cs="宋体"/>
          <w:color w:val="auto"/>
          <w:szCs w:val="21"/>
          <w:highlight w:val="none"/>
          <w:lang w:val="zh-CN"/>
        </w:rPr>
        <w:t>（二）比较与评价</w:t>
      </w:r>
      <w:bookmarkEnd w:id="344"/>
      <w:bookmarkEnd w:id="345"/>
      <w:bookmarkEnd w:id="346"/>
    </w:p>
    <w:p w14:paraId="5D9F3C6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对初步评审合格的投标文件，依照本办法对投标文件作进一步评审、比较。评标委员会成员经过阅标、审标和询标，根据“附表3：评分细则”的要求，对各供应商进行打分。评委打分采用记名方式进行独立打分，汇总所有评委会成员评分取算术平均值（小数点后保留二位数）为该供应商的商务技术得分。报价文件经评标委员会评审后按“附表3评分细则”进行统一计算（小数点后保留二位小数）。最终汇总商务技术得分和报价得分（小数点后保留二位小数）。</w:t>
      </w:r>
    </w:p>
    <w:p w14:paraId="40DC1E2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对明显畸高、畸低的评分（评审小组成员个人主观总评分偏离所有评审小组成员主观总评分平均值30%以上），评标委员会主任委员提醒相关评审人员进行复核或书面说明理由。评委对需要共同认定的事项存在争议的，按照少数服从多数的原则做出结论。持不同意见的评委应当在评审报告上签署不同意见并说明理由，否则视为同意。</w:t>
      </w:r>
    </w:p>
    <w:p w14:paraId="577D412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2.评审小组评审中出现下列情形之一的，评审委员会应当启动异常低价投标（响应）审查程序：</w:t>
      </w:r>
    </w:p>
    <w:p w14:paraId="7B39CC4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（1）投标（响应）报价低于全部通过符合性审查供应商投标（响应）报价平均值60%的，即投标（响应）报价&lt;全部通过符合性审查供应商投标（响应）报价平均值×60%；</w:t>
      </w:r>
    </w:p>
    <w:p w14:paraId="735EF92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（2）投标（响应）报价低于通过符合性审查的次低报价供应商投标（响应）报价60%的，即投标（响应）报价&lt;通过符合性审查的次低报价供应商投标（响应）报价×60%；</w:t>
      </w:r>
    </w:p>
    <w:p w14:paraId="1D89A8C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（3）投标（响应）报价低于采购项目最高限价60%的，即投标（响应）报价&lt;采购项目最高限价×60%；</w:t>
      </w:r>
    </w:p>
    <w:p w14:paraId="451CE97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 </w:t>
      </w:r>
    </w:p>
    <w:p w14:paraId="0135F1F3">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（5）评标委员会认为投标人的报价明显低于其他通过符合性审查投标人的报价，有可能影响产品质量或者不能诚信履约的。</w:t>
      </w:r>
    </w:p>
    <w:p w14:paraId="0D8F97BA">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委员会启动异常低价投标（响应）审查后，属于前述第（1）项至第（5）项情形的，应当要求相关供应商在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若投标（响应）供应商不能提供书面说明、证明材料，或者提供的书面说明、证明材料不能证明其报价合理性的，评审委员会应当将其作为无效投标（响应）处理。</w:t>
      </w:r>
    </w:p>
    <w:p w14:paraId="58BC60A2">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DD416AE">
      <w:pPr>
        <w:widowControl/>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5C77020D">
      <w:pPr>
        <w:spacing w:line="360" w:lineRule="auto"/>
        <w:ind w:firstLine="422" w:firstLineChars="200"/>
        <w:outlineLvl w:val="2"/>
        <w:rPr>
          <w:rFonts w:ascii="宋体" w:hAnsi="宋体" w:cs="宋体"/>
          <w:b/>
          <w:color w:val="auto"/>
          <w:szCs w:val="21"/>
          <w:highlight w:val="none"/>
        </w:rPr>
      </w:pPr>
      <w:bookmarkStart w:id="347" w:name="_Toc22525"/>
      <w:bookmarkStart w:id="348" w:name="_Toc22067"/>
      <w:bookmarkStart w:id="349" w:name="_Toc4985"/>
      <w:r>
        <w:rPr>
          <w:rFonts w:hint="eastAsia" w:ascii="宋体" w:hAnsi="宋体" w:cs="宋体"/>
          <w:b/>
          <w:color w:val="auto"/>
          <w:szCs w:val="21"/>
          <w:highlight w:val="none"/>
        </w:rPr>
        <w:t>（三）错误修正原则</w:t>
      </w:r>
      <w:bookmarkEnd w:id="347"/>
      <w:bookmarkEnd w:id="348"/>
      <w:bookmarkEnd w:id="349"/>
    </w:p>
    <w:p w14:paraId="5C969BB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在评标过程中，发现的价格计算错误按下述原则修正</w:t>
      </w:r>
      <w:r>
        <w:rPr>
          <w:rFonts w:hint="eastAsia" w:ascii="宋体" w:hAnsi="宋体" w:cs="宋体"/>
          <w:bCs/>
          <w:color w:val="auto"/>
          <w:szCs w:val="21"/>
          <w:highlight w:val="none"/>
        </w:rPr>
        <w:t>：</w:t>
      </w:r>
    </w:p>
    <w:p w14:paraId="18DFA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1.投标文件中开标一览表内容与政采云系统“开标一览表”中录入的内容不一致的，以投标文件中开标一览表为准；</w:t>
      </w:r>
    </w:p>
    <w:p w14:paraId="585D291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2.投标文件中开标一览表（报价表）内容与投标文件中相应内容不一致的，以开标一览表（报价表）为准；</w:t>
      </w:r>
    </w:p>
    <w:p w14:paraId="08FEB59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3.投标文件的大写金额和小写金额不一致的，以大写金额为准；</w:t>
      </w:r>
    </w:p>
    <w:p w14:paraId="2E895852">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660DFBEE">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5.单价金额小数点或者百分比有明显错位的，以开标一览表的总价为准，并修改单价；</w:t>
      </w:r>
    </w:p>
    <w:p w14:paraId="4186D7D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6.对不同文字文本投标文件的解释发生异议的，以中文文本为准。</w:t>
      </w:r>
    </w:p>
    <w:p w14:paraId="6D14238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同时出现两种以上不一致的，按照前款规定的顺序修正。修正后的报价经供应商确认后产生约束力。如果供应商不接受修正后的报价，则其投标将作为无效投标处理。</w:t>
      </w:r>
    </w:p>
    <w:p w14:paraId="38A407FA">
      <w:pPr>
        <w:widowControl/>
        <w:spacing w:line="360" w:lineRule="auto"/>
        <w:ind w:firstLine="422" w:firstLineChars="200"/>
        <w:outlineLvl w:val="2"/>
        <w:rPr>
          <w:rFonts w:ascii="宋体" w:hAnsi="宋体" w:cs="宋体"/>
          <w:b/>
          <w:bCs/>
          <w:color w:val="auto"/>
          <w:szCs w:val="21"/>
          <w:highlight w:val="none"/>
        </w:rPr>
      </w:pPr>
      <w:bookmarkStart w:id="350" w:name="_Toc16579"/>
      <w:bookmarkStart w:id="351" w:name="_Toc10990"/>
      <w:bookmarkStart w:id="352" w:name="_Toc3941"/>
      <w:r>
        <w:rPr>
          <w:rFonts w:hint="eastAsia" w:ascii="宋体" w:hAnsi="宋体" w:cs="宋体"/>
          <w:b/>
          <w:bCs/>
          <w:color w:val="auto"/>
          <w:szCs w:val="21"/>
          <w:highlight w:val="none"/>
        </w:rPr>
        <w:t>（四）投标澄清</w:t>
      </w:r>
      <w:bookmarkEnd w:id="350"/>
      <w:bookmarkEnd w:id="351"/>
      <w:bookmarkEnd w:id="352"/>
    </w:p>
    <w:p w14:paraId="07D2C7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1.评标委员会在对投标文件的有效性、完整性和响应程度进行审查时，可以要求供应商</w:t>
      </w:r>
      <w:r>
        <w:rPr>
          <w:rFonts w:hint="eastAsia" w:ascii="宋体" w:hAnsi="宋体" w:cs="宋体"/>
          <w:color w:val="auto"/>
          <w:szCs w:val="21"/>
          <w:highlight w:val="none"/>
        </w:rPr>
        <w:t>对投标文件中含义不明确、同类问题表述不一致或者有明显文字和计算错误的内容作出必要的澄清、说明或者纠正。</w:t>
      </w:r>
      <w:r>
        <w:rPr>
          <w:rFonts w:hint="eastAsia" w:ascii="宋体" w:hAnsi="宋体" w:cs="宋体"/>
          <w:color w:val="auto"/>
          <w:highlight w:val="none"/>
        </w:rPr>
        <w:t>供应商的澄清不得超出投标文件的范围或者改变投标文件的实质性内容。</w:t>
      </w:r>
    </w:p>
    <w:p w14:paraId="3C2E1781">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2.供应商未在截止时间前完成澄清，将被视作自动放弃。</w:t>
      </w:r>
    </w:p>
    <w:p w14:paraId="4F487386">
      <w:pPr>
        <w:widowControl/>
        <w:spacing w:line="360" w:lineRule="auto"/>
        <w:ind w:firstLine="422" w:firstLineChars="200"/>
        <w:outlineLvl w:val="2"/>
        <w:rPr>
          <w:rFonts w:ascii="宋体" w:hAnsi="宋体" w:cs="宋体"/>
          <w:b/>
          <w:bCs/>
          <w:color w:val="auto"/>
          <w:szCs w:val="21"/>
          <w:highlight w:val="none"/>
        </w:rPr>
      </w:pPr>
      <w:bookmarkStart w:id="353" w:name="_Toc24574"/>
      <w:bookmarkStart w:id="354" w:name="_Toc11249"/>
      <w:bookmarkStart w:id="355" w:name="_Toc31620"/>
      <w:r>
        <w:rPr>
          <w:rFonts w:hint="eastAsia" w:ascii="宋体" w:hAnsi="宋体" w:cs="宋体"/>
          <w:b/>
          <w:bCs/>
          <w:color w:val="auto"/>
          <w:szCs w:val="21"/>
          <w:highlight w:val="none"/>
        </w:rPr>
        <w:t>（五）推荐中标候选人原则</w:t>
      </w:r>
      <w:bookmarkEnd w:id="353"/>
      <w:bookmarkEnd w:id="354"/>
      <w:bookmarkEnd w:id="355"/>
    </w:p>
    <w:p w14:paraId="2984B658">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1.评标委员会根据供应商的综合得分由高到低的排序，推荐中标候选人。若供应商的综合得分相等，则投标报价低者列前；若投标报价也相同时，采取随机抽签的方式确定排序。</w:t>
      </w:r>
    </w:p>
    <w:p w14:paraId="63541F90">
      <w:pPr>
        <w:widowControl/>
        <w:spacing w:line="360" w:lineRule="auto"/>
        <w:outlineLvl w:val="1"/>
        <w:rPr>
          <w:rFonts w:ascii="宋体" w:hAnsi="宋体" w:cs="宋体"/>
          <w:b/>
          <w:bCs/>
          <w:color w:val="auto"/>
          <w:szCs w:val="21"/>
          <w:highlight w:val="none"/>
        </w:rPr>
      </w:pPr>
      <w:bookmarkStart w:id="356" w:name="_Toc17904"/>
      <w:bookmarkStart w:id="357" w:name="_Toc13247"/>
      <w:bookmarkStart w:id="358" w:name="_Toc22451"/>
      <w:r>
        <w:rPr>
          <w:rFonts w:hint="eastAsia" w:ascii="宋体" w:hAnsi="宋体" w:cs="宋体"/>
          <w:b/>
          <w:bCs/>
          <w:color w:val="auto"/>
          <w:szCs w:val="21"/>
          <w:highlight w:val="none"/>
        </w:rPr>
        <w:t>三、中标结果</w:t>
      </w:r>
      <w:bookmarkEnd w:id="356"/>
      <w:bookmarkEnd w:id="357"/>
      <w:bookmarkEnd w:id="358"/>
    </w:p>
    <w:p w14:paraId="2D4BD019">
      <w:pPr>
        <w:pStyle w:val="25"/>
        <w:widowControl/>
        <w:snapToGrid/>
        <w:spacing w:line="360" w:lineRule="auto"/>
        <w:ind w:firstLine="420" w:firstLineChars="200"/>
        <w:rPr>
          <w:rFonts w:ascii="宋体" w:cs="宋体"/>
          <w:b w:val="0"/>
          <w:bCs w:val="0"/>
          <w:color w:val="auto"/>
          <w:sz w:val="21"/>
          <w:szCs w:val="21"/>
          <w:highlight w:val="none"/>
        </w:rPr>
      </w:pPr>
      <w:r>
        <w:rPr>
          <w:rFonts w:hint="eastAsia" w:ascii="宋体" w:cs="宋体"/>
          <w:b w:val="0"/>
          <w:bCs w:val="0"/>
          <w:color w:val="auto"/>
          <w:sz w:val="21"/>
          <w:szCs w:val="21"/>
          <w:highlight w:val="none"/>
        </w:rPr>
        <w:t>评标委员会按综合得分由高到低的排序，向采购人推荐中标候选人。代理机构应当自评审结束之日起2个工作日内将评审报告送交采购人。采购人应当自收到评审报告之日起5个工作日内在评审报告推荐的中标候选人中按顺序确定1名中标候选人。中标候选人因不可抗力或者自身原因不能履行政府采购合同的，采购人可以按照评审报告推荐的下一中标候选人为中标候选人或重新招标。</w:t>
      </w:r>
    </w:p>
    <w:p w14:paraId="507B216D">
      <w:pPr>
        <w:rPr>
          <w:rFonts w:ascii="宋体" w:hAnsi="宋体" w:cs="宋体"/>
          <w:b/>
          <w:bCs/>
          <w:color w:val="auto"/>
          <w:highlight w:val="none"/>
        </w:rPr>
      </w:pPr>
      <w:r>
        <w:rPr>
          <w:rFonts w:hint="eastAsia" w:ascii="宋体" w:hAnsi="宋体" w:cs="宋体"/>
          <w:b/>
          <w:bCs/>
          <w:color w:val="auto"/>
          <w:highlight w:val="none"/>
        </w:rPr>
        <w:br w:type="page"/>
      </w:r>
    </w:p>
    <w:p w14:paraId="1EBE4457">
      <w:pPr>
        <w:spacing w:line="360" w:lineRule="auto"/>
        <w:outlineLvl w:val="2"/>
        <w:rPr>
          <w:rFonts w:ascii="宋体" w:hAnsi="宋体" w:cs="宋体"/>
          <w:color w:val="auto"/>
          <w:highlight w:val="none"/>
        </w:rPr>
      </w:pPr>
      <w:bookmarkStart w:id="359" w:name="_Toc5767"/>
      <w:bookmarkStart w:id="360" w:name="_Toc14012"/>
      <w:bookmarkStart w:id="361" w:name="_Toc1869"/>
      <w:bookmarkStart w:id="362" w:name="_Toc27245"/>
      <w:r>
        <w:rPr>
          <w:rFonts w:hint="eastAsia" w:ascii="宋体" w:hAnsi="宋体" w:cs="宋体"/>
          <w:b/>
          <w:bCs/>
          <w:color w:val="auto"/>
          <w:highlight w:val="none"/>
        </w:rPr>
        <w:t>附表1：资格审查表</w:t>
      </w:r>
      <w:bookmarkEnd w:id="359"/>
      <w:bookmarkEnd w:id="360"/>
      <w:bookmarkEnd w:id="361"/>
      <w:bookmarkEnd w:id="362"/>
    </w:p>
    <w:p w14:paraId="04508D1C">
      <w:pPr>
        <w:spacing w:line="400" w:lineRule="exact"/>
        <w:jc w:val="center"/>
        <w:outlineLvl w:val="2"/>
        <w:rPr>
          <w:rFonts w:ascii="宋体" w:hAnsi="宋体" w:cs="宋体"/>
          <w:b/>
          <w:color w:val="auto"/>
          <w:highlight w:val="none"/>
        </w:rPr>
      </w:pPr>
      <w:bookmarkStart w:id="363" w:name="_Toc8660"/>
      <w:bookmarkStart w:id="364" w:name="_Toc24817"/>
      <w:bookmarkStart w:id="365" w:name="_Toc24985"/>
      <w:bookmarkStart w:id="366" w:name="_Toc1791"/>
      <w:r>
        <w:rPr>
          <w:rFonts w:hint="eastAsia" w:ascii="宋体" w:hAnsi="宋体" w:cs="宋体"/>
          <w:b/>
          <w:color w:val="auto"/>
          <w:highlight w:val="none"/>
        </w:rPr>
        <w:t>（一）资格审查表</w:t>
      </w:r>
      <w:bookmarkEnd w:id="363"/>
      <w:bookmarkEnd w:id="364"/>
      <w:bookmarkEnd w:id="365"/>
      <w:bookmarkEnd w:id="366"/>
    </w:p>
    <w:tbl>
      <w:tblPr>
        <w:tblStyle w:val="42"/>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8346"/>
      </w:tblGrid>
      <w:tr w14:paraId="45E4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3" w:type="pct"/>
            <w:vAlign w:val="center"/>
          </w:tcPr>
          <w:p w14:paraId="214213EF">
            <w:pPr>
              <w:jc w:val="center"/>
              <w:rPr>
                <w:rFonts w:ascii="宋体" w:hAnsi="宋体" w:cs="宋体"/>
                <w:b/>
                <w:color w:val="auto"/>
                <w:highlight w:val="none"/>
              </w:rPr>
            </w:pPr>
            <w:r>
              <w:rPr>
                <w:rFonts w:hint="eastAsia" w:ascii="宋体" w:hAnsi="宋体" w:cs="宋体"/>
                <w:b/>
                <w:color w:val="auto"/>
                <w:highlight w:val="none"/>
              </w:rPr>
              <w:t>审查类别</w:t>
            </w:r>
          </w:p>
        </w:tc>
        <w:tc>
          <w:tcPr>
            <w:tcW w:w="4356" w:type="pct"/>
            <w:vAlign w:val="center"/>
          </w:tcPr>
          <w:p w14:paraId="7F038A77">
            <w:pPr>
              <w:spacing w:line="400" w:lineRule="exact"/>
              <w:jc w:val="center"/>
              <w:rPr>
                <w:rFonts w:ascii="宋体" w:hAnsi="宋体" w:cs="宋体"/>
                <w:b/>
                <w:color w:val="auto"/>
                <w:highlight w:val="none"/>
              </w:rPr>
            </w:pPr>
            <w:r>
              <w:rPr>
                <w:rFonts w:hint="eastAsia" w:ascii="宋体" w:hAnsi="宋体" w:cs="宋体"/>
                <w:b/>
                <w:color w:val="auto"/>
                <w:highlight w:val="none"/>
              </w:rPr>
              <w:t>审查内容</w:t>
            </w:r>
          </w:p>
        </w:tc>
      </w:tr>
      <w:tr w14:paraId="1C55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3" w:type="pct"/>
            <w:vMerge w:val="restart"/>
            <w:vAlign w:val="center"/>
          </w:tcPr>
          <w:p w14:paraId="579AB7FF">
            <w:pPr>
              <w:jc w:val="center"/>
              <w:rPr>
                <w:rFonts w:ascii="宋体" w:hAnsi="宋体" w:cs="宋体"/>
                <w:color w:val="auto"/>
                <w:highlight w:val="none"/>
              </w:rPr>
            </w:pPr>
            <w:r>
              <w:rPr>
                <w:rFonts w:hint="eastAsia" w:ascii="宋体" w:hAnsi="宋体" w:cs="宋体"/>
                <w:color w:val="auto"/>
                <w:highlight w:val="none"/>
              </w:rPr>
              <w:t>资格条件审查</w:t>
            </w:r>
          </w:p>
        </w:tc>
        <w:tc>
          <w:tcPr>
            <w:tcW w:w="4356" w:type="pct"/>
            <w:vAlign w:val="center"/>
          </w:tcPr>
          <w:p w14:paraId="65919032">
            <w:pPr>
              <w:numPr>
                <w:ilvl w:val="0"/>
                <w:numId w:val="7"/>
              </w:numPr>
              <w:spacing w:line="400" w:lineRule="exact"/>
              <w:rPr>
                <w:rFonts w:ascii="宋体" w:hAnsi="宋体" w:cs="宋体"/>
                <w:color w:val="auto"/>
                <w:highlight w:val="none"/>
              </w:rPr>
            </w:pPr>
            <w:r>
              <w:rPr>
                <w:rFonts w:hint="eastAsia" w:ascii="宋体" w:hAnsi="宋体" w:cs="宋体"/>
                <w:color w:val="auto"/>
                <w:highlight w:val="none"/>
              </w:rPr>
              <w:t>满足《中华人民共和国政府采购法》第二十二条规定；</w:t>
            </w:r>
          </w:p>
        </w:tc>
      </w:tr>
      <w:tr w14:paraId="591A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3" w:type="pct"/>
            <w:vMerge w:val="continue"/>
            <w:vAlign w:val="center"/>
          </w:tcPr>
          <w:p w14:paraId="1E6E30C7">
            <w:pPr>
              <w:spacing w:line="400" w:lineRule="exact"/>
              <w:jc w:val="center"/>
              <w:rPr>
                <w:rFonts w:ascii="宋体" w:hAnsi="宋体" w:cs="宋体"/>
                <w:color w:val="auto"/>
                <w:highlight w:val="none"/>
              </w:rPr>
            </w:pPr>
          </w:p>
        </w:tc>
        <w:tc>
          <w:tcPr>
            <w:tcW w:w="4356" w:type="pct"/>
            <w:vAlign w:val="center"/>
          </w:tcPr>
          <w:p w14:paraId="045201C3">
            <w:pPr>
              <w:snapToGrid w:val="0"/>
              <w:spacing w:line="400" w:lineRule="exact"/>
              <w:rPr>
                <w:rFonts w:ascii="宋体" w:hAnsi="宋体" w:cs="宋体"/>
                <w:color w:val="auto"/>
                <w:highlight w:val="none"/>
              </w:rPr>
            </w:pPr>
            <w:r>
              <w:rPr>
                <w:rFonts w:hint="eastAsia" w:ascii="宋体" w:hAnsi="宋体" w:cs="宋体"/>
                <w:color w:val="auto"/>
                <w:highlight w:val="none"/>
              </w:rPr>
              <w:t>（二）落实政府采购政策需满足的资格要求：</w:t>
            </w:r>
            <w:r>
              <w:rPr>
                <w:rFonts w:hint="eastAsia" w:ascii="宋体" w:hAnsi="宋体" w:cs="宋体"/>
                <w:color w:val="auto"/>
                <w:sz w:val="22"/>
                <w:szCs w:val="22"/>
                <w:highlight w:val="none"/>
              </w:rPr>
              <w:t>详见第一章《公开招标采购公告》</w:t>
            </w:r>
            <w:r>
              <w:rPr>
                <w:rFonts w:hint="eastAsia" w:ascii="宋体" w:hAnsi="宋体" w:cs="宋体"/>
                <w:color w:val="auto"/>
                <w:highlight w:val="none"/>
              </w:rPr>
              <w:t>。</w:t>
            </w:r>
          </w:p>
        </w:tc>
      </w:tr>
      <w:tr w14:paraId="58C6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3" w:type="pct"/>
            <w:vMerge w:val="continue"/>
          </w:tcPr>
          <w:p w14:paraId="5F9E240E">
            <w:pPr>
              <w:spacing w:line="400" w:lineRule="exact"/>
              <w:rPr>
                <w:rFonts w:ascii="宋体" w:hAnsi="宋体" w:cs="宋体"/>
                <w:color w:val="auto"/>
                <w:highlight w:val="none"/>
              </w:rPr>
            </w:pPr>
          </w:p>
        </w:tc>
        <w:tc>
          <w:tcPr>
            <w:tcW w:w="4356" w:type="pct"/>
            <w:vAlign w:val="center"/>
          </w:tcPr>
          <w:p w14:paraId="50DA10E4">
            <w:pPr>
              <w:spacing w:line="400" w:lineRule="exact"/>
              <w:rPr>
                <w:rFonts w:ascii="宋体" w:hAnsi="宋体" w:cs="宋体"/>
                <w:color w:val="auto"/>
                <w:highlight w:val="none"/>
              </w:rPr>
            </w:pPr>
            <w:r>
              <w:rPr>
                <w:rFonts w:hint="eastAsia" w:ascii="宋体" w:hAnsi="宋体" w:cs="宋体"/>
                <w:color w:val="auto"/>
                <w:highlight w:val="none"/>
              </w:rPr>
              <w:t>（三）特定资格条件：</w:t>
            </w:r>
            <w:r>
              <w:rPr>
                <w:rFonts w:hint="eastAsia" w:ascii="宋体" w:hAnsi="宋体" w:cs="宋体"/>
                <w:color w:val="auto"/>
                <w:sz w:val="22"/>
                <w:szCs w:val="22"/>
                <w:highlight w:val="none"/>
              </w:rPr>
              <w:t>详见第一章《公开招标采购公告》</w:t>
            </w:r>
            <w:r>
              <w:rPr>
                <w:rFonts w:hint="eastAsia" w:ascii="宋体" w:hAnsi="宋体" w:cs="宋体"/>
                <w:color w:val="auto"/>
                <w:highlight w:val="none"/>
              </w:rPr>
              <w:t>。</w:t>
            </w:r>
          </w:p>
        </w:tc>
      </w:tr>
      <w:tr w14:paraId="58CD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43" w:type="pct"/>
            <w:vMerge w:val="continue"/>
          </w:tcPr>
          <w:p w14:paraId="5E88F96A">
            <w:pPr>
              <w:spacing w:line="400" w:lineRule="exact"/>
              <w:rPr>
                <w:rFonts w:ascii="宋体" w:hAnsi="宋体" w:cs="宋体"/>
                <w:color w:val="auto"/>
                <w:highlight w:val="none"/>
              </w:rPr>
            </w:pPr>
          </w:p>
        </w:tc>
        <w:tc>
          <w:tcPr>
            <w:tcW w:w="4356" w:type="pct"/>
            <w:vAlign w:val="center"/>
          </w:tcPr>
          <w:p w14:paraId="47D53132">
            <w:pPr>
              <w:spacing w:line="400" w:lineRule="exact"/>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sz w:val="22"/>
                <w:szCs w:val="22"/>
                <w:highlight w:val="none"/>
              </w:rPr>
              <w:t>本项目联合体投标</w:t>
            </w:r>
            <w:r>
              <w:rPr>
                <w:rFonts w:hint="eastAsia" w:ascii="宋体" w:hAnsi="宋体" w:cs="宋体"/>
                <w:color w:val="auto"/>
                <w:szCs w:val="21"/>
                <w:highlight w:val="none"/>
              </w:rPr>
              <w:t>：</w:t>
            </w:r>
            <w:r>
              <w:rPr>
                <w:rFonts w:hint="eastAsia" w:ascii="宋体" w:hAnsi="宋体" w:cs="宋体"/>
                <w:color w:val="auto"/>
                <w:sz w:val="22"/>
                <w:szCs w:val="22"/>
                <w:highlight w:val="none"/>
              </w:rPr>
              <w:t>详见第一章《公开招标采购公告》。</w:t>
            </w:r>
          </w:p>
        </w:tc>
      </w:tr>
      <w:tr w14:paraId="00A9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jc w:val="center"/>
        </w:trPr>
        <w:tc>
          <w:tcPr>
            <w:tcW w:w="643" w:type="pct"/>
            <w:vMerge w:val="continue"/>
          </w:tcPr>
          <w:p w14:paraId="53812CF8">
            <w:pPr>
              <w:spacing w:line="400" w:lineRule="exact"/>
              <w:rPr>
                <w:rFonts w:ascii="宋体" w:hAnsi="宋体" w:cs="宋体"/>
                <w:color w:val="auto"/>
                <w:highlight w:val="none"/>
              </w:rPr>
            </w:pPr>
          </w:p>
        </w:tc>
        <w:tc>
          <w:tcPr>
            <w:tcW w:w="4356" w:type="pct"/>
            <w:vAlign w:val="center"/>
          </w:tcPr>
          <w:p w14:paraId="1DA719EF">
            <w:pPr>
              <w:spacing w:line="400" w:lineRule="exact"/>
              <w:rPr>
                <w:rFonts w:ascii="宋体" w:hAnsi="宋体" w:cs="宋体"/>
                <w:color w:val="auto"/>
                <w:szCs w:val="21"/>
                <w:highlight w:val="none"/>
              </w:rPr>
            </w:pPr>
            <w:r>
              <w:rPr>
                <w:rFonts w:hint="eastAsia" w:ascii="宋体" w:hAnsi="宋体" w:cs="宋体"/>
                <w:color w:val="auto"/>
                <w:szCs w:val="21"/>
                <w:highlight w:val="none"/>
              </w:rPr>
              <w:t>（五）供应商未被列入“信用中国”网站(www.creditchina.gov.cn)中的“失信被执行人或重大税收违法案件当事人名单或政府采购严重违法失信名单”，不处于中国政府采购网(www.ccgp.gov.cn)“政府采购严重违法失信行为记录名单”处罚结果确定为禁止参加政府采购活动期间。</w:t>
            </w:r>
          </w:p>
          <w:p w14:paraId="2E9AB89F">
            <w:pPr>
              <w:spacing w:line="400" w:lineRule="exact"/>
              <w:rPr>
                <w:rFonts w:ascii="宋体" w:hAnsi="宋体" w:cs="宋体"/>
                <w:color w:val="auto"/>
                <w:highlight w:val="none"/>
              </w:rPr>
            </w:pPr>
            <w:r>
              <w:rPr>
                <w:rFonts w:hint="eastAsia" w:ascii="宋体" w:hAnsi="宋体" w:cs="宋体"/>
                <w:color w:val="auto"/>
                <w:szCs w:val="21"/>
                <w:highlight w:val="none"/>
              </w:rPr>
              <w:t>备注：以采购代理机构于投标截止日当天在信用中国网站及中国政府采购网查询结果为准；若在开标当天因不可抗力事件导致无法查询且一时无法恢复查询的，可在中标公告前对中标候选人进行事后查询。中标候选人被列入失信被执行人、重大税收违法案件当事人名单或政府采购严重违法失信名单、政府采购严重违法失信行为记录名单处罚结果确定为禁止参加政府采购活动期间的，采购人将依法取消其中标资格。</w:t>
            </w:r>
          </w:p>
        </w:tc>
      </w:tr>
      <w:tr w14:paraId="3AF9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643" w:type="pct"/>
            <w:vMerge w:val="continue"/>
          </w:tcPr>
          <w:p w14:paraId="00D0A9A2">
            <w:pPr>
              <w:spacing w:line="400" w:lineRule="exact"/>
              <w:rPr>
                <w:rFonts w:ascii="宋体" w:hAnsi="宋体" w:cs="宋体"/>
                <w:color w:val="auto"/>
                <w:highlight w:val="none"/>
              </w:rPr>
            </w:pPr>
          </w:p>
        </w:tc>
        <w:tc>
          <w:tcPr>
            <w:tcW w:w="4356" w:type="pct"/>
            <w:vAlign w:val="center"/>
          </w:tcPr>
          <w:p w14:paraId="600856DC">
            <w:pPr>
              <w:spacing w:line="400" w:lineRule="exact"/>
              <w:rPr>
                <w:rFonts w:ascii="宋体" w:hAnsi="宋体" w:cs="宋体"/>
                <w:color w:val="auto"/>
                <w:highlight w:val="none"/>
              </w:rPr>
            </w:pPr>
            <w:r>
              <w:rPr>
                <w:rFonts w:hint="eastAsia" w:ascii="宋体" w:hAnsi="宋体" w:cs="宋体"/>
                <w:color w:val="auto"/>
                <w:highlight w:val="none"/>
              </w:rPr>
              <w:t>（六）采购文件要求的其他资格条件：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bl>
    <w:p w14:paraId="0318D15E">
      <w:pPr>
        <w:rPr>
          <w:rFonts w:ascii="宋体" w:hAnsi="宋体" w:cs="宋体"/>
          <w:b/>
          <w:bCs/>
          <w:color w:val="auto"/>
          <w:szCs w:val="21"/>
          <w:highlight w:val="none"/>
        </w:rPr>
      </w:pPr>
      <w:r>
        <w:rPr>
          <w:rFonts w:hint="eastAsia" w:ascii="宋体" w:hAnsi="宋体" w:cs="宋体"/>
          <w:b/>
          <w:bCs/>
          <w:color w:val="auto"/>
          <w:szCs w:val="21"/>
          <w:highlight w:val="none"/>
        </w:rPr>
        <w:br w:type="page"/>
      </w:r>
    </w:p>
    <w:p w14:paraId="6A24C72E">
      <w:pPr>
        <w:spacing w:line="360" w:lineRule="auto"/>
        <w:outlineLvl w:val="1"/>
        <w:rPr>
          <w:rFonts w:ascii="宋体" w:hAnsi="宋体" w:cs="宋体"/>
          <w:b/>
          <w:bCs/>
          <w:color w:val="auto"/>
          <w:highlight w:val="none"/>
        </w:rPr>
      </w:pPr>
      <w:bookmarkStart w:id="367" w:name="_Toc15994"/>
      <w:bookmarkStart w:id="368" w:name="_Toc20568"/>
      <w:bookmarkStart w:id="369" w:name="_Toc6392"/>
      <w:bookmarkStart w:id="370" w:name="_Toc12494"/>
      <w:r>
        <w:rPr>
          <w:rFonts w:hint="eastAsia" w:ascii="宋体" w:hAnsi="宋体" w:cs="宋体"/>
          <w:b/>
          <w:bCs/>
          <w:color w:val="auto"/>
          <w:highlight w:val="none"/>
        </w:rPr>
        <w:t>附表2：符合性审查表</w:t>
      </w:r>
      <w:bookmarkEnd w:id="367"/>
      <w:bookmarkEnd w:id="368"/>
      <w:bookmarkEnd w:id="369"/>
      <w:bookmarkEnd w:id="370"/>
    </w:p>
    <w:p w14:paraId="1FFA2D38">
      <w:pPr>
        <w:spacing w:line="400" w:lineRule="exact"/>
        <w:jc w:val="center"/>
        <w:outlineLvl w:val="2"/>
        <w:rPr>
          <w:rFonts w:ascii="宋体" w:hAnsi="宋体" w:cs="宋体"/>
          <w:b/>
          <w:color w:val="auto"/>
          <w:highlight w:val="none"/>
        </w:rPr>
      </w:pPr>
      <w:bookmarkStart w:id="371" w:name="_Toc12123"/>
      <w:bookmarkStart w:id="372" w:name="_Toc27930"/>
      <w:bookmarkStart w:id="373" w:name="_Toc4591"/>
      <w:bookmarkStart w:id="374" w:name="_Toc15542"/>
      <w:r>
        <w:rPr>
          <w:rFonts w:hint="eastAsia" w:ascii="宋体" w:hAnsi="宋体" w:cs="宋体"/>
          <w:b/>
          <w:color w:val="auto"/>
          <w:highlight w:val="none"/>
        </w:rPr>
        <w:t>（二）符合性审查表</w:t>
      </w:r>
      <w:bookmarkEnd w:id="371"/>
      <w:bookmarkEnd w:id="372"/>
      <w:bookmarkEnd w:id="373"/>
      <w:bookmarkEnd w:id="374"/>
    </w:p>
    <w:tbl>
      <w:tblPr>
        <w:tblStyle w:val="42"/>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7828"/>
      </w:tblGrid>
      <w:tr w14:paraId="2912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Align w:val="center"/>
          </w:tcPr>
          <w:p w14:paraId="5BA59156">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4005" w:type="pct"/>
            <w:vAlign w:val="center"/>
          </w:tcPr>
          <w:p w14:paraId="79C581D5">
            <w:pPr>
              <w:spacing w:line="400" w:lineRule="exact"/>
              <w:jc w:val="center"/>
              <w:rPr>
                <w:rFonts w:ascii="宋体" w:hAnsi="宋体" w:cs="宋体"/>
                <w:b/>
                <w:color w:val="auto"/>
                <w:highlight w:val="none"/>
              </w:rPr>
            </w:pPr>
            <w:r>
              <w:rPr>
                <w:rFonts w:hint="eastAsia" w:ascii="宋体" w:hAnsi="宋体" w:cs="宋体"/>
                <w:b/>
                <w:color w:val="auto"/>
                <w:highlight w:val="none"/>
              </w:rPr>
              <w:t>审查内容</w:t>
            </w:r>
          </w:p>
        </w:tc>
      </w:tr>
      <w:tr w14:paraId="2C39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restart"/>
            <w:vAlign w:val="center"/>
          </w:tcPr>
          <w:p w14:paraId="4D0277C7">
            <w:pPr>
              <w:widowControl/>
              <w:spacing w:line="400" w:lineRule="exact"/>
              <w:jc w:val="center"/>
              <w:rPr>
                <w:rFonts w:ascii="宋体" w:hAnsi="宋体" w:cs="宋体"/>
                <w:color w:val="auto"/>
                <w:kern w:val="0"/>
                <w:highlight w:val="none"/>
              </w:rPr>
            </w:pPr>
            <w:r>
              <w:rPr>
                <w:rFonts w:hint="eastAsia" w:ascii="宋体" w:hAnsi="宋体" w:cs="宋体"/>
                <w:color w:val="auto"/>
                <w:kern w:val="0"/>
                <w:highlight w:val="none"/>
              </w:rPr>
              <w:t>符合性审查</w:t>
            </w:r>
          </w:p>
          <w:p w14:paraId="72B9E628">
            <w:pPr>
              <w:widowControl/>
              <w:spacing w:line="400" w:lineRule="exact"/>
              <w:jc w:val="center"/>
              <w:rPr>
                <w:rFonts w:ascii="宋体" w:hAnsi="宋体" w:cs="宋体"/>
                <w:color w:val="auto"/>
                <w:highlight w:val="none"/>
              </w:rPr>
            </w:pPr>
            <w:r>
              <w:rPr>
                <w:rFonts w:hint="eastAsia" w:ascii="宋体" w:hAnsi="宋体" w:cs="宋体"/>
                <w:color w:val="auto"/>
                <w:kern w:val="0"/>
                <w:highlight w:val="none"/>
              </w:rPr>
              <w:t>（商务技术文件）</w:t>
            </w:r>
          </w:p>
        </w:tc>
        <w:tc>
          <w:tcPr>
            <w:tcW w:w="4005" w:type="pct"/>
            <w:vAlign w:val="center"/>
          </w:tcPr>
          <w:p w14:paraId="60BF76B4">
            <w:pPr>
              <w:widowControl/>
              <w:tabs>
                <w:tab w:val="left" w:pos="612"/>
              </w:tabs>
              <w:rPr>
                <w:rFonts w:ascii="宋体" w:hAnsi="宋体" w:cs="宋体"/>
                <w:color w:val="auto"/>
                <w:highlight w:val="none"/>
              </w:rPr>
            </w:pPr>
            <w:r>
              <w:rPr>
                <w:rFonts w:hint="eastAsia" w:ascii="宋体" w:hAnsi="宋体" w:cs="宋体"/>
                <w:color w:val="auto"/>
                <w:kern w:val="0"/>
                <w:highlight w:val="none"/>
              </w:rPr>
              <w:t>1.投标函（如有）已提交并符合采购文件要求；</w:t>
            </w:r>
          </w:p>
        </w:tc>
      </w:tr>
      <w:tr w14:paraId="2A6A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3E8A1C80">
            <w:pPr>
              <w:widowControl/>
              <w:spacing w:line="400" w:lineRule="exact"/>
              <w:jc w:val="center"/>
              <w:rPr>
                <w:rFonts w:ascii="宋体" w:hAnsi="宋体" w:cs="宋体"/>
                <w:color w:val="auto"/>
                <w:highlight w:val="none"/>
              </w:rPr>
            </w:pPr>
          </w:p>
        </w:tc>
        <w:tc>
          <w:tcPr>
            <w:tcW w:w="4005" w:type="pct"/>
            <w:vAlign w:val="center"/>
          </w:tcPr>
          <w:p w14:paraId="5374298C">
            <w:pPr>
              <w:widowControl/>
              <w:tabs>
                <w:tab w:val="left" w:pos="612"/>
              </w:tabs>
              <w:rPr>
                <w:rFonts w:ascii="宋体" w:hAnsi="宋体" w:cs="宋体"/>
                <w:color w:val="auto"/>
                <w:highlight w:val="none"/>
              </w:rPr>
            </w:pPr>
            <w:r>
              <w:rPr>
                <w:rFonts w:hint="eastAsia" w:ascii="宋体" w:hAnsi="宋体" w:cs="宋体"/>
                <w:color w:val="auto"/>
                <w:kern w:val="0"/>
                <w:highlight w:val="none"/>
              </w:rPr>
              <w:t>2.按照采购文件规定要求的签署或盖章；</w:t>
            </w:r>
          </w:p>
        </w:tc>
      </w:tr>
      <w:tr w14:paraId="2728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5F034FED">
            <w:pPr>
              <w:widowControl/>
              <w:spacing w:line="400" w:lineRule="exact"/>
              <w:jc w:val="center"/>
              <w:rPr>
                <w:rFonts w:ascii="宋体" w:hAnsi="宋体" w:cs="宋体"/>
                <w:color w:val="auto"/>
                <w:highlight w:val="none"/>
              </w:rPr>
            </w:pPr>
          </w:p>
        </w:tc>
        <w:tc>
          <w:tcPr>
            <w:tcW w:w="4005" w:type="pct"/>
            <w:vAlign w:val="center"/>
          </w:tcPr>
          <w:p w14:paraId="1D1E1C1A">
            <w:pPr>
              <w:widowControl/>
              <w:tabs>
                <w:tab w:val="left" w:pos="612"/>
              </w:tabs>
              <w:spacing w:line="400" w:lineRule="exact"/>
              <w:rPr>
                <w:rFonts w:ascii="宋体" w:hAnsi="宋体" w:cs="宋体"/>
                <w:color w:val="auto"/>
                <w:kern w:val="0"/>
                <w:highlight w:val="none"/>
              </w:rPr>
            </w:pPr>
            <w:r>
              <w:rPr>
                <w:rFonts w:hint="eastAsia" w:ascii="宋体" w:hAnsi="宋体" w:cs="宋体"/>
                <w:color w:val="auto"/>
                <w:szCs w:val="21"/>
                <w:highlight w:val="none"/>
              </w:rPr>
              <w:t>3.投标文件有法定代表人（负责人）签署本人姓名（或印盖本人姓名章），或签署人提供有效的法定代表人（负责人）授权委托书且授权委托书填写项目齐全的；</w:t>
            </w:r>
          </w:p>
        </w:tc>
      </w:tr>
      <w:tr w14:paraId="704E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66FCAB05">
            <w:pPr>
              <w:widowControl/>
              <w:spacing w:line="400" w:lineRule="exact"/>
              <w:jc w:val="center"/>
              <w:rPr>
                <w:rFonts w:ascii="宋体" w:hAnsi="宋体" w:cs="宋体"/>
                <w:color w:val="auto"/>
                <w:highlight w:val="none"/>
              </w:rPr>
            </w:pPr>
          </w:p>
        </w:tc>
        <w:tc>
          <w:tcPr>
            <w:tcW w:w="4005" w:type="pct"/>
            <w:vAlign w:val="center"/>
          </w:tcPr>
          <w:p w14:paraId="0639BE81">
            <w:pPr>
              <w:widowControl/>
              <w:tabs>
                <w:tab w:val="left" w:pos="612"/>
              </w:tabs>
              <w:rPr>
                <w:rFonts w:ascii="宋体" w:hAnsi="宋体" w:cs="宋体"/>
                <w:color w:val="auto"/>
                <w:highlight w:val="none"/>
              </w:rPr>
            </w:pPr>
            <w:r>
              <w:rPr>
                <w:rFonts w:hint="eastAsia" w:ascii="宋体" w:hAnsi="宋体" w:cs="宋体"/>
                <w:color w:val="auto"/>
                <w:kern w:val="0"/>
                <w:highlight w:val="none"/>
              </w:rPr>
              <w:t>4.投标文件内容齐全；</w:t>
            </w:r>
          </w:p>
        </w:tc>
      </w:tr>
      <w:tr w14:paraId="1CC4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7D46D440">
            <w:pPr>
              <w:widowControl/>
              <w:spacing w:line="400" w:lineRule="exact"/>
              <w:jc w:val="center"/>
              <w:rPr>
                <w:rFonts w:ascii="宋体" w:hAnsi="宋体" w:cs="宋体"/>
                <w:color w:val="auto"/>
                <w:highlight w:val="none"/>
              </w:rPr>
            </w:pPr>
          </w:p>
        </w:tc>
        <w:tc>
          <w:tcPr>
            <w:tcW w:w="4005" w:type="pct"/>
            <w:vAlign w:val="center"/>
          </w:tcPr>
          <w:p w14:paraId="214986C6">
            <w:pPr>
              <w:widowControl/>
              <w:tabs>
                <w:tab w:val="left" w:pos="612"/>
              </w:tabs>
              <w:rPr>
                <w:rFonts w:ascii="宋体" w:hAnsi="宋体" w:cs="宋体"/>
                <w:color w:val="auto"/>
                <w:highlight w:val="none"/>
              </w:rPr>
            </w:pPr>
            <w:r>
              <w:rPr>
                <w:rFonts w:hint="eastAsia" w:ascii="宋体" w:hAnsi="宋体" w:cs="宋体"/>
                <w:color w:val="auto"/>
                <w:kern w:val="0"/>
                <w:highlight w:val="none"/>
              </w:rPr>
              <w:t>5.投标文件标明的响应或偏离与事实相符且无虚假投标的；</w:t>
            </w:r>
          </w:p>
        </w:tc>
      </w:tr>
      <w:tr w14:paraId="515C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2C08F500">
            <w:pPr>
              <w:widowControl/>
              <w:spacing w:line="400" w:lineRule="exact"/>
              <w:jc w:val="center"/>
              <w:rPr>
                <w:rFonts w:ascii="宋体" w:hAnsi="宋体" w:cs="宋体"/>
                <w:color w:val="auto"/>
                <w:highlight w:val="none"/>
              </w:rPr>
            </w:pPr>
          </w:p>
        </w:tc>
        <w:tc>
          <w:tcPr>
            <w:tcW w:w="4005" w:type="pct"/>
            <w:vAlign w:val="center"/>
          </w:tcPr>
          <w:p w14:paraId="6EABD6CA">
            <w:pPr>
              <w:widowControl/>
              <w:tabs>
                <w:tab w:val="left" w:pos="612"/>
              </w:tabs>
              <w:spacing w:line="400" w:lineRule="exact"/>
              <w:rPr>
                <w:rFonts w:ascii="宋体" w:hAnsi="宋体" w:cs="宋体"/>
                <w:color w:val="auto"/>
                <w:highlight w:val="none"/>
              </w:rPr>
            </w:pPr>
            <w:r>
              <w:rPr>
                <w:rFonts w:hint="eastAsia" w:ascii="宋体" w:hAnsi="宋体" w:cs="宋体"/>
                <w:color w:val="auto"/>
                <w:highlight w:val="none"/>
              </w:rPr>
              <w:t>6.投标文件的实质性内容未使用中文表述、意思表述不明确、前后矛盾或者使用计量单位不符合采购文件要求的；</w:t>
            </w:r>
          </w:p>
        </w:tc>
      </w:tr>
      <w:tr w14:paraId="282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51E2C496">
            <w:pPr>
              <w:widowControl/>
              <w:spacing w:line="400" w:lineRule="exact"/>
              <w:jc w:val="center"/>
              <w:rPr>
                <w:rFonts w:ascii="宋体" w:hAnsi="宋体" w:cs="宋体"/>
                <w:color w:val="auto"/>
                <w:highlight w:val="none"/>
              </w:rPr>
            </w:pPr>
          </w:p>
        </w:tc>
        <w:tc>
          <w:tcPr>
            <w:tcW w:w="4005" w:type="pct"/>
            <w:vAlign w:val="center"/>
          </w:tcPr>
          <w:p w14:paraId="039C8EDB">
            <w:pPr>
              <w:widowControl/>
              <w:tabs>
                <w:tab w:val="left" w:pos="612"/>
              </w:tabs>
              <w:spacing w:line="400" w:lineRule="exact"/>
              <w:rPr>
                <w:rFonts w:ascii="宋体" w:hAnsi="宋体" w:cs="宋体"/>
                <w:color w:val="auto"/>
                <w:highlight w:val="none"/>
              </w:rPr>
            </w:pPr>
            <w:r>
              <w:rPr>
                <w:rFonts w:hint="eastAsia" w:ascii="宋体" w:hAnsi="宋体" w:cs="宋体"/>
                <w:color w:val="auto"/>
                <w:kern w:val="0"/>
                <w:highlight w:val="none"/>
              </w:rPr>
              <w:t>7.带“▲”的条款满足采购文件要求、已实质性响应采购文件要求且投标文件无采购人不能接受的附加条件的；</w:t>
            </w:r>
          </w:p>
        </w:tc>
      </w:tr>
      <w:tr w14:paraId="7BC3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16BB551A">
            <w:pPr>
              <w:widowControl/>
              <w:spacing w:line="400" w:lineRule="exact"/>
              <w:jc w:val="center"/>
              <w:rPr>
                <w:rFonts w:ascii="宋体" w:hAnsi="宋体" w:cs="宋体"/>
                <w:color w:val="auto"/>
                <w:highlight w:val="none"/>
              </w:rPr>
            </w:pPr>
          </w:p>
        </w:tc>
        <w:tc>
          <w:tcPr>
            <w:tcW w:w="4005" w:type="pct"/>
            <w:vAlign w:val="center"/>
          </w:tcPr>
          <w:p w14:paraId="2BBC8EE7">
            <w:pPr>
              <w:widowControl/>
              <w:tabs>
                <w:tab w:val="left" w:pos="612"/>
              </w:tabs>
              <w:rPr>
                <w:rFonts w:ascii="宋体" w:hAnsi="宋体" w:cs="宋体"/>
                <w:color w:val="auto"/>
                <w:highlight w:val="none"/>
              </w:rPr>
            </w:pPr>
            <w:r>
              <w:rPr>
                <w:rFonts w:hint="eastAsia" w:ascii="宋体" w:hAnsi="宋体" w:cs="宋体"/>
                <w:color w:val="auto"/>
                <w:kern w:val="0"/>
                <w:highlight w:val="none"/>
              </w:rPr>
              <w:t>8.投标技术方案明确，不存在一个或一个以上备选（替代）投标方案的；</w:t>
            </w:r>
          </w:p>
        </w:tc>
      </w:tr>
      <w:tr w14:paraId="3DB0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02EB548F">
            <w:pPr>
              <w:widowControl/>
              <w:spacing w:line="400" w:lineRule="exact"/>
              <w:jc w:val="center"/>
              <w:rPr>
                <w:rFonts w:ascii="宋体" w:hAnsi="宋体" w:cs="宋体"/>
                <w:color w:val="auto"/>
                <w:highlight w:val="none"/>
              </w:rPr>
            </w:pPr>
          </w:p>
        </w:tc>
        <w:tc>
          <w:tcPr>
            <w:tcW w:w="4005" w:type="pct"/>
            <w:vAlign w:val="center"/>
          </w:tcPr>
          <w:p w14:paraId="1917B610">
            <w:pPr>
              <w:widowControl/>
              <w:tabs>
                <w:tab w:val="left" w:pos="612"/>
              </w:tabs>
              <w:rPr>
                <w:rFonts w:ascii="宋体" w:hAnsi="宋体" w:cs="宋体"/>
                <w:color w:val="auto"/>
                <w:highlight w:val="none"/>
              </w:rPr>
            </w:pPr>
            <w:r>
              <w:rPr>
                <w:rFonts w:hint="eastAsia" w:ascii="宋体" w:hAnsi="宋体" w:cs="宋体"/>
                <w:color w:val="auto"/>
                <w:kern w:val="0"/>
                <w:highlight w:val="none"/>
              </w:rPr>
              <w:t>9.商务技术文件中未出现报价或单价的；</w:t>
            </w:r>
          </w:p>
        </w:tc>
      </w:tr>
      <w:tr w14:paraId="3A3C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2CE9D330">
            <w:pPr>
              <w:widowControl/>
              <w:spacing w:line="400" w:lineRule="exact"/>
              <w:jc w:val="center"/>
              <w:rPr>
                <w:rFonts w:ascii="宋体" w:hAnsi="宋体" w:cs="宋体"/>
                <w:color w:val="auto"/>
                <w:highlight w:val="none"/>
              </w:rPr>
            </w:pPr>
          </w:p>
        </w:tc>
        <w:tc>
          <w:tcPr>
            <w:tcW w:w="4005" w:type="pct"/>
            <w:vAlign w:val="center"/>
          </w:tcPr>
          <w:p w14:paraId="2157A40B">
            <w:pPr>
              <w:widowControl/>
              <w:tabs>
                <w:tab w:val="left" w:pos="612"/>
              </w:tabs>
              <w:rPr>
                <w:rFonts w:ascii="宋体" w:hAnsi="宋体" w:cs="宋体"/>
                <w:color w:val="auto"/>
                <w:highlight w:val="none"/>
              </w:rPr>
            </w:pPr>
            <w:r>
              <w:rPr>
                <w:rFonts w:hint="eastAsia" w:ascii="宋体" w:hAnsi="宋体" w:cs="宋体"/>
                <w:color w:val="auto"/>
                <w:kern w:val="0"/>
                <w:highlight w:val="none"/>
              </w:rPr>
              <w:t>10.不存在投标文件的有效期不满足采购文件要求情形；</w:t>
            </w:r>
          </w:p>
        </w:tc>
      </w:tr>
      <w:tr w14:paraId="4AA7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50045A65">
            <w:pPr>
              <w:widowControl/>
              <w:spacing w:line="400" w:lineRule="exact"/>
              <w:jc w:val="center"/>
              <w:rPr>
                <w:rFonts w:ascii="宋体" w:hAnsi="宋体" w:cs="宋体"/>
                <w:color w:val="auto"/>
                <w:highlight w:val="none"/>
              </w:rPr>
            </w:pPr>
          </w:p>
        </w:tc>
        <w:tc>
          <w:tcPr>
            <w:tcW w:w="4005" w:type="pct"/>
            <w:vAlign w:val="center"/>
          </w:tcPr>
          <w:p w14:paraId="520CA876">
            <w:pPr>
              <w:widowControl/>
              <w:tabs>
                <w:tab w:val="left" w:pos="612"/>
              </w:tabs>
              <w:rPr>
                <w:rFonts w:ascii="宋体" w:hAnsi="宋体" w:cs="宋体"/>
                <w:color w:val="auto"/>
                <w:kern w:val="0"/>
                <w:highlight w:val="none"/>
              </w:rPr>
            </w:pPr>
            <w:r>
              <w:rPr>
                <w:rFonts w:hint="eastAsia" w:ascii="宋体" w:hAnsi="宋体" w:cs="宋体"/>
                <w:color w:val="auto"/>
                <w:kern w:val="0"/>
                <w:highlight w:val="none"/>
              </w:rPr>
              <w:t>11.不存在法律、法规和采购文件规定的其他无效情形；</w:t>
            </w:r>
          </w:p>
        </w:tc>
      </w:tr>
      <w:tr w14:paraId="7303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19D47C84">
            <w:pPr>
              <w:spacing w:line="400" w:lineRule="exact"/>
              <w:jc w:val="center"/>
              <w:rPr>
                <w:rFonts w:ascii="宋体" w:hAnsi="宋体" w:cs="宋体"/>
                <w:color w:val="auto"/>
                <w:highlight w:val="none"/>
              </w:rPr>
            </w:pPr>
          </w:p>
        </w:tc>
        <w:tc>
          <w:tcPr>
            <w:tcW w:w="4005" w:type="pct"/>
            <w:vAlign w:val="center"/>
          </w:tcPr>
          <w:p w14:paraId="07B983D6">
            <w:pPr>
              <w:widowControl/>
              <w:tabs>
                <w:tab w:val="left" w:pos="612"/>
              </w:tabs>
              <w:rPr>
                <w:rFonts w:ascii="宋体" w:hAnsi="宋体" w:cs="宋体"/>
                <w:color w:val="auto"/>
                <w:highlight w:val="none"/>
              </w:rPr>
            </w:pPr>
            <w:r>
              <w:rPr>
                <w:rFonts w:hint="eastAsia" w:ascii="宋体" w:hAnsi="宋体" w:cs="宋体"/>
                <w:color w:val="auto"/>
                <w:szCs w:val="21"/>
                <w:highlight w:val="none"/>
              </w:rPr>
              <w:t>12.技术商务文件不存在采购文件所规定的其它无效投标条款要求。</w:t>
            </w:r>
          </w:p>
        </w:tc>
      </w:tr>
      <w:tr w14:paraId="1970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restart"/>
            <w:vAlign w:val="center"/>
          </w:tcPr>
          <w:p w14:paraId="635A3D7D">
            <w:pPr>
              <w:widowControl/>
              <w:spacing w:line="400" w:lineRule="exact"/>
              <w:jc w:val="center"/>
              <w:rPr>
                <w:rFonts w:ascii="宋体" w:hAnsi="宋体" w:cs="宋体"/>
                <w:color w:val="auto"/>
                <w:kern w:val="0"/>
                <w:highlight w:val="none"/>
              </w:rPr>
            </w:pPr>
            <w:r>
              <w:rPr>
                <w:rFonts w:hint="eastAsia" w:ascii="宋体" w:hAnsi="宋体" w:cs="宋体"/>
                <w:color w:val="auto"/>
                <w:kern w:val="0"/>
                <w:highlight w:val="none"/>
              </w:rPr>
              <w:t>符合性审查</w:t>
            </w:r>
          </w:p>
          <w:p w14:paraId="17F5C718">
            <w:pPr>
              <w:spacing w:line="400" w:lineRule="exact"/>
              <w:jc w:val="center"/>
              <w:rPr>
                <w:rFonts w:ascii="宋体" w:hAnsi="宋体" w:cs="宋体"/>
                <w:b/>
                <w:color w:val="auto"/>
                <w:highlight w:val="none"/>
              </w:rPr>
            </w:pPr>
            <w:r>
              <w:rPr>
                <w:rFonts w:hint="eastAsia" w:ascii="宋体" w:hAnsi="宋体" w:cs="宋体"/>
                <w:color w:val="auto"/>
                <w:kern w:val="0"/>
                <w:highlight w:val="none"/>
              </w:rPr>
              <w:t>（报价文件）</w:t>
            </w:r>
          </w:p>
        </w:tc>
        <w:tc>
          <w:tcPr>
            <w:tcW w:w="4005" w:type="pct"/>
            <w:vAlign w:val="center"/>
          </w:tcPr>
          <w:p w14:paraId="4AE39FA9">
            <w:pPr>
              <w:widowControl/>
              <w:rPr>
                <w:rFonts w:ascii="宋体" w:hAnsi="宋体" w:cs="宋体"/>
                <w:color w:val="auto"/>
                <w:highlight w:val="none"/>
              </w:rPr>
            </w:pPr>
            <w:r>
              <w:rPr>
                <w:rFonts w:hint="eastAsia" w:ascii="宋体" w:hAnsi="宋体" w:cs="宋体"/>
                <w:color w:val="auto"/>
                <w:kern w:val="0"/>
                <w:highlight w:val="none"/>
              </w:rPr>
              <w:t>1.按照采购文件规定要求签署或盖章；</w:t>
            </w:r>
          </w:p>
        </w:tc>
      </w:tr>
      <w:tr w14:paraId="7236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1E88EAC7">
            <w:pPr>
              <w:spacing w:line="400" w:lineRule="exact"/>
              <w:jc w:val="center"/>
              <w:rPr>
                <w:rFonts w:ascii="宋体" w:hAnsi="宋体" w:cs="宋体"/>
                <w:b/>
                <w:color w:val="auto"/>
                <w:highlight w:val="none"/>
              </w:rPr>
            </w:pPr>
          </w:p>
        </w:tc>
        <w:tc>
          <w:tcPr>
            <w:tcW w:w="4005" w:type="pct"/>
            <w:vAlign w:val="center"/>
          </w:tcPr>
          <w:p w14:paraId="05A3A67E">
            <w:pPr>
              <w:widowControl/>
              <w:rPr>
                <w:rFonts w:ascii="宋体" w:hAnsi="宋体" w:cs="宋体"/>
                <w:color w:val="auto"/>
                <w:highlight w:val="none"/>
              </w:rPr>
            </w:pPr>
            <w:r>
              <w:rPr>
                <w:rFonts w:hint="eastAsia" w:ascii="宋体" w:hAnsi="宋体" w:cs="宋体"/>
                <w:color w:val="auto"/>
                <w:kern w:val="0"/>
                <w:highlight w:val="none"/>
              </w:rPr>
              <w:t>2.投标文件内容齐全；</w:t>
            </w:r>
          </w:p>
        </w:tc>
      </w:tr>
      <w:tr w14:paraId="7732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40372EB9">
            <w:pPr>
              <w:spacing w:line="400" w:lineRule="exact"/>
              <w:jc w:val="center"/>
              <w:rPr>
                <w:rFonts w:ascii="宋体" w:hAnsi="宋体" w:cs="宋体"/>
                <w:b/>
                <w:color w:val="auto"/>
                <w:highlight w:val="none"/>
              </w:rPr>
            </w:pPr>
          </w:p>
        </w:tc>
        <w:tc>
          <w:tcPr>
            <w:tcW w:w="4005" w:type="pct"/>
            <w:vAlign w:val="center"/>
          </w:tcPr>
          <w:p w14:paraId="20083DA9">
            <w:pPr>
              <w:widowControl/>
              <w:rPr>
                <w:rFonts w:ascii="宋体" w:hAnsi="宋体" w:cs="宋体"/>
                <w:color w:val="auto"/>
                <w:highlight w:val="none"/>
              </w:rPr>
            </w:pPr>
            <w:r>
              <w:rPr>
                <w:rFonts w:hint="eastAsia" w:ascii="宋体" w:hAnsi="宋体" w:cs="宋体"/>
                <w:color w:val="auto"/>
                <w:kern w:val="0"/>
                <w:highlight w:val="none"/>
              </w:rPr>
              <w:t>3.采用人民币报价或者按照采购文件标明的币种报价的；</w:t>
            </w:r>
          </w:p>
        </w:tc>
      </w:tr>
      <w:tr w14:paraId="747E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5C68E3EA">
            <w:pPr>
              <w:spacing w:line="400" w:lineRule="exact"/>
              <w:jc w:val="center"/>
              <w:rPr>
                <w:rFonts w:ascii="宋体" w:hAnsi="宋体" w:cs="宋体"/>
                <w:b/>
                <w:color w:val="auto"/>
                <w:highlight w:val="none"/>
              </w:rPr>
            </w:pPr>
          </w:p>
        </w:tc>
        <w:tc>
          <w:tcPr>
            <w:tcW w:w="4005" w:type="pct"/>
            <w:vAlign w:val="center"/>
          </w:tcPr>
          <w:p w14:paraId="3EFC6A17">
            <w:pPr>
              <w:widowControl/>
              <w:rPr>
                <w:rFonts w:ascii="宋体" w:hAnsi="宋体" w:cs="宋体"/>
                <w:color w:val="auto"/>
                <w:highlight w:val="none"/>
              </w:rPr>
            </w:pPr>
            <w:r>
              <w:rPr>
                <w:rFonts w:hint="eastAsia" w:ascii="宋体" w:hAnsi="宋体" w:cs="宋体"/>
                <w:color w:val="auto"/>
                <w:kern w:val="0"/>
                <w:highlight w:val="none"/>
              </w:rPr>
              <w:t>4.不存在报价超出最高限价，或者超出采购预算金额，采购人不能支付的情形；</w:t>
            </w:r>
          </w:p>
        </w:tc>
      </w:tr>
      <w:tr w14:paraId="707D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3E63153A">
            <w:pPr>
              <w:spacing w:line="400" w:lineRule="exact"/>
              <w:jc w:val="center"/>
              <w:rPr>
                <w:rFonts w:ascii="宋体" w:hAnsi="宋体" w:cs="宋体"/>
                <w:b/>
                <w:color w:val="auto"/>
                <w:highlight w:val="none"/>
              </w:rPr>
            </w:pPr>
          </w:p>
        </w:tc>
        <w:tc>
          <w:tcPr>
            <w:tcW w:w="4005" w:type="pct"/>
            <w:vAlign w:val="center"/>
          </w:tcPr>
          <w:p w14:paraId="7A322337">
            <w:pPr>
              <w:widowControl/>
              <w:rPr>
                <w:rFonts w:ascii="宋体" w:hAnsi="宋体" w:cs="宋体"/>
                <w:color w:val="auto"/>
                <w:highlight w:val="none"/>
              </w:rPr>
            </w:pPr>
            <w:r>
              <w:rPr>
                <w:rFonts w:hint="eastAsia" w:ascii="宋体" w:hAnsi="宋体" w:cs="宋体"/>
                <w:color w:val="auto"/>
                <w:kern w:val="0"/>
                <w:highlight w:val="none"/>
              </w:rPr>
              <w:t>5.不存在投标报价具有选择性的情形；</w:t>
            </w:r>
          </w:p>
        </w:tc>
      </w:tr>
      <w:tr w14:paraId="3843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299310A6">
            <w:pPr>
              <w:spacing w:line="400" w:lineRule="exact"/>
              <w:jc w:val="center"/>
              <w:rPr>
                <w:rFonts w:ascii="宋体" w:hAnsi="宋体" w:cs="宋体"/>
                <w:b/>
                <w:color w:val="auto"/>
                <w:highlight w:val="none"/>
              </w:rPr>
            </w:pPr>
          </w:p>
        </w:tc>
        <w:tc>
          <w:tcPr>
            <w:tcW w:w="4005" w:type="pct"/>
            <w:vAlign w:val="center"/>
          </w:tcPr>
          <w:p w14:paraId="09F28773">
            <w:pPr>
              <w:widowControl/>
              <w:rPr>
                <w:rFonts w:ascii="宋体" w:hAnsi="宋体" w:cs="宋体"/>
                <w:color w:val="auto"/>
                <w:highlight w:val="none"/>
              </w:rPr>
            </w:pPr>
            <w:r>
              <w:rPr>
                <w:rFonts w:hint="eastAsia" w:ascii="宋体" w:hAnsi="宋体" w:cs="宋体"/>
                <w:color w:val="auto"/>
                <w:kern w:val="0"/>
                <w:highlight w:val="none"/>
              </w:rPr>
              <w:t>6.投标报价中未出现重大缺项、漏项；</w:t>
            </w:r>
          </w:p>
        </w:tc>
      </w:tr>
      <w:tr w14:paraId="356D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7DF470DB">
            <w:pPr>
              <w:spacing w:line="400" w:lineRule="exact"/>
              <w:jc w:val="center"/>
              <w:rPr>
                <w:rFonts w:ascii="宋体" w:hAnsi="宋体" w:cs="宋体"/>
                <w:b/>
                <w:color w:val="auto"/>
                <w:highlight w:val="none"/>
              </w:rPr>
            </w:pPr>
          </w:p>
        </w:tc>
        <w:tc>
          <w:tcPr>
            <w:tcW w:w="4005" w:type="pct"/>
            <w:vAlign w:val="center"/>
          </w:tcPr>
          <w:p w14:paraId="259A8F06">
            <w:pPr>
              <w:widowControl/>
              <w:spacing w:line="400" w:lineRule="exact"/>
              <w:rPr>
                <w:rFonts w:ascii="宋体" w:hAnsi="宋体" w:cs="宋体"/>
                <w:color w:val="auto"/>
                <w:highlight w:val="none"/>
              </w:rPr>
            </w:pPr>
            <w:r>
              <w:rPr>
                <w:rFonts w:hint="eastAsia" w:ascii="宋体" w:hAnsi="宋体" w:cs="宋体"/>
                <w:color w:val="auto"/>
                <w:kern w:val="0"/>
                <w:highlight w:val="none"/>
              </w:rPr>
              <w:t>7.不存在评标委员会认为供应商的报价明显低于其他通过符合性审查供应商的报价，有可能影响产品质量或者不能诚信履约的且不能在评标现场合理时间内提供相关证明材料说明其报价的合理性的情形；</w:t>
            </w:r>
          </w:p>
        </w:tc>
      </w:tr>
      <w:tr w14:paraId="74C2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4C1D9CA0">
            <w:pPr>
              <w:spacing w:line="400" w:lineRule="exact"/>
              <w:jc w:val="center"/>
              <w:rPr>
                <w:rFonts w:ascii="宋体" w:hAnsi="宋体" w:cs="宋体"/>
                <w:b/>
                <w:color w:val="auto"/>
                <w:highlight w:val="none"/>
              </w:rPr>
            </w:pPr>
          </w:p>
        </w:tc>
        <w:tc>
          <w:tcPr>
            <w:tcW w:w="4005" w:type="pct"/>
            <w:vAlign w:val="center"/>
          </w:tcPr>
          <w:p w14:paraId="270E904D">
            <w:pPr>
              <w:widowControl/>
              <w:spacing w:line="400" w:lineRule="exact"/>
              <w:rPr>
                <w:rFonts w:ascii="宋体" w:hAnsi="宋体" w:cs="宋体"/>
                <w:color w:val="auto"/>
                <w:kern w:val="0"/>
                <w:highlight w:val="none"/>
              </w:rPr>
            </w:pPr>
            <w:r>
              <w:rPr>
                <w:rFonts w:hint="eastAsia" w:ascii="宋体" w:hAnsi="宋体" w:cs="宋体"/>
                <w:color w:val="auto"/>
                <w:kern w:val="0"/>
                <w:highlight w:val="none"/>
              </w:rPr>
              <w:t>8.</w:t>
            </w:r>
            <w:r>
              <w:rPr>
                <w:rFonts w:hint="eastAsia" w:ascii="宋体" w:hAnsi="宋体" w:cs="宋体"/>
                <w:color w:val="auto"/>
                <w:szCs w:val="21"/>
                <w:highlight w:val="none"/>
              </w:rPr>
              <w:t>投标文件（报价文件）内容与投标文件（技术商务文件）内容不存在重大差异的；</w:t>
            </w:r>
          </w:p>
        </w:tc>
      </w:tr>
      <w:tr w14:paraId="2001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68EF8CF8">
            <w:pPr>
              <w:spacing w:line="400" w:lineRule="exact"/>
              <w:jc w:val="center"/>
              <w:rPr>
                <w:rFonts w:ascii="宋体" w:hAnsi="宋体" w:cs="宋体"/>
                <w:b/>
                <w:color w:val="auto"/>
                <w:highlight w:val="none"/>
              </w:rPr>
            </w:pPr>
          </w:p>
        </w:tc>
        <w:tc>
          <w:tcPr>
            <w:tcW w:w="4005" w:type="pct"/>
            <w:vAlign w:val="center"/>
          </w:tcPr>
          <w:p w14:paraId="48FFFFB4">
            <w:pPr>
              <w:widowControl/>
              <w:rPr>
                <w:rFonts w:ascii="宋体" w:hAnsi="宋体" w:cs="宋体"/>
                <w:color w:val="auto"/>
                <w:kern w:val="0"/>
                <w:highlight w:val="none"/>
              </w:rPr>
            </w:pPr>
            <w:r>
              <w:rPr>
                <w:rFonts w:hint="eastAsia" w:ascii="宋体" w:hAnsi="宋体" w:cs="宋体"/>
                <w:color w:val="auto"/>
                <w:kern w:val="0"/>
                <w:highlight w:val="none"/>
              </w:rPr>
              <w:t>9.不存在法律、法规和采购文件规定的其他无效情形；</w:t>
            </w:r>
          </w:p>
        </w:tc>
      </w:tr>
      <w:tr w14:paraId="0417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pct"/>
            <w:vMerge w:val="continue"/>
            <w:vAlign w:val="center"/>
          </w:tcPr>
          <w:p w14:paraId="71FF342A">
            <w:pPr>
              <w:spacing w:line="400" w:lineRule="exact"/>
              <w:jc w:val="center"/>
              <w:rPr>
                <w:rFonts w:ascii="宋体" w:hAnsi="宋体" w:cs="宋体"/>
                <w:b/>
                <w:color w:val="auto"/>
                <w:highlight w:val="none"/>
              </w:rPr>
            </w:pPr>
          </w:p>
        </w:tc>
        <w:tc>
          <w:tcPr>
            <w:tcW w:w="4005" w:type="pct"/>
            <w:vAlign w:val="center"/>
          </w:tcPr>
          <w:p w14:paraId="6681293D">
            <w:pPr>
              <w:widowControl/>
              <w:rPr>
                <w:rFonts w:ascii="宋体" w:hAnsi="宋体" w:cs="宋体"/>
                <w:color w:val="auto"/>
                <w:kern w:val="0"/>
                <w:highlight w:val="none"/>
              </w:rPr>
            </w:pPr>
            <w:r>
              <w:rPr>
                <w:rFonts w:hint="eastAsia" w:ascii="宋体" w:hAnsi="宋体" w:cs="宋体"/>
                <w:color w:val="auto"/>
                <w:szCs w:val="21"/>
                <w:highlight w:val="none"/>
              </w:rPr>
              <w:t>10.报价文件不存在采购文件所规定的其它无效投标条款要求。</w:t>
            </w:r>
          </w:p>
        </w:tc>
      </w:tr>
    </w:tbl>
    <w:p w14:paraId="27829999">
      <w:pPr>
        <w:spacing w:line="360" w:lineRule="auto"/>
        <w:ind w:firstLine="422" w:firstLineChars="200"/>
        <w:rPr>
          <w:rFonts w:ascii="宋体" w:hAnsi="宋体" w:cs="宋体"/>
          <w:b/>
          <w:color w:val="auto"/>
          <w:highlight w:val="none"/>
        </w:rPr>
      </w:pPr>
    </w:p>
    <w:p w14:paraId="584B5813">
      <w:pPr>
        <w:spacing w:line="360" w:lineRule="auto"/>
        <w:ind w:firstLine="422" w:firstLineChars="200"/>
        <w:outlineLvl w:val="2"/>
        <w:rPr>
          <w:rFonts w:ascii="宋体" w:hAnsi="宋体" w:cs="宋体"/>
          <w:b/>
          <w:color w:val="auto"/>
          <w:highlight w:val="none"/>
        </w:rPr>
      </w:pPr>
      <w:bookmarkStart w:id="375" w:name="_Toc8788"/>
      <w:bookmarkStart w:id="376" w:name="_Toc13505"/>
      <w:bookmarkStart w:id="377" w:name="_Toc31049"/>
      <w:bookmarkStart w:id="378" w:name="_Toc6684"/>
      <w:r>
        <w:rPr>
          <w:rFonts w:hint="eastAsia" w:ascii="宋体" w:hAnsi="宋体" w:cs="宋体"/>
          <w:b/>
          <w:color w:val="auto"/>
          <w:highlight w:val="none"/>
        </w:rPr>
        <w:t>（三）投标无效的情形</w:t>
      </w:r>
      <w:bookmarkEnd w:id="375"/>
      <w:bookmarkEnd w:id="376"/>
      <w:bookmarkEnd w:id="377"/>
      <w:bookmarkEnd w:id="378"/>
    </w:p>
    <w:p w14:paraId="5D7EB468">
      <w:pPr>
        <w:spacing w:line="360" w:lineRule="auto"/>
        <w:ind w:firstLine="420" w:firstLineChars="200"/>
        <w:contextualSpacing/>
        <w:rPr>
          <w:rFonts w:ascii="宋体" w:hAnsi="宋体" w:cs="宋体"/>
          <w:b/>
          <w:bCs/>
          <w:color w:val="auto"/>
          <w:szCs w:val="21"/>
          <w:highlight w:val="none"/>
        </w:rPr>
      </w:pPr>
      <w:r>
        <w:rPr>
          <w:rFonts w:hint="eastAsia" w:ascii="宋体" w:hAnsi="宋体" w:cs="宋体"/>
          <w:color w:val="auto"/>
          <w:szCs w:val="21"/>
          <w:highlight w:val="none"/>
        </w:rPr>
        <w:t>实质上没有响应招标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修改或者补正投标文件必须以书面形式进行，限期内不补正或经补正后仍不符合招标文件要求的，应认定其投标无效。供应商修改、补正投标文件后，不影响评标委员会对其投标文件所作的评价和评分结果。</w:t>
      </w:r>
    </w:p>
    <w:p w14:paraId="60DBDC03">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A、在符合性审查（技术商务文件）时，如发现下列情形之一的，将被视为无效投标文件：</w:t>
      </w:r>
    </w:p>
    <w:p w14:paraId="6D943DF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1.资格证明文件不全的或者不符合采购文件标明的资格要求的；</w:t>
      </w:r>
    </w:p>
    <w:p w14:paraId="6B196B7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2.未按照采购文件规定要求签署或盖章；</w:t>
      </w:r>
    </w:p>
    <w:p w14:paraId="493CAC7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3.投标文件无法定代表人（负责人）签署本人姓名（或印盖本人姓名章），或签署人未提供有效的法定代表人（负责人）授权委托书或授权委托书填写项目不齐全的；</w:t>
      </w:r>
    </w:p>
    <w:p w14:paraId="37B225C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投标文件组成不符合采购文件要求的</w:t>
      </w:r>
      <w:r>
        <w:rPr>
          <w:rFonts w:hint="eastAsia" w:ascii="宋体" w:hAnsi="宋体" w:cs="宋体"/>
          <w:color w:val="auto"/>
          <w:szCs w:val="21"/>
          <w:highlight w:val="none"/>
        </w:rPr>
        <w:t>；</w:t>
      </w:r>
    </w:p>
    <w:p w14:paraId="4860327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5.投标文件标明的响应或偏离与事实不符或虚假投标的；</w:t>
      </w:r>
    </w:p>
    <w:p w14:paraId="2D7DAE2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6.投标文件的实质性内容未使用中文表述、意思表述不明确、前后矛盾或者使用计量单位不符合采购文件要求的（经评标委员会认定并允许其当场更正的笔误除外）；</w:t>
      </w:r>
    </w:p>
    <w:p w14:paraId="498F696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7.带“▲”的条款不能满足采购文件要求、未实质性响应采购文件要求或者投标文件有采购人不能接受的附加条件的；</w:t>
      </w:r>
    </w:p>
    <w:p w14:paraId="1DCBA70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8.投标技术方案不明确，存在一个或一个以上备选（替代）投标方案的；</w:t>
      </w:r>
    </w:p>
    <w:p w14:paraId="28D4899F">
      <w:pPr>
        <w:spacing w:line="360" w:lineRule="auto"/>
        <w:ind w:firstLine="420" w:firstLineChars="200"/>
        <w:contextualSpacing/>
        <w:rPr>
          <w:rFonts w:ascii="宋体" w:hAnsi="宋体" w:cs="宋体"/>
          <w:color w:val="auto"/>
          <w:kern w:val="1"/>
          <w:szCs w:val="21"/>
          <w:highlight w:val="none"/>
        </w:rPr>
      </w:pPr>
      <w:r>
        <w:rPr>
          <w:rFonts w:hint="eastAsia" w:ascii="宋体" w:hAnsi="宋体" w:cs="宋体"/>
          <w:color w:val="auto"/>
          <w:kern w:val="1"/>
          <w:szCs w:val="21"/>
          <w:highlight w:val="none"/>
        </w:rPr>
        <w:t>9.技术商务文件中出现报价或单价的；</w:t>
      </w:r>
    </w:p>
    <w:p w14:paraId="7CB061D0">
      <w:pPr>
        <w:spacing w:line="360" w:lineRule="auto"/>
        <w:ind w:firstLine="420" w:firstLineChars="200"/>
        <w:contextualSpacing/>
        <w:rPr>
          <w:rFonts w:ascii="宋体" w:hAnsi="宋体" w:cs="宋体"/>
          <w:color w:val="auto"/>
          <w:kern w:val="1"/>
          <w:szCs w:val="21"/>
          <w:highlight w:val="none"/>
        </w:rPr>
      </w:pPr>
      <w:r>
        <w:rPr>
          <w:rFonts w:hint="eastAsia" w:ascii="宋体" w:hAnsi="宋体" w:cs="宋体"/>
          <w:color w:val="auto"/>
          <w:kern w:val="1"/>
          <w:szCs w:val="21"/>
          <w:highlight w:val="none"/>
        </w:rPr>
        <w:t>10.法律、法规和采购文件规定的其他无效情形；</w:t>
      </w:r>
    </w:p>
    <w:p w14:paraId="15A56C97">
      <w:pPr>
        <w:spacing w:line="360" w:lineRule="auto"/>
        <w:ind w:firstLine="420" w:firstLineChars="200"/>
        <w:contextualSpacing/>
        <w:rPr>
          <w:rFonts w:ascii="宋体" w:hAnsi="宋体" w:cs="宋体"/>
          <w:color w:val="auto"/>
          <w:kern w:val="1"/>
          <w:szCs w:val="21"/>
          <w:highlight w:val="none"/>
        </w:rPr>
      </w:pPr>
      <w:r>
        <w:rPr>
          <w:rFonts w:hint="eastAsia" w:ascii="宋体" w:hAnsi="宋体" w:cs="宋体"/>
          <w:color w:val="auto"/>
          <w:kern w:val="1"/>
          <w:szCs w:val="21"/>
          <w:highlight w:val="none"/>
        </w:rPr>
        <w:t>11.投标文件的有效期不满足采购文件要求；</w:t>
      </w:r>
    </w:p>
    <w:p w14:paraId="0643926F">
      <w:pPr>
        <w:spacing w:line="360" w:lineRule="auto"/>
        <w:ind w:firstLine="420" w:firstLineChars="200"/>
        <w:contextualSpacing/>
        <w:rPr>
          <w:rFonts w:ascii="宋体" w:hAnsi="宋体" w:cs="宋体"/>
          <w:color w:val="auto"/>
          <w:kern w:val="1"/>
          <w:szCs w:val="21"/>
          <w:highlight w:val="none"/>
        </w:rPr>
      </w:pPr>
      <w:r>
        <w:rPr>
          <w:rFonts w:hint="eastAsia" w:ascii="宋体" w:hAnsi="宋体" w:cs="宋体"/>
          <w:color w:val="auto"/>
          <w:kern w:val="1"/>
          <w:szCs w:val="21"/>
          <w:highlight w:val="none"/>
        </w:rPr>
        <w:t>12.技术商务文件存在采购文件所规定的其它无效投标条款要求；</w:t>
      </w:r>
    </w:p>
    <w:p w14:paraId="69555AED">
      <w:pPr>
        <w:spacing w:line="360" w:lineRule="auto"/>
        <w:ind w:firstLine="420" w:firstLineChars="200"/>
        <w:contextualSpacing/>
        <w:rPr>
          <w:rFonts w:ascii="宋体" w:hAnsi="宋体" w:cs="宋体"/>
          <w:color w:val="auto"/>
          <w:kern w:val="1"/>
          <w:szCs w:val="21"/>
          <w:highlight w:val="none"/>
        </w:rPr>
      </w:pPr>
      <w:r>
        <w:rPr>
          <w:rFonts w:hint="eastAsia" w:ascii="宋体" w:hAnsi="宋体" w:cs="宋体"/>
          <w:color w:val="auto"/>
          <w:highlight w:val="none"/>
        </w:rPr>
        <w:t>13.上传投标文件同一网卡地址、同一IP地址的情形。</w:t>
      </w:r>
    </w:p>
    <w:p w14:paraId="0A8E358E">
      <w:pPr>
        <w:spacing w:line="360" w:lineRule="auto"/>
        <w:ind w:firstLine="422" w:firstLineChars="200"/>
        <w:contextualSpacing/>
        <w:rPr>
          <w:rFonts w:ascii="宋体" w:hAnsi="宋体" w:cs="宋体"/>
          <w:b/>
          <w:bCs/>
          <w:color w:val="auto"/>
          <w:szCs w:val="21"/>
          <w:highlight w:val="none"/>
        </w:rPr>
      </w:pPr>
      <w:r>
        <w:rPr>
          <w:rFonts w:hint="eastAsia" w:ascii="宋体" w:hAnsi="宋体" w:cs="宋体"/>
          <w:b/>
          <w:bCs/>
          <w:color w:val="auto"/>
          <w:szCs w:val="21"/>
          <w:highlight w:val="none"/>
        </w:rPr>
        <w:t>B、在符合性审查（报价文件）时，如发现下列情形之一的，将被视为无效投标文件：</w:t>
      </w:r>
    </w:p>
    <w:p w14:paraId="0CA93AF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1.未按照采购文件规定要求签署或盖章；</w:t>
      </w:r>
    </w:p>
    <w:p w14:paraId="5346E56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投标文件组成不符合采购文件要求的</w:t>
      </w:r>
      <w:r>
        <w:rPr>
          <w:rFonts w:hint="eastAsia" w:ascii="宋体" w:hAnsi="宋体" w:cs="宋体"/>
          <w:color w:val="auto"/>
          <w:szCs w:val="21"/>
          <w:highlight w:val="none"/>
        </w:rPr>
        <w:t>；</w:t>
      </w:r>
    </w:p>
    <w:p w14:paraId="61DC511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3.未采用人民币报价或者未按照采购文件标明的币种报价的；</w:t>
      </w:r>
    </w:p>
    <w:p w14:paraId="5C1F34D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4.报价超出最高限价，或者超出采购预算金额，采购人不能支付的；</w:t>
      </w:r>
    </w:p>
    <w:p w14:paraId="343C293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5.投标报价具有选择性的；</w:t>
      </w:r>
    </w:p>
    <w:p w14:paraId="0306643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6.投标报价中出现重大缺项、漏项；</w:t>
      </w:r>
    </w:p>
    <w:p w14:paraId="273FA37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7.评标委员会认为供应商的报价明显低于其他通过符合性审查供应商的报价，有可能影响产品质量或者不能诚信履约的，且不能在评标现场合理时间内提供相关证明材料说明其报价的合理性的；</w:t>
      </w:r>
    </w:p>
    <w:p w14:paraId="4F6FE8E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8.投标文件（报价文件）内容与投标文件（技术商务文件）内容有重大差异的；</w:t>
      </w:r>
    </w:p>
    <w:p w14:paraId="1345AA8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9.法律、法规和采购文件规定的其他无效情形；</w:t>
      </w:r>
    </w:p>
    <w:p w14:paraId="72ABA5A7">
      <w:pPr>
        <w:tabs>
          <w:tab w:val="left" w:pos="0"/>
          <w:tab w:val="left" w:pos="723"/>
        </w:tabs>
        <w:spacing w:line="360" w:lineRule="auto"/>
        <w:ind w:firstLine="420" w:firstLineChars="200"/>
        <w:contextualSpacing/>
        <w:rPr>
          <w:rFonts w:ascii="宋体" w:hAnsi="宋体" w:cs="宋体"/>
          <w:color w:val="auto"/>
          <w:kern w:val="1"/>
          <w:szCs w:val="21"/>
          <w:highlight w:val="none"/>
        </w:rPr>
      </w:pPr>
      <w:r>
        <w:rPr>
          <w:rFonts w:hint="eastAsia" w:ascii="宋体" w:hAnsi="宋体" w:cs="宋体"/>
          <w:color w:val="auto"/>
          <w:kern w:val="1"/>
          <w:szCs w:val="21"/>
          <w:highlight w:val="none"/>
        </w:rPr>
        <w:t>10.报价文件存在采购文件所规定的其它无效投标条款要求。</w:t>
      </w:r>
    </w:p>
    <w:p w14:paraId="3DFEE2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11.上传投标文件同一网卡地址、同一IP地址的情形</w:t>
      </w:r>
    </w:p>
    <w:p w14:paraId="764D5C3A">
      <w:pPr>
        <w:spacing w:line="360" w:lineRule="auto"/>
        <w:ind w:firstLine="422" w:firstLineChars="200"/>
        <w:outlineLvl w:val="2"/>
        <w:rPr>
          <w:rFonts w:ascii="宋体" w:hAnsi="宋体" w:cs="宋体"/>
          <w:b/>
          <w:color w:val="auto"/>
          <w:highlight w:val="none"/>
        </w:rPr>
      </w:pPr>
      <w:bookmarkStart w:id="379" w:name="_Toc10133"/>
      <w:bookmarkStart w:id="380" w:name="_Toc16954"/>
      <w:bookmarkStart w:id="381" w:name="_Toc10106"/>
      <w:bookmarkStart w:id="382" w:name="_Toc26077"/>
      <w:r>
        <w:rPr>
          <w:rFonts w:hint="eastAsia" w:ascii="宋体" w:hAnsi="宋体" w:cs="宋体"/>
          <w:b/>
          <w:color w:val="auto"/>
          <w:highlight w:val="none"/>
        </w:rPr>
        <w:t>（四）有下列情形之一的，视为供应商串通投标，其投标无效：</w:t>
      </w:r>
      <w:bookmarkEnd w:id="379"/>
      <w:bookmarkEnd w:id="380"/>
      <w:bookmarkEnd w:id="381"/>
      <w:bookmarkEnd w:id="382"/>
    </w:p>
    <w:p w14:paraId="10D808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（1）不同供应商的投标文件由同一单位或者个人编制；</w:t>
      </w:r>
    </w:p>
    <w:p w14:paraId="4AD15B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（2）不同供应商委托同一单位或者个人办理投标事宜；</w:t>
      </w:r>
    </w:p>
    <w:p w14:paraId="5CB676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（3）不同供应商的投标文件载明的项目管理成员或者联系人员为同一人；</w:t>
      </w:r>
    </w:p>
    <w:p w14:paraId="5EFC56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（4）不同供应商的投标文件异常一致或者投标报价呈规律性差异；</w:t>
      </w:r>
    </w:p>
    <w:p w14:paraId="118404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（5）不同供应商的投标文件相互混装。</w:t>
      </w:r>
    </w:p>
    <w:p w14:paraId="10A8978B">
      <w:pPr>
        <w:rPr>
          <w:rFonts w:ascii="宋体" w:hAnsi="宋体" w:cs="宋体"/>
          <w:b/>
          <w:bCs/>
          <w:color w:val="auto"/>
          <w:szCs w:val="21"/>
          <w:highlight w:val="none"/>
        </w:rPr>
      </w:pPr>
      <w:r>
        <w:rPr>
          <w:rFonts w:hint="eastAsia" w:ascii="宋体" w:hAnsi="宋体" w:cs="宋体"/>
          <w:b/>
          <w:bCs/>
          <w:color w:val="auto"/>
          <w:szCs w:val="21"/>
          <w:highlight w:val="none"/>
        </w:rPr>
        <w:br w:type="page"/>
      </w:r>
    </w:p>
    <w:p w14:paraId="2ECA599B">
      <w:pPr>
        <w:spacing w:line="360" w:lineRule="auto"/>
        <w:outlineLvl w:val="0"/>
        <w:rPr>
          <w:rFonts w:ascii="宋体" w:hAnsi="宋体" w:cs="宋体"/>
          <w:b/>
          <w:bCs/>
          <w:color w:val="auto"/>
          <w:highlight w:val="none"/>
        </w:rPr>
      </w:pPr>
      <w:bookmarkStart w:id="383" w:name="_Toc20984"/>
      <w:bookmarkStart w:id="384" w:name="_Toc8283"/>
      <w:bookmarkStart w:id="385" w:name="_Toc16374"/>
      <w:bookmarkStart w:id="386" w:name="_Toc28653"/>
      <w:r>
        <w:rPr>
          <w:rFonts w:hint="eastAsia" w:ascii="宋体" w:hAnsi="宋体" w:cs="宋体"/>
          <w:b/>
          <w:bCs/>
          <w:color w:val="auto"/>
          <w:highlight w:val="none"/>
        </w:rPr>
        <w:t>附表3：评分细则</w:t>
      </w:r>
      <w:bookmarkEnd w:id="383"/>
      <w:bookmarkEnd w:id="384"/>
      <w:bookmarkEnd w:id="385"/>
      <w:bookmarkEnd w:id="386"/>
    </w:p>
    <w:p w14:paraId="23DC6C4C">
      <w:pPr>
        <w:spacing w:line="360" w:lineRule="auto"/>
        <w:jc w:val="center"/>
        <w:outlineLvl w:val="2"/>
        <w:rPr>
          <w:rFonts w:ascii="宋体" w:hAnsi="宋体" w:cs="宋体"/>
          <w:b/>
          <w:bCs/>
          <w:color w:val="auto"/>
          <w:highlight w:val="none"/>
        </w:rPr>
      </w:pPr>
      <w:bookmarkStart w:id="387" w:name="_Toc31813"/>
      <w:bookmarkStart w:id="388" w:name="_Toc24041"/>
      <w:bookmarkStart w:id="389" w:name="_Toc31197"/>
      <w:bookmarkStart w:id="390" w:name="_Toc1343"/>
      <w:r>
        <w:rPr>
          <w:rFonts w:hint="eastAsia" w:ascii="宋体" w:hAnsi="宋体" w:cs="宋体"/>
          <w:b/>
          <w:bCs/>
          <w:color w:val="auto"/>
          <w:highlight w:val="none"/>
        </w:rPr>
        <w:t>评分细则表</w:t>
      </w:r>
      <w:bookmarkEnd w:id="387"/>
      <w:bookmarkEnd w:id="388"/>
      <w:bookmarkEnd w:id="389"/>
      <w:bookmarkEnd w:id="390"/>
    </w:p>
    <w:tbl>
      <w:tblPr>
        <w:tblStyle w:val="42"/>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36"/>
        <w:gridCol w:w="7133"/>
        <w:gridCol w:w="754"/>
      </w:tblGrid>
      <w:tr w14:paraId="73B7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vAlign w:val="center"/>
          </w:tcPr>
          <w:p w14:paraId="5A33630B">
            <w:pPr>
              <w:jc w:val="center"/>
              <w:rPr>
                <w:b/>
                <w:color w:val="auto"/>
                <w:highlight w:val="none"/>
              </w:rPr>
            </w:pPr>
            <w:r>
              <w:rPr>
                <w:rFonts w:hint="eastAsia"/>
                <w:b/>
                <w:color w:val="auto"/>
                <w:highlight w:val="none"/>
              </w:rPr>
              <w:t>评标项目</w:t>
            </w:r>
          </w:p>
        </w:tc>
        <w:tc>
          <w:tcPr>
            <w:tcW w:w="7133" w:type="dxa"/>
            <w:vAlign w:val="center"/>
          </w:tcPr>
          <w:p w14:paraId="006B891F">
            <w:pPr>
              <w:jc w:val="center"/>
              <w:rPr>
                <w:b/>
                <w:color w:val="auto"/>
                <w:highlight w:val="none"/>
              </w:rPr>
            </w:pPr>
            <w:r>
              <w:rPr>
                <w:rFonts w:hint="eastAsia"/>
                <w:b/>
                <w:color w:val="auto"/>
                <w:highlight w:val="none"/>
              </w:rPr>
              <w:t>评标要点及说明</w:t>
            </w:r>
          </w:p>
        </w:tc>
        <w:tc>
          <w:tcPr>
            <w:tcW w:w="754" w:type="dxa"/>
            <w:vAlign w:val="center"/>
          </w:tcPr>
          <w:p w14:paraId="387821DC">
            <w:pPr>
              <w:jc w:val="center"/>
              <w:rPr>
                <w:b/>
                <w:color w:val="auto"/>
                <w:highlight w:val="none"/>
              </w:rPr>
            </w:pPr>
            <w:r>
              <w:rPr>
                <w:rFonts w:hint="eastAsia"/>
                <w:b/>
                <w:color w:val="auto"/>
                <w:highlight w:val="none"/>
              </w:rPr>
              <w:t>分值</w:t>
            </w:r>
          </w:p>
        </w:tc>
      </w:tr>
      <w:tr w14:paraId="1EC5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vAlign w:val="center"/>
          </w:tcPr>
          <w:p w14:paraId="6C3C3AB7">
            <w:pPr>
              <w:jc w:val="center"/>
              <w:rPr>
                <w:rFonts w:ascii="宋体" w:hAnsi="宋体" w:cs="宋体"/>
                <w:color w:val="auto"/>
                <w:szCs w:val="21"/>
                <w:highlight w:val="none"/>
              </w:rPr>
            </w:pPr>
            <w:r>
              <w:rPr>
                <w:rFonts w:hint="eastAsia" w:ascii="宋体" w:hAnsi="宋体" w:cs="宋体"/>
                <w:color w:val="auto"/>
                <w:szCs w:val="21"/>
                <w:highlight w:val="none"/>
              </w:rPr>
              <w:t>价格分</w:t>
            </w:r>
          </w:p>
        </w:tc>
        <w:tc>
          <w:tcPr>
            <w:tcW w:w="7133" w:type="dxa"/>
            <w:vAlign w:val="center"/>
          </w:tcPr>
          <w:p w14:paraId="5DA57FBB">
            <w:pPr>
              <w:snapToGrid w:val="0"/>
              <w:spacing w:line="420" w:lineRule="exact"/>
              <w:jc w:val="left"/>
              <w:rPr>
                <w:rFonts w:ascii="宋体" w:hAnsi="宋体" w:cs="宋体"/>
                <w:color w:val="auto"/>
                <w:szCs w:val="21"/>
                <w:highlight w:val="none"/>
              </w:rPr>
            </w:pPr>
            <w:r>
              <w:rPr>
                <w:rFonts w:hint="eastAsia" w:ascii="宋体" w:hAnsi="宋体" w:cs="宋体"/>
                <w:color w:val="auto"/>
                <w:kern w:val="0"/>
                <w:szCs w:val="21"/>
                <w:highlight w:val="none"/>
              </w:rPr>
              <w:t>参与评审的价格=</w:t>
            </w:r>
            <w:r>
              <w:rPr>
                <w:rFonts w:hint="eastAsia" w:ascii="宋体" w:hAnsi="宋体" w:cs="宋体"/>
                <w:color w:val="auto"/>
                <w:kern w:val="0"/>
                <w:szCs w:val="21"/>
                <w:highlight w:val="none"/>
                <w:lang w:val="en-US" w:eastAsia="zh-CN"/>
              </w:rPr>
              <w:t>单年度</w:t>
            </w:r>
            <w:r>
              <w:rPr>
                <w:rFonts w:hint="eastAsia" w:ascii="宋体" w:hAnsi="宋体" w:cs="宋体"/>
                <w:color w:val="auto"/>
                <w:kern w:val="0"/>
                <w:szCs w:val="21"/>
                <w:highlight w:val="none"/>
              </w:rPr>
              <w:t>投标报价。</w:t>
            </w:r>
          </w:p>
          <w:p w14:paraId="31220F83">
            <w:pPr>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满足招标要求的有效投标报价（初步评审合格且商务、技术、报价部分评审合格）且参与评审的价格最低的为评标基准价，其价格分得15分；</w:t>
            </w:r>
          </w:p>
          <w:p w14:paraId="02B9E19F">
            <w:pPr>
              <w:snapToGrid w:val="0"/>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投标报价得分=（评标基准价/参与评审的价格）×15%×100。</w:t>
            </w:r>
          </w:p>
          <w:p w14:paraId="301139C0">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注：投标价得分四舍五入保留两位小数。</w:t>
            </w:r>
          </w:p>
        </w:tc>
        <w:tc>
          <w:tcPr>
            <w:tcW w:w="754" w:type="dxa"/>
            <w:vAlign w:val="center"/>
          </w:tcPr>
          <w:p w14:paraId="1FE13BF1">
            <w:pPr>
              <w:jc w:val="center"/>
              <w:rPr>
                <w:rFonts w:ascii="宋体" w:hAnsi="宋体" w:cs="宋体"/>
                <w:color w:val="auto"/>
                <w:szCs w:val="21"/>
                <w:highlight w:val="none"/>
              </w:rPr>
            </w:pPr>
            <w:r>
              <w:rPr>
                <w:rFonts w:hint="eastAsia" w:ascii="宋体" w:hAnsi="宋体" w:cs="宋体"/>
                <w:color w:val="auto"/>
                <w:szCs w:val="21"/>
                <w:highlight w:val="none"/>
              </w:rPr>
              <w:t>15</w:t>
            </w:r>
          </w:p>
        </w:tc>
      </w:tr>
      <w:tr w14:paraId="0479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7" w:hRule="atLeast"/>
          <w:jc w:val="center"/>
        </w:trPr>
        <w:tc>
          <w:tcPr>
            <w:tcW w:w="869" w:type="dxa"/>
            <w:vMerge w:val="restart"/>
            <w:vAlign w:val="center"/>
          </w:tcPr>
          <w:p w14:paraId="13D0D4B4">
            <w:pPr>
              <w:jc w:val="center"/>
              <w:rPr>
                <w:rFonts w:ascii="宋体" w:hAnsi="宋体" w:cs="宋体"/>
                <w:color w:val="auto"/>
                <w:szCs w:val="21"/>
                <w:highlight w:val="none"/>
              </w:rPr>
            </w:pPr>
            <w:r>
              <w:rPr>
                <w:rFonts w:hint="eastAsia" w:ascii="宋体" w:hAnsi="宋体" w:cs="宋体"/>
                <w:color w:val="auto"/>
                <w:szCs w:val="21"/>
                <w:highlight w:val="none"/>
              </w:rPr>
              <w:t>技术商务分</w:t>
            </w:r>
          </w:p>
        </w:tc>
        <w:tc>
          <w:tcPr>
            <w:tcW w:w="1336" w:type="dxa"/>
            <w:vMerge w:val="restart"/>
            <w:vAlign w:val="center"/>
          </w:tcPr>
          <w:p w14:paraId="4D7CC4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对本项目需求的理解程度</w:t>
            </w:r>
          </w:p>
        </w:tc>
        <w:tc>
          <w:tcPr>
            <w:tcW w:w="7133" w:type="dxa"/>
            <w:vAlign w:val="center"/>
          </w:tcPr>
          <w:p w14:paraId="468284D3">
            <w:pPr>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评标委员会根据供应商对本项目的建设目标、项目背景、项目现场情况、主要建设内容及需求分析等工作要求的理解程度进行综合评议，最高得8分。</w:t>
            </w:r>
          </w:p>
          <w:p w14:paraId="182E72DD">
            <w:pPr>
              <w:pStyle w:val="15"/>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对建设目标、项目背景、项目现场情况、主要建设内容及需求分析等工作要求分析和解读精准、理解程度非常深入的，得8分；</w:t>
            </w:r>
          </w:p>
          <w:p w14:paraId="48F94474">
            <w:pPr>
              <w:pStyle w:val="15"/>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对建设目标、项目背景、项目现场情况、主要建设内容及需求分析等工作要求分析和解读较为准确、理解程度深入的，得6分；</w:t>
            </w:r>
          </w:p>
          <w:p w14:paraId="1DC3EA83">
            <w:pPr>
              <w:pStyle w:val="15"/>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对建设目标、项目背景、项目现场情况、主要建设内容及需求分析等工作要求分析和解读合理、可行、对项目有一定的理解，得4分；</w:t>
            </w:r>
          </w:p>
          <w:p w14:paraId="5E0915EE">
            <w:pPr>
              <w:pStyle w:val="15"/>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对建设目标、项目背景、项目现场情况、主要建设内容及需求分析等工作要求分析和解读有基本的见解、对项目的理解较少，得2分；</w:t>
            </w:r>
          </w:p>
          <w:p w14:paraId="1D9B24B4">
            <w:pPr>
              <w:pStyle w:val="15"/>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63DBDB50">
            <w:pPr>
              <w:jc w:val="center"/>
              <w:rPr>
                <w:rFonts w:ascii="宋体" w:hAnsi="宋体" w:cs="宋体"/>
                <w:color w:val="auto"/>
                <w:szCs w:val="21"/>
                <w:highlight w:val="none"/>
              </w:rPr>
            </w:pPr>
            <w:r>
              <w:rPr>
                <w:rFonts w:hint="eastAsia" w:ascii="宋体" w:hAnsi="宋体" w:cs="宋体"/>
                <w:color w:val="auto"/>
                <w:szCs w:val="21"/>
                <w:highlight w:val="none"/>
              </w:rPr>
              <w:t>8</w:t>
            </w:r>
          </w:p>
        </w:tc>
      </w:tr>
      <w:tr w14:paraId="4AAD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Merge w:val="continue"/>
            <w:vAlign w:val="center"/>
          </w:tcPr>
          <w:p w14:paraId="457CE495">
            <w:pPr>
              <w:jc w:val="center"/>
              <w:rPr>
                <w:rFonts w:ascii="宋体" w:hAnsi="宋体" w:cs="宋体"/>
                <w:color w:val="auto"/>
                <w:szCs w:val="21"/>
                <w:highlight w:val="none"/>
              </w:rPr>
            </w:pPr>
          </w:p>
        </w:tc>
        <w:tc>
          <w:tcPr>
            <w:tcW w:w="1336" w:type="dxa"/>
            <w:vMerge w:val="restart"/>
            <w:vAlign w:val="center"/>
          </w:tcPr>
          <w:p w14:paraId="635A0783">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项目实施方案</w:t>
            </w:r>
          </w:p>
          <w:p w14:paraId="0FDF0F33">
            <w:pPr>
              <w:spacing w:line="360" w:lineRule="auto"/>
              <w:jc w:val="center"/>
              <w:rPr>
                <w:rFonts w:ascii="宋体" w:hAnsi="宋体" w:cs="宋体"/>
                <w:color w:val="auto"/>
                <w:szCs w:val="21"/>
                <w:highlight w:val="none"/>
              </w:rPr>
            </w:pPr>
          </w:p>
        </w:tc>
        <w:tc>
          <w:tcPr>
            <w:tcW w:w="7133" w:type="dxa"/>
            <w:vAlign w:val="center"/>
          </w:tcPr>
          <w:p w14:paraId="7B56CC80">
            <w:pPr>
              <w:widowControl/>
              <w:tabs>
                <w:tab w:val="right" w:pos="4601"/>
              </w:tabs>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评标委员会根据供应商提供的实施方案（包括但不限于项目管理实施方案、内部管理、规章制度等）科学性、先进性、合理性进行综合评议，最高得8分。</w:t>
            </w:r>
          </w:p>
          <w:p w14:paraId="4BF03473">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组织实施方案</w:t>
            </w:r>
            <w:r>
              <w:rPr>
                <w:rFonts w:hint="eastAsia" w:ascii="宋体" w:hAnsi="宋体" w:cs="宋体"/>
                <w:color w:val="auto"/>
                <w:kern w:val="1"/>
                <w:szCs w:val="21"/>
                <w:highlight w:val="none"/>
              </w:rPr>
              <w:t>详实，针对性强，</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度高的</w:t>
            </w:r>
            <w:r>
              <w:rPr>
                <w:rFonts w:hint="eastAsia" w:ascii="宋体" w:hAnsi="宋体" w:cs="宋体"/>
                <w:color w:val="auto"/>
                <w:szCs w:val="21"/>
                <w:highlight w:val="none"/>
              </w:rPr>
              <w:t>，得8</w:t>
            </w:r>
            <w:r>
              <w:rPr>
                <w:rFonts w:hint="eastAsia" w:ascii="宋体" w:hAnsi="宋体" w:cs="宋体"/>
                <w:color w:val="auto"/>
                <w:kern w:val="1"/>
                <w:szCs w:val="21"/>
                <w:highlight w:val="none"/>
              </w:rPr>
              <w:t>分；</w:t>
            </w:r>
          </w:p>
          <w:p w14:paraId="5918F39F">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组织实施方案</w:t>
            </w:r>
            <w:r>
              <w:rPr>
                <w:rFonts w:hint="eastAsia" w:ascii="宋体" w:hAnsi="宋体" w:cs="宋体"/>
                <w:color w:val="auto"/>
                <w:kern w:val="1"/>
                <w:szCs w:val="21"/>
                <w:highlight w:val="none"/>
              </w:rPr>
              <w:t>内容充分，针对性强，</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度高的</w:t>
            </w:r>
            <w:r>
              <w:rPr>
                <w:rFonts w:hint="eastAsia" w:ascii="宋体" w:hAnsi="宋体" w:cs="宋体"/>
                <w:color w:val="auto"/>
                <w:szCs w:val="21"/>
                <w:highlight w:val="none"/>
              </w:rPr>
              <w:t>，得6</w:t>
            </w:r>
            <w:r>
              <w:rPr>
                <w:rFonts w:hint="eastAsia" w:ascii="宋体" w:hAnsi="宋体" w:cs="宋体"/>
                <w:color w:val="auto"/>
                <w:kern w:val="1"/>
                <w:szCs w:val="21"/>
                <w:highlight w:val="none"/>
              </w:rPr>
              <w:t>分；</w:t>
            </w:r>
          </w:p>
          <w:p w14:paraId="2D46FE6B">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组织实施方案</w:t>
            </w:r>
            <w:r>
              <w:rPr>
                <w:rFonts w:hint="eastAsia" w:ascii="宋体" w:hAnsi="宋体" w:cs="宋体"/>
                <w:color w:val="auto"/>
                <w:kern w:val="1"/>
                <w:szCs w:val="21"/>
                <w:highlight w:val="none"/>
              </w:rPr>
              <w:t>内容充分，有一定针对性，</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度较高的</w:t>
            </w:r>
            <w:r>
              <w:rPr>
                <w:rFonts w:hint="eastAsia" w:ascii="宋体" w:hAnsi="宋体" w:cs="宋体"/>
                <w:color w:val="auto"/>
                <w:szCs w:val="21"/>
                <w:highlight w:val="none"/>
              </w:rPr>
              <w:t>，得4</w:t>
            </w:r>
            <w:r>
              <w:rPr>
                <w:rFonts w:hint="eastAsia" w:ascii="宋体" w:hAnsi="宋体" w:cs="宋体"/>
                <w:color w:val="auto"/>
                <w:kern w:val="1"/>
                <w:szCs w:val="21"/>
                <w:highlight w:val="none"/>
              </w:rPr>
              <w:t>分；</w:t>
            </w:r>
          </w:p>
          <w:p w14:paraId="340E7B77">
            <w:pPr>
              <w:spacing w:line="400" w:lineRule="exact"/>
              <w:rPr>
                <w:rFonts w:ascii="宋体" w:hAnsi="宋体" w:cs="宋体"/>
                <w:color w:val="auto"/>
                <w:szCs w:val="21"/>
                <w:highlight w:val="none"/>
              </w:rPr>
            </w:pPr>
            <w:r>
              <w:rPr>
                <w:rFonts w:hint="eastAsia" w:ascii="宋体" w:hAnsi="宋体" w:cs="宋体"/>
                <w:color w:val="auto"/>
                <w:szCs w:val="21"/>
                <w:highlight w:val="none"/>
              </w:rPr>
              <w:t>组织实施方案</w:t>
            </w:r>
            <w:r>
              <w:rPr>
                <w:rFonts w:hint="eastAsia" w:ascii="宋体" w:hAnsi="宋体" w:cs="宋体"/>
                <w:color w:val="auto"/>
                <w:kern w:val="1"/>
                <w:szCs w:val="21"/>
                <w:highlight w:val="none"/>
              </w:rPr>
              <w:t>内容充分，有一定针对性，</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w:t>
            </w:r>
            <w:r>
              <w:rPr>
                <w:rFonts w:hint="eastAsia" w:ascii="宋体" w:hAnsi="宋体" w:cs="宋体"/>
                <w:color w:val="auto"/>
                <w:szCs w:val="21"/>
                <w:highlight w:val="none"/>
              </w:rPr>
              <w:t>低</w:t>
            </w:r>
            <w:r>
              <w:rPr>
                <w:rFonts w:hint="eastAsia" w:ascii="宋体" w:hAnsi="宋体" w:cs="宋体"/>
                <w:color w:val="auto"/>
                <w:kern w:val="1"/>
                <w:szCs w:val="21"/>
                <w:highlight w:val="none"/>
              </w:rPr>
              <w:t>的</w:t>
            </w:r>
            <w:r>
              <w:rPr>
                <w:rFonts w:hint="eastAsia" w:ascii="宋体" w:hAnsi="宋体" w:cs="宋体"/>
                <w:color w:val="auto"/>
                <w:szCs w:val="21"/>
                <w:highlight w:val="none"/>
              </w:rPr>
              <w:t>，得2</w:t>
            </w:r>
            <w:r>
              <w:rPr>
                <w:rFonts w:hint="eastAsia" w:ascii="宋体" w:hAnsi="宋体" w:cs="宋体"/>
                <w:color w:val="auto"/>
                <w:kern w:val="1"/>
                <w:szCs w:val="21"/>
                <w:highlight w:val="none"/>
              </w:rPr>
              <w:t>分</w:t>
            </w:r>
            <w:r>
              <w:rPr>
                <w:rFonts w:hint="eastAsia" w:ascii="宋体" w:hAnsi="宋体" w:cs="宋体"/>
                <w:color w:val="auto"/>
                <w:szCs w:val="21"/>
                <w:highlight w:val="none"/>
              </w:rPr>
              <w:t>；</w:t>
            </w:r>
          </w:p>
          <w:p w14:paraId="2AA35D2C">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583A2BC3">
            <w:pPr>
              <w:jc w:val="center"/>
              <w:rPr>
                <w:rFonts w:ascii="宋体" w:hAnsi="宋体" w:cs="宋体"/>
                <w:color w:val="auto"/>
                <w:szCs w:val="21"/>
                <w:highlight w:val="none"/>
              </w:rPr>
            </w:pPr>
            <w:r>
              <w:rPr>
                <w:rFonts w:hint="eastAsia" w:ascii="宋体" w:hAnsi="宋体" w:cs="宋体"/>
                <w:color w:val="auto"/>
                <w:szCs w:val="21"/>
                <w:highlight w:val="none"/>
              </w:rPr>
              <w:t>8</w:t>
            </w:r>
          </w:p>
        </w:tc>
      </w:tr>
      <w:tr w14:paraId="45BA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Merge w:val="continue"/>
            <w:vAlign w:val="center"/>
          </w:tcPr>
          <w:p w14:paraId="061E5F86">
            <w:pPr>
              <w:jc w:val="center"/>
              <w:rPr>
                <w:rFonts w:ascii="宋体" w:hAnsi="宋体" w:cs="宋体"/>
                <w:color w:val="auto"/>
                <w:szCs w:val="21"/>
                <w:highlight w:val="none"/>
              </w:rPr>
            </w:pPr>
          </w:p>
        </w:tc>
        <w:tc>
          <w:tcPr>
            <w:tcW w:w="1336" w:type="dxa"/>
            <w:vMerge w:val="continue"/>
            <w:vAlign w:val="center"/>
          </w:tcPr>
          <w:p w14:paraId="564340F7">
            <w:pPr>
              <w:spacing w:line="360" w:lineRule="auto"/>
              <w:jc w:val="center"/>
              <w:rPr>
                <w:rFonts w:ascii="宋体" w:hAnsi="宋体" w:cs="宋体"/>
                <w:color w:val="auto"/>
                <w:szCs w:val="21"/>
                <w:highlight w:val="none"/>
              </w:rPr>
            </w:pPr>
          </w:p>
        </w:tc>
        <w:tc>
          <w:tcPr>
            <w:tcW w:w="7133" w:type="dxa"/>
            <w:vAlign w:val="center"/>
          </w:tcPr>
          <w:p w14:paraId="6D2020CA">
            <w:pPr>
              <w:spacing w:line="400" w:lineRule="exact"/>
              <w:rPr>
                <w:rFonts w:ascii="宋体" w:hAnsi="宋体" w:cs="宋体"/>
                <w:color w:val="auto"/>
                <w:szCs w:val="21"/>
                <w:highlight w:val="none"/>
              </w:rPr>
            </w:pPr>
            <w:r>
              <w:rPr>
                <w:rFonts w:hint="eastAsia" w:ascii="宋体" w:hAnsi="宋体" w:cs="宋体"/>
                <w:color w:val="auto"/>
                <w:szCs w:val="21"/>
                <w:highlight w:val="none"/>
              </w:rPr>
              <w:t>根据供应商提供的本项目的质量把控措施进行综合评议，最高得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0496D627">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质量把控措施方案</w:t>
            </w:r>
            <w:r>
              <w:rPr>
                <w:rFonts w:hint="eastAsia" w:ascii="宋体" w:hAnsi="宋体" w:cs="宋体"/>
                <w:color w:val="auto"/>
                <w:kern w:val="1"/>
                <w:szCs w:val="21"/>
                <w:highlight w:val="none"/>
              </w:rPr>
              <w:t>详实，针对性强，</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度高的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cs="宋体"/>
                <w:color w:val="auto"/>
                <w:kern w:val="1"/>
                <w:szCs w:val="21"/>
                <w:highlight w:val="none"/>
              </w:rPr>
              <w:t>分；</w:t>
            </w:r>
          </w:p>
          <w:p w14:paraId="29A257E2">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质量把控措施方案</w:t>
            </w:r>
            <w:r>
              <w:rPr>
                <w:rFonts w:hint="eastAsia" w:ascii="宋体" w:hAnsi="宋体" w:cs="宋体"/>
                <w:color w:val="auto"/>
                <w:kern w:val="1"/>
                <w:szCs w:val="21"/>
                <w:highlight w:val="none"/>
              </w:rPr>
              <w:t>内容充分，针对性强，</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度高的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kern w:val="1"/>
                <w:szCs w:val="21"/>
                <w:highlight w:val="none"/>
              </w:rPr>
              <w:t>分；</w:t>
            </w:r>
          </w:p>
          <w:p w14:paraId="5412380A">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质量把控措施方案</w:t>
            </w:r>
            <w:r>
              <w:rPr>
                <w:rFonts w:hint="eastAsia" w:ascii="宋体" w:hAnsi="宋体" w:cs="宋体"/>
                <w:color w:val="auto"/>
                <w:kern w:val="1"/>
                <w:szCs w:val="21"/>
                <w:highlight w:val="none"/>
              </w:rPr>
              <w:t>内容充分，有一定针对性，</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度较高的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kern w:val="1"/>
                <w:szCs w:val="21"/>
                <w:highlight w:val="none"/>
              </w:rPr>
              <w:t>分；</w:t>
            </w:r>
          </w:p>
          <w:p w14:paraId="59FCC7A6">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质量把控措施方案</w:t>
            </w:r>
            <w:r>
              <w:rPr>
                <w:rFonts w:hint="eastAsia" w:ascii="宋体" w:hAnsi="宋体" w:cs="宋体"/>
                <w:color w:val="auto"/>
                <w:kern w:val="1"/>
                <w:szCs w:val="21"/>
                <w:highlight w:val="none"/>
              </w:rPr>
              <w:t>内容充分，有一定针对性，</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w:t>
            </w:r>
            <w:r>
              <w:rPr>
                <w:rFonts w:hint="eastAsia" w:ascii="宋体" w:hAnsi="宋体" w:cs="宋体"/>
                <w:color w:val="auto"/>
                <w:szCs w:val="21"/>
                <w:highlight w:val="none"/>
              </w:rPr>
              <w:t>低</w:t>
            </w:r>
            <w:r>
              <w:rPr>
                <w:rFonts w:hint="eastAsia" w:ascii="宋体" w:hAnsi="宋体" w:cs="宋体"/>
                <w:color w:val="auto"/>
                <w:kern w:val="1"/>
                <w:szCs w:val="21"/>
                <w:highlight w:val="none"/>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kern w:val="1"/>
                <w:szCs w:val="21"/>
                <w:highlight w:val="none"/>
              </w:rPr>
              <w:t>分；</w:t>
            </w:r>
          </w:p>
          <w:p w14:paraId="51841A59">
            <w:pPr>
              <w:widowControl/>
              <w:tabs>
                <w:tab w:val="right" w:pos="4601"/>
              </w:tabs>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53F3A983">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r>
      <w:tr w14:paraId="552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69" w:type="dxa"/>
            <w:vMerge w:val="continue"/>
            <w:vAlign w:val="center"/>
          </w:tcPr>
          <w:p w14:paraId="30A1E6B5">
            <w:pPr>
              <w:jc w:val="center"/>
              <w:rPr>
                <w:rFonts w:ascii="宋体" w:hAnsi="宋体" w:cs="宋体"/>
                <w:color w:val="auto"/>
                <w:szCs w:val="21"/>
                <w:highlight w:val="none"/>
              </w:rPr>
            </w:pPr>
          </w:p>
        </w:tc>
        <w:tc>
          <w:tcPr>
            <w:tcW w:w="1336" w:type="dxa"/>
            <w:vMerge w:val="continue"/>
            <w:vAlign w:val="center"/>
          </w:tcPr>
          <w:p w14:paraId="4E1C7A55">
            <w:pPr>
              <w:spacing w:line="360" w:lineRule="auto"/>
              <w:jc w:val="center"/>
              <w:rPr>
                <w:rFonts w:ascii="宋体" w:hAnsi="宋体" w:cs="宋体"/>
                <w:color w:val="auto"/>
                <w:szCs w:val="21"/>
                <w:highlight w:val="none"/>
              </w:rPr>
            </w:pPr>
          </w:p>
        </w:tc>
        <w:tc>
          <w:tcPr>
            <w:tcW w:w="7133" w:type="dxa"/>
            <w:vAlign w:val="center"/>
          </w:tcPr>
          <w:p w14:paraId="358DDAC8">
            <w:pPr>
              <w:spacing w:line="400" w:lineRule="exact"/>
              <w:rPr>
                <w:rFonts w:ascii="宋体" w:hAnsi="宋体" w:cs="宋体"/>
                <w:color w:val="auto"/>
                <w:szCs w:val="21"/>
                <w:highlight w:val="none"/>
              </w:rPr>
            </w:pPr>
            <w:r>
              <w:rPr>
                <w:rFonts w:hint="eastAsia" w:ascii="宋体" w:hAnsi="宋体" w:cs="宋体"/>
                <w:color w:val="auto"/>
                <w:szCs w:val="21"/>
                <w:highlight w:val="none"/>
              </w:rPr>
              <w:t>评标委员根据供应商针对完成本项目的系统工具的先进性和使用水平等进行综合综合评议，最高得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1E0F0493">
            <w:pPr>
              <w:spacing w:line="400" w:lineRule="exact"/>
              <w:rPr>
                <w:rFonts w:ascii="宋体" w:hAnsi="宋体" w:cs="宋体"/>
                <w:color w:val="auto"/>
                <w:szCs w:val="21"/>
                <w:highlight w:val="none"/>
              </w:rPr>
            </w:pPr>
            <w:r>
              <w:rPr>
                <w:rFonts w:hint="eastAsia" w:ascii="宋体" w:hAnsi="宋体" w:cs="宋体"/>
                <w:color w:val="auto"/>
                <w:szCs w:val="21"/>
                <w:highlight w:val="none"/>
              </w:rPr>
              <w:t>系统工具和使用水平</w:t>
            </w:r>
            <w:r>
              <w:rPr>
                <w:rFonts w:hint="eastAsia" w:ascii="宋体" w:hAnsi="宋体" w:cs="宋体"/>
                <w:color w:val="auto"/>
                <w:kern w:val="1"/>
                <w:szCs w:val="21"/>
                <w:highlight w:val="none"/>
              </w:rPr>
              <w:t>强，</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度高的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w:t>
            </w:r>
            <w:r>
              <w:rPr>
                <w:rFonts w:hint="eastAsia" w:ascii="宋体" w:hAnsi="宋体" w:cs="宋体"/>
                <w:color w:val="auto"/>
                <w:kern w:val="1"/>
                <w:szCs w:val="21"/>
                <w:highlight w:val="none"/>
              </w:rPr>
              <w:t>分</w:t>
            </w:r>
          </w:p>
          <w:p w14:paraId="412F2DAE">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系统工具和使用水平熟练程度</w:t>
            </w:r>
            <w:r>
              <w:rPr>
                <w:rFonts w:hint="eastAsia" w:ascii="宋体" w:hAnsi="宋体" w:cs="宋体"/>
                <w:color w:val="auto"/>
                <w:kern w:val="1"/>
                <w:szCs w:val="21"/>
                <w:highlight w:val="none"/>
              </w:rPr>
              <w:t>强，</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度高的</w:t>
            </w:r>
            <w:r>
              <w:rPr>
                <w:rFonts w:hint="eastAsia" w:ascii="宋体" w:hAnsi="宋体" w:cs="宋体"/>
                <w:color w:val="auto"/>
                <w:szCs w:val="21"/>
                <w:highlight w:val="none"/>
              </w:rPr>
              <w:t>，得5</w:t>
            </w:r>
            <w:r>
              <w:rPr>
                <w:rFonts w:hint="eastAsia" w:ascii="宋体" w:hAnsi="宋体" w:cs="宋体"/>
                <w:color w:val="auto"/>
                <w:kern w:val="1"/>
                <w:szCs w:val="21"/>
                <w:highlight w:val="none"/>
              </w:rPr>
              <w:t>分；</w:t>
            </w:r>
          </w:p>
          <w:p w14:paraId="49F8417B">
            <w:pPr>
              <w:spacing w:line="400" w:lineRule="exact"/>
              <w:rPr>
                <w:rFonts w:ascii="宋体" w:hAnsi="宋体" w:cs="宋体"/>
                <w:color w:val="auto"/>
                <w:kern w:val="1"/>
                <w:szCs w:val="21"/>
                <w:highlight w:val="none"/>
              </w:rPr>
            </w:pPr>
            <w:r>
              <w:rPr>
                <w:rFonts w:hint="eastAsia" w:ascii="宋体" w:hAnsi="宋体" w:cs="宋体"/>
                <w:color w:val="auto"/>
                <w:szCs w:val="21"/>
                <w:highlight w:val="none"/>
              </w:rPr>
              <w:t>系统工具和使用水平熟练程度较高</w:t>
            </w:r>
            <w:r>
              <w:rPr>
                <w:rFonts w:hint="eastAsia" w:ascii="宋体" w:hAnsi="宋体" w:cs="宋体"/>
                <w:color w:val="auto"/>
                <w:kern w:val="1"/>
                <w:szCs w:val="21"/>
                <w:highlight w:val="none"/>
              </w:rPr>
              <w:t>，</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度较高的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kern w:val="1"/>
                <w:szCs w:val="21"/>
                <w:highlight w:val="none"/>
              </w:rPr>
              <w:t>分；</w:t>
            </w:r>
          </w:p>
          <w:p w14:paraId="7366EABF">
            <w:pPr>
              <w:spacing w:line="400" w:lineRule="exact"/>
              <w:rPr>
                <w:rFonts w:ascii="宋体" w:hAnsi="宋体" w:cs="宋体"/>
                <w:color w:val="auto"/>
                <w:szCs w:val="21"/>
                <w:highlight w:val="none"/>
              </w:rPr>
            </w:pPr>
            <w:r>
              <w:rPr>
                <w:rFonts w:hint="eastAsia" w:ascii="宋体" w:hAnsi="宋体" w:cs="宋体"/>
                <w:color w:val="auto"/>
                <w:szCs w:val="21"/>
                <w:highlight w:val="none"/>
              </w:rPr>
              <w:t>系统工具和使用水平熟练程度</w:t>
            </w:r>
            <w:r>
              <w:rPr>
                <w:rFonts w:hint="eastAsia" w:ascii="宋体" w:hAnsi="宋体" w:cs="宋体"/>
                <w:color w:val="auto"/>
                <w:kern w:val="1"/>
                <w:szCs w:val="21"/>
                <w:highlight w:val="none"/>
              </w:rPr>
              <w:t>有一定针对性，</w:t>
            </w:r>
            <w:r>
              <w:rPr>
                <w:rFonts w:hint="eastAsia" w:ascii="宋体" w:hAnsi="宋体" w:cs="宋体"/>
                <w:color w:val="auto"/>
                <w:szCs w:val="21"/>
                <w:highlight w:val="none"/>
              </w:rPr>
              <w:t>可执行力</w:t>
            </w:r>
            <w:r>
              <w:rPr>
                <w:rFonts w:hint="eastAsia" w:ascii="宋体" w:hAnsi="宋体" w:cs="宋体"/>
                <w:color w:val="auto"/>
                <w:kern w:val="1"/>
                <w:szCs w:val="21"/>
                <w:highlight w:val="none"/>
              </w:rPr>
              <w:t>度</w:t>
            </w:r>
            <w:r>
              <w:rPr>
                <w:rFonts w:hint="eastAsia" w:ascii="宋体" w:hAnsi="宋体" w:cs="宋体"/>
                <w:color w:val="auto"/>
                <w:szCs w:val="21"/>
                <w:highlight w:val="none"/>
              </w:rPr>
              <w:t>低</w:t>
            </w:r>
            <w:r>
              <w:rPr>
                <w:rFonts w:hint="eastAsia" w:ascii="宋体" w:hAnsi="宋体" w:cs="宋体"/>
                <w:color w:val="auto"/>
                <w:kern w:val="1"/>
                <w:szCs w:val="21"/>
                <w:highlight w:val="none"/>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kern w:val="1"/>
                <w:szCs w:val="21"/>
                <w:highlight w:val="none"/>
              </w:rPr>
              <w:t>分</w:t>
            </w:r>
            <w:r>
              <w:rPr>
                <w:rFonts w:hint="eastAsia" w:ascii="宋体" w:hAnsi="宋体" w:cs="宋体"/>
                <w:color w:val="auto"/>
                <w:szCs w:val="21"/>
                <w:highlight w:val="none"/>
              </w:rPr>
              <w:t>；</w:t>
            </w:r>
          </w:p>
          <w:p w14:paraId="4E48A57C">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540168E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r>
      <w:tr w14:paraId="2DE7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Merge w:val="continue"/>
            <w:vAlign w:val="center"/>
          </w:tcPr>
          <w:p w14:paraId="79120FFB">
            <w:pPr>
              <w:jc w:val="center"/>
              <w:rPr>
                <w:rFonts w:ascii="宋体" w:hAnsi="宋体" w:cs="宋体"/>
                <w:color w:val="auto"/>
                <w:szCs w:val="21"/>
                <w:highlight w:val="none"/>
              </w:rPr>
            </w:pPr>
          </w:p>
        </w:tc>
        <w:tc>
          <w:tcPr>
            <w:tcW w:w="1336" w:type="dxa"/>
            <w:vMerge w:val="restart"/>
            <w:vAlign w:val="center"/>
          </w:tcPr>
          <w:p w14:paraId="44FC0B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应急预案及保密措施</w:t>
            </w:r>
          </w:p>
        </w:tc>
        <w:tc>
          <w:tcPr>
            <w:tcW w:w="7133" w:type="dxa"/>
            <w:vAlign w:val="center"/>
          </w:tcPr>
          <w:p w14:paraId="144CE04E">
            <w:pPr>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评标委员会根据供应商对本项目的应急预案，突发事件的处置及上报等进行综合评议，最高得8分。</w:t>
            </w:r>
          </w:p>
          <w:p w14:paraId="6445CAEE">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对本项目的应急预案，突发事件处置方案全面、合理、可行性强的得8分；</w:t>
            </w:r>
          </w:p>
          <w:p w14:paraId="6486E7F2">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对本项目的应急预案，突发事件处置方案较全面、较合理、可行性较强的得6分；</w:t>
            </w:r>
          </w:p>
          <w:p w14:paraId="267D26CD">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对本项目的应急预案，突发事件处置方案基本全面、基本可行的得4分；</w:t>
            </w:r>
          </w:p>
          <w:p w14:paraId="66C1C790">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对本项目的应急预案，突发事件处置方案不够全面、可行性一般的得2分；</w:t>
            </w:r>
          </w:p>
          <w:p w14:paraId="3311D0AE">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4D7F763B">
            <w:pPr>
              <w:jc w:val="center"/>
              <w:rPr>
                <w:rFonts w:ascii="宋体" w:hAnsi="宋体" w:cs="宋体"/>
                <w:color w:val="auto"/>
                <w:szCs w:val="21"/>
                <w:highlight w:val="none"/>
              </w:rPr>
            </w:pPr>
            <w:r>
              <w:rPr>
                <w:rFonts w:hint="eastAsia" w:ascii="宋体" w:hAnsi="宋体" w:cs="宋体"/>
                <w:color w:val="auto"/>
                <w:szCs w:val="21"/>
                <w:highlight w:val="none"/>
              </w:rPr>
              <w:t>8</w:t>
            </w:r>
          </w:p>
        </w:tc>
      </w:tr>
      <w:tr w14:paraId="3D8B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Merge w:val="continue"/>
            <w:vAlign w:val="center"/>
          </w:tcPr>
          <w:p w14:paraId="28EBB108">
            <w:pPr>
              <w:jc w:val="center"/>
              <w:rPr>
                <w:rFonts w:ascii="宋体" w:hAnsi="宋体" w:cs="宋体"/>
                <w:color w:val="auto"/>
                <w:szCs w:val="21"/>
                <w:highlight w:val="none"/>
              </w:rPr>
            </w:pPr>
          </w:p>
        </w:tc>
        <w:tc>
          <w:tcPr>
            <w:tcW w:w="1336" w:type="dxa"/>
            <w:vMerge w:val="continue"/>
            <w:vAlign w:val="center"/>
          </w:tcPr>
          <w:p w14:paraId="74F35266">
            <w:pPr>
              <w:jc w:val="center"/>
              <w:rPr>
                <w:rFonts w:ascii="宋体" w:hAnsi="宋体" w:cs="宋体"/>
                <w:color w:val="auto"/>
                <w:szCs w:val="21"/>
                <w:highlight w:val="none"/>
              </w:rPr>
            </w:pPr>
          </w:p>
        </w:tc>
        <w:tc>
          <w:tcPr>
            <w:tcW w:w="7133" w:type="dxa"/>
            <w:vAlign w:val="center"/>
          </w:tcPr>
          <w:p w14:paraId="35AD12BC">
            <w:pPr>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评标委员会根据供应商对本项目的保密措施情况进行综合评议，最高得8分。</w:t>
            </w:r>
          </w:p>
          <w:p w14:paraId="4BB47D8E">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对本项目的保密措施方案全面、合理、可行性强的得8分；</w:t>
            </w:r>
          </w:p>
          <w:p w14:paraId="66418075">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对本项目的保密措施方案较全面、较合理、可行性较强的得6分；</w:t>
            </w:r>
          </w:p>
          <w:p w14:paraId="79E9FA77">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对本项目的保密措施方案基本全面、基本可行的得4分；</w:t>
            </w:r>
          </w:p>
          <w:p w14:paraId="06CB6CC4">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对本项目的保密措施方案不够全面、可行性一般的得2分；</w:t>
            </w:r>
          </w:p>
          <w:p w14:paraId="4518489C">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4FA6655C">
            <w:pPr>
              <w:jc w:val="center"/>
              <w:rPr>
                <w:rFonts w:ascii="宋体" w:hAnsi="宋体" w:cs="宋体"/>
                <w:color w:val="auto"/>
                <w:szCs w:val="21"/>
                <w:highlight w:val="none"/>
              </w:rPr>
            </w:pPr>
            <w:r>
              <w:rPr>
                <w:rFonts w:hint="eastAsia" w:ascii="宋体" w:hAnsi="宋体" w:cs="宋体"/>
                <w:color w:val="auto"/>
                <w:szCs w:val="21"/>
                <w:highlight w:val="none"/>
              </w:rPr>
              <w:t>8</w:t>
            </w:r>
          </w:p>
        </w:tc>
      </w:tr>
      <w:tr w14:paraId="2ED8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Merge w:val="continue"/>
            <w:vAlign w:val="center"/>
          </w:tcPr>
          <w:p w14:paraId="23635494">
            <w:pPr>
              <w:jc w:val="center"/>
              <w:rPr>
                <w:rFonts w:ascii="宋体" w:hAnsi="宋体" w:cs="宋体"/>
                <w:color w:val="auto"/>
                <w:szCs w:val="21"/>
                <w:highlight w:val="none"/>
              </w:rPr>
            </w:pPr>
          </w:p>
        </w:tc>
        <w:tc>
          <w:tcPr>
            <w:tcW w:w="1336" w:type="dxa"/>
            <w:vAlign w:val="center"/>
          </w:tcPr>
          <w:p w14:paraId="34B067DD">
            <w:pPr>
              <w:widowControl/>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重难点分析及解决方案</w:t>
            </w:r>
          </w:p>
        </w:tc>
        <w:tc>
          <w:tcPr>
            <w:tcW w:w="7133" w:type="dxa"/>
            <w:vAlign w:val="center"/>
          </w:tcPr>
          <w:p w14:paraId="6E8D68AB">
            <w:pPr>
              <w:widowControl/>
              <w:spacing w:line="400" w:lineRule="exact"/>
              <w:rPr>
                <w:rFonts w:ascii="宋体" w:hAnsi="宋体" w:cs="宋体"/>
                <w:color w:val="auto"/>
                <w:szCs w:val="21"/>
                <w:highlight w:val="none"/>
              </w:rPr>
            </w:pPr>
            <w:r>
              <w:rPr>
                <w:rFonts w:hint="eastAsia" w:ascii="宋体" w:hAnsi="宋体" w:cs="宋体"/>
                <w:color w:val="auto"/>
                <w:szCs w:val="21"/>
                <w:highlight w:val="none"/>
              </w:rPr>
              <w:t>根据本项目的特点并结合以往类似项目工作经验，分析工作中会出现的技术重难点并提供对应的解决方案，重难点分析应作针对性阐述，解决方案应详细完整，评标委员会对方案的针对性、有效性等进行评议，最高得7分；</w:t>
            </w:r>
          </w:p>
          <w:p w14:paraId="41F54ABA">
            <w:pPr>
              <w:spacing w:line="400" w:lineRule="exact"/>
              <w:rPr>
                <w:rFonts w:ascii="宋体" w:hAnsi="宋体" w:cs="宋体"/>
                <w:color w:val="auto"/>
                <w:highlight w:val="none"/>
              </w:rPr>
            </w:pPr>
            <w:r>
              <w:rPr>
                <w:rFonts w:hint="eastAsia" w:ascii="宋体" w:hAnsi="宋体" w:cs="宋体"/>
                <w:color w:val="auto"/>
                <w:highlight w:val="none"/>
              </w:rPr>
              <w:t>项目的关键点、重难点分析透彻到位的得7分；</w:t>
            </w:r>
          </w:p>
          <w:p w14:paraId="7A409CE8">
            <w:pPr>
              <w:spacing w:line="400" w:lineRule="exact"/>
              <w:rPr>
                <w:rFonts w:ascii="宋体" w:hAnsi="宋体" w:cs="宋体"/>
                <w:color w:val="auto"/>
                <w:highlight w:val="none"/>
              </w:rPr>
            </w:pPr>
            <w:r>
              <w:rPr>
                <w:rFonts w:hint="eastAsia" w:ascii="宋体" w:hAnsi="宋体" w:cs="宋体"/>
                <w:color w:val="auto"/>
                <w:highlight w:val="none"/>
              </w:rPr>
              <w:t>项目的关键点、重难点分析透彻较到位的得5分；</w:t>
            </w:r>
          </w:p>
          <w:p w14:paraId="1BD05A3B">
            <w:pPr>
              <w:spacing w:line="400" w:lineRule="exact"/>
              <w:rPr>
                <w:rFonts w:ascii="宋体" w:hAnsi="宋体" w:cs="宋体"/>
                <w:color w:val="auto"/>
                <w:highlight w:val="none"/>
              </w:rPr>
            </w:pPr>
            <w:r>
              <w:rPr>
                <w:rFonts w:hint="eastAsia" w:ascii="宋体" w:hAnsi="宋体" w:cs="宋体"/>
                <w:color w:val="auto"/>
                <w:highlight w:val="none"/>
              </w:rPr>
              <w:t>项目的关键点、重难点分析较为一般的得3分；</w:t>
            </w:r>
          </w:p>
          <w:p w14:paraId="78615072">
            <w:pPr>
              <w:spacing w:line="400" w:lineRule="exact"/>
              <w:rPr>
                <w:rFonts w:ascii="宋体" w:hAnsi="宋体" w:cs="宋体"/>
                <w:color w:val="auto"/>
                <w:highlight w:val="none"/>
              </w:rPr>
            </w:pPr>
            <w:r>
              <w:rPr>
                <w:rFonts w:hint="eastAsia" w:ascii="宋体" w:hAnsi="宋体" w:cs="宋体"/>
                <w:color w:val="auto"/>
                <w:highlight w:val="none"/>
              </w:rPr>
              <w:t>项目的关键点、重难点分析不够的得</w:t>
            </w:r>
            <w:r>
              <w:rPr>
                <w:rFonts w:hint="eastAsia" w:ascii="宋体" w:hAnsi="宋体" w:cs="宋体"/>
                <w:color w:val="auto"/>
                <w:highlight w:val="none"/>
                <w:lang w:val="en-US" w:eastAsia="zh-CN"/>
              </w:rPr>
              <w:t>1</w:t>
            </w:r>
            <w:r>
              <w:rPr>
                <w:rFonts w:hint="eastAsia" w:ascii="宋体" w:hAnsi="宋体" w:cs="宋体"/>
                <w:color w:val="auto"/>
                <w:highlight w:val="none"/>
              </w:rPr>
              <w:t>分；</w:t>
            </w:r>
          </w:p>
          <w:p w14:paraId="48581595">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7640CBD1">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7</w:t>
            </w:r>
          </w:p>
        </w:tc>
      </w:tr>
      <w:tr w14:paraId="774B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Merge w:val="continue"/>
            <w:vAlign w:val="center"/>
          </w:tcPr>
          <w:p w14:paraId="32FEC630">
            <w:pPr>
              <w:jc w:val="center"/>
              <w:rPr>
                <w:rFonts w:ascii="宋体" w:hAnsi="宋体" w:cs="宋体"/>
                <w:color w:val="auto"/>
                <w:szCs w:val="21"/>
                <w:highlight w:val="none"/>
              </w:rPr>
            </w:pPr>
          </w:p>
        </w:tc>
        <w:tc>
          <w:tcPr>
            <w:tcW w:w="1336" w:type="dxa"/>
            <w:vAlign w:val="center"/>
          </w:tcPr>
          <w:p w14:paraId="7305DDED">
            <w:pPr>
              <w:widowControl/>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合理化建议</w:t>
            </w:r>
          </w:p>
        </w:tc>
        <w:tc>
          <w:tcPr>
            <w:tcW w:w="7133" w:type="dxa"/>
            <w:vAlign w:val="center"/>
          </w:tcPr>
          <w:p w14:paraId="431FB9AB">
            <w:pPr>
              <w:widowControl/>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评标委员会根据供应商对本项目实际情况提出的合理化建议进行综合评议，最高得7分；</w:t>
            </w:r>
          </w:p>
          <w:p w14:paraId="3322B69B">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对本项目的合理化建议全面、合理、可行性强的得7分；</w:t>
            </w:r>
          </w:p>
          <w:p w14:paraId="55C417D9">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对本项目的合理化建议较全面、较合理、可行性较强的得5分；</w:t>
            </w:r>
          </w:p>
          <w:p w14:paraId="5ED3BADE">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对本项目的合理化建议基本全面、基本可行的得3分；</w:t>
            </w:r>
          </w:p>
          <w:p w14:paraId="61DFEF2B">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对本项目的合理化建议不够全面、可行性一般的得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66E73F47">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50736DE5">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7</w:t>
            </w:r>
          </w:p>
        </w:tc>
      </w:tr>
      <w:tr w14:paraId="3898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69" w:type="dxa"/>
            <w:vMerge w:val="continue"/>
            <w:vAlign w:val="center"/>
          </w:tcPr>
          <w:p w14:paraId="30503CB8">
            <w:pPr>
              <w:jc w:val="center"/>
              <w:rPr>
                <w:rFonts w:ascii="宋体" w:hAnsi="宋体" w:cs="宋体"/>
                <w:color w:val="auto"/>
                <w:szCs w:val="21"/>
                <w:highlight w:val="none"/>
              </w:rPr>
            </w:pPr>
          </w:p>
        </w:tc>
        <w:tc>
          <w:tcPr>
            <w:tcW w:w="1336" w:type="dxa"/>
            <w:vAlign w:val="center"/>
          </w:tcPr>
          <w:p w14:paraId="113622CF">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服务响应情况</w:t>
            </w:r>
          </w:p>
        </w:tc>
        <w:tc>
          <w:tcPr>
            <w:tcW w:w="7133" w:type="dxa"/>
            <w:vAlign w:val="center"/>
          </w:tcPr>
          <w:p w14:paraId="64E20902">
            <w:pPr>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评标委员会根据供应商的服务响应时间，响应有效性和及时性等进行综合评议，最高得7分。</w:t>
            </w:r>
          </w:p>
          <w:p w14:paraId="4E807934">
            <w:pPr>
              <w:spacing w:line="400" w:lineRule="exact"/>
              <w:rPr>
                <w:rFonts w:ascii="宋体" w:hAnsi="宋体" w:cs="宋体"/>
                <w:color w:val="auto"/>
                <w:szCs w:val="21"/>
                <w:highlight w:val="none"/>
              </w:rPr>
            </w:pPr>
            <w:r>
              <w:rPr>
                <w:rFonts w:hint="eastAsia" w:ascii="宋体" w:hAnsi="宋体" w:cs="宋体"/>
                <w:color w:val="auto"/>
                <w:szCs w:val="21"/>
                <w:highlight w:val="none"/>
              </w:rPr>
              <w:t>服务响应方案规范、全面、合理、可行性强的得7分；</w:t>
            </w:r>
          </w:p>
          <w:p w14:paraId="31B693D0">
            <w:pPr>
              <w:spacing w:line="400" w:lineRule="exact"/>
              <w:rPr>
                <w:rFonts w:ascii="宋体" w:hAnsi="宋体" w:cs="宋体"/>
                <w:color w:val="auto"/>
                <w:szCs w:val="21"/>
                <w:highlight w:val="none"/>
              </w:rPr>
            </w:pPr>
            <w:r>
              <w:rPr>
                <w:rFonts w:hint="eastAsia" w:ascii="宋体" w:hAnsi="宋体" w:cs="宋体"/>
                <w:color w:val="auto"/>
                <w:szCs w:val="21"/>
                <w:highlight w:val="none"/>
              </w:rPr>
              <w:t>服务响应方案较规范、较全面、较合理、可行性较强的得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445156D2">
            <w:pPr>
              <w:spacing w:line="400" w:lineRule="exact"/>
              <w:rPr>
                <w:rFonts w:ascii="宋体" w:hAnsi="宋体" w:cs="宋体"/>
                <w:color w:val="auto"/>
                <w:szCs w:val="21"/>
                <w:highlight w:val="none"/>
              </w:rPr>
            </w:pPr>
            <w:r>
              <w:rPr>
                <w:rFonts w:hint="eastAsia" w:ascii="宋体" w:hAnsi="宋体" w:cs="宋体"/>
                <w:color w:val="auto"/>
                <w:szCs w:val="21"/>
                <w:highlight w:val="none"/>
              </w:rPr>
              <w:t>服务响应方案基本可行的得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B6C943B">
            <w:pPr>
              <w:spacing w:line="400" w:lineRule="exact"/>
              <w:rPr>
                <w:rFonts w:ascii="宋体" w:hAnsi="宋体" w:cs="宋体"/>
                <w:color w:val="auto"/>
                <w:szCs w:val="21"/>
                <w:highlight w:val="none"/>
              </w:rPr>
            </w:pPr>
            <w:r>
              <w:rPr>
                <w:rFonts w:hint="eastAsia" w:ascii="宋体" w:hAnsi="宋体" w:cs="宋体"/>
                <w:color w:val="auto"/>
                <w:szCs w:val="21"/>
                <w:highlight w:val="none"/>
              </w:rPr>
              <w:t>服务响应方案欠规范、欠合理的得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3F7F974A">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1CDBD577">
            <w:pPr>
              <w:jc w:val="center"/>
              <w:rPr>
                <w:rFonts w:ascii="宋体" w:hAnsi="宋体" w:cs="宋体"/>
                <w:color w:val="auto"/>
                <w:szCs w:val="21"/>
                <w:highlight w:val="none"/>
              </w:rPr>
            </w:pPr>
            <w:r>
              <w:rPr>
                <w:rFonts w:hint="eastAsia" w:ascii="宋体" w:hAnsi="宋体" w:cs="宋体"/>
                <w:color w:val="auto"/>
                <w:szCs w:val="21"/>
                <w:highlight w:val="none"/>
              </w:rPr>
              <w:t>7</w:t>
            </w:r>
          </w:p>
        </w:tc>
      </w:tr>
      <w:tr w14:paraId="532F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69" w:type="dxa"/>
            <w:vMerge w:val="continue"/>
            <w:vAlign w:val="center"/>
          </w:tcPr>
          <w:p w14:paraId="5F97DBEA">
            <w:pPr>
              <w:jc w:val="center"/>
              <w:rPr>
                <w:color w:val="auto"/>
                <w:highlight w:val="none"/>
              </w:rPr>
            </w:pPr>
          </w:p>
        </w:tc>
        <w:tc>
          <w:tcPr>
            <w:tcW w:w="1336" w:type="dxa"/>
            <w:vAlign w:val="center"/>
          </w:tcPr>
          <w:p w14:paraId="5FDC7892">
            <w:pPr>
              <w:jc w:val="center"/>
              <w:rPr>
                <w:rFonts w:ascii="宋体" w:hAnsi="宋体" w:cs="宋体"/>
                <w:bCs/>
                <w:color w:val="auto"/>
                <w:szCs w:val="21"/>
                <w:highlight w:val="none"/>
              </w:rPr>
            </w:pPr>
            <w:r>
              <w:rPr>
                <w:rFonts w:hint="eastAsia" w:ascii="宋体" w:hAnsi="宋体" w:cs="宋体"/>
                <w:bCs/>
                <w:color w:val="auto"/>
                <w:szCs w:val="21"/>
                <w:highlight w:val="none"/>
              </w:rPr>
              <w:t>人员培训方案</w:t>
            </w:r>
          </w:p>
        </w:tc>
        <w:tc>
          <w:tcPr>
            <w:tcW w:w="7133" w:type="dxa"/>
            <w:vAlign w:val="center"/>
          </w:tcPr>
          <w:p w14:paraId="280A6DB4">
            <w:pPr>
              <w:spacing w:line="400" w:lineRule="exact"/>
              <w:rPr>
                <w:rFonts w:ascii="宋体" w:hAnsi="宋体" w:cs="宋体"/>
                <w:color w:val="auto"/>
                <w:szCs w:val="21"/>
                <w:highlight w:val="none"/>
              </w:rPr>
            </w:pPr>
            <w:r>
              <w:rPr>
                <w:rFonts w:hint="eastAsia" w:ascii="宋体" w:hAnsi="宋体" w:cs="宋体"/>
                <w:color w:val="auto"/>
                <w:szCs w:val="21"/>
                <w:highlight w:val="none"/>
              </w:rPr>
              <w:t>人员培训方案（7分）</w:t>
            </w:r>
          </w:p>
          <w:p w14:paraId="331F651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评标委员会根据</w:t>
            </w:r>
            <w:r>
              <w:rPr>
                <w:rFonts w:hint="eastAsia" w:ascii="宋体" w:hAnsi="宋体" w:cs="宋体"/>
                <w:color w:val="auto"/>
                <w:szCs w:val="21"/>
                <w:highlight w:val="none"/>
              </w:rPr>
              <w:t>根据供应商提供的针对本项目的培训方案，包括培训人员安排、培训时间安排、培训课时承诺、培训内容安排等内容是否完整、科学合理进行综合评议</w:t>
            </w:r>
            <w:r>
              <w:rPr>
                <w:rFonts w:hint="eastAsia" w:ascii="宋体" w:hAnsi="宋体" w:cs="宋体"/>
                <w:color w:val="auto"/>
                <w:kern w:val="0"/>
                <w:szCs w:val="21"/>
                <w:highlight w:val="none"/>
              </w:rPr>
              <w:t>，最高得7分。</w:t>
            </w:r>
          </w:p>
          <w:p w14:paraId="5676D164">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对本项目的人员培训方案，包括培训人员安排、培训时间安排、培训课时承诺、培训内容安排方案全面、合理、可行性强的得7分；</w:t>
            </w:r>
          </w:p>
          <w:p w14:paraId="274BCA96">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对本项目的人员培训方案，包括培训人员安排、培训时间安排、培训课时承诺、培训内容安排方案较全面、较合理、可行性较强的得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1A7AD7E">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对本项目的人员培训方案，包括培训人员安排、培训时间安排、培训课时承诺、培训内容安排方案基本全面、基本可行的得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215A783">
            <w:pPr>
              <w:spacing w:line="400" w:lineRule="exact"/>
              <w:rPr>
                <w:rFonts w:ascii="宋体" w:hAnsi="宋体" w:cs="宋体"/>
                <w:color w:val="auto"/>
                <w:szCs w:val="21"/>
                <w:highlight w:val="none"/>
              </w:rPr>
            </w:pPr>
            <w:r>
              <w:rPr>
                <w:rFonts w:hint="eastAsia" w:ascii="宋体" w:hAnsi="宋体" w:cs="宋体"/>
                <w:color w:val="auto"/>
                <w:szCs w:val="21"/>
                <w:highlight w:val="none"/>
              </w:rPr>
              <w:t>对本项目的人员培训方案，包括培训人员安排、培训时间安排、培训课时承诺、培训内容安排方案不够全面、可行性一般的得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43C83B55">
            <w:pPr>
              <w:spacing w:line="400" w:lineRule="exact"/>
              <w:rPr>
                <w:rFonts w:ascii="宋体" w:hAnsi="宋体" w:cs="宋体"/>
                <w:bCs/>
                <w:color w:val="auto"/>
                <w:szCs w:val="21"/>
                <w:highlight w:val="none"/>
              </w:rPr>
            </w:pPr>
            <w:r>
              <w:rPr>
                <w:rFonts w:hint="eastAsia" w:ascii="宋体" w:hAnsi="宋体" w:cs="宋体"/>
                <w:color w:val="auto"/>
                <w:szCs w:val="21"/>
                <w:highlight w:val="none"/>
              </w:rPr>
              <w:t>未提供或提供的内容不齐全的，不得分。</w:t>
            </w:r>
          </w:p>
        </w:tc>
        <w:tc>
          <w:tcPr>
            <w:tcW w:w="754" w:type="dxa"/>
            <w:vAlign w:val="center"/>
          </w:tcPr>
          <w:p w14:paraId="739917B3">
            <w:pPr>
              <w:jc w:val="center"/>
              <w:rPr>
                <w:rFonts w:ascii="宋体" w:hAnsi="宋体" w:cs="宋体"/>
                <w:bCs/>
                <w:color w:val="auto"/>
                <w:szCs w:val="21"/>
                <w:highlight w:val="none"/>
              </w:rPr>
            </w:pPr>
            <w:r>
              <w:rPr>
                <w:rFonts w:hint="eastAsia" w:ascii="宋体" w:hAnsi="宋体" w:cs="宋体"/>
                <w:bCs/>
                <w:color w:val="auto"/>
                <w:szCs w:val="21"/>
                <w:highlight w:val="none"/>
              </w:rPr>
              <w:t>7</w:t>
            </w:r>
          </w:p>
        </w:tc>
      </w:tr>
      <w:tr w14:paraId="51C0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69" w:type="dxa"/>
            <w:vMerge w:val="continue"/>
            <w:vAlign w:val="center"/>
          </w:tcPr>
          <w:p w14:paraId="507E2840">
            <w:pPr>
              <w:jc w:val="center"/>
              <w:rPr>
                <w:rFonts w:ascii="宋体" w:hAnsi="宋体" w:cs="宋体"/>
                <w:color w:val="auto"/>
                <w:szCs w:val="21"/>
                <w:highlight w:val="none"/>
              </w:rPr>
            </w:pPr>
          </w:p>
        </w:tc>
        <w:tc>
          <w:tcPr>
            <w:tcW w:w="1336" w:type="dxa"/>
            <w:vMerge w:val="restart"/>
            <w:vAlign w:val="center"/>
          </w:tcPr>
          <w:p w14:paraId="12DB08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项目组人员</w:t>
            </w:r>
          </w:p>
        </w:tc>
        <w:tc>
          <w:tcPr>
            <w:tcW w:w="7133" w:type="dxa"/>
            <w:vAlign w:val="center"/>
          </w:tcPr>
          <w:p w14:paraId="77E5BE41">
            <w:pPr>
              <w:spacing w:line="400" w:lineRule="exact"/>
              <w:rPr>
                <w:rFonts w:ascii="宋体" w:hAnsi="宋体" w:cs="宋体"/>
                <w:color w:val="auto"/>
                <w:szCs w:val="21"/>
                <w:highlight w:val="none"/>
              </w:rPr>
            </w:pPr>
            <w:r>
              <w:rPr>
                <w:rFonts w:hint="eastAsia" w:ascii="宋体" w:hAnsi="宋体" w:cs="宋体"/>
                <w:color w:val="auto"/>
                <w:szCs w:val="21"/>
                <w:highlight w:val="none"/>
              </w:rPr>
              <w:t>拟派项目经理具有CISP证书的得1分。</w:t>
            </w:r>
          </w:p>
          <w:p w14:paraId="43C0BA4D">
            <w:pPr>
              <w:spacing w:line="400" w:lineRule="exact"/>
              <w:rPr>
                <w:rFonts w:ascii="宋体" w:hAnsi="宋体" w:cs="宋体"/>
                <w:color w:val="auto"/>
                <w:szCs w:val="21"/>
                <w:highlight w:val="none"/>
              </w:rPr>
            </w:pPr>
            <w:r>
              <w:rPr>
                <w:rFonts w:hint="eastAsia" w:ascii="宋体" w:hAnsi="宋体"/>
                <w:b/>
                <w:bCs/>
                <w:color w:val="auto"/>
                <w:szCs w:val="21"/>
                <w:highlight w:val="none"/>
              </w:rPr>
              <w:t>注：投标文件中提供有效期内的项目经理证书复印件加盖公章以及开标前三个月任意一月的社保缴纳证明，并加盖公章。材料不齐全的不得分。</w:t>
            </w:r>
          </w:p>
        </w:tc>
        <w:tc>
          <w:tcPr>
            <w:tcW w:w="754" w:type="dxa"/>
            <w:vAlign w:val="center"/>
          </w:tcPr>
          <w:p w14:paraId="53B7EB05">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1</w:t>
            </w:r>
          </w:p>
        </w:tc>
      </w:tr>
      <w:tr w14:paraId="6B69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69" w:type="dxa"/>
            <w:vMerge w:val="continue"/>
            <w:vAlign w:val="center"/>
          </w:tcPr>
          <w:p w14:paraId="50538CEE">
            <w:pPr>
              <w:spacing w:line="280" w:lineRule="exact"/>
              <w:jc w:val="center"/>
              <w:rPr>
                <w:color w:val="auto"/>
                <w:highlight w:val="none"/>
              </w:rPr>
            </w:pPr>
          </w:p>
        </w:tc>
        <w:tc>
          <w:tcPr>
            <w:tcW w:w="1336" w:type="dxa"/>
            <w:vMerge w:val="continue"/>
            <w:vAlign w:val="center"/>
          </w:tcPr>
          <w:p w14:paraId="30526B77">
            <w:pPr>
              <w:spacing w:line="280" w:lineRule="exact"/>
              <w:jc w:val="center"/>
              <w:rPr>
                <w:color w:val="auto"/>
                <w:highlight w:val="none"/>
              </w:rPr>
            </w:pPr>
          </w:p>
        </w:tc>
        <w:tc>
          <w:tcPr>
            <w:tcW w:w="7133" w:type="dxa"/>
            <w:vAlign w:val="center"/>
          </w:tcPr>
          <w:p w14:paraId="64F1885F">
            <w:pPr>
              <w:spacing w:line="400" w:lineRule="exact"/>
              <w:rPr>
                <w:rFonts w:ascii="宋体" w:hAnsi="宋体" w:cs="宋体"/>
                <w:color w:val="auto"/>
                <w:szCs w:val="21"/>
                <w:highlight w:val="none"/>
              </w:rPr>
            </w:pPr>
            <w:r>
              <w:rPr>
                <w:rFonts w:hint="eastAsia" w:ascii="宋体" w:hAnsi="宋体" w:cs="宋体"/>
                <w:color w:val="auto"/>
                <w:szCs w:val="21"/>
                <w:highlight w:val="none"/>
              </w:rPr>
              <w:t>项目组人员（7分）</w:t>
            </w:r>
          </w:p>
          <w:p w14:paraId="2109A40B">
            <w:pPr>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评标委员会根据项目组人员数量、资历、类似经验，以及人员的分工配置合理性等情况综合评议，最高得7分。</w:t>
            </w:r>
          </w:p>
          <w:p w14:paraId="09E6F352">
            <w:pPr>
              <w:spacing w:line="400" w:lineRule="exact"/>
              <w:rPr>
                <w:rFonts w:ascii="宋体" w:hAnsi="宋体" w:cs="宋体"/>
                <w:color w:val="auto"/>
                <w:szCs w:val="21"/>
                <w:highlight w:val="none"/>
              </w:rPr>
            </w:pPr>
            <w:r>
              <w:rPr>
                <w:rFonts w:hint="eastAsia" w:ascii="宋体" w:hAnsi="宋体" w:cs="宋体"/>
                <w:color w:val="auto"/>
                <w:szCs w:val="21"/>
                <w:highlight w:val="none"/>
              </w:rPr>
              <w:t>配备人员专业水平高、类似项目从业经验丰富的得7分；</w:t>
            </w:r>
          </w:p>
          <w:p w14:paraId="7C11428A">
            <w:pPr>
              <w:spacing w:line="400" w:lineRule="exact"/>
              <w:rPr>
                <w:rFonts w:ascii="宋体" w:hAnsi="宋体" w:cs="宋体"/>
                <w:color w:val="auto"/>
                <w:szCs w:val="21"/>
                <w:highlight w:val="none"/>
              </w:rPr>
            </w:pPr>
            <w:r>
              <w:rPr>
                <w:rFonts w:hint="eastAsia" w:ascii="宋体" w:hAnsi="宋体" w:cs="宋体"/>
                <w:color w:val="auto"/>
                <w:szCs w:val="21"/>
                <w:highlight w:val="none"/>
              </w:rPr>
              <w:t>配备人员专业水平较高、类似项目从业经验较丰富的得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3D32995A">
            <w:pPr>
              <w:spacing w:line="400" w:lineRule="exact"/>
              <w:rPr>
                <w:rFonts w:ascii="宋体" w:hAnsi="宋体" w:cs="宋体"/>
                <w:color w:val="auto"/>
                <w:szCs w:val="21"/>
                <w:highlight w:val="none"/>
              </w:rPr>
            </w:pPr>
            <w:r>
              <w:rPr>
                <w:rFonts w:hint="eastAsia" w:ascii="宋体" w:hAnsi="宋体" w:cs="宋体"/>
                <w:color w:val="auto"/>
                <w:szCs w:val="21"/>
                <w:highlight w:val="none"/>
              </w:rPr>
              <w:t>配备人员专业水平和经验基本适应本项目的得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80C5C22">
            <w:pPr>
              <w:spacing w:line="400" w:lineRule="exact"/>
              <w:rPr>
                <w:rFonts w:ascii="宋体" w:hAnsi="宋体" w:cs="宋体"/>
                <w:color w:val="auto"/>
                <w:szCs w:val="21"/>
                <w:highlight w:val="none"/>
              </w:rPr>
            </w:pPr>
            <w:r>
              <w:rPr>
                <w:rFonts w:hint="eastAsia" w:ascii="宋体" w:hAnsi="宋体" w:cs="宋体"/>
                <w:color w:val="auto"/>
                <w:szCs w:val="21"/>
                <w:highlight w:val="none"/>
              </w:rPr>
              <w:t>配备人员专业水平和经验适应本项目程度较低的得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3D37769E">
            <w:pPr>
              <w:spacing w:line="400" w:lineRule="exact"/>
              <w:rPr>
                <w:rFonts w:ascii="宋体" w:hAnsi="宋体" w:cs="宋体"/>
                <w:color w:val="auto"/>
                <w:szCs w:val="21"/>
                <w:highlight w:val="none"/>
              </w:rPr>
            </w:pPr>
            <w:r>
              <w:rPr>
                <w:rFonts w:hint="eastAsia" w:ascii="宋体" w:hAnsi="宋体" w:cs="宋体"/>
                <w:color w:val="auto"/>
                <w:szCs w:val="21"/>
                <w:highlight w:val="none"/>
              </w:rPr>
              <w:t>未提供或提供的内容不齐全的，不得分。</w:t>
            </w:r>
          </w:p>
          <w:p w14:paraId="13CE6551">
            <w:pPr>
              <w:spacing w:line="400" w:lineRule="exact"/>
              <w:rPr>
                <w:rFonts w:ascii="宋体" w:hAnsi="宋体" w:cs="宋体"/>
                <w:color w:val="auto"/>
                <w:szCs w:val="21"/>
                <w:highlight w:val="none"/>
              </w:rPr>
            </w:pPr>
            <w:r>
              <w:rPr>
                <w:rFonts w:hint="eastAsia" w:ascii="宋体" w:hAnsi="宋体" w:cs="宋体"/>
                <w:color w:val="auto"/>
                <w:szCs w:val="21"/>
                <w:highlight w:val="none"/>
              </w:rPr>
              <w:t>备注：投标文件中提供有效期内的相关证书复印件加盖公章以及开标前三个月任意一月的社保缴纳证明。</w:t>
            </w:r>
          </w:p>
        </w:tc>
        <w:tc>
          <w:tcPr>
            <w:tcW w:w="754" w:type="dxa"/>
            <w:vAlign w:val="center"/>
          </w:tcPr>
          <w:p w14:paraId="701186B3">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7</w:t>
            </w:r>
          </w:p>
        </w:tc>
      </w:tr>
      <w:tr w14:paraId="5290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69" w:type="dxa"/>
            <w:vMerge w:val="continue"/>
            <w:vAlign w:val="center"/>
          </w:tcPr>
          <w:p w14:paraId="48E02E25">
            <w:pPr>
              <w:jc w:val="center"/>
              <w:rPr>
                <w:rFonts w:ascii="宋体" w:hAnsi="宋体" w:cs="宋体"/>
                <w:color w:val="auto"/>
                <w:szCs w:val="21"/>
                <w:highlight w:val="none"/>
              </w:rPr>
            </w:pPr>
          </w:p>
        </w:tc>
        <w:tc>
          <w:tcPr>
            <w:tcW w:w="1336" w:type="dxa"/>
            <w:vAlign w:val="center"/>
          </w:tcPr>
          <w:p w14:paraId="5B5717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供应商履约能力</w:t>
            </w:r>
          </w:p>
        </w:tc>
        <w:tc>
          <w:tcPr>
            <w:tcW w:w="7133" w:type="dxa"/>
            <w:vAlign w:val="center"/>
          </w:tcPr>
          <w:p w14:paraId="37347109">
            <w:pPr>
              <w:widowControl/>
              <w:spacing w:line="360" w:lineRule="auto"/>
              <w:jc w:val="left"/>
              <w:rPr>
                <w:rFonts w:ascii="宋体" w:hAnsi="宋体"/>
                <w:color w:val="auto"/>
                <w:szCs w:val="21"/>
                <w:highlight w:val="none"/>
              </w:rPr>
            </w:pPr>
            <w:r>
              <w:rPr>
                <w:rFonts w:ascii="宋体" w:hAnsi="宋体"/>
                <w:color w:val="auto"/>
                <w:szCs w:val="21"/>
                <w:highlight w:val="none"/>
              </w:rPr>
              <w:t>1.具有</w:t>
            </w:r>
            <w:r>
              <w:rPr>
                <w:rFonts w:hint="eastAsia" w:ascii="宋体" w:hAnsi="宋体"/>
                <w:color w:val="auto"/>
                <w:szCs w:val="21"/>
                <w:highlight w:val="none"/>
              </w:rPr>
              <w:t>中国网络安全审查技术与认证中心（CCRC）颁发的信息系统安全运维二级及以上证书的</w:t>
            </w:r>
            <w:r>
              <w:rPr>
                <w:rFonts w:ascii="宋体" w:hAnsi="宋体"/>
                <w:color w:val="auto"/>
                <w:szCs w:val="21"/>
                <w:highlight w:val="none"/>
              </w:rPr>
              <w:t>得</w:t>
            </w:r>
            <w:r>
              <w:rPr>
                <w:rFonts w:hint="eastAsia" w:ascii="宋体" w:hAnsi="宋体"/>
                <w:color w:val="auto"/>
                <w:szCs w:val="21"/>
                <w:highlight w:val="none"/>
              </w:rPr>
              <w:t>0.5</w:t>
            </w:r>
            <w:r>
              <w:rPr>
                <w:rFonts w:ascii="宋体" w:hAnsi="宋体"/>
                <w:color w:val="auto"/>
                <w:szCs w:val="21"/>
                <w:highlight w:val="none"/>
              </w:rPr>
              <w:t>分；</w:t>
            </w:r>
          </w:p>
          <w:p w14:paraId="71E145A7">
            <w:pPr>
              <w:widowControl/>
              <w:spacing w:line="360" w:lineRule="auto"/>
              <w:jc w:val="left"/>
              <w:rPr>
                <w:rFonts w:ascii="宋体" w:hAnsi="宋体"/>
                <w:color w:val="auto"/>
                <w:szCs w:val="21"/>
                <w:highlight w:val="none"/>
              </w:rPr>
            </w:pPr>
            <w:r>
              <w:rPr>
                <w:rFonts w:ascii="宋体" w:hAnsi="宋体"/>
                <w:color w:val="auto"/>
                <w:szCs w:val="21"/>
                <w:highlight w:val="none"/>
              </w:rPr>
              <w:t>2.具有</w:t>
            </w:r>
            <w:r>
              <w:rPr>
                <w:rFonts w:hint="eastAsia" w:ascii="宋体" w:hAnsi="宋体"/>
                <w:color w:val="auto"/>
                <w:szCs w:val="21"/>
                <w:highlight w:val="none"/>
              </w:rPr>
              <w:t>中国网络安全审查技术与认证中心（CCRC）颁发的风险评估服务资质二级及以上证书的</w:t>
            </w:r>
            <w:r>
              <w:rPr>
                <w:rFonts w:ascii="宋体" w:hAnsi="宋体"/>
                <w:color w:val="auto"/>
                <w:szCs w:val="21"/>
                <w:highlight w:val="none"/>
              </w:rPr>
              <w:t>得</w:t>
            </w:r>
            <w:r>
              <w:rPr>
                <w:rFonts w:hint="eastAsia" w:ascii="宋体" w:hAnsi="宋体"/>
                <w:color w:val="auto"/>
                <w:szCs w:val="21"/>
                <w:highlight w:val="none"/>
              </w:rPr>
              <w:t>0.5</w:t>
            </w:r>
            <w:r>
              <w:rPr>
                <w:rFonts w:ascii="宋体" w:hAnsi="宋体"/>
                <w:color w:val="auto"/>
                <w:szCs w:val="21"/>
                <w:highlight w:val="none"/>
              </w:rPr>
              <w:t>分；</w:t>
            </w:r>
          </w:p>
          <w:p w14:paraId="6A39FA45">
            <w:pPr>
              <w:widowControl/>
              <w:spacing w:line="360" w:lineRule="auto"/>
              <w:jc w:val="left"/>
              <w:rPr>
                <w:rFonts w:ascii="宋体" w:hAnsi="宋体"/>
                <w:color w:val="auto"/>
                <w:szCs w:val="21"/>
                <w:highlight w:val="none"/>
              </w:rPr>
            </w:pPr>
            <w:r>
              <w:rPr>
                <w:rFonts w:ascii="宋体" w:hAnsi="宋体"/>
                <w:color w:val="auto"/>
                <w:szCs w:val="21"/>
                <w:highlight w:val="none"/>
              </w:rPr>
              <w:t>3.具有</w:t>
            </w:r>
            <w:r>
              <w:rPr>
                <w:rFonts w:hint="eastAsia" w:ascii="宋体" w:hAnsi="宋体"/>
                <w:color w:val="auto"/>
                <w:szCs w:val="21"/>
                <w:highlight w:val="none"/>
              </w:rPr>
              <w:t>中国网络安全审查技术与认证中心（CCRC）颁发的应急处理服务资质二级及以上证书的</w:t>
            </w:r>
            <w:r>
              <w:rPr>
                <w:rFonts w:ascii="宋体" w:hAnsi="宋体"/>
                <w:color w:val="auto"/>
                <w:szCs w:val="21"/>
                <w:highlight w:val="none"/>
              </w:rPr>
              <w:t>得</w:t>
            </w:r>
            <w:r>
              <w:rPr>
                <w:rFonts w:hint="eastAsia" w:ascii="宋体" w:hAnsi="宋体"/>
                <w:color w:val="auto"/>
                <w:szCs w:val="21"/>
                <w:highlight w:val="none"/>
              </w:rPr>
              <w:t>0.5</w:t>
            </w:r>
            <w:r>
              <w:rPr>
                <w:rFonts w:ascii="宋体" w:hAnsi="宋体"/>
                <w:color w:val="auto"/>
                <w:szCs w:val="21"/>
                <w:highlight w:val="none"/>
              </w:rPr>
              <w:t>分；</w:t>
            </w:r>
          </w:p>
          <w:p w14:paraId="4D432AC4">
            <w:pPr>
              <w:widowControl/>
              <w:spacing w:line="360" w:lineRule="auto"/>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.具有</w:t>
            </w:r>
            <w:r>
              <w:rPr>
                <w:rFonts w:hint="eastAsia" w:ascii="宋体" w:hAnsi="宋体"/>
                <w:color w:val="auto"/>
                <w:szCs w:val="21"/>
                <w:highlight w:val="none"/>
              </w:rPr>
              <w:t>中国网络安全审查技术与认证中心（CCRC）颁发的安全审计服务资质二级及以上证书的</w:t>
            </w:r>
            <w:r>
              <w:rPr>
                <w:rFonts w:ascii="宋体" w:hAnsi="宋体"/>
                <w:color w:val="auto"/>
                <w:szCs w:val="21"/>
                <w:highlight w:val="none"/>
              </w:rPr>
              <w:t>得</w:t>
            </w:r>
            <w:r>
              <w:rPr>
                <w:rFonts w:hint="eastAsia" w:ascii="宋体" w:hAnsi="宋体"/>
                <w:color w:val="auto"/>
                <w:szCs w:val="21"/>
                <w:highlight w:val="none"/>
              </w:rPr>
              <w:t>0.5</w:t>
            </w:r>
            <w:r>
              <w:rPr>
                <w:rFonts w:ascii="宋体" w:hAnsi="宋体"/>
                <w:color w:val="auto"/>
                <w:szCs w:val="21"/>
                <w:highlight w:val="none"/>
              </w:rPr>
              <w:t>分</w:t>
            </w:r>
            <w:r>
              <w:rPr>
                <w:rFonts w:hint="eastAsia" w:ascii="宋体" w:hAnsi="宋体"/>
                <w:color w:val="auto"/>
                <w:szCs w:val="21"/>
                <w:highlight w:val="none"/>
              </w:rPr>
              <w:t>。</w:t>
            </w:r>
          </w:p>
          <w:p w14:paraId="24CC8B27">
            <w:pPr>
              <w:spacing w:line="400" w:lineRule="exact"/>
              <w:rPr>
                <w:rFonts w:ascii="宋体" w:hAnsi="宋体" w:cs="宋体"/>
                <w:color w:val="auto"/>
                <w:szCs w:val="21"/>
                <w:highlight w:val="none"/>
              </w:rPr>
            </w:pPr>
            <w:r>
              <w:rPr>
                <w:rFonts w:hint="eastAsia" w:ascii="宋体" w:hAnsi="宋体"/>
                <w:b/>
                <w:color w:val="auto"/>
                <w:szCs w:val="21"/>
                <w:highlight w:val="none"/>
              </w:rPr>
              <w:t>注：投标文件须提供有效期内证书复印件并加盖供应商公章，未提供的不得分。</w:t>
            </w:r>
          </w:p>
        </w:tc>
        <w:tc>
          <w:tcPr>
            <w:tcW w:w="754" w:type="dxa"/>
            <w:vAlign w:val="center"/>
          </w:tcPr>
          <w:p w14:paraId="56032ADD">
            <w:pPr>
              <w:jc w:val="center"/>
              <w:rPr>
                <w:rFonts w:ascii="宋体" w:hAnsi="宋体" w:cs="宋体"/>
                <w:color w:val="auto"/>
                <w:szCs w:val="21"/>
                <w:highlight w:val="none"/>
              </w:rPr>
            </w:pPr>
            <w:r>
              <w:rPr>
                <w:rFonts w:hint="eastAsia" w:ascii="宋体" w:hAnsi="宋体" w:cs="宋体"/>
                <w:color w:val="auto"/>
                <w:szCs w:val="21"/>
                <w:highlight w:val="none"/>
              </w:rPr>
              <w:t>2</w:t>
            </w:r>
          </w:p>
        </w:tc>
      </w:tr>
      <w:tr w14:paraId="70E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69" w:type="dxa"/>
            <w:vMerge w:val="continue"/>
            <w:vAlign w:val="center"/>
          </w:tcPr>
          <w:p w14:paraId="0174966A">
            <w:pPr>
              <w:jc w:val="center"/>
              <w:rPr>
                <w:color w:val="auto"/>
                <w:highlight w:val="none"/>
              </w:rPr>
            </w:pPr>
          </w:p>
        </w:tc>
        <w:tc>
          <w:tcPr>
            <w:tcW w:w="1336" w:type="dxa"/>
            <w:vAlign w:val="center"/>
          </w:tcPr>
          <w:p w14:paraId="70BB10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同类项目业绩</w:t>
            </w:r>
          </w:p>
        </w:tc>
        <w:tc>
          <w:tcPr>
            <w:tcW w:w="7133" w:type="dxa"/>
            <w:vAlign w:val="center"/>
          </w:tcPr>
          <w:p w14:paraId="53622313">
            <w:pPr>
              <w:widowControl/>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供应商20</w:t>
            </w:r>
            <w:r>
              <w:rPr>
                <w:rFonts w:hint="eastAsia" w:ascii="宋体" w:hAnsi="宋体" w:cs="宋体"/>
                <w:color w:val="auto"/>
                <w:szCs w:val="21"/>
                <w:highlight w:val="none"/>
              </w:rPr>
              <w:t>23</w:t>
            </w:r>
            <w:r>
              <w:rPr>
                <w:rFonts w:hint="eastAsia" w:ascii="宋体" w:hAnsi="宋体" w:cs="宋体"/>
                <w:color w:val="auto"/>
                <w:szCs w:val="21"/>
                <w:highlight w:val="none"/>
                <w:lang w:val="zh-CN"/>
              </w:rPr>
              <w:t>年</w:t>
            </w:r>
            <w:r>
              <w:rPr>
                <w:rFonts w:hint="eastAsia" w:ascii="宋体" w:hAnsi="宋体" w:cs="宋体"/>
                <w:color w:val="auto"/>
                <w:szCs w:val="21"/>
                <w:highlight w:val="none"/>
              </w:rPr>
              <w:t>1</w:t>
            </w:r>
            <w:r>
              <w:rPr>
                <w:rFonts w:hint="eastAsia" w:ascii="宋体" w:hAnsi="宋体" w:cs="宋体"/>
                <w:color w:val="auto"/>
                <w:szCs w:val="21"/>
                <w:highlight w:val="none"/>
                <w:lang w:val="zh-CN"/>
              </w:rPr>
              <w:t>月1日以来完成过的同类项目业绩，每个有效业绩</w:t>
            </w:r>
            <w:r>
              <w:rPr>
                <w:rFonts w:hint="eastAsia" w:ascii="宋体" w:hAnsi="宋体" w:cs="宋体"/>
                <w:color w:val="auto"/>
                <w:szCs w:val="21"/>
                <w:highlight w:val="none"/>
              </w:rPr>
              <w:t>0.5</w:t>
            </w:r>
            <w:r>
              <w:rPr>
                <w:rFonts w:hint="eastAsia" w:ascii="宋体" w:hAnsi="宋体" w:cs="宋体"/>
                <w:color w:val="auto"/>
                <w:szCs w:val="21"/>
                <w:highlight w:val="none"/>
                <w:lang w:val="zh-CN"/>
              </w:rPr>
              <w:t>分，满分</w:t>
            </w:r>
            <w:r>
              <w:rPr>
                <w:rFonts w:hint="eastAsia" w:ascii="宋体" w:hAnsi="宋体" w:cs="宋体"/>
                <w:color w:val="auto"/>
                <w:szCs w:val="21"/>
                <w:highlight w:val="none"/>
              </w:rPr>
              <w:t>1</w:t>
            </w:r>
            <w:r>
              <w:rPr>
                <w:rFonts w:hint="eastAsia" w:ascii="宋体" w:hAnsi="宋体" w:cs="宋体"/>
                <w:color w:val="auto"/>
                <w:szCs w:val="21"/>
                <w:highlight w:val="none"/>
                <w:lang w:val="zh-CN"/>
              </w:rPr>
              <w:t>分。</w:t>
            </w:r>
          </w:p>
          <w:p w14:paraId="76E86924">
            <w:pPr>
              <w:spacing w:line="400" w:lineRule="exact"/>
              <w:rPr>
                <w:rFonts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lang w:val="zh-CN"/>
              </w:rPr>
              <w:t>供应商须在投标文件中提供合同复印件并加盖公章，业绩认定时间以合同签订时间为准。</w:t>
            </w:r>
          </w:p>
        </w:tc>
        <w:tc>
          <w:tcPr>
            <w:tcW w:w="754" w:type="dxa"/>
            <w:vAlign w:val="center"/>
          </w:tcPr>
          <w:p w14:paraId="4D1670BB">
            <w:pPr>
              <w:jc w:val="center"/>
              <w:rPr>
                <w:rFonts w:ascii="宋体" w:hAnsi="宋体" w:cs="宋体"/>
                <w:color w:val="auto"/>
                <w:szCs w:val="21"/>
                <w:highlight w:val="none"/>
              </w:rPr>
            </w:pPr>
            <w:r>
              <w:rPr>
                <w:rFonts w:hint="eastAsia" w:ascii="宋体" w:hAnsi="宋体" w:cs="宋体"/>
                <w:color w:val="auto"/>
                <w:szCs w:val="21"/>
                <w:highlight w:val="none"/>
                <w:lang w:bidi="zh-CN"/>
              </w:rPr>
              <w:t>1</w:t>
            </w:r>
          </w:p>
        </w:tc>
      </w:tr>
    </w:tbl>
    <w:p w14:paraId="3090FA6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注：评委在上表设定的分值范围内打分(四舍五入保留一位小数)，平均分值计算四舍五入保留两位小数点。投标文件有缺项的，该项得分为最低分。 </w:t>
      </w:r>
    </w:p>
    <w:p w14:paraId="44E42DCB">
      <w:pPr>
        <w:rPr>
          <w:rStyle w:val="58"/>
          <w:rFonts w:ascii="宋体" w:hAnsi="宋体" w:eastAsia="宋体" w:cs="宋体"/>
          <w:color w:val="auto"/>
          <w:highlight w:val="none"/>
        </w:rPr>
      </w:pPr>
      <w:r>
        <w:rPr>
          <w:rStyle w:val="58"/>
          <w:rFonts w:hint="eastAsia" w:ascii="宋体" w:hAnsi="宋体" w:eastAsia="宋体" w:cs="宋体"/>
          <w:color w:val="auto"/>
          <w:highlight w:val="none"/>
        </w:rPr>
        <w:br w:type="page"/>
      </w:r>
    </w:p>
    <w:p w14:paraId="00BDAACD">
      <w:pPr>
        <w:pStyle w:val="23"/>
        <w:snapToGrid w:val="0"/>
        <w:spacing w:before="0" w:beforeLines="0" w:after="0" w:afterLines="0" w:line="440" w:lineRule="exact"/>
        <w:jc w:val="center"/>
        <w:outlineLvl w:val="0"/>
        <w:rPr>
          <w:rStyle w:val="58"/>
          <w:rFonts w:ascii="黑体" w:hAnsi="黑体" w:eastAsia="黑体" w:cs="黑体"/>
          <w:color w:val="auto"/>
          <w:sz w:val="32"/>
          <w:szCs w:val="32"/>
          <w:highlight w:val="none"/>
        </w:rPr>
      </w:pPr>
      <w:bookmarkStart w:id="391" w:name="_Toc28750"/>
      <w:bookmarkStart w:id="392" w:name="_Toc25108"/>
      <w:r>
        <w:rPr>
          <w:rStyle w:val="58"/>
          <w:rFonts w:hint="eastAsia" w:ascii="黑体" w:hAnsi="黑体" w:eastAsia="黑体" w:cs="黑体"/>
          <w:color w:val="auto"/>
          <w:sz w:val="32"/>
          <w:szCs w:val="32"/>
          <w:highlight w:val="none"/>
        </w:rPr>
        <w:t>第五章  合同主要条款</w:t>
      </w:r>
      <w:bookmarkEnd w:id="391"/>
      <w:bookmarkEnd w:id="392"/>
    </w:p>
    <w:p w14:paraId="074E3D16">
      <w:pPr>
        <w:rPr>
          <w:color w:val="auto"/>
          <w:highlight w:val="none"/>
        </w:rPr>
      </w:pPr>
    </w:p>
    <w:p w14:paraId="5F8A3AD3">
      <w:pPr>
        <w:pStyle w:val="23"/>
        <w:snapToGrid w:val="0"/>
        <w:spacing w:before="0" w:beforeLines="0" w:after="0" w:afterLines="0" w:line="360" w:lineRule="auto"/>
        <w:jc w:val="center"/>
        <w:rPr>
          <w:rFonts w:hAnsi="宋体" w:cs="宋体"/>
          <w:bCs/>
          <w:color w:val="auto"/>
          <w:sz w:val="21"/>
          <w:szCs w:val="21"/>
          <w:highlight w:val="none"/>
        </w:rPr>
      </w:pPr>
      <w:r>
        <w:rPr>
          <w:rFonts w:hint="eastAsia" w:hAnsi="宋体" w:cs="宋体"/>
          <w:bCs/>
          <w:color w:val="auto"/>
          <w:sz w:val="21"/>
          <w:szCs w:val="21"/>
          <w:highlight w:val="none"/>
        </w:rPr>
        <w:t>浙江省政府采购合同指引（未尽事宜或合同内容需增加的，根据采购文件约定或中标供应商要约情况及采购人实际情况增补或调整）</w:t>
      </w:r>
    </w:p>
    <w:p w14:paraId="54FFA115">
      <w:pPr>
        <w:tabs>
          <w:tab w:val="left" w:pos="420"/>
        </w:tabs>
        <w:autoSpaceDE w:val="0"/>
        <w:autoSpaceDN w:val="0"/>
        <w:snapToGrid w:val="0"/>
        <w:spacing w:line="500" w:lineRule="exact"/>
        <w:textAlignment w:val="bottom"/>
        <w:rPr>
          <w:rFonts w:ascii="宋体" w:hAnsi="宋体" w:cs="宋体"/>
          <w:color w:val="auto"/>
          <w:sz w:val="22"/>
          <w:szCs w:val="22"/>
          <w:highlight w:val="none"/>
        </w:rPr>
      </w:pPr>
    </w:p>
    <w:p w14:paraId="6DD37E7D">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 xml:space="preserve">                                </w:t>
      </w:r>
    </w:p>
    <w:p w14:paraId="65A875C6">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 xml:space="preserve">   </w:t>
      </w:r>
    </w:p>
    <w:p w14:paraId="0ABB0A38">
      <w:pPr>
        <w:pStyle w:val="95"/>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甲方（采购人）：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w:t>
      </w:r>
    </w:p>
    <w:p w14:paraId="4483BF4A">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乙方（供应商）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w:t>
      </w:r>
    </w:p>
    <w:p w14:paraId="0D4E5586">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甲、乙双方根据关于</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u w:val="single"/>
          <w:lang w:val="zh-CN"/>
        </w:rPr>
        <w:t>公开采购</w:t>
      </w:r>
      <w:r>
        <w:rPr>
          <w:rFonts w:hint="eastAsia" w:ascii="宋体" w:hAnsi="宋体" w:eastAsia="宋体" w:cs="宋体"/>
          <w:color w:val="auto"/>
          <w:sz w:val="21"/>
          <w:szCs w:val="21"/>
          <w:highlight w:val="none"/>
          <w:lang w:val="zh-CN"/>
        </w:rPr>
        <w:t>的结果，按照《中华人民共和国民法典》的有关规定，在自愿、平等、公平、诚信的基础上，经双方协商一致，签订本合同。</w:t>
      </w:r>
    </w:p>
    <w:p w14:paraId="1133AEC7">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下述文件作为附件，是合同的一部分，并与本合同一起阅读和解释：</w:t>
      </w:r>
    </w:p>
    <w:p w14:paraId="06C4CB82">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a.本项目采购文件；</w:t>
      </w:r>
    </w:p>
    <w:p w14:paraId="46BFEB14">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b.投标文件及澄清文件；</w:t>
      </w:r>
    </w:p>
    <w:p w14:paraId="4BAA4897">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c.中标通知书；</w:t>
      </w:r>
    </w:p>
    <w:p w14:paraId="5EAF9907">
      <w:pPr>
        <w:pStyle w:val="95"/>
        <w:spacing w:line="400" w:lineRule="exact"/>
        <w:ind w:firstLine="42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上述文件与合同若有不一致之处，优先次序第一应为合同、第二应为附件（附件的优先次序为c,b,a）。</w:t>
      </w:r>
    </w:p>
    <w:p w14:paraId="118E8906">
      <w:pPr>
        <w:keepNext/>
        <w:keepLines/>
        <w:spacing w:line="400" w:lineRule="exact"/>
        <w:ind w:firstLine="422" w:firstLineChars="200"/>
        <w:outlineLvl w:val="2"/>
        <w:rPr>
          <w:rFonts w:ascii="宋体" w:hAnsi="宋体" w:cs="宋体"/>
          <w:b/>
          <w:bCs/>
          <w:color w:val="auto"/>
          <w:szCs w:val="21"/>
          <w:highlight w:val="none"/>
        </w:rPr>
      </w:pPr>
      <w:r>
        <w:rPr>
          <w:rFonts w:hint="eastAsia" w:ascii="宋体" w:hAnsi="宋体" w:cs="宋体"/>
          <w:b/>
          <w:bCs/>
          <w:color w:val="auto"/>
          <w:szCs w:val="21"/>
          <w:highlight w:val="none"/>
        </w:rPr>
        <w:t>一、项目名称、合同履行期限（服务期限）、服务内容</w:t>
      </w:r>
    </w:p>
    <w:p w14:paraId="242B58BD">
      <w:pPr>
        <w:pStyle w:val="95"/>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1.1项目名称：</w:t>
      </w:r>
      <w:r>
        <w:rPr>
          <w:rFonts w:hint="eastAsia" w:ascii="宋体" w:hAnsi="宋体" w:eastAsia="宋体" w:cs="宋体"/>
          <w:color w:val="auto"/>
          <w:sz w:val="21"/>
          <w:szCs w:val="21"/>
          <w:highlight w:val="none"/>
          <w:u w:val="single"/>
        </w:rPr>
        <w:t xml:space="preserve">                      </w:t>
      </w:r>
    </w:p>
    <w:p w14:paraId="2DF80EEC">
      <w:pPr>
        <w:pStyle w:val="95"/>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1.2合同履行期限（服务期限）：</w:t>
      </w:r>
      <w:r>
        <w:rPr>
          <w:rFonts w:hint="eastAsia" w:ascii="宋体" w:hAnsi="宋体" w:eastAsia="宋体" w:cs="宋体"/>
          <w:color w:val="auto"/>
          <w:sz w:val="21"/>
          <w:szCs w:val="21"/>
          <w:highlight w:val="none"/>
          <w:u w:val="single"/>
        </w:rPr>
        <w:t xml:space="preserve">                     </w:t>
      </w:r>
    </w:p>
    <w:p w14:paraId="2061396C">
      <w:pPr>
        <w:pStyle w:val="95"/>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1.3服务内容：</w:t>
      </w:r>
      <w:r>
        <w:rPr>
          <w:rFonts w:hint="eastAsia" w:ascii="宋体" w:hAnsi="宋体" w:eastAsia="宋体" w:cs="宋体"/>
          <w:color w:val="auto"/>
          <w:sz w:val="21"/>
          <w:szCs w:val="21"/>
          <w:highlight w:val="none"/>
          <w:u w:val="single"/>
        </w:rPr>
        <w:t xml:space="preserve"> （需写明具体服务事项及相关要求）                 </w:t>
      </w:r>
    </w:p>
    <w:p w14:paraId="4CE494DD">
      <w:pPr>
        <w:keepNext/>
        <w:keepLines/>
        <w:spacing w:line="400" w:lineRule="exact"/>
        <w:ind w:firstLine="422" w:firstLineChars="200"/>
        <w:outlineLvl w:val="2"/>
        <w:rPr>
          <w:rFonts w:ascii="宋体" w:hAnsi="宋体" w:cs="宋体"/>
          <w:b/>
          <w:bCs/>
          <w:color w:val="auto"/>
          <w:szCs w:val="21"/>
          <w:highlight w:val="none"/>
        </w:rPr>
      </w:pPr>
      <w:r>
        <w:rPr>
          <w:rFonts w:hint="eastAsia" w:ascii="宋体" w:hAnsi="宋体" w:cs="宋体"/>
          <w:b/>
          <w:bCs/>
          <w:color w:val="auto"/>
          <w:szCs w:val="21"/>
          <w:highlight w:val="none"/>
        </w:rPr>
        <w:t>二、合同金额</w:t>
      </w:r>
    </w:p>
    <w:p w14:paraId="782FB7B3">
      <w:pPr>
        <w:pStyle w:val="95"/>
        <w:spacing w:line="40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2.1本合同金额为（大写）：</w:t>
      </w:r>
      <w:r>
        <w:rPr>
          <w:rFonts w:hint="eastAsia" w:ascii="宋体" w:hAnsi="宋体" w:eastAsia="宋体" w:cs="宋体"/>
          <w:color w:val="auto"/>
          <w:sz w:val="21"/>
          <w:szCs w:val="21"/>
          <w:highlight w:val="none"/>
          <w:u w:val="single"/>
        </w:rPr>
        <w:t xml:space="preserve">        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元</w:t>
      </w:r>
      <w:r>
        <w:rPr>
          <w:rFonts w:hint="eastAsia" w:ascii="宋体" w:hAnsi="宋体" w:eastAsia="宋体" w:cs="宋体"/>
          <w:color w:val="auto"/>
          <w:sz w:val="21"/>
          <w:szCs w:val="21"/>
          <w:highlight w:val="none"/>
        </w:rPr>
        <w:t>）人民币。</w:t>
      </w:r>
    </w:p>
    <w:p w14:paraId="59A750ED">
      <w:pPr>
        <w:keepNext/>
        <w:keepLines/>
        <w:spacing w:line="400" w:lineRule="exact"/>
        <w:ind w:firstLine="422" w:firstLineChars="200"/>
        <w:outlineLvl w:val="2"/>
        <w:rPr>
          <w:rFonts w:ascii="宋体" w:hAnsi="宋体" w:cs="宋体"/>
          <w:b/>
          <w:bCs/>
          <w:color w:val="auto"/>
          <w:szCs w:val="21"/>
          <w:highlight w:val="none"/>
        </w:rPr>
      </w:pPr>
      <w:r>
        <w:rPr>
          <w:rFonts w:hint="eastAsia" w:ascii="宋体" w:hAnsi="宋体" w:cs="宋体"/>
          <w:b/>
          <w:bCs/>
          <w:color w:val="auto"/>
          <w:szCs w:val="21"/>
          <w:highlight w:val="none"/>
        </w:rPr>
        <w:t>三、合同付款条件及支付方式</w:t>
      </w:r>
    </w:p>
    <w:p w14:paraId="02D87A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3.1支付方式：</w:t>
      </w:r>
    </w:p>
    <w:p w14:paraId="45E14C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（1）合同签订生效并具备实施条件后7个工作日内支付至合同总价的40%。</w:t>
      </w:r>
    </w:p>
    <w:p w14:paraId="6F328B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根据年度考核得分支付本项目剩余款项：考核得分在80分（含）至100分之间的，支付至合同金额的100%；得分在60分（不含）至80分（不含）之间的，支付至合同金额的80%；得分在60分（含）一下的，支付至合同金额的60%。考核标准详见“附件一：考核标准表”。</w:t>
      </w:r>
    </w:p>
    <w:p w14:paraId="012F9A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备注：每次支付合同款项前，成交供应商须开具符合采购要求的税务发票，采购单位对于满足合同约定支付条件的，自收到符合采购单位要求的发票后7个工作日内容支付对应款项。</w:t>
      </w:r>
    </w:p>
    <w:p w14:paraId="1A416E00">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3.2履行方式：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25C0C7">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52618246">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01CF8FD9">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12CE3833">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3.3履行地点：宁波市江北区  </w:t>
      </w:r>
    </w:p>
    <w:p w14:paraId="0C4EB122">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四、转包或分包</w:t>
      </w:r>
    </w:p>
    <w:p w14:paraId="41EE1D19">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4.1本合同范围的服务，应由乙方直接提供，不得转让他人；</w:t>
      </w:r>
    </w:p>
    <w:p w14:paraId="66DF2750">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4.2除非得到甲方的书面同意，乙方不得将本合同范围的服务全部或部分分包给他人供应；甲方有绝对权力阻止分包。</w:t>
      </w:r>
    </w:p>
    <w:p w14:paraId="19F42319">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4.3如有转让和未经甲方同意的分包行为，甲方有权解除合同，并追究乙方的违约责任。</w:t>
      </w:r>
    </w:p>
    <w:p w14:paraId="45F3334C">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五、服务质量保证期和服务质量保证金</w:t>
      </w:r>
    </w:p>
    <w:p w14:paraId="1E03D3D0">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5.1服务质量保证期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年。（自验收合格之日起计）</w:t>
      </w:r>
    </w:p>
    <w:p w14:paraId="13E186F1">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5.2服务质量保证金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4E027DC1">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六、税率</w:t>
      </w:r>
    </w:p>
    <w:p w14:paraId="509F236A">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6.1本合同执行中相关的一切税费均由乙方负担。</w:t>
      </w:r>
    </w:p>
    <w:p w14:paraId="041E6C3C">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七、完成质量要求</w:t>
      </w:r>
    </w:p>
    <w:p w14:paraId="1E2ADB4B">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7.1乙方应按招标文件规定向甲方提供服务。</w:t>
      </w:r>
    </w:p>
    <w:p w14:paraId="6D2B8723">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7.2乙方提供的服务成果在服务质量保证期内发生故障，乙方应负责免费提供后续服务。对达不到要求者，根据实际情况，经双方协商，可按以下办法处理：</w:t>
      </w:r>
    </w:p>
    <w:p w14:paraId="39EC4114">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⑴重做：由乙方承担所发生的全部费用。</w:t>
      </w:r>
    </w:p>
    <w:p w14:paraId="37895D61">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14:paraId="2BD02629">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⑶解除合同。</w:t>
      </w:r>
    </w:p>
    <w:p w14:paraId="6B54B727">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7.3如在使用过程中发生问题，乙方在接到甲方通知后在2小时内到达甲方现场。</w:t>
      </w:r>
    </w:p>
    <w:p w14:paraId="2C033F37">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7.4在服务质量保证期内，乙方应对出现的质量及安全问题负责处理解决并承担一切费用。</w:t>
      </w:r>
    </w:p>
    <w:p w14:paraId="139CF820">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八、知识产权</w:t>
      </w:r>
    </w:p>
    <w:p w14:paraId="07E7A09F">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8.1乙方应保证所提供的服务或其任何一部分均不会侵犯任何第三方的知识产权。</w:t>
      </w:r>
    </w:p>
    <w:p w14:paraId="5C09A1B1">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九、技术资料</w:t>
      </w:r>
    </w:p>
    <w:p w14:paraId="788CEA66">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9.1乙方应按招标文件规定的时间向甲方提供有关技术资料。</w:t>
      </w:r>
    </w:p>
    <w:p w14:paraId="510948DC">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C3CF8DC">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 xml:space="preserve">十、违约责任 </w:t>
      </w:r>
    </w:p>
    <w:p w14:paraId="7A24010F">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10.1甲方无正当理由拒收接受服务的，甲方向乙方偿付合同款项百分之一作为违约金。</w:t>
      </w:r>
    </w:p>
    <w:p w14:paraId="5249A771">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10.2甲方无故逾期验收和办理款项支付手续的,甲方应按逾期付款总额每日万分之一向乙方支付违约金。</w:t>
      </w:r>
    </w:p>
    <w:p w14:paraId="6EA971CA">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10.3乙方未能如期提供服务的，每日向甲方支付合同款项的千分之六作为违约。乙方超过约定日期10个工作日仍不能提供服务的，甲方可解除本合同。乙方因未能如期提供服务或因其他违约行为导致甲方解除合同的，乙方应向甲方支付合同总值百分之五的违约金，如造成甲方损失超过违约金的，超出部分由乙方继续承担赔偿责任。 </w:t>
      </w:r>
    </w:p>
    <w:p w14:paraId="757F471E">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10.4合同签订后，因乙方服务响应不及时或服务内容、工具、人员不符合采购要求，经甲方提醒后仍拒不整改，采购方有权终止合同，且不支付任何款项。</w:t>
      </w:r>
    </w:p>
    <w:p w14:paraId="2ED84A1A">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10.5因乙方原因造成信息安全责任事故产生重大损失或不良影响的，甲方有权随时终止合同，不支付任何合同款并保留追偿权。</w:t>
      </w:r>
    </w:p>
    <w:p w14:paraId="3A9F9931">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十一、不可抗力事件处理</w:t>
      </w:r>
    </w:p>
    <w:p w14:paraId="17C4CD29">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11.1在合同有效期内，任何一方因不可抗力事件导致不能履行合同，则合同履行期可延长，其延长期与不可抗力影响期相同。</w:t>
      </w:r>
    </w:p>
    <w:p w14:paraId="73FF67FF">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11.2不可抗力事件发生后，应立即通知对方，并寄送有关权威机构出具的证明。</w:t>
      </w:r>
    </w:p>
    <w:p w14:paraId="28459421">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11.3不可抗力事件延续120天以上，双方应通过友好协商，确定是否继续履行合同。</w:t>
      </w:r>
    </w:p>
    <w:p w14:paraId="10507E72">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十二、诉讼</w:t>
      </w:r>
    </w:p>
    <w:p w14:paraId="7B0FA7B0">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12.1双方在执行合同中所发生的一切争议，应通过协商解决。如协商不成，可向甲方所在地法院起诉。</w:t>
      </w:r>
    </w:p>
    <w:p w14:paraId="22A107B2">
      <w:pPr>
        <w:keepNext/>
        <w:keepLines/>
        <w:spacing w:line="360" w:lineRule="auto"/>
        <w:ind w:firstLine="420"/>
        <w:outlineLvl w:val="2"/>
        <w:rPr>
          <w:rFonts w:ascii="宋体" w:hAnsi="宋体" w:cs="宋体"/>
          <w:b/>
          <w:bCs/>
          <w:color w:val="auto"/>
          <w:szCs w:val="21"/>
          <w:highlight w:val="none"/>
        </w:rPr>
      </w:pPr>
      <w:r>
        <w:rPr>
          <w:rFonts w:hint="eastAsia" w:ascii="宋体" w:hAnsi="宋体" w:cs="宋体"/>
          <w:b/>
          <w:bCs/>
          <w:color w:val="auto"/>
          <w:szCs w:val="21"/>
          <w:highlight w:val="none"/>
        </w:rPr>
        <w:t>十三、合同生效及其它</w:t>
      </w:r>
    </w:p>
    <w:p w14:paraId="16B0FBC7">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13.1合同经双方法定代表人或授权代表签字并加盖单位公章后生效。</w:t>
      </w:r>
    </w:p>
    <w:p w14:paraId="1EB7B90B">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13.2合同执行中涉及采购资金和采购内容修改或补充的，须经财政部门审批，并</w:t>
      </w:r>
    </w:p>
    <w:p w14:paraId="094293DF">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签书面补充协议报政府采购监督管理部门备案，方可作为主合同不可分割的一部分。</w:t>
      </w:r>
    </w:p>
    <w:p w14:paraId="5A2F8051">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13.3本合同未尽事宜，遵照《合同法》有关条文执行。</w:t>
      </w:r>
    </w:p>
    <w:p w14:paraId="6B5A8701">
      <w:pPr>
        <w:pStyle w:val="95"/>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13.4本合同正本一式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0AFA1A91">
      <w:pPr>
        <w:pStyle w:val="95"/>
        <w:ind w:firstLine="0" w:firstLineChars="0"/>
        <w:rPr>
          <w:rFonts w:hAnsi="宋体" w:eastAsia="宋体"/>
          <w:color w:val="auto"/>
          <w:sz w:val="22"/>
          <w:szCs w:val="22"/>
          <w:highlight w:val="none"/>
        </w:rPr>
      </w:pPr>
      <w:r>
        <w:rPr>
          <w:rFonts w:hint="eastAsia" w:hAnsi="宋体" w:eastAsia="宋体"/>
          <w:color w:val="auto"/>
          <w:sz w:val="22"/>
          <w:szCs w:val="22"/>
          <w:highlight w:val="none"/>
        </w:rPr>
        <w:t>（本页无正文）</w:t>
      </w:r>
    </w:p>
    <w:p w14:paraId="37D9E10D">
      <w:pPr>
        <w:pStyle w:val="95"/>
        <w:ind w:firstLine="0" w:firstLineChars="0"/>
        <w:rPr>
          <w:rFonts w:hAnsi="宋体" w:eastAsia="宋体"/>
          <w:color w:val="auto"/>
          <w:sz w:val="22"/>
          <w:szCs w:val="22"/>
          <w:highlight w:val="none"/>
        </w:rPr>
      </w:pPr>
    </w:p>
    <w:p w14:paraId="3C9B884A">
      <w:pPr>
        <w:spacing w:line="480" w:lineRule="auto"/>
        <w:rPr>
          <w:color w:val="auto"/>
          <w:highlight w:val="none"/>
        </w:rPr>
      </w:pPr>
      <w:r>
        <w:rPr>
          <w:rFonts w:hint="eastAsia"/>
          <w:color w:val="auto"/>
          <w:highlight w:val="none"/>
        </w:rPr>
        <w:t xml:space="preserve">甲方（盖章）：                            乙方（盖章）：        </w:t>
      </w:r>
    </w:p>
    <w:p w14:paraId="35C84D2F">
      <w:pPr>
        <w:spacing w:line="480" w:lineRule="auto"/>
        <w:rPr>
          <w:color w:val="auto"/>
          <w:highlight w:val="none"/>
        </w:rPr>
      </w:pPr>
      <w:r>
        <w:rPr>
          <w:rFonts w:hint="eastAsia"/>
          <w:color w:val="auto"/>
          <w:highlight w:val="none"/>
        </w:rPr>
        <w:t xml:space="preserve">法定代表人：                              法定代表人：                   </w:t>
      </w:r>
    </w:p>
    <w:p w14:paraId="6045D6CB">
      <w:pPr>
        <w:spacing w:line="480" w:lineRule="auto"/>
        <w:rPr>
          <w:color w:val="auto"/>
          <w:highlight w:val="none"/>
        </w:rPr>
      </w:pPr>
      <w:r>
        <w:rPr>
          <w:rFonts w:hint="eastAsia"/>
          <w:color w:val="auto"/>
          <w:highlight w:val="none"/>
        </w:rPr>
        <w:t xml:space="preserve">或受委托人（签字）：                      或受委托人（签字）：                  </w:t>
      </w:r>
    </w:p>
    <w:p w14:paraId="724E17F6">
      <w:pPr>
        <w:spacing w:line="480" w:lineRule="auto"/>
        <w:rPr>
          <w:color w:val="auto"/>
          <w:highlight w:val="none"/>
        </w:rPr>
      </w:pPr>
      <w:r>
        <w:rPr>
          <w:rFonts w:hint="eastAsia"/>
          <w:color w:val="auto"/>
          <w:highlight w:val="none"/>
        </w:rPr>
        <w:t xml:space="preserve">联系人：                                  联系人：                                   </w:t>
      </w:r>
    </w:p>
    <w:p w14:paraId="38FA3FFD">
      <w:pPr>
        <w:adjustRightInd w:val="0"/>
        <w:snapToGrid w:val="0"/>
        <w:spacing w:line="480" w:lineRule="auto"/>
        <w:ind w:firstLine="420" w:firstLineChars="200"/>
        <w:rPr>
          <w:color w:val="auto"/>
          <w:highlight w:val="none"/>
        </w:rPr>
      </w:pPr>
      <w:r>
        <w:rPr>
          <w:rFonts w:hint="eastAsia"/>
          <w:color w:val="auto"/>
          <w:highlight w:val="none"/>
        </w:rPr>
        <w:t xml:space="preserve">                                          </w:t>
      </w:r>
    </w:p>
    <w:p w14:paraId="73759E0E">
      <w:pPr>
        <w:adjustRightInd w:val="0"/>
        <w:snapToGrid w:val="0"/>
        <w:spacing w:line="480" w:lineRule="auto"/>
        <w:ind w:firstLine="420" w:firstLineChars="200"/>
        <w:jc w:val="right"/>
        <w:rPr>
          <w:color w:val="auto"/>
          <w:highlight w:val="none"/>
        </w:rPr>
      </w:pPr>
      <w:r>
        <w:rPr>
          <w:rFonts w:hint="eastAsia"/>
          <w:color w:val="auto"/>
          <w:highlight w:val="none"/>
        </w:rPr>
        <w:t xml:space="preserve">  签约日期：    年   月    日</w:t>
      </w:r>
    </w:p>
    <w:p w14:paraId="023D746E">
      <w:pPr>
        <w:rPr>
          <w:rStyle w:val="58"/>
          <w:rFonts w:ascii="黑体" w:hAnsi="黑体" w:eastAsia="黑体" w:cs="黑体"/>
          <w:color w:val="auto"/>
          <w:sz w:val="32"/>
          <w:szCs w:val="32"/>
          <w:highlight w:val="none"/>
        </w:rPr>
      </w:pPr>
      <w:bookmarkStart w:id="393" w:name="_Toc5206"/>
      <w:bookmarkStart w:id="394" w:name="_Toc6748"/>
      <w:r>
        <w:rPr>
          <w:rStyle w:val="58"/>
          <w:rFonts w:hint="eastAsia" w:ascii="黑体" w:hAnsi="黑体" w:eastAsia="黑体" w:cs="黑体"/>
          <w:color w:val="auto"/>
          <w:sz w:val="32"/>
          <w:szCs w:val="32"/>
          <w:highlight w:val="none"/>
        </w:rPr>
        <w:br w:type="page"/>
      </w:r>
    </w:p>
    <w:p w14:paraId="0AA83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附件一：考核标准表</w:t>
      </w:r>
    </w:p>
    <w:tbl>
      <w:tblPr>
        <w:tblStyle w:val="42"/>
        <w:tblW w:w="5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0"/>
        <w:gridCol w:w="1164"/>
        <w:gridCol w:w="732"/>
        <w:gridCol w:w="2553"/>
        <w:gridCol w:w="4987"/>
      </w:tblGrid>
      <w:tr w14:paraId="1BF6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1" w:hRule="atLeast"/>
          <w:tblHeader/>
          <w:jc w:val="center"/>
        </w:trPr>
        <w:tc>
          <w:tcPr>
            <w:tcW w:w="345" w:type="pct"/>
            <w:tcMar>
              <w:top w:w="120" w:type="dxa"/>
              <w:left w:w="120" w:type="dxa"/>
              <w:bottom w:w="120" w:type="dxa"/>
              <w:right w:w="120" w:type="dxa"/>
            </w:tcMar>
            <w:vAlign w:val="center"/>
          </w:tcPr>
          <w:p w14:paraId="7370E592">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574" w:type="pct"/>
            <w:tcMar>
              <w:top w:w="120" w:type="dxa"/>
              <w:left w:w="120" w:type="dxa"/>
              <w:bottom w:w="120" w:type="dxa"/>
              <w:right w:w="120" w:type="dxa"/>
            </w:tcMar>
            <w:vAlign w:val="center"/>
          </w:tcPr>
          <w:p w14:paraId="4D24056B">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考核项目</w:t>
            </w:r>
          </w:p>
        </w:tc>
        <w:tc>
          <w:tcPr>
            <w:tcW w:w="361" w:type="pct"/>
            <w:tcMar>
              <w:top w:w="120" w:type="dxa"/>
              <w:left w:w="120" w:type="dxa"/>
              <w:bottom w:w="120" w:type="dxa"/>
              <w:right w:w="120" w:type="dxa"/>
            </w:tcMar>
            <w:vAlign w:val="center"/>
          </w:tcPr>
          <w:p w14:paraId="79F0C072">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分值</w:t>
            </w:r>
          </w:p>
        </w:tc>
        <w:tc>
          <w:tcPr>
            <w:tcW w:w="1259" w:type="pct"/>
            <w:tcMar>
              <w:top w:w="120" w:type="dxa"/>
              <w:left w:w="120" w:type="dxa"/>
              <w:bottom w:w="120" w:type="dxa"/>
              <w:right w:w="120" w:type="dxa"/>
            </w:tcMar>
            <w:vAlign w:val="center"/>
          </w:tcPr>
          <w:p w14:paraId="2413C8CE">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评分标准</w:t>
            </w:r>
          </w:p>
        </w:tc>
        <w:tc>
          <w:tcPr>
            <w:tcW w:w="2459" w:type="pct"/>
            <w:tcMar>
              <w:top w:w="120" w:type="dxa"/>
              <w:left w:w="120" w:type="dxa"/>
              <w:bottom w:w="120" w:type="dxa"/>
              <w:right w:w="120" w:type="dxa"/>
            </w:tcMar>
            <w:vAlign w:val="center"/>
          </w:tcPr>
          <w:p w14:paraId="260B5630">
            <w:pPr>
              <w:widowControl/>
              <w:spacing w:line="30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处理方式</w:t>
            </w:r>
          </w:p>
        </w:tc>
      </w:tr>
      <w:tr w14:paraId="783C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1" w:hRule="atLeast"/>
          <w:jc w:val="center"/>
        </w:trPr>
        <w:tc>
          <w:tcPr>
            <w:tcW w:w="345" w:type="pct"/>
            <w:tcMar>
              <w:top w:w="120" w:type="dxa"/>
              <w:left w:w="120" w:type="dxa"/>
              <w:bottom w:w="120" w:type="dxa"/>
              <w:right w:w="120" w:type="dxa"/>
            </w:tcMar>
            <w:vAlign w:val="center"/>
          </w:tcPr>
          <w:p w14:paraId="4EB44503">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574" w:type="pct"/>
            <w:tcMar>
              <w:top w:w="120" w:type="dxa"/>
              <w:left w:w="120" w:type="dxa"/>
              <w:bottom w:w="120" w:type="dxa"/>
              <w:right w:w="120" w:type="dxa"/>
            </w:tcMar>
            <w:vAlign w:val="center"/>
          </w:tcPr>
          <w:p w14:paraId="74C86A9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安全管理服务</w:t>
            </w:r>
          </w:p>
        </w:tc>
        <w:tc>
          <w:tcPr>
            <w:tcW w:w="361" w:type="pct"/>
            <w:tcMar>
              <w:top w:w="120" w:type="dxa"/>
              <w:left w:w="120" w:type="dxa"/>
              <w:bottom w:w="120" w:type="dxa"/>
              <w:right w:w="120" w:type="dxa"/>
            </w:tcMar>
            <w:vAlign w:val="center"/>
          </w:tcPr>
          <w:p w14:paraId="47AE0F4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259" w:type="pct"/>
            <w:tcMar>
              <w:top w:w="120" w:type="dxa"/>
              <w:left w:w="120" w:type="dxa"/>
              <w:bottom w:w="120" w:type="dxa"/>
              <w:right w:w="120" w:type="dxa"/>
            </w:tcMar>
            <w:vAlign w:val="center"/>
          </w:tcPr>
          <w:p w14:paraId="7B8CEA5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按要求完成资产盘点、风险跟踪、年度运维报告，资料完整、跟踪及时</w:t>
            </w:r>
          </w:p>
        </w:tc>
        <w:tc>
          <w:tcPr>
            <w:tcW w:w="2459" w:type="pct"/>
            <w:tcMar>
              <w:top w:w="120" w:type="dxa"/>
              <w:left w:w="120" w:type="dxa"/>
              <w:bottom w:w="120" w:type="dxa"/>
              <w:right w:w="120" w:type="dxa"/>
            </w:tcMar>
            <w:vAlign w:val="center"/>
          </w:tcPr>
          <w:p w14:paraId="6806D362">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1.未更新《资产登记册》，每次扣2分</w:t>
            </w:r>
          </w:p>
          <w:p w14:paraId="68E85767">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2.未输出风险等级清单，每次扣3分</w:t>
            </w:r>
          </w:p>
          <w:p w14:paraId="346DED7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3.未提交年度《运维服务报告》，扣5分</w:t>
            </w:r>
          </w:p>
        </w:tc>
      </w:tr>
      <w:tr w14:paraId="743F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jc w:val="center"/>
        </w:trPr>
        <w:tc>
          <w:tcPr>
            <w:tcW w:w="345" w:type="pct"/>
            <w:tcMar>
              <w:top w:w="120" w:type="dxa"/>
              <w:left w:w="120" w:type="dxa"/>
              <w:bottom w:w="120" w:type="dxa"/>
              <w:right w:w="120" w:type="dxa"/>
            </w:tcMar>
            <w:vAlign w:val="center"/>
          </w:tcPr>
          <w:p w14:paraId="34B45F3F">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574" w:type="pct"/>
            <w:tcMar>
              <w:top w:w="120" w:type="dxa"/>
              <w:left w:w="120" w:type="dxa"/>
              <w:bottom w:w="120" w:type="dxa"/>
              <w:right w:w="120" w:type="dxa"/>
            </w:tcMar>
            <w:vAlign w:val="center"/>
          </w:tcPr>
          <w:p w14:paraId="06B6C9D5">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安全检测服务</w:t>
            </w:r>
          </w:p>
        </w:tc>
        <w:tc>
          <w:tcPr>
            <w:tcW w:w="361" w:type="pct"/>
            <w:tcMar>
              <w:top w:w="120" w:type="dxa"/>
              <w:left w:w="120" w:type="dxa"/>
              <w:bottom w:w="120" w:type="dxa"/>
              <w:right w:w="120" w:type="dxa"/>
            </w:tcMar>
            <w:vAlign w:val="center"/>
          </w:tcPr>
          <w:p w14:paraId="2D69B0F8">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1259" w:type="pct"/>
            <w:tcMar>
              <w:top w:w="120" w:type="dxa"/>
              <w:left w:w="120" w:type="dxa"/>
              <w:bottom w:w="120" w:type="dxa"/>
              <w:right w:w="120" w:type="dxa"/>
            </w:tcMar>
            <w:vAlign w:val="center"/>
          </w:tcPr>
          <w:p w14:paraId="4AB6E39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按频次完成技术评估、安全巡检、漏洞检测、渗透测试、网站安全监测，报告规范齐全</w:t>
            </w:r>
          </w:p>
        </w:tc>
        <w:tc>
          <w:tcPr>
            <w:tcW w:w="2459" w:type="pct"/>
            <w:tcMar>
              <w:top w:w="120" w:type="dxa"/>
              <w:left w:w="120" w:type="dxa"/>
              <w:bottom w:w="120" w:type="dxa"/>
              <w:right w:w="120" w:type="dxa"/>
            </w:tcMar>
            <w:vAlign w:val="center"/>
          </w:tcPr>
          <w:p w14:paraId="654645B0">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1.未开展月度安全巡检，单次扣5分</w:t>
            </w:r>
          </w:p>
          <w:p w14:paraId="53EC5A5C">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2.未按要求完成技术评估、渗透测试、网站监测，每项扣5分</w:t>
            </w:r>
          </w:p>
          <w:p w14:paraId="2D536B1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3.安全巡检报表、检测报告缺失，每份扣2分</w:t>
            </w:r>
          </w:p>
        </w:tc>
      </w:tr>
      <w:tr w14:paraId="21AA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45" w:type="pct"/>
            <w:tcMar>
              <w:top w:w="120" w:type="dxa"/>
              <w:left w:w="120" w:type="dxa"/>
              <w:bottom w:w="120" w:type="dxa"/>
              <w:right w:w="120" w:type="dxa"/>
            </w:tcMar>
            <w:vAlign w:val="center"/>
          </w:tcPr>
          <w:p w14:paraId="383C53AA">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574" w:type="pct"/>
            <w:tcMar>
              <w:top w:w="120" w:type="dxa"/>
              <w:left w:w="120" w:type="dxa"/>
              <w:bottom w:w="120" w:type="dxa"/>
              <w:right w:w="120" w:type="dxa"/>
            </w:tcMar>
            <w:vAlign w:val="center"/>
          </w:tcPr>
          <w:p w14:paraId="7D6268E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优化改善服务</w:t>
            </w:r>
          </w:p>
        </w:tc>
        <w:tc>
          <w:tcPr>
            <w:tcW w:w="361" w:type="pct"/>
            <w:tcMar>
              <w:top w:w="120" w:type="dxa"/>
              <w:left w:w="120" w:type="dxa"/>
              <w:bottom w:w="120" w:type="dxa"/>
              <w:right w:w="120" w:type="dxa"/>
            </w:tcMar>
            <w:vAlign w:val="center"/>
          </w:tcPr>
          <w:p w14:paraId="435FAFC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259" w:type="pct"/>
            <w:tcMar>
              <w:top w:w="120" w:type="dxa"/>
              <w:left w:w="120" w:type="dxa"/>
              <w:bottom w:w="120" w:type="dxa"/>
              <w:right w:w="120" w:type="dxa"/>
            </w:tcMar>
            <w:vAlign w:val="center"/>
          </w:tcPr>
          <w:p w14:paraId="48E725F5">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完成安全基线加固、防护策略优化、年度安全培训，符合规范要求</w:t>
            </w:r>
          </w:p>
        </w:tc>
        <w:tc>
          <w:tcPr>
            <w:tcW w:w="2459" w:type="pct"/>
            <w:tcMar>
              <w:top w:w="120" w:type="dxa"/>
              <w:left w:w="120" w:type="dxa"/>
              <w:bottom w:w="120" w:type="dxa"/>
              <w:right w:w="120" w:type="dxa"/>
            </w:tcMar>
            <w:vAlign w:val="center"/>
          </w:tcPr>
          <w:p w14:paraId="66A7F87A">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1.未建立安全基线规范或未实施加固，扣5分</w:t>
            </w:r>
          </w:p>
          <w:p w14:paraId="54F43D4E">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2.未开展安全培训，扣5分</w:t>
            </w:r>
          </w:p>
          <w:p w14:paraId="38E0C323">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3.策略优化未落实，每项扣3分</w:t>
            </w:r>
          </w:p>
        </w:tc>
      </w:tr>
      <w:tr w14:paraId="2A55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6" w:hRule="atLeast"/>
          <w:jc w:val="center"/>
        </w:trPr>
        <w:tc>
          <w:tcPr>
            <w:tcW w:w="345" w:type="pct"/>
            <w:tcMar>
              <w:top w:w="120" w:type="dxa"/>
              <w:left w:w="120" w:type="dxa"/>
              <w:bottom w:w="120" w:type="dxa"/>
              <w:right w:w="120" w:type="dxa"/>
            </w:tcMar>
            <w:vAlign w:val="center"/>
          </w:tcPr>
          <w:p w14:paraId="32B28EEB">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574" w:type="pct"/>
            <w:tcMar>
              <w:top w:w="120" w:type="dxa"/>
              <w:left w:w="120" w:type="dxa"/>
              <w:bottom w:w="120" w:type="dxa"/>
              <w:right w:w="120" w:type="dxa"/>
            </w:tcMar>
            <w:vAlign w:val="center"/>
          </w:tcPr>
          <w:p w14:paraId="07219EA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应急保障服务</w:t>
            </w:r>
          </w:p>
        </w:tc>
        <w:tc>
          <w:tcPr>
            <w:tcW w:w="361" w:type="pct"/>
            <w:tcMar>
              <w:top w:w="120" w:type="dxa"/>
              <w:left w:w="120" w:type="dxa"/>
              <w:bottom w:w="120" w:type="dxa"/>
              <w:right w:w="120" w:type="dxa"/>
            </w:tcMar>
            <w:vAlign w:val="center"/>
          </w:tcPr>
          <w:p w14:paraId="2FD0E30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1259" w:type="pct"/>
            <w:tcMar>
              <w:top w:w="120" w:type="dxa"/>
              <w:left w:w="120" w:type="dxa"/>
              <w:bottom w:w="120" w:type="dxa"/>
              <w:right w:w="120" w:type="dxa"/>
            </w:tcMar>
            <w:vAlign w:val="center"/>
          </w:tcPr>
          <w:p w14:paraId="7BA28CB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完成应急预案修订、应急演练，提供 7×24 小时应急响应与重大节点保障</w:t>
            </w:r>
          </w:p>
        </w:tc>
        <w:tc>
          <w:tcPr>
            <w:tcW w:w="2459" w:type="pct"/>
            <w:tcMar>
              <w:top w:w="120" w:type="dxa"/>
              <w:left w:w="120" w:type="dxa"/>
              <w:bottom w:w="120" w:type="dxa"/>
              <w:right w:w="120" w:type="dxa"/>
            </w:tcMar>
            <w:vAlign w:val="center"/>
          </w:tcPr>
          <w:p w14:paraId="25FDF88B">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未修订预案、未开展演练，每项扣5分</w:t>
            </w:r>
          </w:p>
          <w:p w14:paraId="1B34A3DF">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2.重大节点未执行双人双岗待命，扣5分</w:t>
            </w:r>
          </w:p>
          <w:p w14:paraId="4D7F5E6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3.运维响应不及时，单次扣5分</w:t>
            </w:r>
          </w:p>
        </w:tc>
      </w:tr>
      <w:tr w14:paraId="6A5B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0" w:hRule="atLeast"/>
          <w:jc w:val="center"/>
        </w:trPr>
        <w:tc>
          <w:tcPr>
            <w:tcW w:w="345" w:type="pct"/>
            <w:tcMar>
              <w:top w:w="120" w:type="dxa"/>
              <w:left w:w="120" w:type="dxa"/>
              <w:bottom w:w="120" w:type="dxa"/>
              <w:right w:w="120" w:type="dxa"/>
            </w:tcMar>
            <w:vAlign w:val="center"/>
          </w:tcPr>
          <w:p w14:paraId="2CEA2E02">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574" w:type="pct"/>
            <w:tcMar>
              <w:top w:w="120" w:type="dxa"/>
              <w:left w:w="120" w:type="dxa"/>
              <w:bottom w:w="120" w:type="dxa"/>
              <w:right w:w="120" w:type="dxa"/>
            </w:tcMar>
            <w:vAlign w:val="center"/>
          </w:tcPr>
          <w:p w14:paraId="2EF3D72C">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其他配套服务</w:t>
            </w:r>
          </w:p>
        </w:tc>
        <w:tc>
          <w:tcPr>
            <w:tcW w:w="361" w:type="pct"/>
            <w:tcMar>
              <w:top w:w="120" w:type="dxa"/>
              <w:left w:w="120" w:type="dxa"/>
              <w:bottom w:w="120" w:type="dxa"/>
              <w:right w:w="120" w:type="dxa"/>
            </w:tcMar>
            <w:vAlign w:val="center"/>
          </w:tcPr>
          <w:p w14:paraId="5B9281A8">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259" w:type="pct"/>
            <w:tcMar>
              <w:top w:w="120" w:type="dxa"/>
              <w:left w:w="120" w:type="dxa"/>
              <w:bottom w:w="120" w:type="dxa"/>
              <w:right w:w="120" w:type="dxa"/>
            </w:tcMar>
            <w:vAlign w:val="center"/>
          </w:tcPr>
          <w:p w14:paraId="1E84FF99">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按要求完成监管检查协助、系统上线检测、等保测评协助</w:t>
            </w:r>
          </w:p>
        </w:tc>
        <w:tc>
          <w:tcPr>
            <w:tcW w:w="2459" w:type="pct"/>
            <w:tcMar>
              <w:top w:w="120" w:type="dxa"/>
              <w:left w:w="120" w:type="dxa"/>
              <w:bottom w:w="120" w:type="dxa"/>
              <w:right w:w="120" w:type="dxa"/>
            </w:tcMar>
            <w:vAlign w:val="center"/>
          </w:tcPr>
          <w:p w14:paraId="6F4E43D5">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未配合监管部门网络安全检查，每次扣5分</w:t>
            </w:r>
          </w:p>
          <w:p w14:paraId="288D2583">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2.上线检测未按要求执行，每次扣2分</w:t>
            </w:r>
          </w:p>
          <w:p w14:paraId="49E4D20E">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3.等保测评协助不到位，扣3分</w:t>
            </w:r>
          </w:p>
        </w:tc>
      </w:tr>
      <w:tr w14:paraId="1305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jc w:val="center"/>
        </w:trPr>
        <w:tc>
          <w:tcPr>
            <w:tcW w:w="345" w:type="pct"/>
            <w:tcMar>
              <w:top w:w="120" w:type="dxa"/>
              <w:left w:w="120" w:type="dxa"/>
              <w:bottom w:w="120" w:type="dxa"/>
              <w:right w:w="120" w:type="dxa"/>
            </w:tcMar>
            <w:vAlign w:val="center"/>
          </w:tcPr>
          <w:p w14:paraId="485FCBBA">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574" w:type="pct"/>
            <w:tcMar>
              <w:top w:w="120" w:type="dxa"/>
              <w:left w:w="120" w:type="dxa"/>
              <w:bottom w:w="120" w:type="dxa"/>
              <w:right w:w="120" w:type="dxa"/>
            </w:tcMar>
            <w:vAlign w:val="center"/>
          </w:tcPr>
          <w:p w14:paraId="1E178261">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合规与通报处置</w:t>
            </w:r>
          </w:p>
        </w:tc>
        <w:tc>
          <w:tcPr>
            <w:tcW w:w="361" w:type="pct"/>
            <w:tcMar>
              <w:top w:w="120" w:type="dxa"/>
              <w:left w:w="120" w:type="dxa"/>
              <w:bottom w:w="120" w:type="dxa"/>
              <w:right w:w="120" w:type="dxa"/>
            </w:tcMar>
            <w:vAlign w:val="center"/>
          </w:tcPr>
          <w:p w14:paraId="06F1749F">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1259" w:type="pct"/>
            <w:tcMar>
              <w:top w:w="120" w:type="dxa"/>
              <w:left w:w="120" w:type="dxa"/>
              <w:bottom w:w="120" w:type="dxa"/>
              <w:right w:w="120" w:type="dxa"/>
            </w:tcMar>
            <w:vAlign w:val="center"/>
          </w:tcPr>
          <w:p w14:paraId="78139FC5">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及时处置安全通报、隐患整改，符合网络安全合规要求</w:t>
            </w:r>
          </w:p>
        </w:tc>
        <w:tc>
          <w:tcPr>
            <w:tcW w:w="2459" w:type="pct"/>
            <w:tcMar>
              <w:top w:w="120" w:type="dxa"/>
              <w:left w:w="120" w:type="dxa"/>
              <w:bottom w:w="120" w:type="dxa"/>
              <w:right w:w="120" w:type="dxa"/>
            </w:tcMar>
            <w:vAlign w:val="center"/>
          </w:tcPr>
          <w:p w14:paraId="23E5489F">
            <w:pPr>
              <w:widowControl/>
              <w:spacing w:line="30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1.受到省级以上安全通报未及时处置，单次扣5分</w:t>
            </w:r>
          </w:p>
          <w:p w14:paraId="2E1FBF93">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2.安全隐患未按期整改，每次扣3分</w:t>
            </w:r>
          </w:p>
        </w:tc>
      </w:tr>
      <w:tr w14:paraId="3876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4" w:hRule="atLeast"/>
          <w:jc w:val="center"/>
        </w:trPr>
        <w:tc>
          <w:tcPr>
            <w:tcW w:w="345" w:type="pct"/>
            <w:tcMar>
              <w:top w:w="120" w:type="dxa"/>
              <w:left w:w="120" w:type="dxa"/>
              <w:bottom w:w="120" w:type="dxa"/>
              <w:right w:w="120" w:type="dxa"/>
            </w:tcMar>
            <w:vAlign w:val="center"/>
          </w:tcPr>
          <w:p w14:paraId="488E58EF">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574" w:type="pct"/>
            <w:tcMar>
              <w:top w:w="120" w:type="dxa"/>
              <w:left w:w="120" w:type="dxa"/>
              <w:bottom w:w="120" w:type="dxa"/>
              <w:right w:w="120" w:type="dxa"/>
            </w:tcMar>
            <w:vAlign w:val="center"/>
          </w:tcPr>
          <w:p w14:paraId="17F69BFF">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服务满意度</w:t>
            </w:r>
          </w:p>
        </w:tc>
        <w:tc>
          <w:tcPr>
            <w:tcW w:w="361" w:type="pct"/>
            <w:tcMar>
              <w:top w:w="120" w:type="dxa"/>
              <w:left w:w="120" w:type="dxa"/>
              <w:bottom w:w="120" w:type="dxa"/>
              <w:right w:w="120" w:type="dxa"/>
            </w:tcMar>
            <w:vAlign w:val="center"/>
          </w:tcPr>
          <w:p w14:paraId="6ACB50F0">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1259" w:type="pct"/>
            <w:tcMar>
              <w:top w:w="120" w:type="dxa"/>
              <w:left w:w="120" w:type="dxa"/>
              <w:bottom w:w="120" w:type="dxa"/>
              <w:right w:w="120" w:type="dxa"/>
            </w:tcMar>
            <w:vAlign w:val="center"/>
          </w:tcPr>
          <w:p w14:paraId="14ECF616">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甲方对服务规范性、专业性、响应效率、配合度进行满意度评价</w:t>
            </w:r>
          </w:p>
        </w:tc>
        <w:tc>
          <w:tcPr>
            <w:tcW w:w="2459" w:type="pct"/>
            <w:tcMar>
              <w:top w:w="120" w:type="dxa"/>
              <w:left w:w="120" w:type="dxa"/>
              <w:bottom w:w="120" w:type="dxa"/>
              <w:right w:w="120" w:type="dxa"/>
            </w:tcMar>
            <w:vAlign w:val="center"/>
          </w:tcPr>
          <w:p w14:paraId="61A956DF">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非常满意不扣分、一般扣2分、不满意扣3分</w:t>
            </w:r>
          </w:p>
        </w:tc>
      </w:tr>
      <w:tr w14:paraId="4434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jc w:val="center"/>
        </w:trPr>
        <w:tc>
          <w:tcPr>
            <w:tcW w:w="919" w:type="pct"/>
            <w:gridSpan w:val="2"/>
            <w:tcMar>
              <w:top w:w="120" w:type="dxa"/>
              <w:left w:w="120" w:type="dxa"/>
              <w:bottom w:w="120" w:type="dxa"/>
              <w:right w:w="120" w:type="dxa"/>
            </w:tcMar>
            <w:vAlign w:val="center"/>
          </w:tcPr>
          <w:p w14:paraId="3A2421B7">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总分</w:t>
            </w:r>
          </w:p>
        </w:tc>
        <w:tc>
          <w:tcPr>
            <w:tcW w:w="1620" w:type="pct"/>
            <w:gridSpan w:val="2"/>
            <w:tcMar>
              <w:top w:w="120" w:type="dxa"/>
              <w:left w:w="120" w:type="dxa"/>
              <w:bottom w:w="120" w:type="dxa"/>
              <w:right w:w="120" w:type="dxa"/>
            </w:tcMar>
            <w:vAlign w:val="center"/>
          </w:tcPr>
          <w:p w14:paraId="172E3D1A">
            <w:pPr>
              <w:widowControl/>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100</w:t>
            </w:r>
          </w:p>
        </w:tc>
        <w:tc>
          <w:tcPr>
            <w:tcW w:w="2459" w:type="pct"/>
            <w:tcMar>
              <w:top w:w="120" w:type="dxa"/>
              <w:left w:w="120" w:type="dxa"/>
              <w:bottom w:w="120" w:type="dxa"/>
              <w:right w:w="120" w:type="dxa"/>
            </w:tcMar>
            <w:vAlign w:val="center"/>
          </w:tcPr>
          <w:p w14:paraId="63EADD31">
            <w:pPr>
              <w:widowControl/>
              <w:spacing w:line="300" w:lineRule="exact"/>
              <w:jc w:val="center"/>
              <w:rPr>
                <w:rFonts w:ascii="宋体" w:hAnsi="宋体" w:cs="宋体"/>
                <w:color w:val="auto"/>
                <w:szCs w:val="21"/>
                <w:highlight w:val="none"/>
              </w:rPr>
            </w:pPr>
          </w:p>
        </w:tc>
      </w:tr>
    </w:tbl>
    <w:p w14:paraId="31849B60">
      <w:pPr>
        <w:rPr>
          <w:rStyle w:val="58"/>
          <w:rFonts w:ascii="黑体" w:hAnsi="黑体" w:eastAsia="黑体" w:cs="黑体"/>
          <w:color w:val="auto"/>
          <w:sz w:val="32"/>
          <w:szCs w:val="32"/>
          <w:highlight w:val="none"/>
        </w:rPr>
      </w:pPr>
      <w:r>
        <w:rPr>
          <w:rStyle w:val="58"/>
          <w:rFonts w:hint="eastAsia" w:ascii="黑体" w:hAnsi="黑体" w:eastAsia="黑体" w:cs="黑体"/>
          <w:color w:val="auto"/>
          <w:sz w:val="32"/>
          <w:szCs w:val="32"/>
          <w:highlight w:val="none"/>
        </w:rPr>
        <w:br w:type="page"/>
      </w:r>
    </w:p>
    <w:p w14:paraId="47496F04">
      <w:pPr>
        <w:pStyle w:val="23"/>
        <w:snapToGrid w:val="0"/>
        <w:spacing w:before="0" w:beforeLines="0" w:after="0" w:afterLines="0" w:line="440" w:lineRule="exact"/>
        <w:jc w:val="center"/>
        <w:outlineLvl w:val="0"/>
        <w:rPr>
          <w:rStyle w:val="58"/>
          <w:rFonts w:ascii="黑体" w:hAnsi="黑体" w:eastAsia="黑体" w:cs="黑体"/>
          <w:color w:val="auto"/>
          <w:sz w:val="32"/>
          <w:szCs w:val="32"/>
          <w:highlight w:val="none"/>
        </w:rPr>
      </w:pPr>
      <w:r>
        <w:rPr>
          <w:rStyle w:val="58"/>
          <w:rFonts w:hint="eastAsia" w:ascii="黑体" w:hAnsi="黑体" w:eastAsia="黑体" w:cs="黑体"/>
          <w:color w:val="auto"/>
          <w:sz w:val="32"/>
          <w:szCs w:val="32"/>
          <w:highlight w:val="none"/>
        </w:rPr>
        <w:t>第六章　投标文件格式</w:t>
      </w:r>
      <w:bookmarkEnd w:id="393"/>
      <w:bookmarkEnd w:id="394"/>
    </w:p>
    <w:p w14:paraId="6734CEAF">
      <w:pPr>
        <w:pStyle w:val="5"/>
        <w:spacing w:before="0" w:after="0"/>
        <w:rPr>
          <w:rFonts w:ascii="宋体" w:hAnsi="宋体" w:cs="宋体"/>
          <w:color w:val="auto"/>
          <w:sz w:val="22"/>
          <w:szCs w:val="22"/>
          <w:highlight w:val="none"/>
        </w:rPr>
      </w:pPr>
      <w:bookmarkStart w:id="395" w:name="_Toc15007"/>
      <w:bookmarkStart w:id="396" w:name="_Toc17028"/>
      <w:bookmarkStart w:id="397" w:name="_Toc16687"/>
      <w:bookmarkStart w:id="398" w:name="_Toc9858"/>
      <w:r>
        <w:rPr>
          <w:rFonts w:hint="eastAsia" w:ascii="宋体" w:hAnsi="宋体" w:cs="宋体"/>
          <w:color w:val="auto"/>
          <w:sz w:val="22"/>
          <w:szCs w:val="22"/>
          <w:highlight w:val="none"/>
        </w:rPr>
        <w:t>一、投标文件封面格式</w:t>
      </w:r>
      <w:bookmarkEnd w:id="395"/>
      <w:bookmarkEnd w:id="396"/>
      <w:bookmarkEnd w:id="397"/>
      <w:bookmarkEnd w:id="398"/>
    </w:p>
    <w:p w14:paraId="6FE9EE6E">
      <w:pPr>
        <w:snapToGrid w:val="0"/>
        <w:rPr>
          <w:rFonts w:ascii="宋体" w:hAnsi="宋体" w:cs="宋体"/>
          <w:color w:val="auto"/>
          <w:szCs w:val="21"/>
          <w:highlight w:val="none"/>
        </w:rPr>
      </w:pPr>
      <w:r>
        <w:rPr>
          <w:rFonts w:hint="eastAsia" w:ascii="宋体" w:hAnsi="宋体" w:cs="宋体"/>
          <w:color w:val="auto"/>
          <w:szCs w:val="21"/>
          <w:highlight w:val="none"/>
        </w:rPr>
        <w:t>(所有投标文件的外包装可自行选用)</w:t>
      </w:r>
    </w:p>
    <w:p w14:paraId="7C6CF083">
      <w:pPr>
        <w:snapToGrid w:val="0"/>
        <w:jc w:val="center"/>
        <w:rPr>
          <w:rFonts w:ascii="宋体" w:hAnsi="宋体" w:cs="宋体"/>
          <w:bCs/>
          <w:color w:val="auto"/>
          <w:szCs w:val="21"/>
          <w:highlight w:val="none"/>
        </w:rPr>
      </w:pPr>
    </w:p>
    <w:p w14:paraId="7A53C9D9">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投 标 文 件</w:t>
      </w:r>
    </w:p>
    <w:p w14:paraId="7B737833">
      <w:pPr>
        <w:snapToGrid w:val="0"/>
        <w:rPr>
          <w:rFonts w:ascii="宋体" w:hAnsi="宋体" w:cs="宋体"/>
          <w:bCs/>
          <w:color w:val="auto"/>
          <w:szCs w:val="21"/>
          <w:highlight w:val="none"/>
        </w:rPr>
      </w:pPr>
    </w:p>
    <w:p w14:paraId="17D72BCC">
      <w:pPr>
        <w:snapToGrid w:val="0"/>
        <w:rPr>
          <w:rFonts w:ascii="宋体" w:hAnsi="宋体" w:cs="宋体"/>
          <w:bCs/>
          <w:color w:val="auto"/>
          <w:szCs w:val="21"/>
          <w:highlight w:val="none"/>
        </w:rPr>
      </w:pPr>
    </w:p>
    <w:p w14:paraId="34B800E9">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 xml:space="preserve">项目名称： </w:t>
      </w:r>
    </w:p>
    <w:p w14:paraId="1207AF48">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项目编号：</w:t>
      </w:r>
    </w:p>
    <w:p w14:paraId="4BDC1F51">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 xml:space="preserve">标项号：  </w:t>
      </w:r>
    </w:p>
    <w:p w14:paraId="56AA4F2D">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投标文件名称：资格审查文件/技术商务文件/报价文件</w:t>
      </w:r>
    </w:p>
    <w:p w14:paraId="5EAC48A3">
      <w:pPr>
        <w:pStyle w:val="2"/>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供应商名称：</w:t>
      </w:r>
    </w:p>
    <w:p w14:paraId="126B8682">
      <w:pPr>
        <w:pStyle w:val="2"/>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供应商地址：</w:t>
      </w:r>
    </w:p>
    <w:p w14:paraId="4213F547">
      <w:pPr>
        <w:pStyle w:val="2"/>
        <w:snapToGrid w:val="0"/>
        <w:spacing w:line="400" w:lineRule="exact"/>
        <w:ind w:firstLine="1785" w:firstLineChars="850"/>
        <w:rPr>
          <w:rFonts w:ascii="宋体" w:hAnsi="宋体" w:cs="宋体"/>
          <w:bCs/>
          <w:color w:val="auto"/>
          <w:szCs w:val="21"/>
          <w:highlight w:val="none"/>
        </w:rPr>
      </w:pPr>
      <w:r>
        <w:rPr>
          <w:rFonts w:hint="eastAsia" w:ascii="宋体" w:hAnsi="宋体" w:cs="宋体"/>
          <w:color w:val="auto"/>
          <w:szCs w:val="21"/>
          <w:highlight w:val="none"/>
        </w:rPr>
        <w:t xml:space="preserve">                  开标时启封</w:t>
      </w:r>
    </w:p>
    <w:p w14:paraId="12B58CA6">
      <w:pPr>
        <w:snapToGrid w:val="0"/>
        <w:ind w:firstLine="3570" w:firstLineChars="1700"/>
        <w:rPr>
          <w:rFonts w:ascii="宋体" w:hAnsi="宋体" w:cs="宋体"/>
          <w:bCs/>
          <w:color w:val="auto"/>
          <w:szCs w:val="21"/>
          <w:highlight w:val="none"/>
        </w:rPr>
      </w:pPr>
    </w:p>
    <w:p w14:paraId="59E16657">
      <w:pPr>
        <w:snapToGrid w:val="0"/>
        <w:ind w:firstLine="645"/>
        <w:jc w:val="center"/>
        <w:rPr>
          <w:rFonts w:ascii="宋体" w:hAnsi="宋体" w:cs="宋体"/>
          <w:bCs/>
          <w:color w:val="auto"/>
          <w:szCs w:val="21"/>
          <w:highlight w:val="none"/>
        </w:rPr>
      </w:pPr>
      <w:r>
        <w:rPr>
          <w:rFonts w:hint="eastAsia" w:ascii="宋体" w:hAnsi="宋体" w:cs="宋体"/>
          <w:bCs/>
          <w:color w:val="auto"/>
          <w:szCs w:val="21"/>
          <w:highlight w:val="none"/>
        </w:rPr>
        <w:t xml:space="preserve">                        年  月  日</w:t>
      </w:r>
    </w:p>
    <w:p w14:paraId="371FEDA0">
      <w:pPr>
        <w:snapToGrid w:val="0"/>
        <w:rPr>
          <w:rFonts w:ascii="宋体" w:hAnsi="宋体" w:cs="宋体"/>
          <w:color w:val="auto"/>
          <w:szCs w:val="21"/>
          <w:highlight w:val="none"/>
        </w:rPr>
      </w:pPr>
    </w:p>
    <w:p w14:paraId="5EEBDAAE">
      <w:pPr>
        <w:snapToGrid w:val="0"/>
        <w:jc w:val="center"/>
        <w:rPr>
          <w:rFonts w:ascii="宋体" w:hAnsi="宋体" w:cs="宋体"/>
          <w:color w:val="auto"/>
          <w:szCs w:val="21"/>
          <w:highlight w:val="none"/>
        </w:rPr>
      </w:pPr>
    </w:p>
    <w:p w14:paraId="193130F6">
      <w:pPr>
        <w:snapToGrid w:val="0"/>
        <w:outlineLvl w:val="2"/>
        <w:rPr>
          <w:rFonts w:ascii="宋体" w:hAnsi="宋体" w:cs="宋体"/>
          <w:color w:val="auto"/>
          <w:szCs w:val="21"/>
          <w:highlight w:val="none"/>
        </w:rPr>
      </w:pPr>
      <w:bookmarkStart w:id="399" w:name="_Toc14077"/>
      <w:bookmarkStart w:id="400" w:name="_Toc16816"/>
      <w:bookmarkStart w:id="401" w:name="_Toc21646"/>
      <w:bookmarkStart w:id="402" w:name="_Toc6052"/>
      <w:r>
        <w:rPr>
          <w:rFonts w:hint="eastAsia" w:ascii="宋体" w:hAnsi="宋体" w:cs="宋体"/>
          <w:color w:val="auto"/>
          <w:szCs w:val="21"/>
          <w:highlight w:val="none"/>
        </w:rPr>
        <w:t>2.封面格式</w:t>
      </w:r>
      <w:bookmarkEnd w:id="399"/>
      <w:bookmarkEnd w:id="400"/>
      <w:bookmarkEnd w:id="401"/>
      <w:bookmarkEnd w:id="402"/>
      <w:r>
        <w:rPr>
          <w:rFonts w:hint="eastAsia" w:ascii="宋体" w:hAnsi="宋体" w:cs="宋体"/>
          <w:color w:val="auto"/>
          <w:szCs w:val="21"/>
          <w:highlight w:val="none"/>
        </w:rPr>
        <w:t xml:space="preserve"> </w:t>
      </w:r>
    </w:p>
    <w:p w14:paraId="0F30087D">
      <w:pPr>
        <w:snapToGrid w:val="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正本/或副本</w:t>
      </w:r>
    </w:p>
    <w:p w14:paraId="40C262F3">
      <w:pPr>
        <w:snapToGrid w:val="0"/>
        <w:rPr>
          <w:rFonts w:ascii="宋体" w:hAnsi="宋体" w:cs="宋体"/>
          <w:bCs/>
          <w:color w:val="auto"/>
          <w:szCs w:val="21"/>
          <w:highlight w:val="none"/>
        </w:rPr>
      </w:pPr>
    </w:p>
    <w:p w14:paraId="7C5ADF50">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投标文件</w:t>
      </w:r>
    </w:p>
    <w:p w14:paraId="4535F480">
      <w:pPr>
        <w:snapToGrid w:val="0"/>
        <w:rPr>
          <w:rFonts w:ascii="宋体" w:hAnsi="宋体" w:cs="宋体"/>
          <w:bCs/>
          <w:color w:val="auto"/>
          <w:szCs w:val="21"/>
          <w:highlight w:val="none"/>
        </w:rPr>
      </w:pPr>
    </w:p>
    <w:p w14:paraId="41F1B6D4">
      <w:pPr>
        <w:snapToGrid w:val="0"/>
        <w:rPr>
          <w:rFonts w:ascii="宋体" w:hAnsi="宋体" w:cs="宋体"/>
          <w:bCs/>
          <w:color w:val="auto"/>
          <w:szCs w:val="21"/>
          <w:highlight w:val="none"/>
        </w:rPr>
      </w:pPr>
    </w:p>
    <w:p w14:paraId="70FFC52B">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 xml:space="preserve">项目名称： </w:t>
      </w:r>
    </w:p>
    <w:p w14:paraId="1F3C00E1">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项目编号：</w:t>
      </w:r>
    </w:p>
    <w:p w14:paraId="5BFA6DC3">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 xml:space="preserve">标项号：  </w:t>
      </w:r>
    </w:p>
    <w:p w14:paraId="3151AA42">
      <w:pPr>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投标文件名称：资格审查文件/技术商务文件/报价文件</w:t>
      </w:r>
    </w:p>
    <w:p w14:paraId="24FD6658">
      <w:pPr>
        <w:pStyle w:val="2"/>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供应商名称：</w:t>
      </w:r>
    </w:p>
    <w:p w14:paraId="284BF292">
      <w:pPr>
        <w:pStyle w:val="2"/>
        <w:snapToGrid w:val="0"/>
        <w:spacing w:line="400" w:lineRule="exact"/>
        <w:ind w:firstLine="1365" w:firstLineChars="650"/>
        <w:rPr>
          <w:rFonts w:ascii="宋体" w:hAnsi="宋体" w:cs="宋体"/>
          <w:bCs/>
          <w:color w:val="auto"/>
          <w:szCs w:val="21"/>
          <w:highlight w:val="none"/>
        </w:rPr>
      </w:pPr>
      <w:r>
        <w:rPr>
          <w:rFonts w:hint="eastAsia" w:ascii="宋体" w:hAnsi="宋体" w:cs="宋体"/>
          <w:bCs/>
          <w:color w:val="auto"/>
          <w:szCs w:val="21"/>
          <w:highlight w:val="none"/>
        </w:rPr>
        <w:t>供应商地址：</w:t>
      </w:r>
    </w:p>
    <w:p w14:paraId="04A59226">
      <w:pPr>
        <w:pStyle w:val="2"/>
        <w:snapToGrid w:val="0"/>
        <w:ind w:firstLine="840" w:firstLineChars="400"/>
        <w:rPr>
          <w:rFonts w:ascii="宋体" w:hAnsi="宋体" w:cs="宋体"/>
          <w:bCs/>
          <w:color w:val="auto"/>
          <w:szCs w:val="21"/>
          <w:highlight w:val="none"/>
        </w:rPr>
      </w:pPr>
    </w:p>
    <w:p w14:paraId="5EE47DBD">
      <w:pPr>
        <w:pStyle w:val="2"/>
        <w:snapToGrid w:val="0"/>
        <w:ind w:firstLine="873" w:firstLineChars="416"/>
        <w:rPr>
          <w:rFonts w:ascii="宋体" w:hAnsi="宋体" w:cs="宋体"/>
          <w:color w:val="auto"/>
          <w:szCs w:val="21"/>
          <w:highlight w:val="none"/>
        </w:rPr>
      </w:pPr>
    </w:p>
    <w:p w14:paraId="7EB8B5DD">
      <w:pPr>
        <w:snapToGrid w:val="0"/>
        <w:spacing w:line="360" w:lineRule="auto"/>
        <w:ind w:firstLine="5040" w:firstLineChars="2400"/>
        <w:rPr>
          <w:rFonts w:ascii="宋体" w:hAnsi="宋体" w:cs="宋体"/>
          <w:color w:val="auto"/>
          <w:szCs w:val="21"/>
          <w:highlight w:val="none"/>
        </w:rPr>
      </w:pPr>
      <w:r>
        <w:rPr>
          <w:rFonts w:hint="eastAsia" w:ascii="宋体" w:hAnsi="宋体" w:cs="宋体"/>
          <w:color w:val="auto"/>
          <w:szCs w:val="21"/>
          <w:highlight w:val="none"/>
        </w:rPr>
        <w:t>投标单位全称（公章）：</w:t>
      </w:r>
    </w:p>
    <w:p w14:paraId="0F25E94E">
      <w:pPr>
        <w:snapToGrid w:val="0"/>
        <w:spacing w:line="360" w:lineRule="auto"/>
        <w:ind w:firstLine="645"/>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3C741F4A">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4DE13E70">
      <w:pPr>
        <w:adjustRightInd w:val="0"/>
        <w:snapToGrid w:val="0"/>
        <w:spacing w:line="360" w:lineRule="auto"/>
        <w:jc w:val="center"/>
        <w:outlineLvl w:val="2"/>
        <w:rPr>
          <w:rStyle w:val="90"/>
          <w:rFonts w:ascii="宋体" w:hAnsi="宋体" w:cs="宋体"/>
          <w:color w:val="auto"/>
          <w:szCs w:val="28"/>
          <w:highlight w:val="none"/>
        </w:rPr>
      </w:pPr>
      <w:bookmarkStart w:id="403" w:name="_Toc3702"/>
      <w:bookmarkStart w:id="404" w:name="_Toc13704"/>
      <w:bookmarkStart w:id="405" w:name="_Toc32692"/>
      <w:bookmarkStart w:id="406" w:name="_Toc18588"/>
      <w:r>
        <w:rPr>
          <w:rStyle w:val="90"/>
          <w:rFonts w:hint="eastAsia" w:ascii="宋体" w:hAnsi="宋体" w:cs="宋体"/>
          <w:color w:val="auto"/>
          <w:szCs w:val="28"/>
          <w:highlight w:val="none"/>
        </w:rPr>
        <w:t>资格条件自查表</w:t>
      </w:r>
      <w:bookmarkEnd w:id="403"/>
      <w:bookmarkEnd w:id="404"/>
      <w:bookmarkEnd w:id="405"/>
      <w:bookmarkEnd w:id="406"/>
    </w:p>
    <w:p w14:paraId="55251F62">
      <w:pPr>
        <w:pStyle w:val="59"/>
        <w:numPr>
          <w:ilvl w:val="0"/>
          <w:numId w:val="0"/>
        </w:numPr>
        <w:tabs>
          <w:tab w:val="clear" w:pos="306"/>
        </w:tabs>
        <w:ind w:left="-54"/>
        <w:rPr>
          <w:rFonts w:cs="宋体"/>
          <w:color w:val="auto"/>
          <w:highlight w:val="none"/>
        </w:rPr>
      </w:pPr>
    </w:p>
    <w:tbl>
      <w:tblPr>
        <w:tblStyle w:val="42"/>
        <w:tblW w:w="976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931"/>
        <w:gridCol w:w="4902"/>
        <w:gridCol w:w="1328"/>
        <w:gridCol w:w="2600"/>
      </w:tblGrid>
      <w:tr w14:paraId="4C917B2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tcBorders>
              <w:top w:val="single" w:color="auto" w:sz="12" w:space="0"/>
              <w:left w:val="single" w:color="auto" w:sz="12" w:space="0"/>
              <w:bottom w:val="outset" w:color="111111" w:sz="6" w:space="0"/>
              <w:right w:val="outset" w:color="111111" w:sz="6" w:space="0"/>
            </w:tcBorders>
            <w:vAlign w:val="center"/>
          </w:tcPr>
          <w:p w14:paraId="0C31E47F">
            <w:pPr>
              <w:adjustRightInd w:val="0"/>
              <w:snapToGrid w:val="0"/>
              <w:jc w:val="center"/>
              <w:rPr>
                <w:rFonts w:ascii="宋体" w:hAnsi="宋体" w:cs="宋体"/>
                <w:color w:val="auto"/>
                <w:szCs w:val="21"/>
                <w:highlight w:val="none"/>
              </w:rPr>
            </w:pPr>
            <w:r>
              <w:rPr>
                <w:rStyle w:val="45"/>
                <w:rFonts w:hint="eastAsia" w:ascii="宋体" w:hAnsi="宋体" w:cs="宋体"/>
                <w:color w:val="auto"/>
                <w:szCs w:val="21"/>
                <w:highlight w:val="none"/>
              </w:rPr>
              <w:t>评审内容</w:t>
            </w:r>
          </w:p>
        </w:tc>
        <w:tc>
          <w:tcPr>
            <w:tcW w:w="4902" w:type="dxa"/>
            <w:tcBorders>
              <w:top w:val="single" w:color="auto" w:sz="12" w:space="0"/>
              <w:left w:val="outset" w:color="111111" w:sz="6" w:space="0"/>
              <w:bottom w:val="outset" w:color="111111" w:sz="6" w:space="0"/>
              <w:right w:val="outset" w:color="111111" w:sz="6" w:space="0"/>
            </w:tcBorders>
            <w:vAlign w:val="center"/>
          </w:tcPr>
          <w:p w14:paraId="71179335">
            <w:pPr>
              <w:adjustRightInd w:val="0"/>
              <w:snapToGrid w:val="0"/>
              <w:jc w:val="center"/>
              <w:rPr>
                <w:rFonts w:ascii="宋体" w:hAnsi="宋体" w:cs="宋体"/>
                <w:color w:val="auto"/>
                <w:szCs w:val="21"/>
                <w:highlight w:val="none"/>
              </w:rPr>
            </w:pPr>
            <w:r>
              <w:rPr>
                <w:rStyle w:val="45"/>
                <w:rFonts w:hint="eastAsia" w:ascii="宋体" w:hAnsi="宋体" w:cs="宋体"/>
                <w:color w:val="auto"/>
                <w:szCs w:val="21"/>
                <w:highlight w:val="none"/>
              </w:rPr>
              <w:t>采购文件要求</w:t>
            </w:r>
          </w:p>
        </w:tc>
        <w:tc>
          <w:tcPr>
            <w:tcW w:w="1328" w:type="dxa"/>
            <w:tcBorders>
              <w:top w:val="single" w:color="auto" w:sz="12" w:space="0"/>
              <w:left w:val="outset" w:color="111111" w:sz="6" w:space="0"/>
              <w:bottom w:val="outset" w:color="111111" w:sz="6" w:space="0"/>
              <w:right w:val="outset" w:color="111111" w:sz="6" w:space="0"/>
            </w:tcBorders>
            <w:vAlign w:val="center"/>
          </w:tcPr>
          <w:p w14:paraId="30774580">
            <w:pPr>
              <w:adjustRightInd w:val="0"/>
              <w:snapToGrid w:val="0"/>
              <w:jc w:val="center"/>
              <w:rPr>
                <w:rFonts w:ascii="宋体" w:hAnsi="宋体" w:cs="宋体"/>
                <w:color w:val="auto"/>
                <w:szCs w:val="21"/>
                <w:highlight w:val="none"/>
              </w:rPr>
            </w:pPr>
            <w:r>
              <w:rPr>
                <w:rStyle w:val="45"/>
                <w:rFonts w:hint="eastAsia" w:ascii="宋体" w:hAnsi="宋体" w:cs="宋体"/>
                <w:color w:val="auto"/>
                <w:szCs w:val="21"/>
                <w:highlight w:val="none"/>
              </w:rPr>
              <w:t>自查结论</w:t>
            </w:r>
          </w:p>
        </w:tc>
        <w:tc>
          <w:tcPr>
            <w:tcW w:w="2600" w:type="dxa"/>
            <w:tcBorders>
              <w:top w:val="single" w:color="auto" w:sz="12" w:space="0"/>
              <w:left w:val="outset" w:color="111111" w:sz="6" w:space="0"/>
              <w:bottom w:val="outset" w:color="111111" w:sz="6" w:space="0"/>
              <w:right w:val="single" w:color="auto" w:sz="12" w:space="0"/>
            </w:tcBorders>
            <w:vAlign w:val="center"/>
          </w:tcPr>
          <w:p w14:paraId="6AB2130B">
            <w:pPr>
              <w:adjustRightInd w:val="0"/>
              <w:snapToGrid w:val="0"/>
              <w:jc w:val="center"/>
              <w:rPr>
                <w:rFonts w:ascii="宋体" w:hAnsi="宋体" w:cs="宋体"/>
                <w:color w:val="auto"/>
                <w:szCs w:val="21"/>
                <w:highlight w:val="none"/>
              </w:rPr>
            </w:pPr>
            <w:r>
              <w:rPr>
                <w:rStyle w:val="45"/>
                <w:rFonts w:hint="eastAsia" w:ascii="宋体" w:hAnsi="宋体" w:cs="宋体"/>
                <w:color w:val="auto"/>
                <w:szCs w:val="21"/>
                <w:highlight w:val="none"/>
              </w:rPr>
              <w:t>证明资料</w:t>
            </w:r>
          </w:p>
        </w:tc>
      </w:tr>
      <w:tr w14:paraId="363215F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restart"/>
            <w:tcBorders>
              <w:top w:val="outset" w:color="111111" w:sz="6" w:space="0"/>
              <w:left w:val="single" w:color="auto" w:sz="12" w:space="0"/>
              <w:right w:val="outset" w:color="111111" w:sz="6" w:space="0"/>
            </w:tcBorders>
            <w:vAlign w:val="center"/>
          </w:tcPr>
          <w:p w14:paraId="042DEE5F">
            <w:pPr>
              <w:pStyle w:val="85"/>
              <w:adjustRightInd w:val="0"/>
              <w:snapToGrid w:val="0"/>
              <w:spacing w:before="0" w:beforeAutospacing="0" w:after="0" w:afterAutospacing="0"/>
              <w:jc w:val="center"/>
              <w:rPr>
                <w:rFonts w:cs="宋体"/>
                <w:b/>
                <w:color w:val="auto"/>
                <w:sz w:val="21"/>
                <w:szCs w:val="21"/>
                <w:highlight w:val="none"/>
              </w:rPr>
            </w:pPr>
            <w:r>
              <w:rPr>
                <w:rFonts w:hint="eastAsia" w:cs="宋体"/>
                <w:b/>
                <w:color w:val="auto"/>
                <w:sz w:val="21"/>
                <w:szCs w:val="21"/>
                <w:highlight w:val="none"/>
              </w:rPr>
              <w:t>资</w:t>
            </w:r>
          </w:p>
          <w:p w14:paraId="711E6144">
            <w:pPr>
              <w:pStyle w:val="85"/>
              <w:adjustRightInd w:val="0"/>
              <w:snapToGrid w:val="0"/>
              <w:spacing w:before="0" w:beforeAutospacing="0" w:after="0" w:afterAutospacing="0"/>
              <w:jc w:val="center"/>
              <w:rPr>
                <w:rFonts w:cs="宋体"/>
                <w:b/>
                <w:color w:val="auto"/>
                <w:sz w:val="21"/>
                <w:szCs w:val="21"/>
                <w:highlight w:val="none"/>
              </w:rPr>
            </w:pPr>
            <w:r>
              <w:rPr>
                <w:rFonts w:hint="eastAsia" w:cs="宋体"/>
                <w:b/>
                <w:color w:val="auto"/>
                <w:sz w:val="21"/>
                <w:szCs w:val="21"/>
                <w:highlight w:val="none"/>
              </w:rPr>
              <w:t>格</w:t>
            </w:r>
          </w:p>
          <w:p w14:paraId="358654BB">
            <w:pPr>
              <w:pStyle w:val="85"/>
              <w:adjustRightInd w:val="0"/>
              <w:snapToGrid w:val="0"/>
              <w:spacing w:before="0" w:beforeAutospacing="0" w:after="0" w:afterAutospacing="0"/>
              <w:jc w:val="center"/>
              <w:rPr>
                <w:rFonts w:cs="宋体"/>
                <w:b/>
                <w:color w:val="auto"/>
                <w:sz w:val="21"/>
                <w:szCs w:val="21"/>
                <w:highlight w:val="none"/>
              </w:rPr>
            </w:pPr>
            <w:r>
              <w:rPr>
                <w:rFonts w:hint="eastAsia" w:cs="宋体"/>
                <w:b/>
                <w:color w:val="auto"/>
                <w:sz w:val="21"/>
                <w:szCs w:val="21"/>
                <w:highlight w:val="none"/>
              </w:rPr>
              <w:t>性</w:t>
            </w:r>
          </w:p>
          <w:p w14:paraId="7D6D5A7A">
            <w:pPr>
              <w:pStyle w:val="85"/>
              <w:adjustRightInd w:val="0"/>
              <w:snapToGrid w:val="0"/>
              <w:spacing w:before="0" w:beforeAutospacing="0" w:after="0" w:afterAutospacing="0"/>
              <w:jc w:val="center"/>
              <w:rPr>
                <w:rFonts w:cs="宋体"/>
                <w:b/>
                <w:color w:val="auto"/>
                <w:sz w:val="21"/>
                <w:szCs w:val="21"/>
                <w:highlight w:val="none"/>
              </w:rPr>
            </w:pPr>
            <w:r>
              <w:rPr>
                <w:rFonts w:hint="eastAsia" w:cs="宋体"/>
                <w:b/>
                <w:color w:val="auto"/>
                <w:sz w:val="21"/>
                <w:szCs w:val="21"/>
                <w:highlight w:val="none"/>
              </w:rPr>
              <w:t>审</w:t>
            </w:r>
          </w:p>
          <w:p w14:paraId="673504A3">
            <w:pPr>
              <w:pStyle w:val="85"/>
              <w:adjustRightInd w:val="0"/>
              <w:snapToGrid w:val="0"/>
              <w:spacing w:before="0" w:beforeAutospacing="0" w:after="0" w:afterAutospacing="0"/>
              <w:jc w:val="center"/>
              <w:rPr>
                <w:rFonts w:cs="宋体"/>
                <w:b/>
                <w:color w:val="auto"/>
                <w:sz w:val="21"/>
                <w:szCs w:val="21"/>
                <w:highlight w:val="none"/>
              </w:rPr>
            </w:pPr>
            <w:r>
              <w:rPr>
                <w:rFonts w:hint="eastAsia" w:cs="宋体"/>
                <w:b/>
                <w:color w:val="auto"/>
                <w:sz w:val="21"/>
                <w:szCs w:val="21"/>
                <w:highlight w:val="none"/>
              </w:rPr>
              <w:t>查</w:t>
            </w:r>
          </w:p>
        </w:tc>
        <w:tc>
          <w:tcPr>
            <w:tcW w:w="4902" w:type="dxa"/>
            <w:tcBorders>
              <w:top w:val="outset" w:color="111111" w:sz="6" w:space="0"/>
              <w:left w:val="outset" w:color="111111" w:sz="6" w:space="0"/>
              <w:bottom w:val="single" w:color="auto" w:sz="4" w:space="0"/>
              <w:right w:val="outset" w:color="111111" w:sz="6" w:space="0"/>
            </w:tcBorders>
            <w:vAlign w:val="center"/>
          </w:tcPr>
          <w:p w14:paraId="77FFC70A">
            <w:pPr>
              <w:adjustRightInd w:val="0"/>
              <w:snapToGrid w:val="0"/>
              <w:rPr>
                <w:rFonts w:ascii="宋体" w:hAnsi="宋体" w:cs="宋体"/>
                <w:color w:val="auto"/>
                <w:szCs w:val="21"/>
                <w:highlight w:val="none"/>
              </w:rPr>
            </w:pPr>
            <w:r>
              <w:rPr>
                <w:rFonts w:hint="eastAsia" w:ascii="宋体" w:hAnsi="宋体" w:cs="宋体"/>
                <w:color w:val="auto"/>
                <w:szCs w:val="21"/>
                <w:highlight w:val="none"/>
              </w:rPr>
              <w:t>一、供应商投标声明书</w:t>
            </w:r>
          </w:p>
        </w:tc>
        <w:tc>
          <w:tcPr>
            <w:tcW w:w="1328" w:type="dxa"/>
            <w:vMerge w:val="restart"/>
            <w:tcBorders>
              <w:top w:val="outset" w:color="111111" w:sz="6" w:space="0"/>
              <w:left w:val="outset" w:color="111111" w:sz="6" w:space="0"/>
              <w:right w:val="outset" w:color="111111" w:sz="6" w:space="0"/>
            </w:tcBorders>
            <w:vAlign w:val="center"/>
          </w:tcPr>
          <w:p w14:paraId="2A83C511">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□通过 </w:t>
            </w:r>
          </w:p>
          <w:p w14:paraId="1C2BEF86">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2600" w:type="dxa"/>
            <w:tcBorders>
              <w:top w:val="outset" w:color="111111" w:sz="6" w:space="0"/>
              <w:left w:val="outset" w:color="111111" w:sz="6" w:space="0"/>
              <w:bottom w:val="single" w:color="auto" w:sz="4" w:space="0"/>
              <w:right w:val="single" w:color="auto" w:sz="12" w:space="0"/>
            </w:tcBorders>
            <w:vAlign w:val="center"/>
          </w:tcPr>
          <w:p w14:paraId="5C90B30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0EABE02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top w:val="outset" w:color="111111" w:sz="6" w:space="0"/>
              <w:left w:val="single" w:color="auto" w:sz="12" w:space="0"/>
              <w:right w:val="outset" w:color="111111" w:sz="6" w:space="0"/>
            </w:tcBorders>
            <w:vAlign w:val="center"/>
          </w:tcPr>
          <w:p w14:paraId="3A80DA67">
            <w:pPr>
              <w:pStyle w:val="85"/>
              <w:adjustRightInd w:val="0"/>
              <w:snapToGrid w:val="0"/>
              <w:spacing w:before="0" w:beforeAutospacing="0" w:after="0" w:afterAutospacing="0"/>
              <w:jc w:val="center"/>
              <w:rPr>
                <w:rFonts w:cs="宋体"/>
                <w:b/>
                <w:color w:val="auto"/>
                <w:sz w:val="21"/>
                <w:szCs w:val="21"/>
                <w:highlight w:val="none"/>
              </w:rPr>
            </w:pPr>
          </w:p>
        </w:tc>
        <w:tc>
          <w:tcPr>
            <w:tcW w:w="4902" w:type="dxa"/>
            <w:tcBorders>
              <w:top w:val="outset" w:color="111111" w:sz="6" w:space="0"/>
              <w:left w:val="outset" w:color="111111" w:sz="6" w:space="0"/>
              <w:bottom w:val="single" w:color="auto" w:sz="4" w:space="0"/>
              <w:right w:val="outset" w:color="111111" w:sz="6" w:space="0"/>
            </w:tcBorders>
            <w:vAlign w:val="center"/>
          </w:tcPr>
          <w:p w14:paraId="7C47740F">
            <w:pPr>
              <w:adjustRightInd w:val="0"/>
              <w:snapToGrid w:val="0"/>
              <w:rPr>
                <w:rFonts w:ascii="宋体" w:hAnsi="宋体" w:cs="宋体"/>
                <w:color w:val="auto"/>
                <w:szCs w:val="21"/>
                <w:highlight w:val="none"/>
              </w:rPr>
            </w:pPr>
            <w:r>
              <w:rPr>
                <w:rFonts w:hint="eastAsia" w:ascii="宋体" w:hAnsi="宋体" w:cs="宋体"/>
                <w:color w:val="auto"/>
                <w:szCs w:val="21"/>
                <w:highlight w:val="none"/>
              </w:rPr>
              <w:t>二、供应商具备《政府采购法》第二十二条所规定的条件：</w:t>
            </w:r>
          </w:p>
        </w:tc>
        <w:tc>
          <w:tcPr>
            <w:tcW w:w="1328" w:type="dxa"/>
            <w:vMerge w:val="continue"/>
            <w:tcBorders>
              <w:top w:val="outset" w:color="111111" w:sz="6" w:space="0"/>
              <w:left w:val="outset" w:color="111111" w:sz="6" w:space="0"/>
              <w:right w:val="outset" w:color="111111" w:sz="6" w:space="0"/>
            </w:tcBorders>
            <w:vAlign w:val="center"/>
          </w:tcPr>
          <w:p w14:paraId="5C3C7110">
            <w:pPr>
              <w:adjustRightInd w:val="0"/>
              <w:snapToGrid w:val="0"/>
              <w:rPr>
                <w:rFonts w:ascii="宋体" w:hAnsi="宋体" w:cs="宋体"/>
                <w:color w:val="auto"/>
                <w:szCs w:val="21"/>
                <w:highlight w:val="none"/>
              </w:rPr>
            </w:pPr>
          </w:p>
        </w:tc>
        <w:tc>
          <w:tcPr>
            <w:tcW w:w="2600" w:type="dxa"/>
            <w:tcBorders>
              <w:top w:val="outset" w:color="111111" w:sz="6" w:space="0"/>
              <w:left w:val="outset" w:color="111111" w:sz="6" w:space="0"/>
              <w:bottom w:val="single" w:color="auto" w:sz="4" w:space="0"/>
              <w:right w:val="single" w:color="auto" w:sz="12" w:space="0"/>
            </w:tcBorders>
            <w:vAlign w:val="center"/>
          </w:tcPr>
          <w:p w14:paraId="15CA58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  ）页</w:t>
            </w:r>
          </w:p>
        </w:tc>
      </w:tr>
      <w:tr w14:paraId="12444CA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72C38DF0">
            <w:pPr>
              <w:pStyle w:val="85"/>
              <w:adjustRightInd w:val="0"/>
              <w:snapToGrid w:val="0"/>
              <w:spacing w:before="0" w:beforeAutospacing="0" w:after="0" w:afterAutospacing="0"/>
              <w:jc w:val="center"/>
              <w:rPr>
                <w:rFonts w:cs="宋体"/>
                <w:b/>
                <w:color w:val="auto"/>
                <w:sz w:val="21"/>
                <w:szCs w:val="21"/>
                <w:highlight w:val="none"/>
              </w:rPr>
            </w:pPr>
          </w:p>
        </w:tc>
        <w:tc>
          <w:tcPr>
            <w:tcW w:w="4902" w:type="dxa"/>
            <w:tcBorders>
              <w:top w:val="outset" w:color="111111" w:sz="6" w:space="0"/>
              <w:left w:val="outset" w:color="111111" w:sz="6" w:space="0"/>
              <w:bottom w:val="single" w:color="auto" w:sz="4" w:space="0"/>
              <w:right w:val="outset" w:color="111111" w:sz="6" w:space="0"/>
            </w:tcBorders>
            <w:vAlign w:val="center"/>
          </w:tcPr>
          <w:p w14:paraId="5329127E">
            <w:pPr>
              <w:rPr>
                <w:rFonts w:ascii="宋体" w:hAnsi="宋体" w:cs="宋体"/>
                <w:color w:val="auto"/>
                <w:szCs w:val="21"/>
                <w:highlight w:val="none"/>
              </w:rPr>
            </w:pPr>
            <w:r>
              <w:rPr>
                <w:rFonts w:hint="eastAsia" w:ascii="宋体" w:hAnsi="宋体" w:cs="宋体"/>
                <w:color w:val="auto"/>
                <w:szCs w:val="21"/>
                <w:highlight w:val="none"/>
              </w:rPr>
              <w:t>1、具有有效的企业法人营业执照（或事业法人登记证）、其他组织的营业执照或者民办非企业单位登记证书复印件；</w:t>
            </w:r>
          </w:p>
        </w:tc>
        <w:tc>
          <w:tcPr>
            <w:tcW w:w="1328" w:type="dxa"/>
            <w:vMerge w:val="continue"/>
            <w:tcBorders>
              <w:top w:val="outset" w:color="111111" w:sz="6" w:space="0"/>
              <w:left w:val="outset" w:color="111111" w:sz="6" w:space="0"/>
              <w:right w:val="outset" w:color="111111" w:sz="6" w:space="0"/>
            </w:tcBorders>
            <w:vAlign w:val="center"/>
          </w:tcPr>
          <w:p w14:paraId="69B75199">
            <w:pPr>
              <w:adjustRightInd w:val="0"/>
              <w:snapToGrid w:val="0"/>
              <w:rPr>
                <w:rFonts w:ascii="宋体" w:hAnsi="宋体" w:cs="宋体"/>
                <w:color w:val="auto"/>
                <w:szCs w:val="21"/>
                <w:highlight w:val="none"/>
              </w:rPr>
            </w:pPr>
          </w:p>
        </w:tc>
        <w:tc>
          <w:tcPr>
            <w:tcW w:w="2600" w:type="dxa"/>
            <w:tcBorders>
              <w:top w:val="outset" w:color="111111" w:sz="6" w:space="0"/>
              <w:left w:val="outset" w:color="111111" w:sz="6" w:space="0"/>
              <w:bottom w:val="single" w:color="auto" w:sz="4" w:space="0"/>
              <w:right w:val="single" w:color="auto" w:sz="12" w:space="0"/>
            </w:tcBorders>
            <w:vAlign w:val="center"/>
          </w:tcPr>
          <w:p w14:paraId="38C255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71C069F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613D601C">
            <w:pPr>
              <w:pStyle w:val="85"/>
              <w:adjustRightInd w:val="0"/>
              <w:snapToGrid w:val="0"/>
              <w:spacing w:before="0" w:beforeAutospacing="0" w:after="0" w:afterAutospacing="0"/>
              <w:jc w:val="center"/>
              <w:rPr>
                <w:rFonts w:cs="宋体"/>
                <w:b/>
                <w:color w:val="auto"/>
                <w:sz w:val="21"/>
                <w:szCs w:val="21"/>
                <w:highlight w:val="none"/>
              </w:rPr>
            </w:pPr>
          </w:p>
        </w:tc>
        <w:tc>
          <w:tcPr>
            <w:tcW w:w="4902" w:type="dxa"/>
            <w:tcBorders>
              <w:top w:val="outset" w:color="111111" w:sz="6" w:space="0"/>
              <w:left w:val="outset" w:color="111111" w:sz="6" w:space="0"/>
              <w:bottom w:val="single" w:color="auto" w:sz="4" w:space="0"/>
              <w:right w:val="outset" w:color="111111" w:sz="6" w:space="0"/>
            </w:tcBorders>
            <w:vAlign w:val="center"/>
          </w:tcPr>
          <w:p w14:paraId="0A9CE9EB">
            <w:pPr>
              <w:adjustRightInd w:val="0"/>
              <w:snapToGrid w:val="0"/>
              <w:rPr>
                <w:rFonts w:ascii="宋体" w:hAnsi="宋体" w:cs="宋体"/>
                <w:color w:val="auto"/>
                <w:szCs w:val="21"/>
                <w:highlight w:val="none"/>
              </w:rPr>
            </w:pPr>
            <w:r>
              <w:rPr>
                <w:rFonts w:hint="eastAsia" w:ascii="宋体" w:hAnsi="宋体" w:cs="宋体"/>
                <w:color w:val="auto"/>
                <w:szCs w:val="21"/>
                <w:highlight w:val="none"/>
              </w:rPr>
              <w:t>2、供应商具备《中华人民共和国政府采购法》第二十二条规定的资格条件的承诺函</w:t>
            </w:r>
          </w:p>
        </w:tc>
        <w:tc>
          <w:tcPr>
            <w:tcW w:w="1328" w:type="dxa"/>
            <w:vMerge w:val="continue"/>
            <w:tcBorders>
              <w:top w:val="outset" w:color="111111" w:sz="6" w:space="0"/>
              <w:left w:val="outset" w:color="111111" w:sz="6" w:space="0"/>
              <w:right w:val="outset" w:color="111111" w:sz="6" w:space="0"/>
            </w:tcBorders>
            <w:vAlign w:val="center"/>
          </w:tcPr>
          <w:p w14:paraId="40C68462">
            <w:pPr>
              <w:adjustRightInd w:val="0"/>
              <w:snapToGrid w:val="0"/>
              <w:rPr>
                <w:rFonts w:ascii="宋体" w:hAnsi="宋体" w:cs="宋体"/>
                <w:color w:val="auto"/>
                <w:szCs w:val="21"/>
                <w:highlight w:val="none"/>
              </w:rPr>
            </w:pPr>
          </w:p>
        </w:tc>
        <w:tc>
          <w:tcPr>
            <w:tcW w:w="2600" w:type="dxa"/>
            <w:tcBorders>
              <w:top w:val="outset" w:color="111111" w:sz="6" w:space="0"/>
              <w:left w:val="outset" w:color="111111" w:sz="6" w:space="0"/>
              <w:bottom w:val="single" w:color="auto" w:sz="4" w:space="0"/>
              <w:right w:val="single" w:color="auto" w:sz="12" w:space="0"/>
            </w:tcBorders>
            <w:vAlign w:val="center"/>
          </w:tcPr>
          <w:p w14:paraId="1AD17D4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  ）页</w:t>
            </w:r>
          </w:p>
        </w:tc>
      </w:tr>
      <w:tr w14:paraId="7823246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7DAEA3D0">
            <w:pPr>
              <w:adjustRightInd w:val="0"/>
              <w:snapToGrid w:val="0"/>
              <w:rPr>
                <w:rFonts w:ascii="宋体" w:hAnsi="宋体" w:cs="宋体"/>
                <w:color w:val="auto"/>
                <w:szCs w:val="21"/>
                <w:highlight w:val="none"/>
              </w:rPr>
            </w:pPr>
          </w:p>
        </w:tc>
        <w:tc>
          <w:tcPr>
            <w:tcW w:w="4902" w:type="dxa"/>
            <w:tcBorders>
              <w:top w:val="outset" w:color="111111" w:sz="6" w:space="0"/>
              <w:left w:val="outset" w:color="111111" w:sz="6" w:space="0"/>
              <w:bottom w:val="outset" w:color="111111" w:sz="6" w:space="0"/>
              <w:right w:val="outset" w:color="111111" w:sz="6" w:space="0"/>
            </w:tcBorders>
            <w:vAlign w:val="center"/>
          </w:tcPr>
          <w:p w14:paraId="2FCF567A">
            <w:pPr>
              <w:adjustRightInd w:val="0"/>
              <w:snapToGrid w:val="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bCs/>
                <w:color w:val="auto"/>
                <w:szCs w:val="21"/>
                <w:highlight w:val="none"/>
              </w:rPr>
              <w:t>为采购项目提供整体设计、规范编制或者项目管理、监理、检测等服务的供应商及其附属机构，不得再参加本项目投标。</w:t>
            </w:r>
          </w:p>
        </w:tc>
        <w:tc>
          <w:tcPr>
            <w:tcW w:w="1328" w:type="dxa"/>
            <w:tcBorders>
              <w:top w:val="outset" w:color="111111" w:sz="6" w:space="0"/>
              <w:left w:val="outset" w:color="111111" w:sz="6" w:space="0"/>
              <w:bottom w:val="outset" w:color="111111" w:sz="6" w:space="0"/>
              <w:right w:val="outset" w:color="111111" w:sz="6" w:space="0"/>
            </w:tcBorders>
            <w:vAlign w:val="center"/>
          </w:tcPr>
          <w:p w14:paraId="40356029">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□通过 </w:t>
            </w:r>
          </w:p>
          <w:p w14:paraId="5AB6D691">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2600" w:type="dxa"/>
            <w:tcBorders>
              <w:top w:val="outset" w:color="111111" w:sz="6" w:space="0"/>
              <w:left w:val="outset" w:color="111111" w:sz="6" w:space="0"/>
              <w:bottom w:val="outset" w:color="111111" w:sz="6" w:space="0"/>
              <w:right w:val="single" w:color="auto" w:sz="12" w:space="0"/>
            </w:tcBorders>
            <w:vAlign w:val="center"/>
          </w:tcPr>
          <w:p w14:paraId="3352521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  ）页</w:t>
            </w:r>
          </w:p>
        </w:tc>
      </w:tr>
      <w:tr w14:paraId="24BC880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77384F2B">
            <w:pPr>
              <w:adjustRightInd w:val="0"/>
              <w:snapToGrid w:val="0"/>
              <w:rPr>
                <w:rFonts w:ascii="宋体" w:hAnsi="宋体" w:cs="宋体"/>
                <w:color w:val="auto"/>
                <w:szCs w:val="21"/>
                <w:highlight w:val="none"/>
              </w:rPr>
            </w:pPr>
          </w:p>
        </w:tc>
        <w:tc>
          <w:tcPr>
            <w:tcW w:w="4902" w:type="dxa"/>
            <w:tcBorders>
              <w:top w:val="outset" w:color="111111" w:sz="6" w:space="0"/>
              <w:left w:val="outset" w:color="111111" w:sz="6" w:space="0"/>
              <w:bottom w:val="outset" w:color="111111" w:sz="6" w:space="0"/>
              <w:right w:val="outset" w:color="111111" w:sz="6" w:space="0"/>
            </w:tcBorders>
            <w:vAlign w:val="center"/>
          </w:tcPr>
          <w:p w14:paraId="46421709">
            <w:pPr>
              <w:adjustRightInd w:val="0"/>
              <w:snapToGrid w:val="0"/>
              <w:rPr>
                <w:rFonts w:ascii="宋体" w:hAnsi="宋体" w:cs="宋体"/>
                <w:color w:val="auto"/>
                <w:szCs w:val="21"/>
                <w:highlight w:val="none"/>
              </w:rPr>
            </w:pPr>
            <w:r>
              <w:rPr>
                <w:rFonts w:hint="eastAsia" w:ascii="宋体" w:hAnsi="宋体" w:cs="宋体"/>
                <w:color w:val="auto"/>
                <w:szCs w:val="21"/>
                <w:highlight w:val="none"/>
              </w:rPr>
              <w:t>四、本项目联合体投标情况。</w:t>
            </w:r>
          </w:p>
        </w:tc>
        <w:tc>
          <w:tcPr>
            <w:tcW w:w="1328" w:type="dxa"/>
            <w:tcBorders>
              <w:top w:val="outset" w:color="111111" w:sz="6" w:space="0"/>
              <w:left w:val="outset" w:color="111111" w:sz="6" w:space="0"/>
              <w:bottom w:val="outset" w:color="111111" w:sz="6" w:space="0"/>
              <w:right w:val="outset" w:color="111111" w:sz="6" w:space="0"/>
            </w:tcBorders>
            <w:vAlign w:val="center"/>
          </w:tcPr>
          <w:p w14:paraId="707A9C31">
            <w:pPr>
              <w:adjustRightInd w:val="0"/>
              <w:snapToGrid w:val="0"/>
              <w:rPr>
                <w:rFonts w:ascii="宋体" w:hAnsi="宋体" w:cs="宋体"/>
                <w:color w:val="auto"/>
                <w:szCs w:val="21"/>
                <w:highlight w:val="none"/>
              </w:rPr>
            </w:pPr>
            <w:r>
              <w:rPr>
                <w:rFonts w:hint="eastAsia" w:ascii="宋体" w:hAnsi="宋体" w:cs="宋体"/>
                <w:color w:val="auto"/>
                <w:szCs w:val="21"/>
                <w:highlight w:val="none"/>
              </w:rPr>
              <w:t>□通过</w:t>
            </w:r>
          </w:p>
          <w:p w14:paraId="2AC70188">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2600" w:type="dxa"/>
            <w:tcBorders>
              <w:top w:val="outset" w:color="111111" w:sz="6" w:space="0"/>
              <w:left w:val="outset" w:color="111111" w:sz="6" w:space="0"/>
              <w:bottom w:val="outset" w:color="111111" w:sz="6" w:space="0"/>
              <w:right w:val="single" w:color="auto" w:sz="12" w:space="0"/>
            </w:tcBorders>
            <w:vAlign w:val="center"/>
          </w:tcPr>
          <w:p w14:paraId="2F92907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w:t>
            </w:r>
          </w:p>
        </w:tc>
      </w:tr>
      <w:tr w14:paraId="3613DB9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6FBA94B5">
            <w:pPr>
              <w:adjustRightInd w:val="0"/>
              <w:snapToGrid w:val="0"/>
              <w:rPr>
                <w:rFonts w:ascii="宋体" w:hAnsi="宋体" w:cs="宋体"/>
                <w:color w:val="auto"/>
                <w:szCs w:val="21"/>
                <w:highlight w:val="none"/>
              </w:rPr>
            </w:pPr>
          </w:p>
        </w:tc>
        <w:tc>
          <w:tcPr>
            <w:tcW w:w="4902" w:type="dxa"/>
            <w:tcBorders>
              <w:top w:val="outset" w:color="111111" w:sz="6" w:space="0"/>
              <w:left w:val="outset" w:color="111111" w:sz="6" w:space="0"/>
              <w:bottom w:val="outset" w:color="111111" w:sz="6" w:space="0"/>
              <w:right w:val="outset" w:color="111111" w:sz="6" w:space="0"/>
            </w:tcBorders>
            <w:vAlign w:val="center"/>
          </w:tcPr>
          <w:p w14:paraId="63E7D7BE">
            <w:pPr>
              <w:pStyle w:val="41"/>
              <w:spacing w:after="0"/>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供应商未被列入信用中国网站(www.creditchina.gov.cn)、中国政府采购网(www.ccgp.gov.cn)渠道信用记录失信被执行人、重大税收违法案件当事人名单、政府采购严重违法失信行为信息记录名单的供应商（以代理机构于投标截止日当天在“信用中国”网站（www.creditchina.gov.cn）及中国政府采购网查询结果为准，如相关失信记录已失效，供应商需提供相关证明资料）。</w:t>
            </w:r>
          </w:p>
        </w:tc>
        <w:tc>
          <w:tcPr>
            <w:tcW w:w="1328" w:type="dxa"/>
            <w:tcBorders>
              <w:top w:val="outset" w:color="111111" w:sz="6" w:space="0"/>
              <w:left w:val="outset" w:color="111111" w:sz="6" w:space="0"/>
              <w:bottom w:val="outset" w:color="111111" w:sz="6" w:space="0"/>
              <w:right w:val="outset" w:color="111111" w:sz="6" w:space="0"/>
            </w:tcBorders>
            <w:vAlign w:val="center"/>
          </w:tcPr>
          <w:p w14:paraId="504C74C1">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□通过 </w:t>
            </w:r>
          </w:p>
          <w:p w14:paraId="2027FD10">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2600" w:type="dxa"/>
            <w:tcBorders>
              <w:top w:val="outset" w:color="111111" w:sz="6" w:space="0"/>
              <w:left w:val="outset" w:color="111111" w:sz="6" w:space="0"/>
              <w:bottom w:val="outset" w:color="111111" w:sz="6" w:space="0"/>
              <w:right w:val="single" w:color="auto" w:sz="12" w:space="0"/>
            </w:tcBorders>
            <w:vAlign w:val="center"/>
          </w:tcPr>
          <w:p w14:paraId="3924065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r w14:paraId="2105E9D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32DB5113">
            <w:pPr>
              <w:adjustRightInd w:val="0"/>
              <w:snapToGrid w:val="0"/>
              <w:rPr>
                <w:rFonts w:ascii="宋体" w:hAnsi="宋体" w:cs="宋体"/>
                <w:color w:val="auto"/>
                <w:szCs w:val="21"/>
                <w:highlight w:val="none"/>
              </w:rPr>
            </w:pPr>
          </w:p>
        </w:tc>
        <w:tc>
          <w:tcPr>
            <w:tcW w:w="4902" w:type="dxa"/>
            <w:tcBorders>
              <w:top w:val="outset" w:color="111111" w:sz="6" w:space="0"/>
              <w:left w:val="outset" w:color="111111" w:sz="6" w:space="0"/>
              <w:bottom w:val="outset" w:color="111111" w:sz="6" w:space="0"/>
              <w:right w:val="outset" w:color="111111" w:sz="6" w:space="0"/>
            </w:tcBorders>
            <w:vAlign w:val="center"/>
          </w:tcPr>
          <w:p w14:paraId="22C201FF">
            <w:pPr>
              <w:adjustRightInd w:val="0"/>
              <w:snapToGrid w:val="0"/>
              <w:rPr>
                <w:rFonts w:ascii="宋体" w:hAnsi="宋体" w:cs="宋体"/>
                <w:color w:val="auto"/>
                <w:szCs w:val="21"/>
                <w:highlight w:val="none"/>
              </w:rPr>
            </w:pPr>
            <w:r>
              <w:rPr>
                <w:rFonts w:hint="eastAsia" w:ascii="宋体" w:hAnsi="宋体" w:cs="宋体"/>
                <w:color w:val="auto"/>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c>
          <w:tcPr>
            <w:tcW w:w="1328" w:type="dxa"/>
            <w:tcBorders>
              <w:top w:val="outset" w:color="111111" w:sz="6" w:space="0"/>
              <w:left w:val="outset" w:color="111111" w:sz="6" w:space="0"/>
              <w:bottom w:val="outset" w:color="111111" w:sz="6" w:space="0"/>
              <w:right w:val="outset" w:color="111111" w:sz="6" w:space="0"/>
            </w:tcBorders>
            <w:vAlign w:val="center"/>
          </w:tcPr>
          <w:p w14:paraId="07D3610B">
            <w:pPr>
              <w:adjustRightInd w:val="0"/>
              <w:snapToGrid w:val="0"/>
              <w:rPr>
                <w:rFonts w:ascii="宋体" w:hAnsi="宋体" w:cs="宋体"/>
                <w:color w:val="auto"/>
                <w:szCs w:val="21"/>
                <w:highlight w:val="none"/>
              </w:rPr>
            </w:pPr>
          </w:p>
        </w:tc>
        <w:tc>
          <w:tcPr>
            <w:tcW w:w="2600" w:type="dxa"/>
            <w:tcBorders>
              <w:top w:val="outset" w:color="111111" w:sz="6" w:space="0"/>
              <w:left w:val="outset" w:color="111111" w:sz="6" w:space="0"/>
              <w:bottom w:val="outset" w:color="111111" w:sz="6" w:space="0"/>
              <w:right w:val="single" w:color="auto" w:sz="12" w:space="0"/>
            </w:tcBorders>
            <w:vAlign w:val="center"/>
          </w:tcPr>
          <w:p w14:paraId="533E8876">
            <w:pPr>
              <w:adjustRightInd w:val="0"/>
              <w:snapToGrid w:val="0"/>
              <w:jc w:val="center"/>
              <w:rPr>
                <w:rFonts w:ascii="宋体" w:hAnsi="宋体" w:cs="宋体"/>
                <w:color w:val="auto"/>
                <w:szCs w:val="21"/>
                <w:highlight w:val="none"/>
              </w:rPr>
            </w:pPr>
          </w:p>
        </w:tc>
      </w:tr>
      <w:tr w14:paraId="4ADADBE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67" w:hRule="atLeast"/>
          <w:jc w:val="center"/>
        </w:trPr>
        <w:tc>
          <w:tcPr>
            <w:tcW w:w="931" w:type="dxa"/>
            <w:vMerge w:val="continue"/>
            <w:tcBorders>
              <w:left w:val="single" w:color="auto" w:sz="12" w:space="0"/>
              <w:right w:val="outset" w:color="111111" w:sz="6" w:space="0"/>
            </w:tcBorders>
            <w:vAlign w:val="center"/>
          </w:tcPr>
          <w:p w14:paraId="7AE7AD52">
            <w:pPr>
              <w:adjustRightInd w:val="0"/>
              <w:snapToGrid w:val="0"/>
              <w:rPr>
                <w:rFonts w:ascii="宋体" w:hAnsi="宋体" w:cs="宋体"/>
                <w:color w:val="auto"/>
                <w:szCs w:val="21"/>
                <w:highlight w:val="none"/>
              </w:rPr>
            </w:pPr>
          </w:p>
        </w:tc>
        <w:tc>
          <w:tcPr>
            <w:tcW w:w="4902" w:type="dxa"/>
            <w:tcBorders>
              <w:top w:val="outset" w:color="111111" w:sz="6" w:space="0"/>
              <w:left w:val="outset" w:color="111111" w:sz="6" w:space="0"/>
              <w:bottom w:val="outset" w:color="111111" w:sz="6" w:space="0"/>
              <w:right w:val="outset" w:color="111111" w:sz="6" w:space="0"/>
            </w:tcBorders>
            <w:vAlign w:val="center"/>
          </w:tcPr>
          <w:p w14:paraId="24F11E0C">
            <w:pPr>
              <w:adjustRightInd w:val="0"/>
              <w:snapToGrid w:val="0"/>
              <w:rPr>
                <w:rFonts w:ascii="宋体" w:hAnsi="宋体" w:cs="宋体"/>
                <w:color w:val="auto"/>
                <w:szCs w:val="21"/>
                <w:highlight w:val="none"/>
              </w:rPr>
            </w:pPr>
            <w:r>
              <w:rPr>
                <w:rFonts w:hint="eastAsia" w:ascii="宋体" w:hAnsi="宋体" w:cs="宋体"/>
                <w:color w:val="auto"/>
                <w:szCs w:val="21"/>
                <w:highlight w:val="none"/>
              </w:rPr>
              <w:t>五、特定条件（如有）</w:t>
            </w:r>
          </w:p>
        </w:tc>
        <w:tc>
          <w:tcPr>
            <w:tcW w:w="1328" w:type="dxa"/>
            <w:tcBorders>
              <w:top w:val="outset" w:color="111111" w:sz="6" w:space="0"/>
              <w:left w:val="outset" w:color="111111" w:sz="6" w:space="0"/>
              <w:bottom w:val="outset" w:color="111111" w:sz="6" w:space="0"/>
              <w:right w:val="outset" w:color="111111" w:sz="6" w:space="0"/>
            </w:tcBorders>
            <w:vAlign w:val="center"/>
          </w:tcPr>
          <w:p w14:paraId="511A848E">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□通过 </w:t>
            </w:r>
          </w:p>
          <w:p w14:paraId="015C1F65">
            <w:pPr>
              <w:adjustRightInd w:val="0"/>
              <w:snapToGrid w:val="0"/>
              <w:rPr>
                <w:rFonts w:ascii="宋体" w:hAnsi="宋体" w:cs="宋体"/>
                <w:color w:val="auto"/>
                <w:szCs w:val="21"/>
                <w:highlight w:val="none"/>
              </w:rPr>
            </w:pPr>
            <w:r>
              <w:rPr>
                <w:rFonts w:hint="eastAsia" w:ascii="宋体" w:hAnsi="宋体" w:cs="宋体"/>
                <w:color w:val="auto"/>
                <w:szCs w:val="21"/>
                <w:highlight w:val="none"/>
              </w:rPr>
              <w:t>□不通过</w:t>
            </w:r>
          </w:p>
        </w:tc>
        <w:tc>
          <w:tcPr>
            <w:tcW w:w="2600" w:type="dxa"/>
            <w:tcBorders>
              <w:top w:val="outset" w:color="111111" w:sz="6" w:space="0"/>
              <w:left w:val="outset" w:color="111111" w:sz="6" w:space="0"/>
              <w:bottom w:val="outset" w:color="111111" w:sz="6" w:space="0"/>
              <w:right w:val="single" w:color="auto" w:sz="12" w:space="0"/>
            </w:tcBorders>
            <w:vAlign w:val="center"/>
          </w:tcPr>
          <w:p w14:paraId="462D171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 ）页</w:t>
            </w:r>
          </w:p>
        </w:tc>
      </w:tr>
    </w:tbl>
    <w:p w14:paraId="49338529">
      <w:pPr>
        <w:spacing w:line="360" w:lineRule="auto"/>
        <w:jc w:val="center"/>
        <w:outlineLvl w:val="2"/>
        <w:rPr>
          <w:rFonts w:ascii="宋体" w:hAnsi="宋体" w:cs="宋体"/>
          <w:b/>
          <w:color w:val="auto"/>
          <w:sz w:val="32"/>
          <w:szCs w:val="32"/>
          <w:highlight w:val="none"/>
        </w:rPr>
      </w:pPr>
      <w:r>
        <w:rPr>
          <w:rFonts w:hint="eastAsia" w:ascii="宋体" w:hAnsi="宋体" w:cs="宋体"/>
          <w:b/>
          <w:color w:val="auto"/>
          <w:sz w:val="22"/>
          <w:szCs w:val="22"/>
          <w:highlight w:val="none"/>
        </w:rPr>
        <w:br w:type="page"/>
      </w:r>
      <w:bookmarkStart w:id="407" w:name="_Toc27568"/>
      <w:bookmarkStart w:id="408" w:name="_Toc19939"/>
      <w:bookmarkStart w:id="409" w:name="_Toc6003"/>
      <w:bookmarkStart w:id="410" w:name="_Toc5006"/>
      <w:r>
        <w:rPr>
          <w:rStyle w:val="90"/>
          <w:rFonts w:hint="eastAsia" w:ascii="宋体" w:hAnsi="宋体" w:cs="宋体"/>
          <w:color w:val="auto"/>
          <w:szCs w:val="28"/>
          <w:highlight w:val="none"/>
        </w:rPr>
        <w:t>投标声明书</w:t>
      </w:r>
      <w:bookmarkEnd w:id="407"/>
      <w:bookmarkEnd w:id="408"/>
      <w:bookmarkEnd w:id="409"/>
      <w:bookmarkEnd w:id="410"/>
    </w:p>
    <w:p w14:paraId="588857F9">
      <w:pPr>
        <w:rPr>
          <w:rFonts w:ascii="宋体" w:hAnsi="宋体" w:cs="宋体"/>
          <w:b/>
          <w:color w:val="auto"/>
          <w:highlight w:val="none"/>
        </w:rPr>
      </w:pPr>
    </w:p>
    <w:p w14:paraId="01A3E2BF">
      <w:pPr>
        <w:spacing w:line="360" w:lineRule="auto"/>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（采购人）</w:t>
      </w:r>
    </w:p>
    <w:p w14:paraId="073E7376">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关于贵单位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日发布</w:t>
      </w:r>
      <w:r>
        <w:rPr>
          <w:rFonts w:hint="eastAsia" w:ascii="宋体" w:hAnsi="宋体" w:cs="宋体"/>
          <w:color w:val="auto"/>
          <w:szCs w:val="21"/>
          <w:highlight w:val="none"/>
          <w:u w:val="single"/>
        </w:rPr>
        <w:t xml:space="preserve">  </w:t>
      </w:r>
      <w:r>
        <w:rPr>
          <w:rFonts w:hint="eastAsia" w:ascii="宋体" w:hAnsi="宋体" w:cs="宋体"/>
          <w:color w:val="auto"/>
          <w:kern w:val="28"/>
          <w:szCs w:val="21"/>
          <w:highlight w:val="none"/>
          <w:u w:val="single"/>
        </w:rPr>
        <w:t xml:space="preserve">     （项目名称/标项号）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）的采购公告，本公司（企业）愿意参加投标，并声明：</w:t>
      </w:r>
    </w:p>
    <w:p w14:paraId="01E02095">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本公司（企业）具备</w:t>
      </w:r>
      <w:r>
        <w:rPr>
          <w:rFonts w:hint="eastAsia" w:ascii="宋体" w:hAnsi="宋体" w:cs="宋体"/>
          <w:bCs/>
          <w:color w:val="auto"/>
          <w:szCs w:val="21"/>
          <w:highlight w:val="none"/>
        </w:rPr>
        <w:t>《中华人民共和国政府采购法》第二十二条资格条件，</w:t>
      </w:r>
      <w:r>
        <w:rPr>
          <w:rFonts w:hint="eastAsia" w:ascii="宋体" w:hAnsi="宋体" w:cs="宋体"/>
          <w:color w:val="auto"/>
          <w:szCs w:val="21"/>
          <w:highlight w:val="none"/>
        </w:rPr>
        <w:t>并已清楚采购文件的要求及有关文件规定。</w:t>
      </w:r>
    </w:p>
    <w:p w14:paraId="0E4EA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本公司（企业）的法定代表人或单位负责人与所参投的本采购项目的其他供应商的法定代表人或单位负责人不为同一人且与其他供应商之间不存在直接控股、管理关系。</w:t>
      </w:r>
    </w:p>
    <w:p w14:paraId="798DD1E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14:paraId="50BAB7D0">
      <w:pPr>
        <w:snapToGrid w:val="0"/>
        <w:spacing w:line="360" w:lineRule="auto"/>
        <w:ind w:firstLine="426" w:firstLineChars="202"/>
        <w:rPr>
          <w:rFonts w:ascii="宋体" w:hAnsi="宋体" w:cs="宋体"/>
          <w:color w:val="auto"/>
          <w:szCs w:val="21"/>
          <w:highlight w:val="none"/>
        </w:rPr>
      </w:pPr>
      <w:r>
        <w:rPr>
          <w:rFonts w:hint="eastAsia" w:ascii="宋体" w:hAnsi="宋体" w:cs="宋体"/>
          <w:b/>
          <w:color w:val="auto"/>
          <w:szCs w:val="21"/>
          <w:highlight w:val="none"/>
        </w:rPr>
        <w:t>本公司（企业）具有履行合同所必需的设备和专业技术能力，且本公司（企业）参加政府采购活动前3年内在经营活动中没有重大违法记录。</w:t>
      </w:r>
      <w:r>
        <w:rPr>
          <w:rFonts w:hint="eastAsia" w:ascii="宋体" w:hAnsi="宋体" w:cs="宋体"/>
          <w:color w:val="auto"/>
          <w:szCs w:val="21"/>
          <w:highlight w:val="none"/>
        </w:rPr>
        <w:t>否则，由此所造成的损失、不良后果及法律责任，一律由我公司（企业）承担。</w:t>
      </w:r>
    </w:p>
    <w:p w14:paraId="262A98D4">
      <w:pPr>
        <w:snapToGrid w:val="0"/>
        <w:spacing w:line="360" w:lineRule="auto"/>
        <w:ind w:firstLine="426" w:firstLineChars="202"/>
        <w:rPr>
          <w:rFonts w:ascii="宋体" w:hAnsi="宋体" w:cs="宋体"/>
          <w:b/>
          <w:bCs/>
          <w:color w:val="auto"/>
          <w:szCs w:val="21"/>
          <w:highlight w:val="none"/>
        </w:rPr>
      </w:pPr>
      <w:r>
        <w:rPr>
          <w:rFonts w:hint="eastAsia" w:ascii="宋体" w:hAnsi="宋体" w:cs="宋体"/>
          <w:b/>
          <w:bCs/>
          <w:color w:val="auto"/>
          <w:szCs w:val="21"/>
          <w:highlight w:val="none"/>
        </w:rPr>
        <w:t>本公司（企业）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否则，由此所造成的损失、不良后果及法律责任，一律由我公司（企业）承担。</w:t>
      </w:r>
    </w:p>
    <w:p w14:paraId="4B35D6EE">
      <w:pPr>
        <w:snapToGrid w:val="0"/>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本次招标采购活动中，如有违法、违规、弄虚作假行为，所造成的损失、不良后果及法律责任，一律由我公司（企业）承担。</w:t>
      </w:r>
    </w:p>
    <w:p w14:paraId="6B834119">
      <w:pPr>
        <w:spacing w:line="360" w:lineRule="auto"/>
        <w:ind w:firstLine="420"/>
        <w:rPr>
          <w:rFonts w:ascii="宋体" w:hAnsi="宋体" w:cs="宋体"/>
          <w:b/>
          <w:color w:val="auto"/>
          <w:szCs w:val="21"/>
          <w:highlight w:val="none"/>
        </w:rPr>
      </w:pPr>
      <w:r>
        <w:rPr>
          <w:rFonts w:hint="eastAsia" w:ascii="宋体" w:hAnsi="宋体" w:cs="宋体"/>
          <w:b/>
          <w:color w:val="auto"/>
          <w:szCs w:val="21"/>
          <w:highlight w:val="none"/>
        </w:rPr>
        <w:t>特此声明！</w:t>
      </w:r>
    </w:p>
    <w:p w14:paraId="256557B7">
      <w:pPr>
        <w:adjustRightInd w:val="0"/>
        <w:snapToGrid w:val="0"/>
        <w:spacing w:line="360" w:lineRule="auto"/>
        <w:ind w:left="425"/>
        <w:rPr>
          <w:rFonts w:ascii="宋体" w:hAnsi="宋体" w:cs="宋体"/>
          <w:color w:val="auto"/>
          <w:spacing w:val="4"/>
          <w:szCs w:val="21"/>
          <w:highlight w:val="none"/>
        </w:rPr>
      </w:pPr>
    </w:p>
    <w:p w14:paraId="3BE2D63B">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08416B9B">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50C9C870">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681B5431">
      <w:pPr>
        <w:tabs>
          <w:tab w:val="left" w:pos="7480"/>
        </w:tabs>
        <w:autoSpaceDE w:val="0"/>
        <w:autoSpaceDN w:val="0"/>
        <w:adjustRightInd w:val="0"/>
        <w:spacing w:line="360" w:lineRule="exact"/>
        <w:rPr>
          <w:rFonts w:ascii="宋体" w:hAnsi="宋体" w:cs="宋体"/>
          <w:color w:val="auto"/>
          <w:szCs w:val="21"/>
          <w:highlight w:val="none"/>
        </w:rPr>
      </w:pPr>
    </w:p>
    <w:p w14:paraId="7B79BE07">
      <w:pPr>
        <w:spacing w:line="360" w:lineRule="auto"/>
        <w:jc w:val="center"/>
        <w:outlineLvl w:val="2"/>
        <w:rPr>
          <w:rFonts w:ascii="宋体" w:hAnsi="宋体" w:cs="宋体"/>
          <w:b/>
          <w:color w:val="auto"/>
          <w:sz w:val="32"/>
          <w:szCs w:val="32"/>
          <w:highlight w:val="none"/>
        </w:rPr>
      </w:pPr>
      <w:r>
        <w:rPr>
          <w:rFonts w:hint="eastAsia" w:ascii="宋体" w:hAnsi="宋体" w:cs="宋体"/>
          <w:b/>
          <w:color w:val="auto"/>
          <w:sz w:val="22"/>
          <w:szCs w:val="22"/>
          <w:highlight w:val="none"/>
        </w:rPr>
        <w:br w:type="page"/>
      </w:r>
      <w:bookmarkStart w:id="411" w:name="_Toc5611"/>
      <w:bookmarkStart w:id="412" w:name="_Toc30613"/>
      <w:bookmarkStart w:id="413" w:name="_Toc9008"/>
      <w:bookmarkStart w:id="414" w:name="_Toc28580"/>
      <w:r>
        <w:rPr>
          <w:rStyle w:val="90"/>
          <w:rFonts w:hint="eastAsia" w:ascii="宋体" w:hAnsi="宋体" w:cs="宋体"/>
          <w:color w:val="auto"/>
          <w:szCs w:val="28"/>
          <w:highlight w:val="none"/>
        </w:rPr>
        <w:t>法定代表人身份证明</w:t>
      </w:r>
      <w:bookmarkEnd w:id="411"/>
      <w:bookmarkEnd w:id="412"/>
      <w:bookmarkEnd w:id="413"/>
      <w:bookmarkEnd w:id="414"/>
    </w:p>
    <w:p w14:paraId="087C17C5">
      <w:pPr>
        <w:spacing w:line="360" w:lineRule="auto"/>
        <w:jc w:val="center"/>
        <w:rPr>
          <w:rFonts w:ascii="宋体" w:hAnsi="宋体" w:cs="宋体"/>
          <w:color w:val="auto"/>
          <w:szCs w:val="21"/>
          <w:highlight w:val="none"/>
        </w:rPr>
      </w:pPr>
      <w:r>
        <w:rPr>
          <w:rFonts w:hint="eastAsia" w:ascii="宋体" w:hAnsi="宋体" w:cs="宋体"/>
          <w:b/>
          <w:color w:val="auto"/>
          <w:highlight w:val="none"/>
        </w:rPr>
        <w:t>（</w:t>
      </w:r>
      <w:r>
        <w:rPr>
          <w:rFonts w:hint="eastAsia" w:ascii="宋体" w:hAnsi="宋体" w:cs="宋体"/>
          <w:b/>
          <w:color w:val="auto"/>
          <w:szCs w:val="21"/>
          <w:highlight w:val="none"/>
        </w:rPr>
        <w:t>投标文件由</w:t>
      </w:r>
      <w:r>
        <w:rPr>
          <w:rFonts w:hint="eastAsia" w:ascii="宋体" w:hAnsi="宋体" w:cs="宋体"/>
          <w:b/>
          <w:color w:val="auto"/>
          <w:highlight w:val="none"/>
        </w:rPr>
        <w:t>法定代表人</w:t>
      </w:r>
      <w:r>
        <w:rPr>
          <w:rFonts w:hint="eastAsia" w:ascii="宋体" w:hAnsi="宋体" w:cs="宋体"/>
          <w:b/>
          <w:color w:val="auto"/>
          <w:szCs w:val="21"/>
          <w:highlight w:val="none"/>
        </w:rPr>
        <w:t>签字或加盖印章</w:t>
      </w:r>
      <w:r>
        <w:rPr>
          <w:rFonts w:hint="eastAsia" w:ascii="宋体" w:hAnsi="宋体" w:cs="宋体"/>
          <w:b/>
          <w:color w:val="auto"/>
          <w:highlight w:val="none"/>
        </w:rPr>
        <w:t>的须提供）</w:t>
      </w:r>
    </w:p>
    <w:p w14:paraId="1BA8928C">
      <w:pPr>
        <w:spacing w:line="480" w:lineRule="auto"/>
        <w:ind w:firstLine="420" w:firstLineChars="200"/>
        <w:rPr>
          <w:rFonts w:ascii="宋体" w:hAnsi="宋体" w:cs="宋体"/>
          <w:color w:val="auto"/>
          <w:szCs w:val="21"/>
          <w:highlight w:val="none"/>
        </w:rPr>
      </w:pPr>
    </w:p>
    <w:p w14:paraId="2D0ABE42">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031A2B3">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B3B73C2">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2D4C54D">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7A1DD10">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7AA6A3B">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周岁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0FBA34D9">
      <w:pPr>
        <w:spacing w:line="48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58A3362">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51E22C8A">
      <w:pPr>
        <w:spacing w:line="48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特此证明。</w:t>
      </w:r>
    </w:p>
    <w:p w14:paraId="6CD3805F">
      <w:pPr>
        <w:spacing w:line="360" w:lineRule="auto"/>
        <w:ind w:firstLine="420" w:firstLineChars="200"/>
        <w:rPr>
          <w:rFonts w:ascii="宋体" w:hAnsi="宋体" w:cs="宋体"/>
          <w:color w:val="auto"/>
          <w:szCs w:val="21"/>
          <w:highlight w:val="none"/>
        </w:rPr>
      </w:pPr>
    </w:p>
    <w:p w14:paraId="08F0BF57">
      <w:pPr>
        <w:spacing w:line="360" w:lineRule="auto"/>
        <w:ind w:firstLine="420" w:firstLineChars="200"/>
        <w:rPr>
          <w:rFonts w:ascii="宋体" w:hAnsi="宋体" w:cs="宋体"/>
          <w:color w:val="auto"/>
          <w:szCs w:val="21"/>
          <w:highlight w:val="none"/>
        </w:rPr>
      </w:pPr>
    </w:p>
    <w:p w14:paraId="16E925C7">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095B0D7A">
      <w:pPr>
        <w:spacing w:line="360" w:lineRule="auto"/>
        <w:ind w:firstLine="4515" w:firstLineChars="2150"/>
        <w:rPr>
          <w:rFonts w:ascii="宋体" w:hAnsi="宋体" w:cs="宋体"/>
          <w:color w:val="auto"/>
          <w:szCs w:val="21"/>
          <w:highlight w:val="none"/>
          <w:u w:val="single"/>
        </w:rPr>
      </w:pPr>
    </w:p>
    <w:p w14:paraId="0520AE0E">
      <w:pPr>
        <w:spacing w:line="360" w:lineRule="auto"/>
        <w:ind w:firstLine="3675" w:firstLineChars="175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1C2136B">
      <w:pPr>
        <w:spacing w:line="360" w:lineRule="auto"/>
        <w:rPr>
          <w:rFonts w:ascii="宋体" w:hAnsi="宋体" w:cs="宋体"/>
          <w:color w:val="auto"/>
          <w:szCs w:val="21"/>
          <w:highlight w:val="none"/>
        </w:rPr>
      </w:pPr>
    </w:p>
    <w:p w14:paraId="1D6FE2E3">
      <w:pPr>
        <w:spacing w:line="360" w:lineRule="auto"/>
        <w:rPr>
          <w:rFonts w:ascii="宋体" w:hAnsi="宋体" w:cs="宋体"/>
          <w:b/>
          <w:color w:val="auto"/>
          <w:szCs w:val="21"/>
          <w:highlight w:val="none"/>
        </w:rPr>
      </w:pPr>
    </w:p>
    <w:p w14:paraId="685FF155">
      <w:pPr>
        <w:spacing w:line="360" w:lineRule="auto"/>
        <w:rPr>
          <w:rFonts w:ascii="宋体" w:hAnsi="宋体" w:cs="宋体"/>
          <w:b/>
          <w:color w:val="auto"/>
          <w:szCs w:val="21"/>
          <w:highlight w:val="none"/>
        </w:rPr>
      </w:pPr>
    </w:p>
    <w:p w14:paraId="43BA4609">
      <w:pPr>
        <w:spacing w:line="360" w:lineRule="auto"/>
        <w:rPr>
          <w:rFonts w:ascii="宋体" w:hAnsi="宋体" w:cs="宋体"/>
          <w:b/>
          <w:color w:val="auto"/>
          <w:szCs w:val="21"/>
          <w:highlight w:val="none"/>
        </w:rPr>
      </w:pPr>
      <w:r>
        <w:rPr>
          <w:rFonts w:hint="eastAsia" w:ascii="宋体" w:hAnsi="宋体" w:cs="宋体"/>
          <w:b/>
          <w:color w:val="auto"/>
          <w:szCs w:val="21"/>
          <w:highlight w:val="none"/>
        </w:rPr>
        <w:t>附法定代表人身份证复印件（正反面）：</w:t>
      </w:r>
    </w:p>
    <w:p w14:paraId="5C1DA048">
      <w:pPr>
        <w:rPr>
          <w:rFonts w:ascii="宋体" w:hAnsi="宋体" w:cs="宋体"/>
          <w:color w:val="auto"/>
          <w:szCs w:val="21"/>
          <w:highlight w:val="none"/>
        </w:rPr>
      </w:pPr>
    </w:p>
    <w:p w14:paraId="779AE243">
      <w:pPr>
        <w:jc w:val="left"/>
        <w:rPr>
          <w:rFonts w:ascii="宋体" w:hAnsi="宋体" w:cs="宋体"/>
          <w:b/>
          <w:color w:val="auto"/>
          <w:szCs w:val="21"/>
          <w:highlight w:val="none"/>
        </w:rPr>
      </w:pPr>
    </w:p>
    <w:p w14:paraId="0BE72B10">
      <w:pPr>
        <w:jc w:val="left"/>
        <w:rPr>
          <w:rFonts w:ascii="宋体" w:hAnsi="宋体" w:cs="宋体"/>
          <w:b/>
          <w:color w:val="auto"/>
          <w:szCs w:val="21"/>
          <w:highlight w:val="none"/>
        </w:rPr>
      </w:pPr>
    </w:p>
    <w:p w14:paraId="3E6BCF11">
      <w:pPr>
        <w:jc w:val="left"/>
        <w:rPr>
          <w:rFonts w:ascii="宋体" w:hAnsi="宋体" w:cs="宋体"/>
          <w:b/>
          <w:color w:val="auto"/>
          <w:szCs w:val="21"/>
          <w:highlight w:val="none"/>
        </w:rPr>
      </w:pPr>
    </w:p>
    <w:p w14:paraId="48F3993D">
      <w:pPr>
        <w:jc w:val="center"/>
        <w:rPr>
          <w:rFonts w:ascii="宋体" w:hAnsi="宋体" w:cs="宋体"/>
          <w:b/>
          <w:color w:val="auto"/>
          <w:szCs w:val="21"/>
          <w:highlight w:val="none"/>
        </w:rPr>
      </w:pPr>
    </w:p>
    <w:p w14:paraId="444A9FBD">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DDEE2AF">
      <w:pPr>
        <w:pStyle w:val="7"/>
        <w:spacing w:before="0" w:after="0"/>
        <w:jc w:val="center"/>
        <w:rPr>
          <w:rFonts w:ascii="宋体" w:hAnsi="宋体" w:cs="宋体"/>
          <w:color w:val="auto"/>
          <w:szCs w:val="28"/>
          <w:highlight w:val="none"/>
        </w:rPr>
      </w:pPr>
      <w:bookmarkStart w:id="415" w:name="_Toc430"/>
      <w:bookmarkStart w:id="416" w:name="_Toc4922"/>
      <w:bookmarkStart w:id="417" w:name="_Toc6951"/>
      <w:bookmarkStart w:id="418" w:name="_Toc24202"/>
      <w:r>
        <w:rPr>
          <w:rFonts w:hint="eastAsia" w:ascii="宋体" w:hAnsi="宋体" w:cs="宋体"/>
          <w:color w:val="auto"/>
          <w:szCs w:val="28"/>
          <w:highlight w:val="none"/>
        </w:rPr>
        <w:t>法定代表人授权委托书</w:t>
      </w:r>
      <w:bookmarkEnd w:id="415"/>
      <w:bookmarkEnd w:id="416"/>
      <w:bookmarkEnd w:id="417"/>
      <w:bookmarkEnd w:id="418"/>
    </w:p>
    <w:p w14:paraId="6AAB494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（投标文件由委托代理人签字或加盖印章的须提供）</w:t>
      </w:r>
    </w:p>
    <w:p w14:paraId="48275D25">
      <w:pPr>
        <w:snapToGrid w:val="0"/>
        <w:spacing w:line="360" w:lineRule="auto"/>
        <w:rPr>
          <w:rFonts w:ascii="宋体" w:hAnsi="宋体" w:cs="宋体"/>
          <w:bCs/>
          <w:color w:val="auto"/>
          <w:sz w:val="22"/>
          <w:szCs w:val="22"/>
          <w:highlight w:val="none"/>
        </w:rPr>
      </w:pPr>
    </w:p>
    <w:p w14:paraId="292D364D">
      <w:pPr>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（采购单位名称）</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w:t>
      </w:r>
    </w:p>
    <w:p w14:paraId="4688E3FD">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（供应商名称）的法定代表人，现授权委托本单位在职职工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（项目名称/标项号）</w:t>
      </w:r>
      <w:r>
        <w:rPr>
          <w:rFonts w:hint="eastAsia" w:ascii="宋体" w:hAnsi="宋体" w:cs="宋体"/>
          <w:color w:val="auto"/>
          <w:szCs w:val="21"/>
          <w:highlight w:val="none"/>
        </w:rPr>
        <w:t>项目的投标活动，并代表我方全权办理针对上述项目的投标、开标、评标、签约等具体事务和签署相关文件。</w:t>
      </w:r>
    </w:p>
    <w:p w14:paraId="0C9F4DB6">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我方对被授权人的签名事项负全部责任。</w:t>
      </w:r>
    </w:p>
    <w:p w14:paraId="5674E8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5E1013F6">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29DAA4A7">
      <w:pPr>
        <w:snapToGrid w:val="0"/>
        <w:spacing w:line="360" w:lineRule="auto"/>
        <w:rPr>
          <w:rFonts w:ascii="宋体" w:hAnsi="宋体" w:cs="宋体"/>
          <w:color w:val="auto"/>
          <w:szCs w:val="21"/>
          <w:highlight w:val="none"/>
        </w:rPr>
      </w:pPr>
    </w:p>
    <w:p w14:paraId="43EB5DCE">
      <w:pPr>
        <w:snapToGrid w:val="0"/>
        <w:spacing w:line="360" w:lineRule="auto"/>
        <w:rPr>
          <w:rFonts w:ascii="宋体" w:hAnsi="宋体" w:cs="宋体"/>
          <w:color w:val="auto"/>
          <w:szCs w:val="21"/>
          <w:highlight w:val="none"/>
        </w:rPr>
      </w:pPr>
    </w:p>
    <w:p w14:paraId="377A7816">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被授权人签名：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w:t>
      </w:r>
      <w:r>
        <w:rPr>
          <w:rFonts w:hint="eastAsia" w:ascii="宋体" w:hAnsi="宋体" w:cs="宋体"/>
          <w:color w:val="auto"/>
          <w:szCs w:val="21"/>
          <w:highlight w:val="none"/>
          <w:u w:val="single"/>
        </w:rPr>
        <w:t xml:space="preserve">          </w:t>
      </w:r>
    </w:p>
    <w:p w14:paraId="705DAC1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549F24B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84FD21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293BF894">
      <w:pPr>
        <w:snapToGrid w:val="0"/>
        <w:spacing w:line="360" w:lineRule="auto"/>
        <w:rPr>
          <w:rFonts w:ascii="宋体" w:hAnsi="宋体" w:cs="宋体"/>
          <w:color w:val="auto"/>
          <w:szCs w:val="21"/>
          <w:highlight w:val="none"/>
        </w:rPr>
      </w:pPr>
    </w:p>
    <w:p w14:paraId="7CBC0407">
      <w:pPr>
        <w:snapToGrid w:val="0"/>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供应商公章：</w:t>
      </w:r>
    </w:p>
    <w:p w14:paraId="53F37E92">
      <w:pPr>
        <w:snapToGrid w:val="0"/>
        <w:spacing w:line="360" w:lineRule="auto"/>
        <w:ind w:firstLine="4830" w:firstLineChars="2300"/>
        <w:rPr>
          <w:rFonts w:ascii="宋体" w:hAnsi="宋体" w:cs="宋体"/>
          <w:color w:val="auto"/>
          <w:szCs w:val="21"/>
          <w:highlight w:val="none"/>
        </w:rPr>
      </w:pPr>
    </w:p>
    <w:p w14:paraId="3F4B94F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519E66C0">
      <w:pPr>
        <w:spacing w:line="360" w:lineRule="auto"/>
        <w:rPr>
          <w:rFonts w:ascii="宋体" w:hAnsi="宋体" w:cs="宋体"/>
          <w:b/>
          <w:color w:val="auto"/>
          <w:szCs w:val="21"/>
          <w:highlight w:val="none"/>
        </w:rPr>
      </w:pPr>
    </w:p>
    <w:p w14:paraId="44D8B53B">
      <w:pPr>
        <w:spacing w:line="360" w:lineRule="auto"/>
        <w:rPr>
          <w:rFonts w:ascii="宋体" w:hAnsi="宋体" w:cs="宋体"/>
          <w:b/>
          <w:color w:val="auto"/>
          <w:szCs w:val="21"/>
          <w:highlight w:val="none"/>
        </w:rPr>
      </w:pPr>
    </w:p>
    <w:p w14:paraId="48AD7E56">
      <w:pPr>
        <w:spacing w:line="360" w:lineRule="auto"/>
        <w:rPr>
          <w:rFonts w:ascii="宋体" w:hAnsi="宋体" w:cs="宋体"/>
          <w:b/>
          <w:color w:val="auto"/>
          <w:szCs w:val="21"/>
          <w:highlight w:val="none"/>
        </w:rPr>
      </w:pPr>
    </w:p>
    <w:p w14:paraId="42D48448">
      <w:pPr>
        <w:spacing w:line="360" w:lineRule="auto"/>
        <w:rPr>
          <w:rFonts w:ascii="宋体" w:hAnsi="宋体" w:cs="宋体"/>
          <w:b/>
          <w:color w:val="auto"/>
          <w:szCs w:val="21"/>
          <w:highlight w:val="none"/>
        </w:rPr>
      </w:pPr>
    </w:p>
    <w:p w14:paraId="6DE38C3B">
      <w:pPr>
        <w:spacing w:line="360" w:lineRule="auto"/>
        <w:rPr>
          <w:rFonts w:ascii="宋体" w:hAnsi="宋体" w:cs="宋体"/>
          <w:b/>
          <w:color w:val="auto"/>
          <w:szCs w:val="21"/>
          <w:highlight w:val="none"/>
        </w:rPr>
      </w:pPr>
    </w:p>
    <w:p w14:paraId="4D87979D">
      <w:pPr>
        <w:snapToGrid w:val="0"/>
        <w:spacing w:line="360" w:lineRule="auto"/>
        <w:rPr>
          <w:rFonts w:ascii="宋体" w:hAnsi="宋体" w:cs="宋体"/>
          <w:b/>
          <w:color w:val="auto"/>
          <w:highlight w:val="none"/>
        </w:rPr>
      </w:pPr>
      <w:r>
        <w:rPr>
          <w:rFonts w:hint="eastAsia" w:ascii="宋体" w:hAnsi="宋体" w:cs="宋体"/>
          <w:b/>
          <w:color w:val="auto"/>
          <w:szCs w:val="21"/>
          <w:highlight w:val="none"/>
        </w:rPr>
        <w:t>附：法定代表人身份证复印件（正反面）、授权代表身份证复印件（正反面）</w:t>
      </w:r>
      <w:r>
        <w:rPr>
          <w:rFonts w:hint="eastAsia" w:ascii="宋体" w:hAnsi="宋体" w:cs="宋体"/>
          <w:b/>
          <w:color w:val="auto"/>
          <w:highlight w:val="none"/>
        </w:rPr>
        <w:t>、及开标前近三个月内（除开标当月）任意一个月由社保部门出具的社保证明资料加盖公章。</w:t>
      </w:r>
    </w:p>
    <w:p w14:paraId="65D03654">
      <w:pPr>
        <w:spacing w:line="360" w:lineRule="auto"/>
        <w:rPr>
          <w:rFonts w:ascii="宋体" w:hAnsi="宋体" w:cs="宋体"/>
          <w:b/>
          <w:color w:val="auto"/>
          <w:szCs w:val="21"/>
          <w:highlight w:val="none"/>
        </w:rPr>
      </w:pPr>
    </w:p>
    <w:p w14:paraId="7FC11B9D">
      <w:pPr>
        <w:spacing w:line="360" w:lineRule="auto"/>
        <w:jc w:val="center"/>
        <w:outlineLvl w:val="2"/>
        <w:rPr>
          <w:rStyle w:val="90"/>
          <w:rFonts w:ascii="宋体" w:hAnsi="宋体" w:cs="宋体"/>
          <w:color w:val="auto"/>
          <w:highlight w:val="none"/>
        </w:rPr>
      </w:pPr>
      <w:r>
        <w:rPr>
          <w:rFonts w:hint="eastAsia" w:ascii="宋体" w:hAnsi="宋体" w:cs="宋体"/>
          <w:b/>
          <w:color w:val="auto"/>
          <w:sz w:val="22"/>
          <w:szCs w:val="22"/>
          <w:highlight w:val="none"/>
        </w:rPr>
        <w:br w:type="page"/>
      </w:r>
      <w:bookmarkStart w:id="419" w:name="_Toc23340"/>
      <w:bookmarkStart w:id="420" w:name="_Toc20609"/>
      <w:bookmarkStart w:id="421" w:name="_Toc13121"/>
      <w:bookmarkStart w:id="422" w:name="_Toc12935"/>
      <w:r>
        <w:rPr>
          <w:rStyle w:val="90"/>
          <w:rFonts w:hint="eastAsia" w:ascii="宋体" w:hAnsi="宋体" w:cs="宋体"/>
          <w:color w:val="auto"/>
          <w:szCs w:val="28"/>
          <w:highlight w:val="none"/>
        </w:rPr>
        <w:t>具备《中华人民共和国政府采购法》第二十二条规定的资格条件的承诺函</w:t>
      </w:r>
      <w:bookmarkEnd w:id="419"/>
      <w:bookmarkEnd w:id="420"/>
      <w:bookmarkEnd w:id="421"/>
      <w:bookmarkEnd w:id="422"/>
    </w:p>
    <w:p w14:paraId="2E4D53D7">
      <w:pPr>
        <w:jc w:val="center"/>
        <w:rPr>
          <w:rFonts w:ascii="宋体" w:hAnsi="宋体" w:cs="宋体"/>
          <w:b/>
          <w:color w:val="auto"/>
          <w:highlight w:val="none"/>
        </w:rPr>
      </w:pPr>
    </w:p>
    <w:p w14:paraId="6796380B">
      <w:pPr>
        <w:spacing w:line="360" w:lineRule="auto"/>
        <w:rPr>
          <w:rFonts w:ascii="宋体" w:hAnsi="宋体" w:cs="宋体"/>
          <w:bCs/>
          <w:color w:val="auto"/>
          <w:sz w:val="24"/>
          <w:highlight w:val="none"/>
        </w:rPr>
      </w:pPr>
    </w:p>
    <w:p w14:paraId="08F0EF24">
      <w:pPr>
        <w:spacing w:line="360" w:lineRule="auto"/>
        <w:rPr>
          <w:rFonts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1E12F632">
      <w:pPr>
        <w:spacing w:line="360" w:lineRule="auto"/>
        <w:ind w:firstLine="420" w:firstLineChars="200"/>
        <w:rPr>
          <w:rFonts w:ascii="宋体" w:hAnsi="宋体" w:cs="宋体"/>
          <w:color w:val="auto"/>
          <w:szCs w:val="21"/>
          <w:highlight w:val="none"/>
        </w:rPr>
      </w:pPr>
    </w:p>
    <w:p w14:paraId="587BA5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w:t>
      </w:r>
      <w:r>
        <w:rPr>
          <w:rFonts w:hint="eastAsia" w:ascii="宋体" w:hAnsi="宋体" w:cs="宋体"/>
          <w:color w:val="auto"/>
          <w:highlight w:val="none"/>
          <w:u w:val="single"/>
        </w:rPr>
        <w:t xml:space="preserve">    （项目名称/标项号）   </w:t>
      </w:r>
      <w:r>
        <w:rPr>
          <w:rFonts w:hint="eastAsia" w:ascii="宋体" w:hAnsi="宋体" w:cs="宋体"/>
          <w:color w:val="auto"/>
          <w:highlight w:val="none"/>
        </w:rPr>
        <w:t>项目（项目编号：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），我方愿意参加投标，并声明： </w:t>
      </w:r>
    </w:p>
    <w:p w14:paraId="1A9811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1.我单位满足《中华人民共和国政府采购法》第二十二条供应商参加政府采购活动应当具备的下列条件：</w:t>
      </w:r>
    </w:p>
    <w:p w14:paraId="56F142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1.1具有独立承担民事责任的能力；</w:t>
      </w:r>
    </w:p>
    <w:p w14:paraId="008436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1.2具有良好的商业信誉和健全的财务会计制度；</w:t>
      </w:r>
    </w:p>
    <w:p w14:paraId="6B196C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1.3具有履行合同所必需的设备和专业技术能力；</w:t>
      </w:r>
    </w:p>
    <w:p w14:paraId="4957FF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1.4有依法缴纳税收和社会保障资金的良好记录；</w:t>
      </w:r>
    </w:p>
    <w:p w14:paraId="4FE048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1.5参加政府采购活动前三年内，在经营活动中没有重大违法记录；</w:t>
      </w:r>
    </w:p>
    <w:p w14:paraId="6A53BB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1.6法律、行政法规规定的其他条件。</w:t>
      </w:r>
    </w:p>
    <w:p w14:paraId="295F31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2.未被“信用中国”（www.creditchina.gov.cn)、中国政府采购网（www.ccgp.gov.cn）列入失信被执行人、重大税收违法案件当事人名单、政府采购严重违法失信行为记录名单。</w:t>
      </w:r>
    </w:p>
    <w:p w14:paraId="43FDA0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3.我单位负责人与所参投的本采购项目的其他供应商的单位负责人不为同一人且与其他供应商之间不存在直接控股、管理关系。</w:t>
      </w:r>
    </w:p>
    <w:p w14:paraId="73FE8A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4.我单位不是本采购项目提供整体设计、规范编制或者项目管理、监理、检测等服务的供应商。</w:t>
      </w:r>
    </w:p>
    <w:p w14:paraId="07059BC9">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我单位对上述声明的真实性负责。本次招标采购活动中，如有违法、违规、弄虚作假行为，所造成的的损失、不良后果及法律责任，一律由我单位承担。</w:t>
      </w:r>
    </w:p>
    <w:p w14:paraId="7D361D4C">
      <w:pPr>
        <w:spacing w:line="360" w:lineRule="auto"/>
        <w:ind w:firstLine="422" w:firstLineChars="200"/>
        <w:rPr>
          <w:rFonts w:ascii="宋体" w:hAnsi="宋体" w:cs="宋体"/>
          <w:b/>
          <w:bCs/>
          <w:color w:val="auto"/>
          <w:szCs w:val="21"/>
          <w:highlight w:val="none"/>
        </w:rPr>
      </w:pPr>
      <w:bookmarkStart w:id="423" w:name="_Toc21667"/>
      <w:bookmarkStart w:id="424" w:name="_Toc23533"/>
      <w:bookmarkStart w:id="425" w:name="_Toc15389"/>
      <w:r>
        <w:rPr>
          <w:rFonts w:hint="eastAsia" w:ascii="宋体" w:hAnsi="宋体" w:cs="宋体"/>
          <w:b/>
          <w:bCs/>
          <w:color w:val="auto"/>
          <w:szCs w:val="21"/>
          <w:highlight w:val="none"/>
        </w:rPr>
        <w:t>特此承诺！</w:t>
      </w:r>
      <w:bookmarkEnd w:id="423"/>
      <w:bookmarkEnd w:id="424"/>
      <w:bookmarkEnd w:id="425"/>
    </w:p>
    <w:p w14:paraId="200EDE0E">
      <w:pPr>
        <w:jc w:val="center"/>
        <w:rPr>
          <w:rFonts w:ascii="宋体" w:hAnsi="宋体" w:cs="宋体"/>
          <w:b/>
          <w:color w:val="auto"/>
          <w:szCs w:val="21"/>
          <w:highlight w:val="none"/>
        </w:rPr>
      </w:pPr>
    </w:p>
    <w:p w14:paraId="756972DC">
      <w:pPr>
        <w:jc w:val="center"/>
        <w:rPr>
          <w:rFonts w:ascii="宋体" w:hAnsi="宋体" w:cs="宋体"/>
          <w:b/>
          <w:color w:val="auto"/>
          <w:szCs w:val="21"/>
          <w:highlight w:val="none"/>
        </w:rPr>
      </w:pPr>
    </w:p>
    <w:p w14:paraId="69684F77">
      <w:pPr>
        <w:jc w:val="center"/>
        <w:rPr>
          <w:rFonts w:ascii="宋体" w:hAnsi="宋体" w:cs="宋体"/>
          <w:b/>
          <w:color w:val="auto"/>
          <w:szCs w:val="21"/>
          <w:highlight w:val="none"/>
        </w:rPr>
      </w:pPr>
    </w:p>
    <w:p w14:paraId="61BD77A6">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3CA3F8F7">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7992F784">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162E705A">
      <w:pPr>
        <w:spacing w:line="360" w:lineRule="auto"/>
        <w:jc w:val="center"/>
        <w:outlineLvl w:val="2"/>
        <w:rPr>
          <w:rFonts w:ascii="宋体" w:hAnsi="宋体" w:cs="宋体"/>
          <w:b/>
          <w:color w:val="auto"/>
          <w:sz w:val="32"/>
          <w:szCs w:val="32"/>
          <w:highlight w:val="none"/>
        </w:rPr>
      </w:pPr>
      <w:r>
        <w:rPr>
          <w:rFonts w:hint="eastAsia" w:ascii="宋体" w:hAnsi="宋体" w:cs="宋体"/>
          <w:b/>
          <w:color w:val="auto"/>
          <w:szCs w:val="21"/>
          <w:highlight w:val="none"/>
        </w:rPr>
        <w:br w:type="page"/>
      </w:r>
      <w:bookmarkStart w:id="426" w:name="_Toc7286"/>
      <w:bookmarkStart w:id="427" w:name="_Toc31760"/>
      <w:bookmarkStart w:id="428" w:name="_Toc6122"/>
      <w:bookmarkStart w:id="429" w:name="_Toc16802"/>
      <w:r>
        <w:rPr>
          <w:rStyle w:val="90"/>
          <w:rFonts w:hint="eastAsia" w:ascii="宋体" w:hAnsi="宋体" w:cs="宋体"/>
          <w:color w:val="auto"/>
          <w:szCs w:val="28"/>
          <w:highlight w:val="none"/>
        </w:rPr>
        <w:t>具备履行合同所需的设备和专业技术能力的声明</w:t>
      </w:r>
      <w:bookmarkEnd w:id="426"/>
      <w:bookmarkEnd w:id="427"/>
      <w:bookmarkEnd w:id="428"/>
      <w:bookmarkEnd w:id="429"/>
    </w:p>
    <w:p w14:paraId="0E98E7AB">
      <w:pPr>
        <w:rPr>
          <w:rFonts w:ascii="宋体" w:hAnsi="宋体" w:cs="宋体"/>
          <w:color w:val="auto"/>
          <w:highlight w:val="none"/>
        </w:rPr>
      </w:pPr>
    </w:p>
    <w:p w14:paraId="1AFC3CBA">
      <w:pPr>
        <w:spacing w:line="360" w:lineRule="auto"/>
        <w:rPr>
          <w:rFonts w:ascii="宋体" w:hAnsi="宋体" w:cs="宋体"/>
          <w:color w:val="auto"/>
          <w:sz w:val="22"/>
          <w:szCs w:val="22"/>
          <w:highlight w:val="none"/>
        </w:rPr>
      </w:pPr>
      <w:r>
        <w:rPr>
          <w:rFonts w:hint="eastAsia" w:ascii="宋体" w:hAnsi="宋体" w:cs="宋体"/>
          <w:color w:val="auto"/>
          <w:highlight w:val="none"/>
        </w:rPr>
        <w:t xml:space="preserve"> </w:t>
      </w:r>
    </w:p>
    <w:p w14:paraId="59B268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我公司（单位）具备履行合同所需的设备和专业技术能力，具体情况介绍如下：</w:t>
      </w:r>
    </w:p>
    <w:p w14:paraId="2C5F50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（内容包括：主要设备、专业技术人员、公司资质（格）等）                                          </w:t>
      </w:r>
    </w:p>
    <w:p w14:paraId="5FA9278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75DF061">
      <w:pPr>
        <w:spacing w:line="360" w:lineRule="auto"/>
        <w:rPr>
          <w:rFonts w:ascii="宋体" w:hAnsi="宋体" w:cs="宋体"/>
          <w:color w:val="auto"/>
          <w:szCs w:val="21"/>
          <w:highlight w:val="none"/>
        </w:rPr>
      </w:pPr>
      <w:r>
        <w:rPr>
          <w:rFonts w:hint="eastAsia" w:ascii="宋体" w:hAnsi="宋体" w:cs="宋体"/>
          <w:color w:val="auto"/>
          <w:szCs w:val="21"/>
          <w:highlight w:val="none"/>
        </w:rPr>
        <w:t>……..</w:t>
      </w:r>
    </w:p>
    <w:p w14:paraId="69DBBBF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特此承诺。</w:t>
      </w:r>
    </w:p>
    <w:p w14:paraId="2DC7B167">
      <w:pPr>
        <w:tabs>
          <w:tab w:val="left" w:pos="7480"/>
        </w:tabs>
        <w:autoSpaceDE w:val="0"/>
        <w:autoSpaceDN w:val="0"/>
        <w:adjustRightInd w:val="0"/>
        <w:spacing w:line="360" w:lineRule="exact"/>
        <w:rPr>
          <w:rFonts w:ascii="宋体" w:hAnsi="宋体" w:cs="宋体"/>
          <w:color w:val="auto"/>
          <w:szCs w:val="21"/>
          <w:highlight w:val="none"/>
        </w:rPr>
      </w:pPr>
    </w:p>
    <w:p w14:paraId="60ED83BF">
      <w:pPr>
        <w:tabs>
          <w:tab w:val="left" w:pos="7480"/>
        </w:tabs>
        <w:autoSpaceDE w:val="0"/>
        <w:autoSpaceDN w:val="0"/>
        <w:adjustRightInd w:val="0"/>
        <w:spacing w:line="360" w:lineRule="exact"/>
        <w:rPr>
          <w:rFonts w:ascii="宋体" w:hAnsi="宋体" w:cs="宋体"/>
          <w:color w:val="auto"/>
          <w:szCs w:val="21"/>
          <w:highlight w:val="none"/>
        </w:rPr>
      </w:pPr>
    </w:p>
    <w:p w14:paraId="12E43398">
      <w:pPr>
        <w:tabs>
          <w:tab w:val="left" w:pos="7480"/>
        </w:tabs>
        <w:autoSpaceDE w:val="0"/>
        <w:autoSpaceDN w:val="0"/>
        <w:adjustRightInd w:val="0"/>
        <w:spacing w:line="360" w:lineRule="exact"/>
        <w:rPr>
          <w:rFonts w:ascii="宋体" w:hAnsi="宋体" w:cs="宋体"/>
          <w:color w:val="auto"/>
          <w:szCs w:val="21"/>
          <w:highlight w:val="none"/>
        </w:rPr>
      </w:pPr>
    </w:p>
    <w:p w14:paraId="579C15B3">
      <w:pPr>
        <w:tabs>
          <w:tab w:val="left" w:pos="7480"/>
        </w:tabs>
        <w:autoSpaceDE w:val="0"/>
        <w:autoSpaceDN w:val="0"/>
        <w:adjustRightInd w:val="0"/>
        <w:spacing w:line="360" w:lineRule="exact"/>
        <w:rPr>
          <w:rFonts w:ascii="宋体" w:hAnsi="宋体" w:cs="宋体"/>
          <w:color w:val="auto"/>
          <w:szCs w:val="21"/>
          <w:highlight w:val="none"/>
        </w:rPr>
      </w:pPr>
    </w:p>
    <w:p w14:paraId="19F958CF">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0DD0BC71">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1BD9FA38">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1460EE8B">
      <w:pPr>
        <w:tabs>
          <w:tab w:val="left" w:pos="7480"/>
        </w:tabs>
        <w:autoSpaceDE w:val="0"/>
        <w:autoSpaceDN w:val="0"/>
        <w:adjustRightInd w:val="0"/>
        <w:spacing w:line="360" w:lineRule="exact"/>
        <w:rPr>
          <w:rFonts w:ascii="宋体" w:hAnsi="宋体" w:cs="宋体"/>
          <w:color w:val="auto"/>
          <w:szCs w:val="21"/>
          <w:highlight w:val="none"/>
        </w:rPr>
      </w:pPr>
    </w:p>
    <w:p w14:paraId="65AC06D0">
      <w:pPr>
        <w:tabs>
          <w:tab w:val="left" w:pos="7480"/>
        </w:tabs>
        <w:autoSpaceDE w:val="0"/>
        <w:autoSpaceDN w:val="0"/>
        <w:adjustRightInd w:val="0"/>
        <w:spacing w:line="360" w:lineRule="exact"/>
        <w:rPr>
          <w:rFonts w:ascii="宋体" w:hAnsi="宋体" w:cs="宋体"/>
          <w:color w:val="auto"/>
          <w:szCs w:val="21"/>
          <w:highlight w:val="none"/>
        </w:rPr>
      </w:pPr>
    </w:p>
    <w:p w14:paraId="138E3BDF">
      <w:pPr>
        <w:tabs>
          <w:tab w:val="left" w:pos="7480"/>
        </w:tabs>
        <w:autoSpaceDE w:val="0"/>
        <w:autoSpaceDN w:val="0"/>
        <w:adjustRightInd w:val="0"/>
        <w:spacing w:line="360" w:lineRule="exact"/>
        <w:rPr>
          <w:rFonts w:ascii="宋体" w:hAnsi="宋体" w:cs="宋体"/>
          <w:color w:val="auto"/>
          <w:szCs w:val="21"/>
          <w:highlight w:val="none"/>
        </w:rPr>
      </w:pPr>
    </w:p>
    <w:p w14:paraId="529B997A">
      <w:pPr>
        <w:tabs>
          <w:tab w:val="left" w:pos="7480"/>
        </w:tabs>
        <w:autoSpaceDE w:val="0"/>
        <w:autoSpaceDN w:val="0"/>
        <w:adjustRightIn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drawing>
          <wp:inline distT="0" distB="0" distL="114300" distR="114300">
            <wp:extent cx="5934075" cy="72771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934075" cy="7277100"/>
                    </a:xfrm>
                    <a:prstGeom prst="rect">
                      <a:avLst/>
                    </a:prstGeom>
                    <a:noFill/>
                    <a:ln>
                      <a:noFill/>
                    </a:ln>
                  </pic:spPr>
                </pic:pic>
              </a:graphicData>
            </a:graphic>
          </wp:inline>
        </w:drawing>
      </w:r>
    </w:p>
    <w:p w14:paraId="365BB164">
      <w:pPr>
        <w:tabs>
          <w:tab w:val="left" w:pos="7480"/>
        </w:tabs>
        <w:autoSpaceDE w:val="0"/>
        <w:autoSpaceDN w:val="0"/>
        <w:adjustRightInd w:val="0"/>
        <w:spacing w:line="360" w:lineRule="exact"/>
        <w:rPr>
          <w:rFonts w:ascii="宋体" w:hAnsi="宋体" w:cs="宋体"/>
          <w:color w:val="auto"/>
          <w:sz w:val="22"/>
          <w:szCs w:val="22"/>
          <w:highlight w:val="none"/>
        </w:rPr>
      </w:pPr>
    </w:p>
    <w:p w14:paraId="76B11B85">
      <w:pPr>
        <w:tabs>
          <w:tab w:val="left" w:pos="7480"/>
        </w:tabs>
        <w:autoSpaceDE w:val="0"/>
        <w:autoSpaceDN w:val="0"/>
        <w:adjustRightInd w:val="0"/>
        <w:spacing w:line="360" w:lineRule="exact"/>
        <w:rPr>
          <w:rFonts w:ascii="宋体" w:hAnsi="宋体" w:cs="宋体"/>
          <w:color w:val="auto"/>
          <w:sz w:val="22"/>
          <w:szCs w:val="22"/>
          <w:highlight w:val="none"/>
        </w:rPr>
      </w:pPr>
    </w:p>
    <w:p w14:paraId="0379C77D">
      <w:pPr>
        <w:tabs>
          <w:tab w:val="left" w:pos="7480"/>
        </w:tabs>
        <w:autoSpaceDE w:val="0"/>
        <w:autoSpaceDN w:val="0"/>
        <w:adjustRightInd w:val="0"/>
        <w:spacing w:line="360" w:lineRule="exact"/>
        <w:rPr>
          <w:rFonts w:ascii="宋体" w:hAnsi="宋体" w:cs="宋体"/>
          <w:color w:val="auto"/>
          <w:sz w:val="22"/>
          <w:szCs w:val="22"/>
          <w:highlight w:val="none"/>
        </w:rPr>
      </w:pPr>
    </w:p>
    <w:p w14:paraId="71E6B7C9">
      <w:pPr>
        <w:tabs>
          <w:tab w:val="left" w:pos="7480"/>
        </w:tabs>
        <w:autoSpaceDE w:val="0"/>
        <w:autoSpaceDN w:val="0"/>
        <w:adjustRightInd w:val="0"/>
        <w:spacing w:line="360" w:lineRule="exact"/>
        <w:rPr>
          <w:rFonts w:ascii="宋体" w:hAnsi="宋体" w:cs="宋体"/>
          <w:color w:val="auto"/>
          <w:sz w:val="22"/>
          <w:szCs w:val="22"/>
          <w:highlight w:val="none"/>
        </w:rPr>
      </w:pPr>
    </w:p>
    <w:p w14:paraId="3B258EC2">
      <w:pPr>
        <w:tabs>
          <w:tab w:val="left" w:pos="7480"/>
        </w:tabs>
        <w:autoSpaceDE w:val="0"/>
        <w:autoSpaceDN w:val="0"/>
        <w:adjustRightInd w:val="0"/>
        <w:spacing w:line="360" w:lineRule="exact"/>
        <w:rPr>
          <w:rFonts w:ascii="宋体" w:hAnsi="宋体" w:cs="宋体"/>
          <w:color w:val="auto"/>
          <w:sz w:val="22"/>
          <w:szCs w:val="22"/>
          <w:highlight w:val="none"/>
        </w:rPr>
      </w:pPr>
    </w:p>
    <w:p w14:paraId="2AE28251">
      <w:pPr>
        <w:tabs>
          <w:tab w:val="left" w:pos="7480"/>
        </w:tabs>
        <w:autoSpaceDE w:val="0"/>
        <w:autoSpaceDN w:val="0"/>
        <w:adjustRightInd w:val="0"/>
        <w:spacing w:line="360" w:lineRule="exact"/>
        <w:rPr>
          <w:rFonts w:ascii="宋体" w:hAnsi="宋体" w:cs="宋体"/>
          <w:color w:val="auto"/>
          <w:sz w:val="24"/>
          <w:highlight w:val="none"/>
        </w:rPr>
      </w:pPr>
    </w:p>
    <w:p w14:paraId="4EAE2F19">
      <w:pPr>
        <w:tabs>
          <w:tab w:val="left" w:pos="7480"/>
        </w:tabs>
        <w:autoSpaceDE w:val="0"/>
        <w:autoSpaceDN w:val="0"/>
        <w:adjustRightInd w:val="0"/>
        <w:spacing w:line="360" w:lineRule="exact"/>
        <w:rPr>
          <w:rFonts w:ascii="宋体" w:hAnsi="宋体" w:cs="宋体"/>
          <w:color w:val="auto"/>
          <w:sz w:val="24"/>
          <w:highlight w:val="none"/>
        </w:rPr>
      </w:pPr>
    </w:p>
    <w:p w14:paraId="0B51AB7A">
      <w:pPr>
        <w:tabs>
          <w:tab w:val="left" w:pos="7480"/>
        </w:tabs>
        <w:autoSpaceDE w:val="0"/>
        <w:autoSpaceDN w:val="0"/>
        <w:adjustRightInd w:val="0"/>
        <w:spacing w:line="360" w:lineRule="exact"/>
        <w:rPr>
          <w:rFonts w:ascii="宋体" w:hAnsi="宋体" w:cs="宋体"/>
          <w:color w:val="auto"/>
          <w:sz w:val="24"/>
          <w:highlight w:val="none"/>
        </w:rPr>
      </w:pPr>
    </w:p>
    <w:p w14:paraId="572C0F2E">
      <w:pPr>
        <w:tabs>
          <w:tab w:val="left" w:pos="7480"/>
        </w:tabs>
        <w:autoSpaceDE w:val="0"/>
        <w:autoSpaceDN w:val="0"/>
        <w:adjustRightInd w:val="0"/>
        <w:spacing w:line="360" w:lineRule="exact"/>
        <w:rPr>
          <w:rFonts w:ascii="宋体" w:hAnsi="宋体" w:cs="宋体"/>
          <w:color w:val="auto"/>
          <w:sz w:val="24"/>
          <w:highlight w:val="none"/>
        </w:rPr>
      </w:pPr>
    </w:p>
    <w:p w14:paraId="504F49D3">
      <w:pPr>
        <w:tabs>
          <w:tab w:val="left" w:pos="7480"/>
        </w:tabs>
        <w:autoSpaceDE w:val="0"/>
        <w:autoSpaceDN w:val="0"/>
        <w:adjustRightInd w:val="0"/>
        <w:spacing w:line="360" w:lineRule="exact"/>
        <w:rPr>
          <w:rFonts w:ascii="宋体" w:hAnsi="宋体" w:cs="宋体"/>
          <w:color w:val="auto"/>
          <w:sz w:val="24"/>
          <w:highlight w:val="none"/>
        </w:rPr>
      </w:pPr>
    </w:p>
    <w:p w14:paraId="0CD015FF">
      <w:pPr>
        <w:tabs>
          <w:tab w:val="left" w:pos="7480"/>
        </w:tabs>
        <w:autoSpaceDE w:val="0"/>
        <w:autoSpaceDN w:val="0"/>
        <w:adjustRightInd w:val="0"/>
        <w:spacing w:line="360" w:lineRule="exact"/>
        <w:rPr>
          <w:rFonts w:ascii="宋体" w:hAnsi="宋体" w:cs="宋体"/>
          <w:color w:val="auto"/>
          <w:sz w:val="24"/>
          <w:highlight w:val="none"/>
        </w:rPr>
      </w:pPr>
    </w:p>
    <w:p w14:paraId="25E89228">
      <w:pPr>
        <w:tabs>
          <w:tab w:val="left" w:pos="7480"/>
        </w:tabs>
        <w:autoSpaceDE w:val="0"/>
        <w:autoSpaceDN w:val="0"/>
        <w:adjustRightInd w:val="0"/>
        <w:spacing w:line="360" w:lineRule="exact"/>
        <w:rPr>
          <w:rFonts w:ascii="宋体" w:hAnsi="宋体" w:cs="宋体"/>
          <w:color w:val="auto"/>
          <w:sz w:val="24"/>
          <w:highlight w:val="none"/>
        </w:rPr>
      </w:pPr>
    </w:p>
    <w:p w14:paraId="663BDD0C">
      <w:pPr>
        <w:tabs>
          <w:tab w:val="left" w:pos="7480"/>
        </w:tabs>
        <w:autoSpaceDE w:val="0"/>
        <w:autoSpaceDN w:val="0"/>
        <w:adjustRightInd w:val="0"/>
        <w:spacing w:line="360" w:lineRule="exact"/>
        <w:rPr>
          <w:rFonts w:ascii="宋体" w:hAnsi="宋体" w:cs="宋体"/>
          <w:color w:val="auto"/>
          <w:sz w:val="24"/>
          <w:highlight w:val="none"/>
        </w:rPr>
      </w:pPr>
    </w:p>
    <w:p w14:paraId="219C115E">
      <w:pPr>
        <w:tabs>
          <w:tab w:val="left" w:pos="7480"/>
        </w:tabs>
        <w:autoSpaceDE w:val="0"/>
        <w:autoSpaceDN w:val="0"/>
        <w:adjustRightInd w:val="0"/>
        <w:spacing w:line="360" w:lineRule="exact"/>
        <w:rPr>
          <w:rFonts w:ascii="宋体" w:hAnsi="宋体" w:cs="宋体"/>
          <w:color w:val="auto"/>
          <w:sz w:val="24"/>
          <w:highlight w:val="none"/>
        </w:rPr>
      </w:pPr>
    </w:p>
    <w:p w14:paraId="7B530E39">
      <w:pPr>
        <w:tabs>
          <w:tab w:val="left" w:pos="7480"/>
        </w:tabs>
        <w:autoSpaceDE w:val="0"/>
        <w:autoSpaceDN w:val="0"/>
        <w:adjustRightInd w:val="0"/>
        <w:spacing w:line="360" w:lineRule="exact"/>
        <w:rPr>
          <w:rFonts w:ascii="宋体" w:hAnsi="宋体" w:cs="宋体"/>
          <w:color w:val="auto"/>
          <w:sz w:val="24"/>
          <w:highlight w:val="none"/>
        </w:rPr>
      </w:pPr>
    </w:p>
    <w:p w14:paraId="3C55A10F">
      <w:pPr>
        <w:tabs>
          <w:tab w:val="left" w:pos="7480"/>
        </w:tabs>
        <w:autoSpaceDE w:val="0"/>
        <w:autoSpaceDN w:val="0"/>
        <w:adjustRightInd w:val="0"/>
        <w:spacing w:line="360" w:lineRule="exact"/>
        <w:rPr>
          <w:rFonts w:ascii="宋体" w:hAnsi="宋体" w:cs="宋体"/>
          <w:color w:val="auto"/>
          <w:sz w:val="24"/>
          <w:highlight w:val="none"/>
        </w:rPr>
      </w:pPr>
    </w:p>
    <w:p w14:paraId="3C109C22">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64429C77">
      <w:pPr>
        <w:pStyle w:val="7"/>
        <w:spacing w:before="0" w:after="0"/>
        <w:jc w:val="center"/>
        <w:rPr>
          <w:rFonts w:ascii="宋体" w:hAnsi="宋体" w:cs="宋体"/>
          <w:color w:val="auto"/>
          <w:szCs w:val="28"/>
          <w:highlight w:val="none"/>
        </w:rPr>
      </w:pPr>
      <w:bookmarkStart w:id="430" w:name="_Toc4081"/>
      <w:bookmarkStart w:id="431" w:name="_Toc27878"/>
      <w:bookmarkStart w:id="432" w:name="_Toc28637"/>
      <w:bookmarkStart w:id="433" w:name="_Toc9162"/>
      <w:r>
        <w:rPr>
          <w:rFonts w:hint="eastAsia" w:ascii="宋体" w:hAnsi="宋体" w:cs="宋体"/>
          <w:color w:val="auto"/>
          <w:szCs w:val="28"/>
          <w:highlight w:val="none"/>
        </w:rPr>
        <w:t>近三年在政府采购活动中无重大违法记录的声明</w:t>
      </w:r>
      <w:bookmarkEnd w:id="430"/>
      <w:bookmarkEnd w:id="431"/>
      <w:bookmarkEnd w:id="432"/>
      <w:bookmarkEnd w:id="433"/>
    </w:p>
    <w:p w14:paraId="6A797272">
      <w:pPr>
        <w:rPr>
          <w:rFonts w:ascii="宋体" w:hAnsi="宋体" w:cs="宋体"/>
          <w:color w:val="auto"/>
          <w:highlight w:val="none"/>
        </w:rPr>
      </w:pPr>
    </w:p>
    <w:p w14:paraId="50286ADC">
      <w:pPr>
        <w:rPr>
          <w:rFonts w:ascii="宋体" w:hAnsi="宋体" w:cs="宋体"/>
          <w:color w:val="auto"/>
          <w:highlight w:val="none"/>
        </w:rPr>
      </w:pPr>
    </w:p>
    <w:p w14:paraId="399865E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参加本项目政府采购活动前三年内，在经营活动中没有重大违法记录，特此声明。</w:t>
      </w:r>
    </w:p>
    <w:p w14:paraId="2689D237">
      <w:pPr>
        <w:spacing w:line="360" w:lineRule="auto"/>
        <w:rPr>
          <w:rFonts w:ascii="宋体" w:hAnsi="宋体" w:cs="宋体"/>
          <w:color w:val="auto"/>
          <w:szCs w:val="21"/>
          <w:highlight w:val="none"/>
        </w:rPr>
      </w:pPr>
    </w:p>
    <w:p w14:paraId="10526186">
      <w:pPr>
        <w:tabs>
          <w:tab w:val="left" w:pos="7480"/>
        </w:tabs>
        <w:autoSpaceDE w:val="0"/>
        <w:autoSpaceDN w:val="0"/>
        <w:adjustRightInd w:val="0"/>
        <w:spacing w:line="360" w:lineRule="exact"/>
        <w:rPr>
          <w:rFonts w:ascii="宋体" w:hAnsi="宋体" w:cs="宋体"/>
          <w:color w:val="auto"/>
          <w:szCs w:val="21"/>
          <w:highlight w:val="none"/>
        </w:rPr>
      </w:pPr>
    </w:p>
    <w:p w14:paraId="4374077A">
      <w:pPr>
        <w:tabs>
          <w:tab w:val="left" w:pos="7480"/>
        </w:tabs>
        <w:autoSpaceDE w:val="0"/>
        <w:autoSpaceDN w:val="0"/>
        <w:adjustRightInd w:val="0"/>
        <w:spacing w:line="360" w:lineRule="exact"/>
        <w:rPr>
          <w:rFonts w:ascii="宋体" w:hAnsi="宋体" w:cs="宋体"/>
          <w:color w:val="auto"/>
          <w:szCs w:val="21"/>
          <w:highlight w:val="none"/>
        </w:rPr>
      </w:pPr>
    </w:p>
    <w:p w14:paraId="554FBD31">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6F19F3E3">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51AE4BAB">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2699B0DF">
      <w:pPr>
        <w:tabs>
          <w:tab w:val="left" w:pos="7480"/>
        </w:tabs>
        <w:autoSpaceDE w:val="0"/>
        <w:autoSpaceDN w:val="0"/>
        <w:adjustRightInd w:val="0"/>
        <w:spacing w:line="360" w:lineRule="exact"/>
        <w:rPr>
          <w:rFonts w:ascii="宋体" w:hAnsi="宋体" w:cs="宋体"/>
          <w:color w:val="auto"/>
          <w:szCs w:val="21"/>
          <w:highlight w:val="none"/>
        </w:rPr>
      </w:pPr>
    </w:p>
    <w:p w14:paraId="71231501">
      <w:pPr>
        <w:rPr>
          <w:rStyle w:val="90"/>
          <w:rFonts w:ascii="宋体" w:hAnsi="宋体" w:cs="宋体"/>
          <w:color w:val="auto"/>
          <w:sz w:val="22"/>
          <w:szCs w:val="22"/>
          <w:highlight w:val="none"/>
        </w:rPr>
      </w:pPr>
      <w:r>
        <w:rPr>
          <w:rStyle w:val="90"/>
          <w:rFonts w:hint="eastAsia" w:ascii="宋体" w:hAnsi="宋体" w:cs="宋体"/>
          <w:color w:val="auto"/>
          <w:sz w:val="22"/>
          <w:szCs w:val="22"/>
          <w:highlight w:val="none"/>
        </w:rPr>
        <w:br w:type="page"/>
      </w:r>
    </w:p>
    <w:p w14:paraId="69E9B7D4">
      <w:pPr>
        <w:widowControl/>
        <w:spacing w:line="360" w:lineRule="auto"/>
        <w:jc w:val="center"/>
        <w:outlineLvl w:val="2"/>
        <w:rPr>
          <w:rFonts w:ascii="宋体" w:hAnsi="宋体" w:cs="宋体"/>
          <w:color w:val="auto"/>
          <w:sz w:val="24"/>
          <w:highlight w:val="none"/>
        </w:rPr>
      </w:pPr>
      <w:r>
        <w:rPr>
          <w:rFonts w:hint="eastAsia" w:ascii="黑体" w:hAnsi="黑体" w:eastAsia="黑体" w:cs="黑体"/>
          <w:b/>
          <w:bCs/>
          <w:color w:val="auto"/>
          <w:spacing w:val="-4"/>
          <w:sz w:val="32"/>
          <w:szCs w:val="32"/>
          <w:highlight w:val="none"/>
        </w:rPr>
        <w:t>落实政府采购政策需满足的资格要求</w:t>
      </w:r>
    </w:p>
    <w:p w14:paraId="463E3295">
      <w:pPr>
        <w:spacing w:line="360" w:lineRule="auto"/>
        <w:jc w:val="center"/>
        <w:outlineLvl w:val="3"/>
        <w:rPr>
          <w:rFonts w:ascii="宋体" w:hAnsi="宋体" w:cs="宋体"/>
          <w:b/>
          <w:bCs/>
          <w:color w:val="auto"/>
          <w:spacing w:val="-4"/>
          <w:sz w:val="28"/>
          <w:szCs w:val="28"/>
          <w:highlight w:val="none"/>
        </w:rPr>
      </w:pPr>
      <w:r>
        <w:rPr>
          <w:rFonts w:hint="eastAsia" w:ascii="宋体" w:hAnsi="宋体" w:cs="宋体"/>
          <w:b/>
          <w:bCs/>
          <w:color w:val="auto"/>
          <w:sz w:val="28"/>
          <w:szCs w:val="28"/>
          <w:highlight w:val="none"/>
        </w:rPr>
        <w:t>（一）</w:t>
      </w:r>
      <w:r>
        <w:rPr>
          <w:rFonts w:hint="eastAsia" w:ascii="宋体" w:hAnsi="宋体" w:cs="宋体"/>
          <w:b/>
          <w:bCs/>
          <w:color w:val="auto"/>
          <w:spacing w:val="-4"/>
          <w:sz w:val="28"/>
          <w:szCs w:val="28"/>
          <w:highlight w:val="none"/>
        </w:rPr>
        <w:t>中小企业声明函（服务类）</w:t>
      </w:r>
    </w:p>
    <w:p w14:paraId="5B274D8D">
      <w:pPr>
        <w:spacing w:line="360" w:lineRule="auto"/>
        <w:ind w:firstLine="420" w:firstLineChars="200"/>
        <w:jc w:val="left"/>
        <w:rPr>
          <w:rFonts w:ascii="宋体" w:hAnsi="宋体" w:cs="宋体"/>
          <w:color w:val="auto"/>
          <w:szCs w:val="21"/>
          <w:highlight w:val="none"/>
        </w:rPr>
      </w:pPr>
    </w:p>
    <w:p w14:paraId="0DD708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本公司（联合体）郑重声明，根据《政府采购促进中小企业发展管理办法》（财库﹝2020﹞46 号）的规定，本公司（联合体）参加 </w:t>
      </w:r>
      <w:r>
        <w:rPr>
          <w:rFonts w:hint="eastAsia" w:ascii="宋体" w:hAnsi="宋体" w:cs="宋体"/>
          <w:color w:val="auto"/>
          <w:szCs w:val="21"/>
          <w:highlight w:val="none"/>
          <w:u w:val="single"/>
        </w:rPr>
        <w:t xml:space="preserve">（采购人名称）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0D7737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bCs/>
          <w:color w:val="auto"/>
          <w:szCs w:val="21"/>
          <w:highlight w:val="none"/>
          <w:u w:val="single"/>
        </w:rPr>
        <w:t>2026-2029年江北区教育系统网络安全采购</w:t>
      </w:r>
      <w:r>
        <w:rPr>
          <w:rFonts w:hint="eastAsia" w:ascii="宋体" w:hAnsi="宋体" w:cs="宋体"/>
          <w:color w:val="auto"/>
          <w:szCs w:val="21"/>
          <w:highlight w:val="none"/>
        </w:rPr>
        <w:t>，属于</w:t>
      </w:r>
      <w:r>
        <w:rPr>
          <w:rFonts w:hint="eastAsia" w:ascii="宋体" w:hAnsi="宋体" w:cs="宋体"/>
          <w:b/>
          <w:bCs/>
          <w:color w:val="auto"/>
          <w:szCs w:val="21"/>
          <w:highlight w:val="none"/>
          <w:u w:val="single"/>
        </w:rPr>
        <w:t>软件和信息技术服务业</w:t>
      </w:r>
      <w:r>
        <w:rPr>
          <w:rFonts w:hint="eastAsia" w:ascii="宋体" w:hAnsi="宋体" w:cs="宋体"/>
          <w:color w:val="auto"/>
          <w:szCs w:val="21"/>
          <w:highlight w:val="none"/>
        </w:rPr>
        <w:t xml:space="preserve">；承建（承接）企业为 </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 xml:space="preserve"> ，从业人员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填写：</w:t>
      </w:r>
      <w:r>
        <w:rPr>
          <w:rFonts w:hint="eastAsia" w:ascii="宋体" w:hAnsi="宋体" w:cs="宋体"/>
          <w:color w:val="auto"/>
          <w:szCs w:val="21"/>
          <w:highlight w:val="none"/>
          <w:u w:val="single"/>
        </w:rPr>
        <w:t xml:space="preserve">中型企业、小型企业、微型企业） </w:t>
      </w:r>
      <w:r>
        <w:rPr>
          <w:rFonts w:hint="eastAsia" w:ascii="宋体" w:hAnsi="宋体" w:cs="宋体"/>
          <w:color w:val="auto"/>
          <w:szCs w:val="21"/>
          <w:highlight w:val="none"/>
        </w:rPr>
        <w:t>；</w:t>
      </w:r>
    </w:p>
    <w:p w14:paraId="31A427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0182F7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86C3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09B7CA00">
      <w:pPr>
        <w:snapToGrid w:val="0"/>
        <w:spacing w:before="50" w:after="50" w:line="440" w:lineRule="exact"/>
        <w:ind w:left="57" w:leftChars="27" w:right="-817" w:rightChars="-389" w:firstLine="4061" w:firstLineChars="1934"/>
        <w:rPr>
          <w:rFonts w:ascii="宋体" w:hAnsi="宋体" w:cs="宋体"/>
          <w:color w:val="auto"/>
          <w:szCs w:val="21"/>
          <w:highlight w:val="none"/>
        </w:rPr>
      </w:pPr>
    </w:p>
    <w:p w14:paraId="6ACD13F0">
      <w:pPr>
        <w:spacing w:line="360" w:lineRule="auto"/>
        <w:ind w:firstLine="3780" w:firstLineChars="1800"/>
        <w:rPr>
          <w:rFonts w:ascii="宋体" w:hAnsi="宋体" w:cs="宋体"/>
          <w:color w:val="auto"/>
          <w:szCs w:val="21"/>
          <w:highlight w:val="none"/>
          <w:u w:val="single"/>
        </w:rPr>
      </w:pPr>
      <w:r>
        <w:rPr>
          <w:rFonts w:hint="eastAsia" w:ascii="宋体" w:hAnsi="宋体" w:cs="宋体"/>
          <w:color w:val="auto"/>
          <w:szCs w:val="21"/>
          <w:highlight w:val="none"/>
        </w:rPr>
        <w:t>供应商名称（盖单位公章）：</w:t>
      </w:r>
      <w:r>
        <w:rPr>
          <w:rFonts w:hint="eastAsia" w:ascii="宋体" w:hAnsi="宋体" w:cs="宋体"/>
          <w:color w:val="auto"/>
          <w:szCs w:val="21"/>
          <w:highlight w:val="none"/>
          <w:u w:val="single"/>
        </w:rPr>
        <w:t xml:space="preserve">           </w:t>
      </w:r>
    </w:p>
    <w:p w14:paraId="5882CDA4">
      <w:pPr>
        <w:tabs>
          <w:tab w:val="right" w:pos="4723"/>
        </w:tabs>
        <w:spacing w:line="360" w:lineRule="auto"/>
        <w:ind w:firstLine="3780" w:firstLineChars="18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tab/>
      </w:r>
    </w:p>
    <w:p w14:paraId="2D1800F1">
      <w:pPr>
        <w:spacing w:line="360" w:lineRule="auto"/>
        <w:ind w:firstLine="310" w:firstLineChars="147"/>
        <w:jc w:val="left"/>
        <w:rPr>
          <w:rFonts w:ascii="宋体" w:hAnsi="宋体" w:cs="宋体"/>
          <w:b/>
          <w:color w:val="auto"/>
          <w:szCs w:val="21"/>
          <w:highlight w:val="none"/>
        </w:rPr>
      </w:pPr>
    </w:p>
    <w:p w14:paraId="0CE8FAC4">
      <w:pPr>
        <w:spacing w:line="360" w:lineRule="auto"/>
        <w:ind w:firstLine="310" w:firstLineChars="147"/>
        <w:jc w:val="left"/>
        <w:rPr>
          <w:rFonts w:ascii="宋体" w:hAnsi="宋体" w:cs="宋体"/>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60E8E32E">
      <w:pPr>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注：</w:t>
      </w:r>
    </w:p>
    <w:p w14:paraId="61603B78">
      <w:pPr>
        <w:spacing w:line="400" w:lineRule="exact"/>
        <w:ind w:firstLine="360" w:firstLineChars="200"/>
        <w:rPr>
          <w:rFonts w:ascii="宋体" w:hAnsi="宋体" w:cs="宋体"/>
          <w:color w:val="auto"/>
          <w:sz w:val="18"/>
          <w:szCs w:val="18"/>
          <w:highlight w:val="none"/>
        </w:rPr>
      </w:pPr>
      <w:r>
        <w:rPr>
          <w:rFonts w:hint="eastAsia" w:ascii="宋体" w:hAnsi="宋体" w:cs="宋体"/>
          <w:color w:val="auto"/>
          <w:sz w:val="18"/>
          <w:szCs w:val="18"/>
          <w:highlight w:val="none"/>
        </w:rPr>
        <w:t>1.填写要求：①“标的名称”、“采购文件中明确的所属行业”依据采购文件第三章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3D649AE">
      <w:pPr>
        <w:pStyle w:val="17"/>
        <w:spacing w:line="400" w:lineRule="exact"/>
        <w:ind w:firstLine="360" w:firstLineChars="200"/>
        <w:rPr>
          <w:rFonts w:ascii="宋体" w:hAnsi="宋体" w:cs="宋体"/>
          <w:color w:val="auto"/>
          <w:sz w:val="18"/>
          <w:szCs w:val="18"/>
          <w:highlight w:val="none"/>
        </w:rPr>
        <w:sectPr>
          <w:pgSz w:w="11922" w:h="16849"/>
          <w:pgMar w:top="1179" w:right="1417" w:bottom="1179" w:left="1417" w:header="0" w:footer="567" w:gutter="0"/>
          <w:cols w:space="0" w:num="1"/>
          <w:docGrid w:linePitch="290" w:charSpace="0"/>
        </w:sectPr>
      </w:pPr>
      <w:r>
        <w:rPr>
          <w:rFonts w:hint="eastAsia" w:ascii="宋体" w:hAnsi="宋体" w:cs="宋体"/>
          <w:color w:val="auto"/>
          <w:sz w:val="18"/>
          <w:szCs w:val="18"/>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tbl>
      <w:tblPr>
        <w:tblStyle w:val="42"/>
        <w:tblW w:w="14872" w:type="dxa"/>
        <w:tblInd w:w="-252" w:type="dxa"/>
        <w:tblLayout w:type="fixed"/>
        <w:tblCellMar>
          <w:top w:w="0" w:type="dxa"/>
          <w:left w:w="108" w:type="dxa"/>
          <w:bottom w:w="0" w:type="dxa"/>
          <w:right w:w="108" w:type="dxa"/>
        </w:tblCellMar>
      </w:tblPr>
      <w:tblGrid>
        <w:gridCol w:w="1930"/>
        <w:gridCol w:w="1498"/>
        <w:gridCol w:w="1763"/>
        <w:gridCol w:w="1660"/>
        <w:gridCol w:w="1240"/>
        <w:gridCol w:w="1480"/>
        <w:gridCol w:w="1520"/>
        <w:gridCol w:w="1285"/>
        <w:gridCol w:w="1275"/>
        <w:gridCol w:w="911"/>
        <w:gridCol w:w="310"/>
      </w:tblGrid>
      <w:tr w14:paraId="2AA82F60">
        <w:tblPrEx>
          <w:tblCellMar>
            <w:top w:w="0" w:type="dxa"/>
            <w:left w:w="108" w:type="dxa"/>
            <w:bottom w:w="0" w:type="dxa"/>
            <w:right w:w="108" w:type="dxa"/>
          </w:tblCellMar>
        </w:tblPrEx>
        <w:trPr>
          <w:gridAfter w:val="1"/>
          <w:wAfter w:w="310" w:type="dxa"/>
          <w:trHeight w:val="420" w:hRule="atLeast"/>
        </w:trPr>
        <w:tc>
          <w:tcPr>
            <w:tcW w:w="14562" w:type="dxa"/>
            <w:gridSpan w:val="10"/>
            <w:tcBorders>
              <w:top w:val="nil"/>
              <w:left w:val="nil"/>
              <w:bottom w:val="nil"/>
              <w:right w:val="nil"/>
            </w:tcBorders>
            <w:vAlign w:val="bottom"/>
          </w:tcPr>
          <w:p w14:paraId="0ED55EF2">
            <w:pPr>
              <w:widowControl/>
              <w:jc w:val="center"/>
              <w:rPr>
                <w:rFonts w:ascii="宋体" w:hAnsi="宋体" w:cs="宋体"/>
                <w:b/>
                <w:bCs/>
                <w:color w:val="auto"/>
                <w:kern w:val="0"/>
                <w:sz w:val="32"/>
                <w:szCs w:val="32"/>
                <w:highlight w:val="none"/>
              </w:rPr>
            </w:pPr>
            <w:r>
              <w:rPr>
                <w:rFonts w:hint="eastAsia" w:ascii="宋体" w:hAnsi="宋体" w:cs="宋体"/>
                <w:b/>
                <w:bCs/>
                <w:color w:val="auto"/>
                <w:kern w:val="0"/>
                <w:sz w:val="24"/>
                <w:highlight w:val="none"/>
              </w:rPr>
              <w:t>中小微行业划型标准规定（根据工信部联企业〔2011〕300号制定）</w:t>
            </w:r>
          </w:p>
        </w:tc>
      </w:tr>
      <w:tr w14:paraId="0E6B5422">
        <w:tblPrEx>
          <w:tblCellMar>
            <w:top w:w="0" w:type="dxa"/>
            <w:left w:w="108" w:type="dxa"/>
            <w:bottom w:w="0" w:type="dxa"/>
            <w:right w:w="108" w:type="dxa"/>
          </w:tblCellMar>
        </w:tblPrEx>
        <w:trPr>
          <w:trHeight w:val="465" w:hRule="atLeast"/>
        </w:trPr>
        <w:tc>
          <w:tcPr>
            <w:tcW w:w="1930" w:type="dxa"/>
            <w:vMerge w:val="restart"/>
            <w:tcBorders>
              <w:top w:val="single" w:color="auto" w:sz="8" w:space="0"/>
              <w:left w:val="single" w:color="auto" w:sz="8" w:space="0"/>
              <w:bottom w:val="single" w:color="000000" w:sz="4" w:space="0"/>
              <w:right w:val="single" w:color="auto" w:sz="8" w:space="0"/>
            </w:tcBorders>
            <w:vAlign w:val="center"/>
          </w:tcPr>
          <w:p w14:paraId="112E37F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行业</w:t>
            </w:r>
          </w:p>
        </w:tc>
        <w:tc>
          <w:tcPr>
            <w:tcW w:w="4921" w:type="dxa"/>
            <w:gridSpan w:val="3"/>
            <w:tcBorders>
              <w:top w:val="single" w:color="auto" w:sz="8" w:space="0"/>
              <w:left w:val="nil"/>
              <w:bottom w:val="single" w:color="auto" w:sz="4" w:space="0"/>
              <w:right w:val="single" w:color="000000" w:sz="8" w:space="0"/>
            </w:tcBorders>
            <w:vAlign w:val="center"/>
          </w:tcPr>
          <w:p w14:paraId="3525BA2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中型企业</w:t>
            </w:r>
          </w:p>
        </w:tc>
        <w:tc>
          <w:tcPr>
            <w:tcW w:w="4240" w:type="dxa"/>
            <w:gridSpan w:val="3"/>
            <w:tcBorders>
              <w:top w:val="single" w:color="auto" w:sz="8" w:space="0"/>
              <w:left w:val="nil"/>
              <w:bottom w:val="single" w:color="auto" w:sz="4" w:space="0"/>
              <w:right w:val="single" w:color="000000" w:sz="8" w:space="0"/>
            </w:tcBorders>
            <w:vAlign w:val="center"/>
          </w:tcPr>
          <w:p w14:paraId="03631F3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小型企业</w:t>
            </w:r>
          </w:p>
        </w:tc>
        <w:tc>
          <w:tcPr>
            <w:tcW w:w="3781" w:type="dxa"/>
            <w:gridSpan w:val="4"/>
            <w:tcBorders>
              <w:top w:val="single" w:color="auto" w:sz="8" w:space="0"/>
              <w:left w:val="nil"/>
              <w:bottom w:val="single" w:color="auto" w:sz="4" w:space="0"/>
              <w:right w:val="single" w:color="000000" w:sz="8" w:space="0"/>
            </w:tcBorders>
            <w:vAlign w:val="center"/>
          </w:tcPr>
          <w:p w14:paraId="0CB171E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微型企业</w:t>
            </w:r>
          </w:p>
        </w:tc>
      </w:tr>
      <w:tr w14:paraId="5725ACE6">
        <w:tblPrEx>
          <w:tblCellMar>
            <w:top w:w="0" w:type="dxa"/>
            <w:left w:w="108" w:type="dxa"/>
            <w:bottom w:w="0" w:type="dxa"/>
            <w:right w:w="108" w:type="dxa"/>
          </w:tblCellMar>
        </w:tblPrEx>
        <w:trPr>
          <w:trHeight w:val="525" w:hRule="atLeast"/>
        </w:trPr>
        <w:tc>
          <w:tcPr>
            <w:tcW w:w="1930" w:type="dxa"/>
            <w:vMerge w:val="continue"/>
            <w:tcBorders>
              <w:top w:val="single" w:color="auto" w:sz="8" w:space="0"/>
              <w:left w:val="single" w:color="auto" w:sz="8" w:space="0"/>
              <w:bottom w:val="single" w:color="000000" w:sz="4" w:space="0"/>
              <w:right w:val="single" w:color="auto" w:sz="8" w:space="0"/>
            </w:tcBorders>
            <w:vAlign w:val="center"/>
          </w:tcPr>
          <w:p w14:paraId="46874C15">
            <w:pPr>
              <w:widowControl/>
              <w:jc w:val="left"/>
              <w:rPr>
                <w:rFonts w:ascii="宋体" w:hAnsi="宋体" w:cs="宋体"/>
                <w:b/>
                <w:bCs/>
                <w:color w:val="auto"/>
                <w:kern w:val="0"/>
                <w:sz w:val="18"/>
                <w:szCs w:val="18"/>
                <w:highlight w:val="none"/>
              </w:rPr>
            </w:pPr>
          </w:p>
        </w:tc>
        <w:tc>
          <w:tcPr>
            <w:tcW w:w="1498" w:type="dxa"/>
            <w:tcBorders>
              <w:top w:val="nil"/>
              <w:left w:val="nil"/>
              <w:bottom w:val="single" w:color="auto" w:sz="4" w:space="0"/>
              <w:right w:val="single" w:color="auto" w:sz="4" w:space="0"/>
            </w:tcBorders>
            <w:vAlign w:val="bottom"/>
          </w:tcPr>
          <w:p w14:paraId="4F7E90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从业人员X（人）</w:t>
            </w:r>
          </w:p>
        </w:tc>
        <w:tc>
          <w:tcPr>
            <w:tcW w:w="1763" w:type="dxa"/>
            <w:tcBorders>
              <w:top w:val="nil"/>
              <w:left w:val="nil"/>
              <w:bottom w:val="single" w:color="auto" w:sz="4" w:space="0"/>
              <w:right w:val="single" w:color="auto" w:sz="4" w:space="0"/>
            </w:tcBorders>
            <w:vAlign w:val="bottom"/>
          </w:tcPr>
          <w:p w14:paraId="456D0FC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p w14:paraId="0403C0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60" w:type="dxa"/>
            <w:tcBorders>
              <w:top w:val="nil"/>
              <w:left w:val="nil"/>
              <w:bottom w:val="single" w:color="auto" w:sz="4" w:space="0"/>
              <w:right w:val="single" w:color="auto" w:sz="8" w:space="0"/>
            </w:tcBorders>
            <w:vAlign w:val="bottom"/>
          </w:tcPr>
          <w:p w14:paraId="1F00B6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p w14:paraId="795F7A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240" w:type="dxa"/>
            <w:tcBorders>
              <w:top w:val="nil"/>
              <w:left w:val="nil"/>
              <w:bottom w:val="single" w:color="auto" w:sz="4" w:space="0"/>
              <w:right w:val="single" w:color="auto" w:sz="4" w:space="0"/>
            </w:tcBorders>
            <w:vAlign w:val="bottom"/>
          </w:tcPr>
          <w:p w14:paraId="5EFC8C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从业人员X（人）</w:t>
            </w:r>
          </w:p>
        </w:tc>
        <w:tc>
          <w:tcPr>
            <w:tcW w:w="1480" w:type="dxa"/>
            <w:tcBorders>
              <w:top w:val="nil"/>
              <w:left w:val="nil"/>
              <w:bottom w:val="single" w:color="auto" w:sz="4" w:space="0"/>
              <w:right w:val="single" w:color="auto" w:sz="4" w:space="0"/>
            </w:tcBorders>
            <w:vAlign w:val="bottom"/>
          </w:tcPr>
          <w:p w14:paraId="199C5F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p w14:paraId="1F10D6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20" w:type="dxa"/>
            <w:tcBorders>
              <w:top w:val="nil"/>
              <w:left w:val="nil"/>
              <w:bottom w:val="single" w:color="auto" w:sz="4" w:space="0"/>
              <w:right w:val="single" w:color="auto" w:sz="8" w:space="0"/>
            </w:tcBorders>
            <w:vAlign w:val="bottom"/>
          </w:tcPr>
          <w:p w14:paraId="640AA9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p w14:paraId="080E32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285" w:type="dxa"/>
            <w:tcBorders>
              <w:top w:val="nil"/>
              <w:left w:val="nil"/>
              <w:bottom w:val="single" w:color="auto" w:sz="4" w:space="0"/>
              <w:right w:val="single" w:color="auto" w:sz="4" w:space="0"/>
            </w:tcBorders>
            <w:vAlign w:val="bottom"/>
          </w:tcPr>
          <w:p w14:paraId="23BB4E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从业人员X（人）</w:t>
            </w:r>
          </w:p>
        </w:tc>
        <w:tc>
          <w:tcPr>
            <w:tcW w:w="1275" w:type="dxa"/>
            <w:tcBorders>
              <w:top w:val="nil"/>
              <w:left w:val="nil"/>
              <w:bottom w:val="single" w:color="auto" w:sz="4" w:space="0"/>
              <w:right w:val="single" w:color="auto" w:sz="4" w:space="0"/>
            </w:tcBorders>
            <w:vAlign w:val="bottom"/>
          </w:tcPr>
          <w:p w14:paraId="63BF3F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营业收入Y（万元）</w:t>
            </w:r>
          </w:p>
        </w:tc>
        <w:tc>
          <w:tcPr>
            <w:tcW w:w="1221" w:type="dxa"/>
            <w:gridSpan w:val="2"/>
            <w:tcBorders>
              <w:top w:val="nil"/>
              <w:left w:val="nil"/>
              <w:bottom w:val="single" w:color="auto" w:sz="4" w:space="0"/>
              <w:right w:val="single" w:color="auto" w:sz="8" w:space="0"/>
            </w:tcBorders>
            <w:vAlign w:val="bottom"/>
          </w:tcPr>
          <w:p w14:paraId="3AFB56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资产总额Z（万元）</w:t>
            </w:r>
          </w:p>
        </w:tc>
      </w:tr>
      <w:tr w14:paraId="35F1A0DA">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5B66E8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1、农林牧渔业</w:t>
            </w:r>
          </w:p>
        </w:tc>
        <w:tc>
          <w:tcPr>
            <w:tcW w:w="1498" w:type="dxa"/>
            <w:tcBorders>
              <w:top w:val="nil"/>
              <w:left w:val="nil"/>
              <w:bottom w:val="single" w:color="auto" w:sz="4" w:space="0"/>
              <w:right w:val="single" w:color="auto" w:sz="4" w:space="0"/>
            </w:tcBorders>
            <w:vAlign w:val="bottom"/>
          </w:tcPr>
          <w:p w14:paraId="15ED3E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763" w:type="dxa"/>
            <w:tcBorders>
              <w:top w:val="nil"/>
              <w:left w:val="nil"/>
              <w:bottom w:val="single" w:color="auto" w:sz="4" w:space="0"/>
              <w:right w:val="single" w:color="auto" w:sz="4" w:space="0"/>
            </w:tcBorders>
            <w:vAlign w:val="bottom"/>
          </w:tcPr>
          <w:p w14:paraId="498F4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660" w:type="dxa"/>
            <w:tcBorders>
              <w:top w:val="nil"/>
              <w:left w:val="nil"/>
              <w:bottom w:val="single" w:color="auto" w:sz="4" w:space="0"/>
              <w:right w:val="single" w:color="auto" w:sz="8" w:space="0"/>
            </w:tcBorders>
            <w:vAlign w:val="bottom"/>
          </w:tcPr>
          <w:p w14:paraId="1935EF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45347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80" w:type="dxa"/>
            <w:tcBorders>
              <w:top w:val="nil"/>
              <w:left w:val="nil"/>
              <w:bottom w:val="single" w:color="auto" w:sz="4" w:space="0"/>
              <w:right w:val="single" w:color="auto" w:sz="4" w:space="0"/>
            </w:tcBorders>
            <w:vAlign w:val="bottom"/>
          </w:tcPr>
          <w:p w14:paraId="09D25D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1520" w:type="dxa"/>
            <w:tcBorders>
              <w:top w:val="nil"/>
              <w:left w:val="nil"/>
              <w:bottom w:val="single" w:color="auto" w:sz="4" w:space="0"/>
              <w:right w:val="single" w:color="auto" w:sz="8" w:space="0"/>
            </w:tcBorders>
            <w:vAlign w:val="bottom"/>
          </w:tcPr>
          <w:p w14:paraId="66665E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004C5E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5" w:type="dxa"/>
            <w:tcBorders>
              <w:top w:val="nil"/>
              <w:left w:val="nil"/>
              <w:bottom w:val="single" w:color="auto" w:sz="4" w:space="0"/>
              <w:right w:val="single" w:color="auto" w:sz="4" w:space="0"/>
            </w:tcBorders>
            <w:vAlign w:val="bottom"/>
          </w:tcPr>
          <w:p w14:paraId="0CBF50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c>
          <w:tcPr>
            <w:tcW w:w="1221" w:type="dxa"/>
            <w:gridSpan w:val="2"/>
            <w:tcBorders>
              <w:top w:val="nil"/>
              <w:left w:val="nil"/>
              <w:bottom w:val="single" w:color="auto" w:sz="4" w:space="0"/>
              <w:right w:val="single" w:color="auto" w:sz="8" w:space="0"/>
            </w:tcBorders>
            <w:vAlign w:val="bottom"/>
          </w:tcPr>
          <w:p w14:paraId="227322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4905917">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11B497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2、工业</w:t>
            </w:r>
          </w:p>
        </w:tc>
        <w:tc>
          <w:tcPr>
            <w:tcW w:w="1498" w:type="dxa"/>
            <w:tcBorders>
              <w:top w:val="nil"/>
              <w:left w:val="nil"/>
              <w:bottom w:val="single" w:color="auto" w:sz="4" w:space="0"/>
              <w:right w:val="single" w:color="auto" w:sz="4" w:space="0"/>
            </w:tcBorders>
            <w:vAlign w:val="bottom"/>
          </w:tcPr>
          <w:p w14:paraId="581F83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63" w:type="dxa"/>
            <w:tcBorders>
              <w:top w:val="nil"/>
              <w:left w:val="nil"/>
              <w:bottom w:val="single" w:color="auto" w:sz="4" w:space="0"/>
              <w:right w:val="single" w:color="auto" w:sz="4" w:space="0"/>
            </w:tcBorders>
            <w:vAlign w:val="bottom"/>
          </w:tcPr>
          <w:p w14:paraId="4C07B8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60" w:type="dxa"/>
            <w:tcBorders>
              <w:top w:val="nil"/>
              <w:left w:val="nil"/>
              <w:bottom w:val="single" w:color="auto" w:sz="4" w:space="0"/>
              <w:right w:val="single" w:color="auto" w:sz="8" w:space="0"/>
            </w:tcBorders>
            <w:vAlign w:val="bottom"/>
          </w:tcPr>
          <w:p w14:paraId="5F4A84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48D249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80" w:type="dxa"/>
            <w:tcBorders>
              <w:top w:val="nil"/>
              <w:left w:val="nil"/>
              <w:bottom w:val="single" w:color="auto" w:sz="4" w:space="0"/>
              <w:right w:val="single" w:color="auto" w:sz="4" w:space="0"/>
            </w:tcBorders>
            <w:vAlign w:val="bottom"/>
          </w:tcPr>
          <w:p w14:paraId="465313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520" w:type="dxa"/>
            <w:tcBorders>
              <w:top w:val="nil"/>
              <w:left w:val="nil"/>
              <w:bottom w:val="single" w:color="auto" w:sz="4" w:space="0"/>
              <w:right w:val="single" w:color="auto" w:sz="8" w:space="0"/>
            </w:tcBorders>
            <w:vAlign w:val="bottom"/>
          </w:tcPr>
          <w:p w14:paraId="7C239B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7D0D17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c>
          <w:tcPr>
            <w:tcW w:w="1275" w:type="dxa"/>
            <w:tcBorders>
              <w:top w:val="nil"/>
              <w:left w:val="nil"/>
              <w:bottom w:val="single" w:color="auto" w:sz="4" w:space="0"/>
              <w:right w:val="single" w:color="auto" w:sz="4" w:space="0"/>
            </w:tcBorders>
            <w:vAlign w:val="bottom"/>
          </w:tcPr>
          <w:p w14:paraId="7A552B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c>
          <w:tcPr>
            <w:tcW w:w="1221" w:type="dxa"/>
            <w:gridSpan w:val="2"/>
            <w:tcBorders>
              <w:top w:val="nil"/>
              <w:left w:val="nil"/>
              <w:bottom w:val="single" w:color="auto" w:sz="4" w:space="0"/>
              <w:right w:val="single" w:color="auto" w:sz="8" w:space="0"/>
            </w:tcBorders>
            <w:vAlign w:val="bottom"/>
          </w:tcPr>
          <w:p w14:paraId="307070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76481397">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10B6A6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3、建筑业</w:t>
            </w:r>
          </w:p>
        </w:tc>
        <w:tc>
          <w:tcPr>
            <w:tcW w:w="1498" w:type="dxa"/>
            <w:tcBorders>
              <w:top w:val="nil"/>
              <w:left w:val="nil"/>
              <w:bottom w:val="single" w:color="auto" w:sz="4" w:space="0"/>
              <w:right w:val="single" w:color="auto" w:sz="4" w:space="0"/>
            </w:tcBorders>
            <w:vAlign w:val="bottom"/>
          </w:tcPr>
          <w:p w14:paraId="4A1EE3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763" w:type="dxa"/>
            <w:tcBorders>
              <w:top w:val="nil"/>
              <w:left w:val="nil"/>
              <w:bottom w:val="single" w:color="auto" w:sz="4" w:space="0"/>
              <w:right w:val="single" w:color="auto" w:sz="4" w:space="0"/>
            </w:tcBorders>
            <w:vAlign w:val="bottom"/>
          </w:tcPr>
          <w:p w14:paraId="1E1065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60" w:type="dxa"/>
            <w:tcBorders>
              <w:top w:val="nil"/>
              <w:left w:val="nil"/>
              <w:bottom w:val="single" w:color="auto" w:sz="4" w:space="0"/>
              <w:right w:val="single" w:color="auto" w:sz="8" w:space="0"/>
            </w:tcBorders>
            <w:vAlign w:val="bottom"/>
          </w:tcPr>
          <w:p w14:paraId="760DAF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240" w:type="dxa"/>
            <w:tcBorders>
              <w:top w:val="nil"/>
              <w:left w:val="nil"/>
              <w:bottom w:val="single" w:color="auto" w:sz="4" w:space="0"/>
              <w:right w:val="single" w:color="auto" w:sz="4" w:space="0"/>
            </w:tcBorders>
            <w:vAlign w:val="bottom"/>
          </w:tcPr>
          <w:p w14:paraId="0624C1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80" w:type="dxa"/>
            <w:tcBorders>
              <w:top w:val="nil"/>
              <w:left w:val="nil"/>
              <w:bottom w:val="single" w:color="auto" w:sz="4" w:space="0"/>
              <w:right w:val="single" w:color="auto" w:sz="4" w:space="0"/>
            </w:tcBorders>
            <w:vAlign w:val="bottom"/>
          </w:tcPr>
          <w:p w14:paraId="4B2876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520" w:type="dxa"/>
            <w:tcBorders>
              <w:top w:val="nil"/>
              <w:left w:val="nil"/>
              <w:bottom w:val="single" w:color="auto" w:sz="4" w:space="0"/>
              <w:right w:val="single" w:color="auto" w:sz="8" w:space="0"/>
            </w:tcBorders>
            <w:vAlign w:val="bottom"/>
          </w:tcPr>
          <w:p w14:paraId="6A6270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1285" w:type="dxa"/>
            <w:tcBorders>
              <w:top w:val="nil"/>
              <w:left w:val="nil"/>
              <w:bottom w:val="single" w:color="auto" w:sz="4" w:space="0"/>
              <w:right w:val="single" w:color="auto" w:sz="4" w:space="0"/>
            </w:tcBorders>
            <w:vAlign w:val="bottom"/>
          </w:tcPr>
          <w:p w14:paraId="5D8F9D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5" w:type="dxa"/>
            <w:tcBorders>
              <w:top w:val="nil"/>
              <w:left w:val="nil"/>
              <w:bottom w:val="single" w:color="auto" w:sz="4" w:space="0"/>
              <w:right w:val="single" w:color="auto" w:sz="4" w:space="0"/>
            </w:tcBorders>
            <w:vAlign w:val="bottom"/>
          </w:tcPr>
          <w:p w14:paraId="69A6B0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c>
          <w:tcPr>
            <w:tcW w:w="1221" w:type="dxa"/>
            <w:gridSpan w:val="2"/>
            <w:tcBorders>
              <w:top w:val="nil"/>
              <w:left w:val="nil"/>
              <w:bottom w:val="single" w:color="auto" w:sz="4" w:space="0"/>
              <w:right w:val="single" w:color="auto" w:sz="8" w:space="0"/>
            </w:tcBorders>
            <w:vAlign w:val="bottom"/>
          </w:tcPr>
          <w:p w14:paraId="3ADE1E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34853B5">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462483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4、批发业</w:t>
            </w:r>
          </w:p>
        </w:tc>
        <w:tc>
          <w:tcPr>
            <w:tcW w:w="1498" w:type="dxa"/>
            <w:tcBorders>
              <w:top w:val="nil"/>
              <w:left w:val="nil"/>
              <w:bottom w:val="single" w:color="auto" w:sz="4" w:space="0"/>
              <w:right w:val="single" w:color="auto" w:sz="4" w:space="0"/>
            </w:tcBorders>
            <w:vAlign w:val="bottom"/>
          </w:tcPr>
          <w:p w14:paraId="01D241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20≤X＜200</w:t>
            </w:r>
          </w:p>
        </w:tc>
        <w:tc>
          <w:tcPr>
            <w:tcW w:w="1763" w:type="dxa"/>
            <w:tcBorders>
              <w:top w:val="nil"/>
              <w:left w:val="nil"/>
              <w:bottom w:val="single" w:color="auto" w:sz="4" w:space="0"/>
              <w:right w:val="single" w:color="auto" w:sz="4" w:space="0"/>
            </w:tcBorders>
            <w:vAlign w:val="bottom"/>
          </w:tcPr>
          <w:p w14:paraId="7A1CAE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60" w:type="dxa"/>
            <w:tcBorders>
              <w:top w:val="nil"/>
              <w:left w:val="nil"/>
              <w:bottom w:val="single" w:color="auto" w:sz="4" w:space="0"/>
              <w:right w:val="single" w:color="auto" w:sz="8" w:space="0"/>
            </w:tcBorders>
            <w:vAlign w:val="bottom"/>
          </w:tcPr>
          <w:p w14:paraId="395799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709DAA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1480" w:type="dxa"/>
            <w:tcBorders>
              <w:top w:val="nil"/>
              <w:left w:val="nil"/>
              <w:bottom w:val="single" w:color="auto" w:sz="4" w:space="0"/>
              <w:right w:val="single" w:color="auto" w:sz="4" w:space="0"/>
            </w:tcBorders>
            <w:vAlign w:val="bottom"/>
          </w:tcPr>
          <w:p w14:paraId="6B9A0A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20" w:type="dxa"/>
            <w:tcBorders>
              <w:top w:val="nil"/>
              <w:left w:val="nil"/>
              <w:bottom w:val="single" w:color="auto" w:sz="4" w:space="0"/>
              <w:right w:val="single" w:color="auto" w:sz="8" w:space="0"/>
            </w:tcBorders>
            <w:vAlign w:val="bottom"/>
          </w:tcPr>
          <w:p w14:paraId="0F8C37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113904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c>
          <w:tcPr>
            <w:tcW w:w="1275" w:type="dxa"/>
            <w:tcBorders>
              <w:top w:val="nil"/>
              <w:left w:val="nil"/>
              <w:bottom w:val="single" w:color="auto" w:sz="4" w:space="0"/>
              <w:right w:val="single" w:color="auto" w:sz="4" w:space="0"/>
            </w:tcBorders>
            <w:vAlign w:val="bottom"/>
          </w:tcPr>
          <w:p w14:paraId="537D29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c>
          <w:tcPr>
            <w:tcW w:w="1221" w:type="dxa"/>
            <w:gridSpan w:val="2"/>
            <w:tcBorders>
              <w:top w:val="nil"/>
              <w:left w:val="nil"/>
              <w:bottom w:val="single" w:color="auto" w:sz="4" w:space="0"/>
              <w:right w:val="single" w:color="auto" w:sz="8" w:space="0"/>
            </w:tcBorders>
            <w:vAlign w:val="bottom"/>
          </w:tcPr>
          <w:p w14:paraId="03ACB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471AF38">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58C008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5、零售业</w:t>
            </w:r>
          </w:p>
        </w:tc>
        <w:tc>
          <w:tcPr>
            <w:tcW w:w="1498" w:type="dxa"/>
            <w:tcBorders>
              <w:top w:val="nil"/>
              <w:left w:val="nil"/>
              <w:bottom w:val="single" w:color="auto" w:sz="4" w:space="0"/>
              <w:right w:val="single" w:color="auto" w:sz="4" w:space="0"/>
            </w:tcBorders>
            <w:vAlign w:val="bottom"/>
          </w:tcPr>
          <w:p w14:paraId="5A1762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50≤X＜300</w:t>
            </w:r>
          </w:p>
        </w:tc>
        <w:tc>
          <w:tcPr>
            <w:tcW w:w="1763" w:type="dxa"/>
            <w:tcBorders>
              <w:top w:val="nil"/>
              <w:left w:val="nil"/>
              <w:bottom w:val="single" w:color="auto" w:sz="4" w:space="0"/>
              <w:right w:val="single" w:color="auto" w:sz="4" w:space="0"/>
            </w:tcBorders>
            <w:vAlign w:val="bottom"/>
          </w:tcPr>
          <w:p w14:paraId="4E21FF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660" w:type="dxa"/>
            <w:tcBorders>
              <w:top w:val="nil"/>
              <w:left w:val="nil"/>
              <w:bottom w:val="single" w:color="auto" w:sz="4" w:space="0"/>
              <w:right w:val="single" w:color="auto" w:sz="8" w:space="0"/>
            </w:tcBorders>
            <w:vAlign w:val="bottom"/>
          </w:tcPr>
          <w:p w14:paraId="09485D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383EDC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80" w:type="dxa"/>
            <w:tcBorders>
              <w:top w:val="nil"/>
              <w:left w:val="nil"/>
              <w:bottom w:val="single" w:color="auto" w:sz="4" w:space="0"/>
              <w:right w:val="single" w:color="auto" w:sz="4" w:space="0"/>
            </w:tcBorders>
            <w:vAlign w:val="bottom"/>
          </w:tcPr>
          <w:p w14:paraId="5EA61F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520" w:type="dxa"/>
            <w:tcBorders>
              <w:top w:val="nil"/>
              <w:left w:val="nil"/>
              <w:bottom w:val="single" w:color="auto" w:sz="4" w:space="0"/>
              <w:right w:val="single" w:color="auto" w:sz="8" w:space="0"/>
            </w:tcBorders>
            <w:vAlign w:val="bottom"/>
          </w:tcPr>
          <w:p w14:paraId="261985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3C299A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4" w:space="0"/>
              <w:right w:val="single" w:color="auto" w:sz="4" w:space="0"/>
            </w:tcBorders>
            <w:vAlign w:val="bottom"/>
          </w:tcPr>
          <w:p w14:paraId="231844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c>
          <w:tcPr>
            <w:tcW w:w="1221" w:type="dxa"/>
            <w:gridSpan w:val="2"/>
            <w:tcBorders>
              <w:top w:val="nil"/>
              <w:left w:val="nil"/>
              <w:bottom w:val="single" w:color="auto" w:sz="4" w:space="0"/>
              <w:right w:val="single" w:color="auto" w:sz="8" w:space="0"/>
            </w:tcBorders>
            <w:vAlign w:val="bottom"/>
          </w:tcPr>
          <w:p w14:paraId="7510E6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96D62D7">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385BAB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6、交通运输业</w:t>
            </w:r>
          </w:p>
        </w:tc>
        <w:tc>
          <w:tcPr>
            <w:tcW w:w="1498" w:type="dxa"/>
            <w:tcBorders>
              <w:top w:val="nil"/>
              <w:left w:val="nil"/>
              <w:bottom w:val="single" w:color="auto" w:sz="4" w:space="0"/>
              <w:right w:val="single" w:color="auto" w:sz="4" w:space="0"/>
            </w:tcBorders>
            <w:vAlign w:val="bottom"/>
          </w:tcPr>
          <w:p w14:paraId="2FDD4A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63" w:type="dxa"/>
            <w:tcBorders>
              <w:top w:val="nil"/>
              <w:left w:val="nil"/>
              <w:bottom w:val="single" w:color="auto" w:sz="4" w:space="0"/>
              <w:right w:val="single" w:color="auto" w:sz="4" w:space="0"/>
            </w:tcBorders>
            <w:vAlign w:val="bottom"/>
          </w:tcPr>
          <w:p w14:paraId="577280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60" w:type="dxa"/>
            <w:tcBorders>
              <w:top w:val="nil"/>
              <w:left w:val="nil"/>
              <w:bottom w:val="single" w:color="auto" w:sz="4" w:space="0"/>
              <w:right w:val="single" w:color="auto" w:sz="8" w:space="0"/>
            </w:tcBorders>
            <w:vAlign w:val="bottom"/>
          </w:tcPr>
          <w:p w14:paraId="5EAE04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54F109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80" w:type="dxa"/>
            <w:tcBorders>
              <w:top w:val="nil"/>
              <w:left w:val="nil"/>
              <w:bottom w:val="single" w:color="auto" w:sz="4" w:space="0"/>
              <w:right w:val="single" w:color="auto" w:sz="4" w:space="0"/>
            </w:tcBorders>
            <w:vAlign w:val="bottom"/>
          </w:tcPr>
          <w:p w14:paraId="3DFEFA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520" w:type="dxa"/>
            <w:tcBorders>
              <w:top w:val="nil"/>
              <w:left w:val="nil"/>
              <w:bottom w:val="single" w:color="auto" w:sz="4" w:space="0"/>
              <w:right w:val="single" w:color="auto" w:sz="8" w:space="0"/>
            </w:tcBorders>
            <w:vAlign w:val="bottom"/>
          </w:tcPr>
          <w:p w14:paraId="79CDD8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690773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c>
          <w:tcPr>
            <w:tcW w:w="1275" w:type="dxa"/>
            <w:tcBorders>
              <w:top w:val="nil"/>
              <w:left w:val="nil"/>
              <w:bottom w:val="single" w:color="auto" w:sz="4" w:space="0"/>
              <w:right w:val="single" w:color="auto" w:sz="4" w:space="0"/>
            </w:tcBorders>
            <w:vAlign w:val="bottom"/>
          </w:tcPr>
          <w:p w14:paraId="5DE8F3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V＜200</w:t>
            </w:r>
          </w:p>
        </w:tc>
        <w:tc>
          <w:tcPr>
            <w:tcW w:w="1221" w:type="dxa"/>
            <w:gridSpan w:val="2"/>
            <w:tcBorders>
              <w:top w:val="nil"/>
              <w:left w:val="nil"/>
              <w:bottom w:val="single" w:color="auto" w:sz="4" w:space="0"/>
              <w:right w:val="single" w:color="auto" w:sz="8" w:space="0"/>
            </w:tcBorders>
            <w:vAlign w:val="bottom"/>
          </w:tcPr>
          <w:p w14:paraId="4CDE5B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0F6F386">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44758C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7、仓储业</w:t>
            </w:r>
          </w:p>
        </w:tc>
        <w:tc>
          <w:tcPr>
            <w:tcW w:w="1498" w:type="dxa"/>
            <w:tcBorders>
              <w:top w:val="nil"/>
              <w:left w:val="nil"/>
              <w:bottom w:val="single" w:color="auto" w:sz="4" w:space="0"/>
              <w:right w:val="single" w:color="auto" w:sz="4" w:space="0"/>
            </w:tcBorders>
            <w:vAlign w:val="bottom"/>
          </w:tcPr>
          <w:p w14:paraId="6C9DCA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63" w:type="dxa"/>
            <w:tcBorders>
              <w:top w:val="nil"/>
              <w:left w:val="nil"/>
              <w:bottom w:val="single" w:color="auto" w:sz="4" w:space="0"/>
              <w:right w:val="single" w:color="auto" w:sz="4" w:space="0"/>
            </w:tcBorders>
            <w:vAlign w:val="bottom"/>
          </w:tcPr>
          <w:p w14:paraId="7C78E7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60" w:type="dxa"/>
            <w:tcBorders>
              <w:top w:val="nil"/>
              <w:left w:val="nil"/>
              <w:bottom w:val="single" w:color="auto" w:sz="4" w:space="0"/>
              <w:right w:val="single" w:color="auto" w:sz="8" w:space="0"/>
            </w:tcBorders>
            <w:vAlign w:val="bottom"/>
          </w:tcPr>
          <w:p w14:paraId="455D6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2A994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80" w:type="dxa"/>
            <w:tcBorders>
              <w:top w:val="nil"/>
              <w:left w:val="nil"/>
              <w:bottom w:val="single" w:color="auto" w:sz="4" w:space="0"/>
              <w:right w:val="single" w:color="auto" w:sz="4" w:space="0"/>
            </w:tcBorders>
            <w:vAlign w:val="bottom"/>
          </w:tcPr>
          <w:p w14:paraId="563E0D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520" w:type="dxa"/>
            <w:tcBorders>
              <w:top w:val="nil"/>
              <w:left w:val="nil"/>
              <w:bottom w:val="single" w:color="auto" w:sz="4" w:space="0"/>
              <w:right w:val="single" w:color="auto" w:sz="8" w:space="0"/>
            </w:tcBorders>
            <w:vAlign w:val="bottom"/>
          </w:tcPr>
          <w:p w14:paraId="25A7FC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388CEE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c>
          <w:tcPr>
            <w:tcW w:w="1275" w:type="dxa"/>
            <w:tcBorders>
              <w:top w:val="nil"/>
              <w:left w:val="nil"/>
              <w:bottom w:val="single" w:color="auto" w:sz="4" w:space="0"/>
              <w:right w:val="single" w:color="auto" w:sz="4" w:space="0"/>
            </w:tcBorders>
            <w:vAlign w:val="bottom"/>
          </w:tcPr>
          <w:p w14:paraId="11A357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c>
          <w:tcPr>
            <w:tcW w:w="1221" w:type="dxa"/>
            <w:gridSpan w:val="2"/>
            <w:tcBorders>
              <w:top w:val="nil"/>
              <w:left w:val="nil"/>
              <w:bottom w:val="single" w:color="auto" w:sz="4" w:space="0"/>
              <w:right w:val="single" w:color="auto" w:sz="8" w:space="0"/>
            </w:tcBorders>
            <w:vAlign w:val="bottom"/>
          </w:tcPr>
          <w:p w14:paraId="426111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3ECC8F2">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3CE923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8、邮政业</w:t>
            </w:r>
          </w:p>
        </w:tc>
        <w:tc>
          <w:tcPr>
            <w:tcW w:w="1498" w:type="dxa"/>
            <w:tcBorders>
              <w:top w:val="nil"/>
              <w:left w:val="nil"/>
              <w:bottom w:val="single" w:color="auto" w:sz="4" w:space="0"/>
              <w:right w:val="single" w:color="auto" w:sz="4" w:space="0"/>
            </w:tcBorders>
            <w:vAlign w:val="bottom"/>
          </w:tcPr>
          <w:p w14:paraId="57137F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63" w:type="dxa"/>
            <w:tcBorders>
              <w:top w:val="nil"/>
              <w:left w:val="nil"/>
              <w:bottom w:val="single" w:color="auto" w:sz="4" w:space="0"/>
              <w:right w:val="single" w:color="auto" w:sz="4" w:space="0"/>
            </w:tcBorders>
            <w:vAlign w:val="bottom"/>
          </w:tcPr>
          <w:p w14:paraId="220A8E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60" w:type="dxa"/>
            <w:tcBorders>
              <w:top w:val="nil"/>
              <w:left w:val="nil"/>
              <w:bottom w:val="single" w:color="auto" w:sz="4" w:space="0"/>
              <w:right w:val="single" w:color="auto" w:sz="8" w:space="0"/>
            </w:tcBorders>
            <w:vAlign w:val="bottom"/>
          </w:tcPr>
          <w:p w14:paraId="0A1C8F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04BBCF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80" w:type="dxa"/>
            <w:tcBorders>
              <w:top w:val="nil"/>
              <w:left w:val="nil"/>
              <w:bottom w:val="single" w:color="auto" w:sz="4" w:space="0"/>
              <w:right w:val="single" w:color="auto" w:sz="4" w:space="0"/>
            </w:tcBorders>
            <w:vAlign w:val="bottom"/>
          </w:tcPr>
          <w:p w14:paraId="3416C2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520" w:type="dxa"/>
            <w:tcBorders>
              <w:top w:val="nil"/>
              <w:left w:val="nil"/>
              <w:bottom w:val="single" w:color="auto" w:sz="4" w:space="0"/>
              <w:right w:val="single" w:color="auto" w:sz="8" w:space="0"/>
            </w:tcBorders>
            <w:vAlign w:val="bottom"/>
          </w:tcPr>
          <w:p w14:paraId="6821ED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78B1DF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c>
          <w:tcPr>
            <w:tcW w:w="1275" w:type="dxa"/>
            <w:tcBorders>
              <w:top w:val="nil"/>
              <w:left w:val="nil"/>
              <w:bottom w:val="single" w:color="auto" w:sz="4" w:space="0"/>
              <w:right w:val="single" w:color="auto" w:sz="4" w:space="0"/>
            </w:tcBorders>
            <w:vAlign w:val="bottom"/>
          </w:tcPr>
          <w:p w14:paraId="5AD3B2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c>
          <w:tcPr>
            <w:tcW w:w="1221" w:type="dxa"/>
            <w:gridSpan w:val="2"/>
            <w:tcBorders>
              <w:top w:val="nil"/>
              <w:left w:val="nil"/>
              <w:bottom w:val="single" w:color="auto" w:sz="4" w:space="0"/>
              <w:right w:val="single" w:color="auto" w:sz="8" w:space="0"/>
            </w:tcBorders>
            <w:vAlign w:val="bottom"/>
          </w:tcPr>
          <w:p w14:paraId="0676BA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D6C95C5">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7DE5B9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9、住宿业</w:t>
            </w:r>
          </w:p>
        </w:tc>
        <w:tc>
          <w:tcPr>
            <w:tcW w:w="1498" w:type="dxa"/>
            <w:tcBorders>
              <w:top w:val="nil"/>
              <w:left w:val="nil"/>
              <w:bottom w:val="single" w:color="auto" w:sz="4" w:space="0"/>
              <w:right w:val="single" w:color="auto" w:sz="4" w:space="0"/>
            </w:tcBorders>
            <w:vAlign w:val="bottom"/>
          </w:tcPr>
          <w:p w14:paraId="70F7A4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63" w:type="dxa"/>
            <w:tcBorders>
              <w:top w:val="nil"/>
              <w:left w:val="nil"/>
              <w:bottom w:val="single" w:color="auto" w:sz="4" w:space="0"/>
              <w:right w:val="single" w:color="auto" w:sz="4" w:space="0"/>
            </w:tcBorders>
            <w:vAlign w:val="bottom"/>
          </w:tcPr>
          <w:p w14:paraId="6778FC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60" w:type="dxa"/>
            <w:tcBorders>
              <w:top w:val="nil"/>
              <w:left w:val="nil"/>
              <w:bottom w:val="single" w:color="auto" w:sz="4" w:space="0"/>
              <w:right w:val="single" w:color="auto" w:sz="8" w:space="0"/>
            </w:tcBorders>
            <w:vAlign w:val="bottom"/>
          </w:tcPr>
          <w:p w14:paraId="278E9D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254F43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80" w:type="dxa"/>
            <w:tcBorders>
              <w:top w:val="nil"/>
              <w:left w:val="nil"/>
              <w:bottom w:val="single" w:color="auto" w:sz="4" w:space="0"/>
              <w:right w:val="single" w:color="auto" w:sz="4" w:space="0"/>
            </w:tcBorders>
            <w:vAlign w:val="bottom"/>
          </w:tcPr>
          <w:p w14:paraId="6CD9C0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520" w:type="dxa"/>
            <w:tcBorders>
              <w:top w:val="nil"/>
              <w:left w:val="nil"/>
              <w:bottom w:val="single" w:color="auto" w:sz="4" w:space="0"/>
              <w:right w:val="single" w:color="auto" w:sz="8" w:space="0"/>
            </w:tcBorders>
            <w:vAlign w:val="bottom"/>
          </w:tcPr>
          <w:p w14:paraId="78B9DE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0D87F7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4" w:space="0"/>
              <w:right w:val="single" w:color="auto" w:sz="4" w:space="0"/>
            </w:tcBorders>
            <w:vAlign w:val="bottom"/>
          </w:tcPr>
          <w:p w14:paraId="3435A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c>
          <w:tcPr>
            <w:tcW w:w="1221" w:type="dxa"/>
            <w:gridSpan w:val="2"/>
            <w:tcBorders>
              <w:top w:val="nil"/>
              <w:left w:val="nil"/>
              <w:bottom w:val="single" w:color="auto" w:sz="4" w:space="0"/>
              <w:right w:val="single" w:color="auto" w:sz="8" w:space="0"/>
            </w:tcBorders>
            <w:vAlign w:val="bottom"/>
          </w:tcPr>
          <w:p w14:paraId="08E753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169C241A">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39BA61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10、餐饮业</w:t>
            </w:r>
          </w:p>
        </w:tc>
        <w:tc>
          <w:tcPr>
            <w:tcW w:w="1498" w:type="dxa"/>
            <w:tcBorders>
              <w:top w:val="nil"/>
              <w:left w:val="nil"/>
              <w:bottom w:val="single" w:color="auto" w:sz="4" w:space="0"/>
              <w:right w:val="single" w:color="auto" w:sz="4" w:space="0"/>
            </w:tcBorders>
            <w:vAlign w:val="bottom"/>
          </w:tcPr>
          <w:p w14:paraId="3E33FD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63" w:type="dxa"/>
            <w:tcBorders>
              <w:top w:val="nil"/>
              <w:left w:val="nil"/>
              <w:bottom w:val="single" w:color="auto" w:sz="4" w:space="0"/>
              <w:right w:val="single" w:color="auto" w:sz="4" w:space="0"/>
            </w:tcBorders>
            <w:vAlign w:val="bottom"/>
          </w:tcPr>
          <w:p w14:paraId="6B827D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60" w:type="dxa"/>
            <w:tcBorders>
              <w:top w:val="nil"/>
              <w:left w:val="nil"/>
              <w:bottom w:val="single" w:color="auto" w:sz="4" w:space="0"/>
              <w:right w:val="single" w:color="auto" w:sz="8" w:space="0"/>
            </w:tcBorders>
            <w:vAlign w:val="bottom"/>
          </w:tcPr>
          <w:p w14:paraId="0824F9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0D83D9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80" w:type="dxa"/>
            <w:tcBorders>
              <w:top w:val="nil"/>
              <w:left w:val="nil"/>
              <w:bottom w:val="single" w:color="auto" w:sz="4" w:space="0"/>
              <w:right w:val="single" w:color="auto" w:sz="4" w:space="0"/>
            </w:tcBorders>
            <w:vAlign w:val="bottom"/>
          </w:tcPr>
          <w:p w14:paraId="163D9E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520" w:type="dxa"/>
            <w:tcBorders>
              <w:top w:val="nil"/>
              <w:left w:val="nil"/>
              <w:bottom w:val="single" w:color="auto" w:sz="4" w:space="0"/>
              <w:right w:val="single" w:color="auto" w:sz="8" w:space="0"/>
            </w:tcBorders>
            <w:vAlign w:val="bottom"/>
          </w:tcPr>
          <w:p w14:paraId="5508F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54BFCB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4" w:space="0"/>
              <w:right w:val="single" w:color="auto" w:sz="4" w:space="0"/>
            </w:tcBorders>
            <w:vAlign w:val="bottom"/>
          </w:tcPr>
          <w:p w14:paraId="5CDD97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V＜100</w:t>
            </w:r>
          </w:p>
        </w:tc>
        <w:tc>
          <w:tcPr>
            <w:tcW w:w="1221" w:type="dxa"/>
            <w:gridSpan w:val="2"/>
            <w:tcBorders>
              <w:top w:val="nil"/>
              <w:left w:val="nil"/>
              <w:bottom w:val="single" w:color="auto" w:sz="4" w:space="0"/>
              <w:right w:val="single" w:color="auto" w:sz="8" w:space="0"/>
            </w:tcBorders>
            <w:vAlign w:val="bottom"/>
          </w:tcPr>
          <w:p w14:paraId="3BFA91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3DD61437">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7F21B4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11、信息传输业</w:t>
            </w:r>
          </w:p>
        </w:tc>
        <w:tc>
          <w:tcPr>
            <w:tcW w:w="1498" w:type="dxa"/>
            <w:tcBorders>
              <w:top w:val="nil"/>
              <w:left w:val="nil"/>
              <w:bottom w:val="single" w:color="auto" w:sz="4" w:space="0"/>
              <w:right w:val="single" w:color="auto" w:sz="4" w:space="0"/>
            </w:tcBorders>
            <w:vAlign w:val="bottom"/>
          </w:tcPr>
          <w:p w14:paraId="4B1BBE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63" w:type="dxa"/>
            <w:tcBorders>
              <w:top w:val="nil"/>
              <w:left w:val="nil"/>
              <w:bottom w:val="single" w:color="auto" w:sz="4" w:space="0"/>
              <w:right w:val="single" w:color="auto" w:sz="4" w:space="0"/>
            </w:tcBorders>
            <w:vAlign w:val="bottom"/>
          </w:tcPr>
          <w:p w14:paraId="025828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60" w:type="dxa"/>
            <w:tcBorders>
              <w:top w:val="nil"/>
              <w:left w:val="nil"/>
              <w:bottom w:val="single" w:color="auto" w:sz="4" w:space="0"/>
              <w:right w:val="single" w:color="auto" w:sz="8" w:space="0"/>
            </w:tcBorders>
            <w:vAlign w:val="bottom"/>
          </w:tcPr>
          <w:p w14:paraId="0B2920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43E280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80" w:type="dxa"/>
            <w:tcBorders>
              <w:top w:val="nil"/>
              <w:left w:val="nil"/>
              <w:bottom w:val="single" w:color="auto" w:sz="4" w:space="0"/>
              <w:right w:val="single" w:color="auto" w:sz="4" w:space="0"/>
            </w:tcBorders>
            <w:vAlign w:val="bottom"/>
          </w:tcPr>
          <w:p w14:paraId="635FAE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520" w:type="dxa"/>
            <w:tcBorders>
              <w:top w:val="nil"/>
              <w:left w:val="nil"/>
              <w:bottom w:val="single" w:color="auto" w:sz="4" w:space="0"/>
              <w:right w:val="single" w:color="auto" w:sz="8" w:space="0"/>
            </w:tcBorders>
            <w:vAlign w:val="bottom"/>
          </w:tcPr>
          <w:p w14:paraId="68A4EE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1A6C22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4" w:space="0"/>
              <w:right w:val="single" w:color="auto" w:sz="4" w:space="0"/>
            </w:tcBorders>
            <w:vAlign w:val="bottom"/>
          </w:tcPr>
          <w:p w14:paraId="416116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c>
          <w:tcPr>
            <w:tcW w:w="1221" w:type="dxa"/>
            <w:gridSpan w:val="2"/>
            <w:tcBorders>
              <w:top w:val="nil"/>
              <w:left w:val="nil"/>
              <w:bottom w:val="single" w:color="auto" w:sz="4" w:space="0"/>
              <w:right w:val="single" w:color="auto" w:sz="8" w:space="0"/>
            </w:tcBorders>
            <w:vAlign w:val="bottom"/>
          </w:tcPr>
          <w:p w14:paraId="44B063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277417D5">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58D257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12、软件和信息技术服务业</w:t>
            </w:r>
          </w:p>
        </w:tc>
        <w:tc>
          <w:tcPr>
            <w:tcW w:w="1498" w:type="dxa"/>
            <w:tcBorders>
              <w:top w:val="nil"/>
              <w:left w:val="nil"/>
              <w:bottom w:val="single" w:color="auto" w:sz="4" w:space="0"/>
              <w:right w:val="single" w:color="auto" w:sz="4" w:space="0"/>
            </w:tcBorders>
            <w:vAlign w:val="bottom"/>
          </w:tcPr>
          <w:p w14:paraId="1883DF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63" w:type="dxa"/>
            <w:tcBorders>
              <w:top w:val="nil"/>
              <w:left w:val="nil"/>
              <w:bottom w:val="single" w:color="auto" w:sz="4" w:space="0"/>
              <w:right w:val="single" w:color="auto" w:sz="4" w:space="0"/>
            </w:tcBorders>
            <w:vAlign w:val="bottom"/>
          </w:tcPr>
          <w:p w14:paraId="16292C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60" w:type="dxa"/>
            <w:tcBorders>
              <w:top w:val="nil"/>
              <w:left w:val="nil"/>
              <w:bottom w:val="single" w:color="auto" w:sz="4" w:space="0"/>
              <w:right w:val="single" w:color="auto" w:sz="8" w:space="0"/>
            </w:tcBorders>
            <w:vAlign w:val="bottom"/>
          </w:tcPr>
          <w:p w14:paraId="449ACC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019703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80" w:type="dxa"/>
            <w:tcBorders>
              <w:top w:val="nil"/>
              <w:left w:val="nil"/>
              <w:bottom w:val="single" w:color="auto" w:sz="4" w:space="0"/>
              <w:right w:val="single" w:color="auto" w:sz="4" w:space="0"/>
            </w:tcBorders>
            <w:vAlign w:val="bottom"/>
          </w:tcPr>
          <w:p w14:paraId="197F97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1520" w:type="dxa"/>
            <w:tcBorders>
              <w:top w:val="nil"/>
              <w:left w:val="nil"/>
              <w:bottom w:val="single" w:color="auto" w:sz="4" w:space="0"/>
              <w:right w:val="single" w:color="auto" w:sz="8" w:space="0"/>
            </w:tcBorders>
            <w:vAlign w:val="bottom"/>
          </w:tcPr>
          <w:p w14:paraId="4EDB97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59586F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4" w:space="0"/>
              <w:right w:val="single" w:color="auto" w:sz="4" w:space="0"/>
            </w:tcBorders>
            <w:vAlign w:val="bottom"/>
          </w:tcPr>
          <w:p w14:paraId="30AC42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c>
          <w:tcPr>
            <w:tcW w:w="1221" w:type="dxa"/>
            <w:gridSpan w:val="2"/>
            <w:tcBorders>
              <w:top w:val="nil"/>
              <w:left w:val="nil"/>
              <w:bottom w:val="single" w:color="auto" w:sz="4" w:space="0"/>
              <w:right w:val="single" w:color="auto" w:sz="8" w:space="0"/>
            </w:tcBorders>
            <w:vAlign w:val="bottom"/>
          </w:tcPr>
          <w:p w14:paraId="5B715F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61FC03E2">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2BC305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13、房地产开发经营</w:t>
            </w:r>
          </w:p>
        </w:tc>
        <w:tc>
          <w:tcPr>
            <w:tcW w:w="1498" w:type="dxa"/>
            <w:tcBorders>
              <w:top w:val="nil"/>
              <w:left w:val="nil"/>
              <w:bottom w:val="single" w:color="auto" w:sz="4" w:space="0"/>
              <w:right w:val="single" w:color="auto" w:sz="4" w:space="0"/>
            </w:tcBorders>
            <w:vAlign w:val="bottom"/>
          </w:tcPr>
          <w:p w14:paraId="73AD04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763" w:type="dxa"/>
            <w:tcBorders>
              <w:top w:val="nil"/>
              <w:left w:val="nil"/>
              <w:bottom w:val="single" w:color="auto" w:sz="4" w:space="0"/>
              <w:right w:val="single" w:color="auto" w:sz="4" w:space="0"/>
            </w:tcBorders>
            <w:vAlign w:val="bottom"/>
          </w:tcPr>
          <w:p w14:paraId="4F9548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60" w:type="dxa"/>
            <w:tcBorders>
              <w:top w:val="nil"/>
              <w:left w:val="nil"/>
              <w:bottom w:val="single" w:color="auto" w:sz="4" w:space="0"/>
              <w:right w:val="single" w:color="auto" w:sz="8" w:space="0"/>
            </w:tcBorders>
            <w:vAlign w:val="bottom"/>
          </w:tcPr>
          <w:p w14:paraId="2CFFD3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240" w:type="dxa"/>
            <w:tcBorders>
              <w:top w:val="nil"/>
              <w:left w:val="nil"/>
              <w:bottom w:val="single" w:color="auto" w:sz="4" w:space="0"/>
              <w:right w:val="single" w:color="auto" w:sz="4" w:space="0"/>
            </w:tcBorders>
            <w:vAlign w:val="bottom"/>
          </w:tcPr>
          <w:p w14:paraId="6D6C27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480" w:type="dxa"/>
            <w:tcBorders>
              <w:top w:val="nil"/>
              <w:left w:val="nil"/>
              <w:bottom w:val="single" w:color="auto" w:sz="4" w:space="0"/>
              <w:right w:val="single" w:color="auto" w:sz="4" w:space="0"/>
            </w:tcBorders>
            <w:vAlign w:val="bottom"/>
          </w:tcPr>
          <w:p w14:paraId="69323C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520" w:type="dxa"/>
            <w:tcBorders>
              <w:top w:val="nil"/>
              <w:left w:val="nil"/>
              <w:bottom w:val="single" w:color="auto" w:sz="4" w:space="0"/>
              <w:right w:val="single" w:color="auto" w:sz="8" w:space="0"/>
            </w:tcBorders>
            <w:vAlign w:val="bottom"/>
          </w:tcPr>
          <w:p w14:paraId="4744C6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285" w:type="dxa"/>
            <w:tcBorders>
              <w:top w:val="nil"/>
              <w:left w:val="nil"/>
              <w:bottom w:val="single" w:color="auto" w:sz="4" w:space="0"/>
              <w:right w:val="single" w:color="auto" w:sz="4" w:space="0"/>
            </w:tcBorders>
            <w:vAlign w:val="bottom"/>
          </w:tcPr>
          <w:p w14:paraId="347BA4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75" w:type="dxa"/>
            <w:tcBorders>
              <w:top w:val="nil"/>
              <w:left w:val="nil"/>
              <w:bottom w:val="single" w:color="auto" w:sz="4" w:space="0"/>
              <w:right w:val="single" w:color="auto" w:sz="4" w:space="0"/>
            </w:tcBorders>
            <w:vAlign w:val="bottom"/>
          </w:tcPr>
          <w:p w14:paraId="0672CD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c>
          <w:tcPr>
            <w:tcW w:w="1221" w:type="dxa"/>
            <w:gridSpan w:val="2"/>
            <w:tcBorders>
              <w:top w:val="nil"/>
              <w:left w:val="nil"/>
              <w:bottom w:val="single" w:color="auto" w:sz="4" w:space="0"/>
              <w:right w:val="single" w:color="auto" w:sz="8" w:space="0"/>
            </w:tcBorders>
            <w:vAlign w:val="bottom"/>
          </w:tcPr>
          <w:p w14:paraId="7D37D5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6D2A5B6">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1C2DF2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14、物业管理</w:t>
            </w:r>
          </w:p>
        </w:tc>
        <w:tc>
          <w:tcPr>
            <w:tcW w:w="1498" w:type="dxa"/>
            <w:tcBorders>
              <w:top w:val="nil"/>
              <w:left w:val="nil"/>
              <w:bottom w:val="single" w:color="auto" w:sz="4" w:space="0"/>
              <w:right w:val="single" w:color="auto" w:sz="4" w:space="0"/>
            </w:tcBorders>
            <w:vAlign w:val="bottom"/>
          </w:tcPr>
          <w:p w14:paraId="29AA0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63" w:type="dxa"/>
            <w:tcBorders>
              <w:top w:val="nil"/>
              <w:left w:val="nil"/>
              <w:bottom w:val="single" w:color="auto" w:sz="4" w:space="0"/>
              <w:right w:val="single" w:color="auto" w:sz="4" w:space="0"/>
            </w:tcBorders>
            <w:vAlign w:val="bottom"/>
          </w:tcPr>
          <w:p w14:paraId="7B1C89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60" w:type="dxa"/>
            <w:tcBorders>
              <w:top w:val="nil"/>
              <w:left w:val="nil"/>
              <w:bottom w:val="single" w:color="auto" w:sz="4" w:space="0"/>
              <w:right w:val="single" w:color="auto" w:sz="8" w:space="0"/>
            </w:tcBorders>
            <w:vAlign w:val="bottom"/>
          </w:tcPr>
          <w:p w14:paraId="10E42D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4" w:space="0"/>
              <w:right w:val="single" w:color="auto" w:sz="4" w:space="0"/>
            </w:tcBorders>
            <w:vAlign w:val="bottom"/>
          </w:tcPr>
          <w:p w14:paraId="1CA6F1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80" w:type="dxa"/>
            <w:tcBorders>
              <w:top w:val="nil"/>
              <w:left w:val="nil"/>
              <w:bottom w:val="single" w:color="auto" w:sz="4" w:space="0"/>
              <w:right w:val="single" w:color="auto" w:sz="4" w:space="0"/>
            </w:tcBorders>
            <w:vAlign w:val="bottom"/>
          </w:tcPr>
          <w:p w14:paraId="4B7DD6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520" w:type="dxa"/>
            <w:tcBorders>
              <w:top w:val="nil"/>
              <w:left w:val="nil"/>
              <w:bottom w:val="single" w:color="auto" w:sz="4" w:space="0"/>
              <w:right w:val="single" w:color="auto" w:sz="8" w:space="0"/>
            </w:tcBorders>
            <w:vAlign w:val="bottom"/>
          </w:tcPr>
          <w:p w14:paraId="359456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4" w:space="0"/>
              <w:right w:val="single" w:color="auto" w:sz="4" w:space="0"/>
            </w:tcBorders>
            <w:vAlign w:val="bottom"/>
          </w:tcPr>
          <w:p w14:paraId="16B6A6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c>
          <w:tcPr>
            <w:tcW w:w="1275" w:type="dxa"/>
            <w:tcBorders>
              <w:top w:val="nil"/>
              <w:left w:val="nil"/>
              <w:bottom w:val="single" w:color="auto" w:sz="4" w:space="0"/>
              <w:right w:val="single" w:color="auto" w:sz="4" w:space="0"/>
            </w:tcBorders>
            <w:vAlign w:val="bottom"/>
          </w:tcPr>
          <w:p w14:paraId="78125B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c>
          <w:tcPr>
            <w:tcW w:w="1221" w:type="dxa"/>
            <w:gridSpan w:val="2"/>
            <w:tcBorders>
              <w:top w:val="nil"/>
              <w:left w:val="nil"/>
              <w:bottom w:val="single" w:color="auto" w:sz="4" w:space="0"/>
              <w:right w:val="single" w:color="auto" w:sz="8" w:space="0"/>
            </w:tcBorders>
            <w:vAlign w:val="bottom"/>
          </w:tcPr>
          <w:p w14:paraId="734846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4460E884">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4" w:space="0"/>
              <w:right w:val="single" w:color="auto" w:sz="8" w:space="0"/>
            </w:tcBorders>
            <w:vAlign w:val="bottom"/>
          </w:tcPr>
          <w:p w14:paraId="4A2BF7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15、租赁和商务服务业</w:t>
            </w:r>
          </w:p>
        </w:tc>
        <w:tc>
          <w:tcPr>
            <w:tcW w:w="1498" w:type="dxa"/>
            <w:tcBorders>
              <w:top w:val="nil"/>
              <w:left w:val="nil"/>
              <w:bottom w:val="single" w:color="auto" w:sz="4" w:space="0"/>
              <w:right w:val="single" w:color="auto" w:sz="4" w:space="0"/>
            </w:tcBorders>
            <w:vAlign w:val="bottom"/>
          </w:tcPr>
          <w:p w14:paraId="13C204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63" w:type="dxa"/>
            <w:tcBorders>
              <w:top w:val="nil"/>
              <w:left w:val="nil"/>
              <w:bottom w:val="single" w:color="auto" w:sz="4" w:space="0"/>
              <w:right w:val="single" w:color="auto" w:sz="4" w:space="0"/>
            </w:tcBorders>
            <w:vAlign w:val="bottom"/>
          </w:tcPr>
          <w:p w14:paraId="15391B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tcBorders>
              <w:top w:val="nil"/>
              <w:left w:val="nil"/>
              <w:bottom w:val="single" w:color="auto" w:sz="4" w:space="0"/>
              <w:right w:val="single" w:color="auto" w:sz="8" w:space="0"/>
            </w:tcBorders>
            <w:vAlign w:val="bottom"/>
          </w:tcPr>
          <w:p w14:paraId="4ADD73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240" w:type="dxa"/>
            <w:tcBorders>
              <w:top w:val="nil"/>
              <w:left w:val="nil"/>
              <w:bottom w:val="single" w:color="auto" w:sz="4" w:space="0"/>
              <w:right w:val="single" w:color="auto" w:sz="4" w:space="0"/>
            </w:tcBorders>
            <w:vAlign w:val="bottom"/>
          </w:tcPr>
          <w:p w14:paraId="2CA2B0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80" w:type="dxa"/>
            <w:tcBorders>
              <w:top w:val="nil"/>
              <w:left w:val="nil"/>
              <w:bottom w:val="single" w:color="auto" w:sz="4" w:space="0"/>
              <w:right w:val="single" w:color="auto" w:sz="4" w:space="0"/>
            </w:tcBorders>
            <w:vAlign w:val="bottom"/>
          </w:tcPr>
          <w:p w14:paraId="7850B7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20" w:type="dxa"/>
            <w:tcBorders>
              <w:top w:val="nil"/>
              <w:left w:val="nil"/>
              <w:bottom w:val="single" w:color="auto" w:sz="4" w:space="0"/>
              <w:right w:val="single" w:color="auto" w:sz="8" w:space="0"/>
            </w:tcBorders>
            <w:vAlign w:val="bottom"/>
          </w:tcPr>
          <w:p w14:paraId="4BA18B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1285" w:type="dxa"/>
            <w:tcBorders>
              <w:top w:val="nil"/>
              <w:left w:val="nil"/>
              <w:bottom w:val="single" w:color="auto" w:sz="4" w:space="0"/>
              <w:right w:val="single" w:color="auto" w:sz="4" w:space="0"/>
            </w:tcBorders>
            <w:vAlign w:val="bottom"/>
          </w:tcPr>
          <w:p w14:paraId="0F7782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4" w:space="0"/>
              <w:right w:val="single" w:color="auto" w:sz="4" w:space="0"/>
            </w:tcBorders>
            <w:vAlign w:val="bottom"/>
          </w:tcPr>
          <w:p w14:paraId="76DED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1" w:type="dxa"/>
            <w:gridSpan w:val="2"/>
            <w:tcBorders>
              <w:top w:val="nil"/>
              <w:left w:val="nil"/>
              <w:bottom w:val="single" w:color="auto" w:sz="4" w:space="0"/>
              <w:right w:val="single" w:color="auto" w:sz="8" w:space="0"/>
            </w:tcBorders>
            <w:vAlign w:val="bottom"/>
          </w:tcPr>
          <w:p w14:paraId="5D55EC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63E67D3">
        <w:tblPrEx>
          <w:tblCellMar>
            <w:top w:w="0" w:type="dxa"/>
            <w:left w:w="108" w:type="dxa"/>
            <w:bottom w:w="0" w:type="dxa"/>
            <w:right w:w="108" w:type="dxa"/>
          </w:tblCellMar>
        </w:tblPrEx>
        <w:trPr>
          <w:trHeight w:val="360" w:hRule="atLeast"/>
        </w:trPr>
        <w:tc>
          <w:tcPr>
            <w:tcW w:w="1930" w:type="dxa"/>
            <w:tcBorders>
              <w:top w:val="nil"/>
              <w:left w:val="single" w:color="auto" w:sz="8" w:space="0"/>
              <w:bottom w:val="single" w:color="auto" w:sz="8" w:space="0"/>
              <w:right w:val="single" w:color="auto" w:sz="8" w:space="0"/>
            </w:tcBorders>
            <w:vAlign w:val="bottom"/>
          </w:tcPr>
          <w:p w14:paraId="54C4DD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16、其他未列明行业</w:t>
            </w:r>
          </w:p>
        </w:tc>
        <w:tc>
          <w:tcPr>
            <w:tcW w:w="1498" w:type="dxa"/>
            <w:tcBorders>
              <w:top w:val="nil"/>
              <w:left w:val="nil"/>
              <w:bottom w:val="single" w:color="auto" w:sz="8" w:space="0"/>
              <w:right w:val="single" w:color="auto" w:sz="4" w:space="0"/>
            </w:tcBorders>
            <w:vAlign w:val="bottom"/>
          </w:tcPr>
          <w:p w14:paraId="1F6418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63" w:type="dxa"/>
            <w:tcBorders>
              <w:top w:val="nil"/>
              <w:left w:val="nil"/>
              <w:bottom w:val="single" w:color="auto" w:sz="8" w:space="0"/>
              <w:right w:val="single" w:color="auto" w:sz="4" w:space="0"/>
            </w:tcBorders>
            <w:vAlign w:val="bottom"/>
          </w:tcPr>
          <w:p w14:paraId="5E0414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60" w:type="dxa"/>
            <w:tcBorders>
              <w:top w:val="nil"/>
              <w:left w:val="nil"/>
              <w:bottom w:val="single" w:color="auto" w:sz="8" w:space="0"/>
              <w:right w:val="single" w:color="auto" w:sz="8" w:space="0"/>
            </w:tcBorders>
            <w:vAlign w:val="bottom"/>
          </w:tcPr>
          <w:p w14:paraId="5D9C72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40" w:type="dxa"/>
            <w:tcBorders>
              <w:top w:val="nil"/>
              <w:left w:val="nil"/>
              <w:bottom w:val="single" w:color="auto" w:sz="8" w:space="0"/>
              <w:right w:val="single" w:color="auto" w:sz="4" w:space="0"/>
            </w:tcBorders>
            <w:vAlign w:val="bottom"/>
          </w:tcPr>
          <w:p w14:paraId="55D9AD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80" w:type="dxa"/>
            <w:tcBorders>
              <w:top w:val="nil"/>
              <w:left w:val="nil"/>
              <w:bottom w:val="single" w:color="auto" w:sz="8" w:space="0"/>
              <w:right w:val="single" w:color="auto" w:sz="4" w:space="0"/>
            </w:tcBorders>
            <w:vAlign w:val="bottom"/>
          </w:tcPr>
          <w:p w14:paraId="1AD14E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520" w:type="dxa"/>
            <w:tcBorders>
              <w:top w:val="nil"/>
              <w:left w:val="nil"/>
              <w:bottom w:val="single" w:color="auto" w:sz="8" w:space="0"/>
              <w:right w:val="single" w:color="auto" w:sz="8" w:space="0"/>
            </w:tcBorders>
            <w:vAlign w:val="bottom"/>
          </w:tcPr>
          <w:p w14:paraId="6AC6F2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85" w:type="dxa"/>
            <w:tcBorders>
              <w:top w:val="nil"/>
              <w:left w:val="nil"/>
              <w:bottom w:val="single" w:color="auto" w:sz="8" w:space="0"/>
              <w:right w:val="single" w:color="auto" w:sz="4" w:space="0"/>
            </w:tcBorders>
            <w:vAlign w:val="bottom"/>
          </w:tcPr>
          <w:p w14:paraId="6D63D8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c>
          <w:tcPr>
            <w:tcW w:w="1275" w:type="dxa"/>
            <w:tcBorders>
              <w:top w:val="nil"/>
              <w:left w:val="nil"/>
              <w:bottom w:val="single" w:color="auto" w:sz="8" w:space="0"/>
              <w:right w:val="single" w:color="auto" w:sz="4" w:space="0"/>
            </w:tcBorders>
            <w:vAlign w:val="bottom"/>
          </w:tcPr>
          <w:p w14:paraId="2A6461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221" w:type="dxa"/>
            <w:gridSpan w:val="2"/>
            <w:tcBorders>
              <w:top w:val="nil"/>
              <w:left w:val="nil"/>
              <w:bottom w:val="single" w:color="auto" w:sz="8" w:space="0"/>
              <w:right w:val="single" w:color="auto" w:sz="8" w:space="0"/>
            </w:tcBorders>
            <w:vAlign w:val="bottom"/>
          </w:tcPr>
          <w:p w14:paraId="67F6E8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r>
      <w:tr w14:paraId="0DA93888">
        <w:tblPrEx>
          <w:tblCellMar>
            <w:top w:w="0" w:type="dxa"/>
            <w:left w:w="108" w:type="dxa"/>
            <w:bottom w:w="0" w:type="dxa"/>
            <w:right w:w="108" w:type="dxa"/>
          </w:tblCellMar>
        </w:tblPrEx>
        <w:trPr>
          <w:gridAfter w:val="1"/>
          <w:wAfter w:w="310" w:type="dxa"/>
          <w:trHeight w:val="285" w:hRule="atLeast"/>
        </w:trPr>
        <w:tc>
          <w:tcPr>
            <w:tcW w:w="14562" w:type="dxa"/>
            <w:gridSpan w:val="10"/>
            <w:tcBorders>
              <w:top w:val="nil"/>
              <w:left w:val="nil"/>
              <w:bottom w:val="nil"/>
              <w:right w:val="nil"/>
            </w:tcBorders>
            <w:vAlign w:val="bottom"/>
          </w:tcPr>
          <w:p w14:paraId="2321CA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说明　1、企业类型的划分以统计部门的统计数据为依据。</w:t>
            </w:r>
          </w:p>
          <w:p w14:paraId="62559628">
            <w:pPr>
              <w:widowControl/>
              <w:ind w:firstLine="540" w:firstLineChars="3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2、个体工商户和本规定以外的行业，参照本规定进行划型。</w:t>
            </w:r>
          </w:p>
          <w:p w14:paraId="086E61C3">
            <w:pPr>
              <w:widowControl/>
              <w:ind w:firstLine="540" w:firstLineChars="3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3、本规定的中型企业标准上限即为大型企业标准的下限。</w:t>
            </w:r>
          </w:p>
        </w:tc>
      </w:tr>
    </w:tbl>
    <w:p w14:paraId="2FEA5FD9">
      <w:pPr>
        <w:rPr>
          <w:rFonts w:ascii="宋体" w:hAnsi="宋体" w:cs="宋体"/>
          <w:color w:val="auto"/>
          <w:kern w:val="0"/>
          <w:szCs w:val="21"/>
          <w:highlight w:val="none"/>
          <w:lang w:bidi="zh-CN"/>
        </w:rPr>
        <w:sectPr>
          <w:footerReference r:id="rId8" w:type="default"/>
          <w:pgSz w:w="16849" w:h="11922" w:orient="landscape"/>
          <w:pgMar w:top="1417" w:right="1179" w:bottom="1417" w:left="1179" w:header="0" w:footer="567" w:gutter="0"/>
          <w:cols w:space="0" w:num="1"/>
          <w:docGrid w:linePitch="312" w:charSpace="0"/>
        </w:sectPr>
      </w:pPr>
    </w:p>
    <w:p w14:paraId="4D6BC247">
      <w:pPr>
        <w:pStyle w:val="18"/>
        <w:widowControl/>
        <w:spacing w:line="360" w:lineRule="auto"/>
        <w:jc w:val="center"/>
        <w:rPr>
          <w:rFonts w:hAnsi="宋体" w:cs="宋体"/>
          <w:b/>
          <w:color w:val="auto"/>
          <w:sz w:val="21"/>
          <w:szCs w:val="21"/>
          <w:highlight w:val="none"/>
        </w:rPr>
      </w:pPr>
    </w:p>
    <w:p w14:paraId="3A08EB58">
      <w:pPr>
        <w:spacing w:line="360" w:lineRule="auto"/>
        <w:jc w:val="center"/>
        <w:outlineLvl w:val="2"/>
        <w:rPr>
          <w:rStyle w:val="90"/>
          <w:rFonts w:ascii="宋体" w:hAnsi="宋体" w:cs="宋体"/>
          <w:color w:val="auto"/>
          <w:szCs w:val="28"/>
          <w:highlight w:val="none"/>
        </w:rPr>
      </w:pPr>
      <w:bookmarkStart w:id="434" w:name="_Toc2201"/>
      <w:bookmarkStart w:id="435" w:name="_Toc18288"/>
      <w:bookmarkStart w:id="436" w:name="_Toc31104"/>
      <w:bookmarkStart w:id="437" w:name="_Toc17158"/>
      <w:r>
        <w:rPr>
          <w:rStyle w:val="90"/>
          <w:rFonts w:hint="eastAsia" w:ascii="宋体" w:hAnsi="宋体" w:cs="宋体"/>
          <w:color w:val="auto"/>
          <w:szCs w:val="28"/>
          <w:highlight w:val="none"/>
        </w:rPr>
        <w:t>残疾人福利性单位声明函</w:t>
      </w:r>
      <w:bookmarkEnd w:id="434"/>
      <w:bookmarkEnd w:id="435"/>
      <w:bookmarkEnd w:id="436"/>
      <w:bookmarkEnd w:id="437"/>
    </w:p>
    <w:p w14:paraId="033968BD">
      <w:pPr>
        <w:widowControl/>
        <w:spacing w:line="360" w:lineRule="auto"/>
        <w:rPr>
          <w:rFonts w:ascii="宋体" w:hAnsi="宋体" w:cs="宋体"/>
          <w:color w:val="auto"/>
          <w:highlight w:val="none"/>
        </w:rPr>
      </w:pPr>
    </w:p>
    <w:p w14:paraId="4C73BF00">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1.本单位郑重声明，根据《财政部 民政部 中国残疾人联合会关于促进残疾人就业政府采购政策的通知》（财库〔2017〕141号）的规定，本单位_____（填写：为符合或者不符合）条件的残疾人福利性单位，且本单位参加_____单位的</w:t>
      </w:r>
      <w:r>
        <w:rPr>
          <w:rFonts w:hint="eastAsia" w:ascii="宋体" w:hAnsi="宋体" w:cs="宋体"/>
          <w:color w:val="auto"/>
          <w:szCs w:val="21"/>
          <w:highlight w:val="none"/>
          <w:u w:val="single"/>
        </w:rPr>
        <w:t>项目名称/标项号</w:t>
      </w:r>
      <w:r>
        <w:rPr>
          <w:rFonts w:hint="eastAsia" w:ascii="宋体" w:hAnsi="宋体" w:cs="宋体"/>
          <w:color w:val="auto"/>
          <w:szCs w:val="21"/>
          <w:highlight w:val="none"/>
        </w:rPr>
        <w:t>项目采购活动提供本单位提供服务，或者提供其他残疾人福利性单位制造的货物（不包括使用非残疾人福利性单位注册商标的货物）。</w:t>
      </w:r>
    </w:p>
    <w:p w14:paraId="0F734084">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2.本单位对上述声明的真实性负责。如有虚假，将依法承担相应责任。</w:t>
      </w:r>
    </w:p>
    <w:p w14:paraId="537EC671">
      <w:pPr>
        <w:widowControl/>
        <w:tabs>
          <w:tab w:val="left" w:pos="4860"/>
        </w:tabs>
        <w:spacing w:line="360" w:lineRule="auto"/>
        <w:ind w:right="1560" w:firstLine="420" w:firstLineChars="200"/>
        <w:jc w:val="center"/>
        <w:rPr>
          <w:rFonts w:ascii="宋体" w:hAnsi="宋体" w:cs="宋体"/>
          <w:color w:val="auto"/>
          <w:spacing w:val="6"/>
          <w:szCs w:val="21"/>
          <w:highlight w:val="none"/>
        </w:rPr>
      </w:pPr>
      <w:r>
        <w:rPr>
          <w:rFonts w:hint="eastAsia" w:ascii="宋体" w:hAnsi="宋体" w:cs="宋体"/>
          <w:color w:val="auto"/>
          <w:szCs w:val="21"/>
          <w:highlight w:val="none"/>
        </w:rPr>
        <w:t xml:space="preserve">                                       </w:t>
      </w:r>
      <w:r>
        <w:rPr>
          <w:rFonts w:hint="eastAsia" w:ascii="宋体" w:hAnsi="宋体" w:cs="宋体"/>
          <w:color w:val="auto"/>
          <w:spacing w:val="6"/>
          <w:szCs w:val="21"/>
          <w:highlight w:val="none"/>
        </w:rPr>
        <w:t xml:space="preserve">企业名称（盖章）： </w:t>
      </w:r>
    </w:p>
    <w:p w14:paraId="418FC99F">
      <w:pPr>
        <w:spacing w:line="360" w:lineRule="auto"/>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4436BA2B">
      <w:pPr>
        <w:spacing w:line="360" w:lineRule="auto"/>
        <w:rPr>
          <w:rFonts w:ascii="宋体" w:hAnsi="宋体" w:cs="宋体"/>
          <w:b/>
          <w:bCs/>
          <w:color w:val="auto"/>
          <w:szCs w:val="21"/>
          <w:highlight w:val="none"/>
        </w:rPr>
      </w:pPr>
    </w:p>
    <w:p w14:paraId="0290E28F">
      <w:pPr>
        <w:spacing w:line="360" w:lineRule="auto"/>
        <w:rPr>
          <w:rFonts w:ascii="宋体" w:hAnsi="宋体" w:cs="宋体"/>
          <w:b/>
          <w:bCs/>
          <w:color w:val="auto"/>
          <w:szCs w:val="21"/>
          <w:highlight w:val="none"/>
        </w:rPr>
      </w:pPr>
    </w:p>
    <w:p w14:paraId="0B5040C0">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供应商如为非残疾人福利性单位的，可不提供本声明函。</w:t>
      </w:r>
    </w:p>
    <w:p w14:paraId="20D0AD1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008D23B1">
      <w:pPr>
        <w:widowControl/>
        <w:spacing w:line="360" w:lineRule="auto"/>
        <w:rPr>
          <w:rFonts w:ascii="宋体" w:hAnsi="宋体" w:cs="宋体"/>
          <w:color w:val="auto"/>
          <w:szCs w:val="21"/>
          <w:highlight w:val="none"/>
        </w:rPr>
      </w:pPr>
      <w:bookmarkStart w:id="438" w:name="_Toc10337"/>
      <w:bookmarkStart w:id="439" w:name="_Toc16279"/>
      <w:bookmarkStart w:id="440" w:name="_Toc23790"/>
      <w:r>
        <w:rPr>
          <w:rFonts w:hint="eastAsia" w:ascii="宋体" w:hAnsi="宋体" w:cs="宋体"/>
          <w:color w:val="auto"/>
          <w:szCs w:val="21"/>
          <w:highlight w:val="none"/>
        </w:rPr>
        <w:t>1、如供应商为非残疾人福利性单位的可不提供本声明函。</w:t>
      </w:r>
      <w:bookmarkEnd w:id="438"/>
      <w:bookmarkEnd w:id="439"/>
      <w:bookmarkEnd w:id="440"/>
    </w:p>
    <w:p w14:paraId="419EE773">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2、享受政府采购支持政策的残疾人福利性单位应当同时满足以下条件：</w:t>
      </w:r>
    </w:p>
    <w:p w14:paraId="0821F412">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（一）安置的残疾人占本单位在职职工人数的比例不低于25%（含25%），并且安置的残疾人人数不少于10人（含10人）；</w:t>
      </w:r>
    </w:p>
    <w:p w14:paraId="199D103D">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（二）依法与安置的每位残疾人签订了一年以上（含一年）的劳动合同或服务协议；</w:t>
      </w:r>
    </w:p>
    <w:p w14:paraId="3984A264">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（三）为安置的每位残疾人按月足额缴纳了基本养老保险、基本医疗保险、失业保险、工伤保险和生育保险等社会保险费；</w:t>
      </w:r>
    </w:p>
    <w:p w14:paraId="3056B2F1">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（四）通过银行等金融机构向安置的每位残疾人，按月支付了不低于单位所在区县适用的经省级人民政府批准的月最低工资标准的工资；</w:t>
      </w:r>
    </w:p>
    <w:p w14:paraId="091B8E83">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0136EB9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F8DBF2">
      <w:pPr>
        <w:rPr>
          <w:rStyle w:val="90"/>
          <w:rFonts w:ascii="宋体" w:hAnsi="宋体" w:cs="宋体"/>
          <w:color w:val="auto"/>
          <w:szCs w:val="28"/>
          <w:highlight w:val="none"/>
        </w:rPr>
      </w:pPr>
    </w:p>
    <w:p w14:paraId="101A8F76">
      <w:pPr>
        <w:rPr>
          <w:rStyle w:val="90"/>
          <w:rFonts w:ascii="宋体" w:hAnsi="宋体" w:cs="宋体"/>
          <w:color w:val="auto"/>
          <w:szCs w:val="28"/>
          <w:highlight w:val="none"/>
        </w:rPr>
      </w:pPr>
      <w:r>
        <w:rPr>
          <w:rStyle w:val="90"/>
          <w:rFonts w:hint="eastAsia" w:ascii="宋体" w:hAnsi="宋体" w:cs="宋体"/>
          <w:color w:val="auto"/>
          <w:szCs w:val="28"/>
          <w:highlight w:val="none"/>
        </w:rPr>
        <w:br w:type="page"/>
      </w:r>
    </w:p>
    <w:p w14:paraId="65FE57DA">
      <w:pPr>
        <w:spacing w:line="360" w:lineRule="auto"/>
        <w:jc w:val="center"/>
        <w:outlineLvl w:val="2"/>
        <w:rPr>
          <w:rFonts w:ascii="宋体" w:hAnsi="宋体" w:cs="宋体"/>
          <w:b/>
          <w:bCs/>
          <w:color w:val="auto"/>
          <w:sz w:val="28"/>
          <w:szCs w:val="28"/>
          <w:highlight w:val="none"/>
        </w:rPr>
      </w:pPr>
      <w:bookmarkStart w:id="441" w:name="_Toc18350"/>
      <w:bookmarkStart w:id="442" w:name="_Toc30897"/>
      <w:bookmarkStart w:id="443" w:name="_Toc21415"/>
      <w:bookmarkStart w:id="444" w:name="_Toc7077"/>
      <w:r>
        <w:rPr>
          <w:rStyle w:val="90"/>
          <w:rFonts w:hint="eastAsia" w:ascii="宋体" w:hAnsi="宋体" w:cs="宋体"/>
          <w:color w:val="auto"/>
          <w:szCs w:val="28"/>
          <w:highlight w:val="none"/>
        </w:rPr>
        <w:t>符合性自查表</w:t>
      </w:r>
      <w:bookmarkEnd w:id="441"/>
      <w:bookmarkEnd w:id="442"/>
      <w:bookmarkEnd w:id="443"/>
      <w:bookmarkEnd w:id="444"/>
    </w:p>
    <w:p w14:paraId="697D2E4E">
      <w:pPr>
        <w:jc w:val="center"/>
        <w:rPr>
          <w:rFonts w:ascii="宋体" w:hAnsi="宋体" w:cs="宋体"/>
          <w:b/>
          <w:color w:val="auto"/>
          <w:highlight w:val="none"/>
        </w:rPr>
      </w:pPr>
    </w:p>
    <w:tbl>
      <w:tblPr>
        <w:tblStyle w:val="42"/>
        <w:tblW w:w="909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9"/>
        <w:gridCol w:w="4391"/>
        <w:gridCol w:w="1427"/>
        <w:gridCol w:w="1991"/>
      </w:tblGrid>
      <w:tr w14:paraId="59120FC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47" w:hRule="atLeast"/>
          <w:jc w:val="center"/>
        </w:trPr>
        <w:tc>
          <w:tcPr>
            <w:tcW w:w="1289" w:type="dxa"/>
            <w:tcBorders>
              <w:top w:val="single" w:color="auto" w:sz="12" w:space="0"/>
              <w:left w:val="single" w:color="auto" w:sz="12" w:space="0"/>
              <w:bottom w:val="outset" w:color="111111" w:sz="6" w:space="0"/>
              <w:right w:val="outset" w:color="111111" w:sz="6" w:space="0"/>
            </w:tcBorders>
            <w:vAlign w:val="center"/>
          </w:tcPr>
          <w:p w14:paraId="02666245">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4391" w:type="dxa"/>
            <w:tcBorders>
              <w:top w:val="single" w:color="auto" w:sz="12" w:space="0"/>
              <w:left w:val="outset" w:color="111111" w:sz="6" w:space="0"/>
              <w:bottom w:val="outset" w:color="111111" w:sz="6" w:space="0"/>
              <w:right w:val="outset" w:color="111111" w:sz="6" w:space="0"/>
            </w:tcBorders>
            <w:vAlign w:val="center"/>
          </w:tcPr>
          <w:p w14:paraId="2CD4B52D">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采购文件要求</w:t>
            </w:r>
          </w:p>
        </w:tc>
        <w:tc>
          <w:tcPr>
            <w:tcW w:w="1427" w:type="dxa"/>
            <w:tcBorders>
              <w:top w:val="single" w:color="auto" w:sz="12" w:space="0"/>
              <w:left w:val="outset" w:color="111111" w:sz="6" w:space="0"/>
              <w:bottom w:val="outset" w:color="111111" w:sz="6" w:space="0"/>
              <w:right w:val="outset" w:color="111111" w:sz="6" w:space="0"/>
            </w:tcBorders>
            <w:vAlign w:val="center"/>
          </w:tcPr>
          <w:p w14:paraId="77375D75">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自查结论</w:t>
            </w:r>
          </w:p>
        </w:tc>
        <w:tc>
          <w:tcPr>
            <w:tcW w:w="1991" w:type="dxa"/>
            <w:tcBorders>
              <w:top w:val="single" w:color="auto" w:sz="12" w:space="0"/>
              <w:left w:val="outset" w:color="111111" w:sz="6" w:space="0"/>
              <w:bottom w:val="outset" w:color="111111" w:sz="6" w:space="0"/>
              <w:right w:val="single" w:color="auto" w:sz="12" w:space="0"/>
            </w:tcBorders>
            <w:vAlign w:val="center"/>
          </w:tcPr>
          <w:p w14:paraId="220947BE">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证明资料</w:t>
            </w:r>
          </w:p>
        </w:tc>
      </w:tr>
      <w:tr w14:paraId="03EFD44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0" w:hRule="atLeast"/>
          <w:jc w:val="center"/>
        </w:trPr>
        <w:tc>
          <w:tcPr>
            <w:tcW w:w="1289" w:type="dxa"/>
            <w:vMerge w:val="restart"/>
            <w:tcBorders>
              <w:top w:val="outset" w:color="111111" w:sz="6" w:space="0"/>
              <w:left w:val="single" w:color="auto" w:sz="12" w:space="0"/>
              <w:bottom w:val="single" w:color="111111" w:sz="4" w:space="0"/>
              <w:right w:val="single" w:color="111111" w:sz="4" w:space="0"/>
            </w:tcBorders>
            <w:vAlign w:val="center"/>
          </w:tcPr>
          <w:p w14:paraId="24F41146">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符</w:t>
            </w:r>
          </w:p>
          <w:p w14:paraId="424764F3">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合</w:t>
            </w:r>
          </w:p>
          <w:p w14:paraId="47F892CC">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性</w:t>
            </w:r>
          </w:p>
          <w:p w14:paraId="262471C1">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审</w:t>
            </w:r>
          </w:p>
          <w:p w14:paraId="5F2CC431">
            <w:pPr>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查</w:t>
            </w:r>
          </w:p>
        </w:tc>
        <w:tc>
          <w:tcPr>
            <w:tcW w:w="4391" w:type="dxa"/>
            <w:tcBorders>
              <w:top w:val="outset" w:color="111111" w:sz="6" w:space="0"/>
              <w:left w:val="single" w:color="111111" w:sz="4" w:space="0"/>
              <w:bottom w:val="single" w:color="111111" w:sz="4" w:space="0"/>
              <w:right w:val="single" w:color="111111" w:sz="4" w:space="0"/>
            </w:tcBorders>
            <w:vAlign w:val="center"/>
          </w:tcPr>
          <w:p w14:paraId="536F65CA">
            <w:pPr>
              <w:spacing w:line="240" w:lineRule="exact"/>
              <w:rPr>
                <w:rFonts w:ascii="宋体" w:hAnsi="宋体" w:cs="宋体"/>
                <w:color w:val="auto"/>
                <w:szCs w:val="21"/>
                <w:highlight w:val="none"/>
              </w:rPr>
            </w:pPr>
            <w:r>
              <w:rPr>
                <w:rFonts w:hint="eastAsia" w:ascii="宋体" w:hAnsi="宋体" w:cs="宋体"/>
                <w:color w:val="auto"/>
                <w:szCs w:val="21"/>
                <w:highlight w:val="none"/>
              </w:rPr>
              <w:t>1、供应商承诺函</w:t>
            </w:r>
          </w:p>
        </w:tc>
        <w:tc>
          <w:tcPr>
            <w:tcW w:w="1427" w:type="dxa"/>
            <w:tcBorders>
              <w:top w:val="outset" w:color="111111" w:sz="6" w:space="0"/>
              <w:left w:val="single" w:color="111111" w:sz="4" w:space="0"/>
              <w:bottom w:val="single" w:color="111111" w:sz="4" w:space="0"/>
              <w:right w:val="single" w:color="111111" w:sz="4" w:space="0"/>
            </w:tcBorders>
            <w:vAlign w:val="center"/>
          </w:tcPr>
          <w:p w14:paraId="73A0D5FD">
            <w:pPr>
              <w:spacing w:line="240" w:lineRule="exact"/>
              <w:rPr>
                <w:rFonts w:ascii="宋体" w:hAnsi="宋体" w:cs="宋体"/>
                <w:color w:val="auto"/>
                <w:szCs w:val="21"/>
                <w:highlight w:val="none"/>
              </w:rPr>
            </w:pPr>
            <w:r>
              <w:rPr>
                <w:rFonts w:hint="eastAsia" w:ascii="宋体" w:hAnsi="宋体" w:cs="宋体"/>
                <w:color w:val="auto"/>
                <w:szCs w:val="21"/>
                <w:highlight w:val="none"/>
              </w:rPr>
              <w:t xml:space="preserve">□通过 </w:t>
            </w:r>
          </w:p>
          <w:p w14:paraId="7C3E426B">
            <w:pPr>
              <w:spacing w:line="240" w:lineRule="exact"/>
              <w:rPr>
                <w:rFonts w:ascii="宋体" w:hAnsi="宋体" w:cs="宋体"/>
                <w:color w:val="auto"/>
                <w:szCs w:val="21"/>
                <w:highlight w:val="none"/>
              </w:rPr>
            </w:pPr>
            <w:r>
              <w:rPr>
                <w:rFonts w:hint="eastAsia" w:ascii="宋体" w:hAnsi="宋体" w:cs="宋体"/>
                <w:color w:val="auto"/>
                <w:szCs w:val="21"/>
                <w:highlight w:val="none"/>
              </w:rPr>
              <w:t>□不通过</w:t>
            </w:r>
          </w:p>
        </w:tc>
        <w:tc>
          <w:tcPr>
            <w:tcW w:w="1991" w:type="dxa"/>
            <w:tcBorders>
              <w:top w:val="outset" w:color="111111" w:sz="6" w:space="0"/>
              <w:left w:val="single" w:color="111111" w:sz="4" w:space="0"/>
              <w:bottom w:val="single" w:color="111111" w:sz="4" w:space="0"/>
              <w:right w:val="single" w:color="auto" w:sz="12" w:space="0"/>
            </w:tcBorders>
            <w:vAlign w:val="center"/>
          </w:tcPr>
          <w:p w14:paraId="7B86F848">
            <w:pPr>
              <w:spacing w:line="240" w:lineRule="exact"/>
              <w:rPr>
                <w:rFonts w:ascii="宋体" w:hAnsi="宋体" w:cs="宋体"/>
                <w:color w:val="auto"/>
                <w:szCs w:val="21"/>
                <w:highlight w:val="none"/>
              </w:rPr>
            </w:pPr>
          </w:p>
        </w:tc>
      </w:tr>
      <w:tr w14:paraId="4520091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43" w:hRule="atLeast"/>
          <w:jc w:val="center"/>
        </w:trPr>
        <w:tc>
          <w:tcPr>
            <w:tcW w:w="1289" w:type="dxa"/>
            <w:vMerge w:val="continue"/>
            <w:tcBorders>
              <w:top w:val="single" w:color="111111" w:sz="4" w:space="0"/>
              <w:left w:val="single" w:color="auto" w:sz="12" w:space="0"/>
              <w:bottom w:val="single" w:color="111111" w:sz="4" w:space="0"/>
              <w:right w:val="single" w:color="111111" w:sz="4" w:space="0"/>
            </w:tcBorders>
            <w:vAlign w:val="center"/>
          </w:tcPr>
          <w:p w14:paraId="22AF4D7C">
            <w:pPr>
              <w:spacing w:line="240" w:lineRule="exact"/>
              <w:rPr>
                <w:rFonts w:ascii="宋体" w:hAnsi="宋体" w:cs="宋体"/>
                <w:color w:val="auto"/>
                <w:szCs w:val="21"/>
                <w:highlight w:val="none"/>
              </w:rPr>
            </w:pPr>
          </w:p>
        </w:tc>
        <w:tc>
          <w:tcPr>
            <w:tcW w:w="4391" w:type="dxa"/>
            <w:tcBorders>
              <w:top w:val="single" w:color="111111" w:sz="4" w:space="0"/>
              <w:left w:val="single" w:color="111111" w:sz="4" w:space="0"/>
              <w:bottom w:val="single" w:color="111111" w:sz="4" w:space="0"/>
              <w:right w:val="single" w:color="111111" w:sz="4" w:space="0"/>
            </w:tcBorders>
            <w:vAlign w:val="center"/>
          </w:tcPr>
          <w:p w14:paraId="3A3C4F89">
            <w:pPr>
              <w:spacing w:line="240" w:lineRule="exact"/>
              <w:rPr>
                <w:rFonts w:ascii="宋体" w:hAnsi="宋体" w:cs="宋体"/>
                <w:color w:val="auto"/>
                <w:szCs w:val="21"/>
                <w:highlight w:val="none"/>
              </w:rPr>
            </w:pPr>
            <w:r>
              <w:rPr>
                <w:rFonts w:hint="eastAsia" w:ascii="宋体" w:hAnsi="宋体" w:cs="宋体"/>
                <w:color w:val="auto"/>
                <w:szCs w:val="21"/>
                <w:highlight w:val="none"/>
              </w:rPr>
              <w:t>2、投标文件完全满足采购文件的实质性条款（即标注▲号条款）无负偏离的；</w:t>
            </w:r>
          </w:p>
        </w:tc>
        <w:tc>
          <w:tcPr>
            <w:tcW w:w="1427" w:type="dxa"/>
            <w:tcBorders>
              <w:top w:val="single" w:color="111111" w:sz="4" w:space="0"/>
              <w:left w:val="single" w:color="111111" w:sz="4" w:space="0"/>
              <w:bottom w:val="single" w:color="111111" w:sz="4" w:space="0"/>
              <w:right w:val="single" w:color="111111" w:sz="4" w:space="0"/>
            </w:tcBorders>
            <w:vAlign w:val="center"/>
          </w:tcPr>
          <w:p w14:paraId="36C40B2B">
            <w:pPr>
              <w:spacing w:line="240" w:lineRule="exact"/>
              <w:rPr>
                <w:rFonts w:ascii="宋体" w:hAnsi="宋体" w:cs="宋体"/>
                <w:color w:val="auto"/>
                <w:szCs w:val="21"/>
                <w:highlight w:val="none"/>
              </w:rPr>
            </w:pPr>
            <w:r>
              <w:rPr>
                <w:rFonts w:hint="eastAsia" w:ascii="宋体" w:hAnsi="宋体" w:cs="宋体"/>
                <w:color w:val="auto"/>
                <w:szCs w:val="21"/>
                <w:highlight w:val="none"/>
              </w:rPr>
              <w:t xml:space="preserve">□通过 </w:t>
            </w:r>
          </w:p>
          <w:p w14:paraId="19ED46A4">
            <w:pPr>
              <w:spacing w:line="240" w:lineRule="exact"/>
              <w:rPr>
                <w:rFonts w:ascii="宋体" w:hAnsi="宋体" w:cs="宋体"/>
                <w:color w:val="auto"/>
                <w:szCs w:val="21"/>
                <w:highlight w:val="none"/>
              </w:rPr>
            </w:pPr>
            <w:r>
              <w:rPr>
                <w:rFonts w:hint="eastAsia" w:ascii="宋体" w:hAnsi="宋体" w:cs="宋体"/>
                <w:color w:val="auto"/>
                <w:szCs w:val="21"/>
                <w:highlight w:val="none"/>
              </w:rPr>
              <w:t>□不通过</w:t>
            </w:r>
          </w:p>
        </w:tc>
        <w:tc>
          <w:tcPr>
            <w:tcW w:w="1991" w:type="dxa"/>
            <w:tcBorders>
              <w:top w:val="single" w:color="111111" w:sz="4" w:space="0"/>
              <w:left w:val="single" w:color="111111" w:sz="4" w:space="0"/>
              <w:bottom w:val="single" w:color="111111" w:sz="4" w:space="0"/>
              <w:right w:val="single" w:color="auto" w:sz="12" w:space="0"/>
            </w:tcBorders>
            <w:vAlign w:val="center"/>
          </w:tcPr>
          <w:p w14:paraId="3EBBC923">
            <w:pPr>
              <w:spacing w:line="240" w:lineRule="exact"/>
              <w:rPr>
                <w:rFonts w:ascii="宋体" w:hAnsi="宋体" w:cs="宋体"/>
                <w:color w:val="auto"/>
                <w:szCs w:val="21"/>
                <w:highlight w:val="none"/>
              </w:rPr>
            </w:pPr>
            <w:r>
              <w:rPr>
                <w:rFonts w:hint="eastAsia" w:ascii="宋体" w:hAnsi="宋体" w:cs="宋体"/>
                <w:color w:val="auto"/>
                <w:szCs w:val="21"/>
                <w:highlight w:val="none"/>
              </w:rPr>
              <w:t>第（ ）页</w:t>
            </w:r>
          </w:p>
        </w:tc>
      </w:tr>
      <w:tr w14:paraId="459E60F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1289" w:type="dxa"/>
            <w:vMerge w:val="continue"/>
            <w:tcBorders>
              <w:top w:val="single" w:color="111111" w:sz="4" w:space="0"/>
              <w:left w:val="single" w:color="auto" w:sz="12" w:space="0"/>
              <w:bottom w:val="single" w:color="111111" w:sz="4" w:space="0"/>
              <w:right w:val="single" w:color="111111" w:sz="4" w:space="0"/>
            </w:tcBorders>
            <w:vAlign w:val="center"/>
          </w:tcPr>
          <w:p w14:paraId="7909E590">
            <w:pPr>
              <w:spacing w:line="240" w:lineRule="exact"/>
              <w:rPr>
                <w:rFonts w:ascii="宋体" w:hAnsi="宋体" w:cs="宋体"/>
                <w:color w:val="auto"/>
                <w:szCs w:val="21"/>
                <w:highlight w:val="none"/>
              </w:rPr>
            </w:pPr>
          </w:p>
        </w:tc>
        <w:tc>
          <w:tcPr>
            <w:tcW w:w="4391" w:type="dxa"/>
            <w:tcBorders>
              <w:top w:val="single" w:color="111111" w:sz="4" w:space="0"/>
              <w:left w:val="single" w:color="111111" w:sz="4" w:space="0"/>
              <w:bottom w:val="single" w:color="111111" w:sz="4" w:space="0"/>
              <w:right w:val="single" w:color="111111" w:sz="4" w:space="0"/>
            </w:tcBorders>
            <w:vAlign w:val="center"/>
          </w:tcPr>
          <w:p w14:paraId="0BB8AB38">
            <w:pPr>
              <w:spacing w:line="240" w:lineRule="exact"/>
              <w:rPr>
                <w:rFonts w:ascii="宋体" w:hAnsi="宋体" w:cs="宋体"/>
                <w:color w:val="auto"/>
                <w:szCs w:val="21"/>
                <w:highlight w:val="none"/>
              </w:rPr>
            </w:pPr>
            <w:r>
              <w:rPr>
                <w:rFonts w:hint="eastAsia" w:ascii="宋体" w:hAnsi="宋体" w:cs="宋体"/>
                <w:color w:val="auto"/>
                <w:szCs w:val="21"/>
                <w:highlight w:val="none"/>
              </w:rPr>
              <w:t>3、法定代表人证明书/法定代表人授权委托书。</w:t>
            </w:r>
          </w:p>
        </w:tc>
        <w:tc>
          <w:tcPr>
            <w:tcW w:w="1427" w:type="dxa"/>
            <w:tcBorders>
              <w:top w:val="single" w:color="111111" w:sz="4" w:space="0"/>
              <w:left w:val="single" w:color="111111" w:sz="4" w:space="0"/>
              <w:bottom w:val="single" w:color="111111" w:sz="4" w:space="0"/>
              <w:right w:val="single" w:color="111111" w:sz="4" w:space="0"/>
            </w:tcBorders>
            <w:vAlign w:val="center"/>
          </w:tcPr>
          <w:p w14:paraId="468D3805">
            <w:pPr>
              <w:spacing w:line="240" w:lineRule="exact"/>
              <w:rPr>
                <w:rFonts w:ascii="宋体" w:hAnsi="宋体" w:cs="宋体"/>
                <w:color w:val="auto"/>
                <w:szCs w:val="21"/>
                <w:highlight w:val="none"/>
              </w:rPr>
            </w:pPr>
            <w:r>
              <w:rPr>
                <w:rFonts w:hint="eastAsia" w:ascii="宋体" w:hAnsi="宋体" w:cs="宋体"/>
                <w:color w:val="auto"/>
                <w:szCs w:val="21"/>
                <w:highlight w:val="none"/>
              </w:rPr>
              <w:t xml:space="preserve">□通过 </w:t>
            </w:r>
          </w:p>
          <w:p w14:paraId="32AAE5E5">
            <w:pPr>
              <w:spacing w:line="240" w:lineRule="exact"/>
              <w:rPr>
                <w:rFonts w:ascii="宋体" w:hAnsi="宋体" w:cs="宋体"/>
                <w:color w:val="auto"/>
                <w:szCs w:val="21"/>
                <w:highlight w:val="none"/>
              </w:rPr>
            </w:pPr>
            <w:r>
              <w:rPr>
                <w:rFonts w:hint="eastAsia" w:ascii="宋体" w:hAnsi="宋体" w:cs="宋体"/>
                <w:color w:val="auto"/>
                <w:szCs w:val="21"/>
                <w:highlight w:val="none"/>
              </w:rPr>
              <w:t>□不通过</w:t>
            </w:r>
          </w:p>
        </w:tc>
        <w:tc>
          <w:tcPr>
            <w:tcW w:w="1991" w:type="dxa"/>
            <w:tcBorders>
              <w:top w:val="single" w:color="111111" w:sz="4" w:space="0"/>
              <w:left w:val="single" w:color="111111" w:sz="4" w:space="0"/>
              <w:bottom w:val="single" w:color="111111" w:sz="4" w:space="0"/>
              <w:right w:val="single" w:color="auto" w:sz="12" w:space="0"/>
            </w:tcBorders>
            <w:vAlign w:val="center"/>
          </w:tcPr>
          <w:p w14:paraId="61424001">
            <w:pPr>
              <w:spacing w:line="240" w:lineRule="exact"/>
              <w:rPr>
                <w:rFonts w:ascii="宋体" w:hAnsi="宋体" w:cs="宋体"/>
                <w:color w:val="auto"/>
                <w:szCs w:val="21"/>
                <w:highlight w:val="none"/>
              </w:rPr>
            </w:pPr>
            <w:r>
              <w:rPr>
                <w:rFonts w:hint="eastAsia" w:ascii="宋体" w:hAnsi="宋体" w:cs="宋体"/>
                <w:color w:val="auto"/>
                <w:szCs w:val="21"/>
                <w:highlight w:val="none"/>
              </w:rPr>
              <w:t>第（ ）页</w:t>
            </w:r>
          </w:p>
        </w:tc>
      </w:tr>
      <w:tr w14:paraId="6027FAB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82" w:hRule="atLeast"/>
          <w:jc w:val="center"/>
        </w:trPr>
        <w:tc>
          <w:tcPr>
            <w:tcW w:w="1289" w:type="dxa"/>
            <w:vMerge w:val="continue"/>
            <w:tcBorders>
              <w:top w:val="single" w:color="111111" w:sz="4" w:space="0"/>
              <w:left w:val="single" w:color="auto" w:sz="12" w:space="0"/>
              <w:bottom w:val="single" w:color="111111" w:sz="4" w:space="0"/>
              <w:right w:val="single" w:color="111111" w:sz="4" w:space="0"/>
            </w:tcBorders>
            <w:vAlign w:val="center"/>
          </w:tcPr>
          <w:p w14:paraId="67FA040C">
            <w:pPr>
              <w:spacing w:line="240" w:lineRule="exact"/>
              <w:rPr>
                <w:rFonts w:ascii="宋体" w:hAnsi="宋体" w:cs="宋体"/>
                <w:color w:val="auto"/>
                <w:szCs w:val="21"/>
                <w:highlight w:val="none"/>
              </w:rPr>
            </w:pPr>
          </w:p>
        </w:tc>
        <w:tc>
          <w:tcPr>
            <w:tcW w:w="4391" w:type="dxa"/>
            <w:tcBorders>
              <w:top w:val="single" w:color="111111" w:sz="4" w:space="0"/>
              <w:left w:val="single" w:color="111111" w:sz="4" w:space="0"/>
              <w:bottom w:val="single" w:color="111111" w:sz="4" w:space="0"/>
              <w:right w:val="single" w:color="111111" w:sz="4" w:space="0"/>
            </w:tcBorders>
            <w:vAlign w:val="center"/>
          </w:tcPr>
          <w:p w14:paraId="7D7A1BEB">
            <w:pPr>
              <w:spacing w:line="240" w:lineRule="exact"/>
              <w:rPr>
                <w:rFonts w:ascii="宋体" w:hAnsi="宋体" w:cs="宋体"/>
                <w:color w:val="auto"/>
                <w:szCs w:val="21"/>
                <w:highlight w:val="none"/>
              </w:rPr>
            </w:pPr>
            <w:r>
              <w:rPr>
                <w:rFonts w:hint="eastAsia" w:ascii="宋体" w:hAnsi="宋体" w:cs="宋体"/>
                <w:color w:val="auto"/>
                <w:szCs w:val="21"/>
                <w:highlight w:val="none"/>
              </w:rPr>
              <w:t>4.没有其他未实质性投标文件要求的。</w:t>
            </w:r>
          </w:p>
        </w:tc>
        <w:tc>
          <w:tcPr>
            <w:tcW w:w="1427" w:type="dxa"/>
            <w:tcBorders>
              <w:top w:val="single" w:color="111111" w:sz="4" w:space="0"/>
              <w:left w:val="single" w:color="111111" w:sz="4" w:space="0"/>
              <w:bottom w:val="single" w:color="111111" w:sz="4" w:space="0"/>
              <w:right w:val="single" w:color="111111" w:sz="4" w:space="0"/>
            </w:tcBorders>
            <w:vAlign w:val="center"/>
          </w:tcPr>
          <w:p w14:paraId="508E0539">
            <w:pPr>
              <w:spacing w:line="240" w:lineRule="exact"/>
              <w:rPr>
                <w:rFonts w:ascii="宋体" w:hAnsi="宋体" w:cs="宋体"/>
                <w:color w:val="auto"/>
                <w:szCs w:val="21"/>
                <w:highlight w:val="none"/>
              </w:rPr>
            </w:pPr>
            <w:r>
              <w:rPr>
                <w:rFonts w:hint="eastAsia" w:ascii="宋体" w:hAnsi="宋体" w:cs="宋体"/>
                <w:color w:val="auto"/>
                <w:szCs w:val="21"/>
                <w:highlight w:val="none"/>
              </w:rPr>
              <w:t xml:space="preserve">□通过 </w:t>
            </w:r>
          </w:p>
          <w:p w14:paraId="736B4979">
            <w:pPr>
              <w:spacing w:line="240" w:lineRule="exact"/>
              <w:rPr>
                <w:rFonts w:ascii="宋体" w:hAnsi="宋体" w:cs="宋体"/>
                <w:color w:val="auto"/>
                <w:szCs w:val="21"/>
                <w:highlight w:val="none"/>
              </w:rPr>
            </w:pPr>
            <w:r>
              <w:rPr>
                <w:rFonts w:hint="eastAsia" w:ascii="宋体" w:hAnsi="宋体" w:cs="宋体"/>
                <w:color w:val="auto"/>
                <w:szCs w:val="21"/>
                <w:highlight w:val="none"/>
              </w:rPr>
              <w:t>□不通过</w:t>
            </w:r>
          </w:p>
        </w:tc>
        <w:tc>
          <w:tcPr>
            <w:tcW w:w="1991" w:type="dxa"/>
            <w:tcBorders>
              <w:top w:val="single" w:color="111111" w:sz="4" w:space="0"/>
              <w:left w:val="single" w:color="111111" w:sz="4" w:space="0"/>
              <w:bottom w:val="single" w:color="111111" w:sz="4" w:space="0"/>
              <w:right w:val="single" w:color="auto" w:sz="12" w:space="0"/>
            </w:tcBorders>
            <w:vAlign w:val="center"/>
          </w:tcPr>
          <w:p w14:paraId="75EEAB21">
            <w:pPr>
              <w:spacing w:line="240" w:lineRule="exact"/>
              <w:rPr>
                <w:rFonts w:ascii="宋体" w:hAnsi="宋体" w:cs="宋体"/>
                <w:color w:val="auto"/>
                <w:szCs w:val="21"/>
                <w:highlight w:val="none"/>
              </w:rPr>
            </w:pPr>
            <w:r>
              <w:rPr>
                <w:rFonts w:hint="eastAsia" w:ascii="宋体" w:hAnsi="宋体" w:cs="宋体"/>
                <w:color w:val="auto"/>
                <w:szCs w:val="21"/>
                <w:highlight w:val="none"/>
              </w:rPr>
              <w:t>第（ ）页</w:t>
            </w:r>
          </w:p>
        </w:tc>
      </w:tr>
      <w:tr w14:paraId="191DA4E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82" w:hRule="atLeast"/>
          <w:jc w:val="center"/>
        </w:trPr>
        <w:tc>
          <w:tcPr>
            <w:tcW w:w="1289" w:type="dxa"/>
            <w:vMerge w:val="continue"/>
            <w:tcBorders>
              <w:top w:val="single" w:color="111111" w:sz="4" w:space="0"/>
              <w:left w:val="single" w:color="auto" w:sz="12" w:space="0"/>
              <w:bottom w:val="single" w:color="111111" w:sz="4" w:space="0"/>
              <w:right w:val="single" w:color="111111" w:sz="4" w:space="0"/>
            </w:tcBorders>
            <w:vAlign w:val="center"/>
          </w:tcPr>
          <w:p w14:paraId="78C9FD58">
            <w:pPr>
              <w:spacing w:line="240" w:lineRule="exact"/>
              <w:rPr>
                <w:rFonts w:ascii="宋体" w:hAnsi="宋体" w:cs="宋体"/>
                <w:color w:val="auto"/>
                <w:szCs w:val="21"/>
                <w:highlight w:val="none"/>
              </w:rPr>
            </w:pPr>
          </w:p>
        </w:tc>
        <w:tc>
          <w:tcPr>
            <w:tcW w:w="4391" w:type="dxa"/>
            <w:tcBorders>
              <w:top w:val="single" w:color="111111" w:sz="4" w:space="0"/>
              <w:left w:val="single" w:color="111111" w:sz="4" w:space="0"/>
              <w:bottom w:val="single" w:color="111111" w:sz="4" w:space="0"/>
              <w:right w:val="single" w:color="111111" w:sz="4" w:space="0"/>
            </w:tcBorders>
            <w:vAlign w:val="center"/>
          </w:tcPr>
          <w:p w14:paraId="78090204">
            <w:pPr>
              <w:spacing w:line="240" w:lineRule="exact"/>
              <w:rPr>
                <w:rFonts w:ascii="宋体" w:hAnsi="宋体" w:cs="宋体"/>
                <w:color w:val="auto"/>
                <w:szCs w:val="21"/>
                <w:highlight w:val="none"/>
              </w:rPr>
            </w:pPr>
            <w:r>
              <w:rPr>
                <w:rFonts w:hint="eastAsia" w:ascii="宋体" w:hAnsi="宋体" w:cs="宋体"/>
                <w:color w:val="auto"/>
                <w:szCs w:val="21"/>
                <w:highlight w:val="none"/>
              </w:rPr>
              <w:t>5.投标文件没有采购文件中规定的其它无效投标条款的；</w:t>
            </w:r>
          </w:p>
        </w:tc>
        <w:tc>
          <w:tcPr>
            <w:tcW w:w="1427" w:type="dxa"/>
            <w:tcBorders>
              <w:top w:val="single" w:color="111111" w:sz="4" w:space="0"/>
              <w:left w:val="single" w:color="111111" w:sz="4" w:space="0"/>
              <w:bottom w:val="single" w:color="111111" w:sz="4" w:space="0"/>
              <w:right w:val="single" w:color="111111" w:sz="4" w:space="0"/>
            </w:tcBorders>
            <w:vAlign w:val="center"/>
          </w:tcPr>
          <w:p w14:paraId="0C9F46C5">
            <w:pPr>
              <w:spacing w:line="240" w:lineRule="exact"/>
              <w:rPr>
                <w:rFonts w:ascii="宋体" w:hAnsi="宋体" w:cs="宋体"/>
                <w:color w:val="auto"/>
                <w:szCs w:val="21"/>
                <w:highlight w:val="none"/>
              </w:rPr>
            </w:pPr>
            <w:r>
              <w:rPr>
                <w:rFonts w:hint="eastAsia" w:ascii="宋体" w:hAnsi="宋体" w:cs="宋体"/>
                <w:color w:val="auto"/>
                <w:szCs w:val="21"/>
                <w:highlight w:val="none"/>
              </w:rPr>
              <w:t xml:space="preserve">□通过 </w:t>
            </w:r>
          </w:p>
          <w:p w14:paraId="556ABC05">
            <w:pPr>
              <w:spacing w:line="240" w:lineRule="exact"/>
              <w:rPr>
                <w:rFonts w:ascii="宋体" w:hAnsi="宋体" w:cs="宋体"/>
                <w:color w:val="auto"/>
                <w:szCs w:val="21"/>
                <w:highlight w:val="none"/>
              </w:rPr>
            </w:pPr>
            <w:r>
              <w:rPr>
                <w:rFonts w:hint="eastAsia" w:ascii="宋体" w:hAnsi="宋体" w:cs="宋体"/>
                <w:color w:val="auto"/>
                <w:szCs w:val="21"/>
                <w:highlight w:val="none"/>
              </w:rPr>
              <w:t>□不通过</w:t>
            </w:r>
          </w:p>
        </w:tc>
        <w:tc>
          <w:tcPr>
            <w:tcW w:w="1991" w:type="dxa"/>
            <w:tcBorders>
              <w:top w:val="single" w:color="111111" w:sz="4" w:space="0"/>
              <w:left w:val="single" w:color="111111" w:sz="4" w:space="0"/>
              <w:bottom w:val="single" w:color="111111" w:sz="4" w:space="0"/>
              <w:right w:val="single" w:color="auto" w:sz="12" w:space="0"/>
            </w:tcBorders>
            <w:vAlign w:val="center"/>
          </w:tcPr>
          <w:p w14:paraId="7ABBFE74">
            <w:pPr>
              <w:spacing w:line="240" w:lineRule="exact"/>
              <w:rPr>
                <w:rFonts w:ascii="宋体" w:hAnsi="宋体" w:cs="宋体"/>
                <w:color w:val="auto"/>
                <w:szCs w:val="21"/>
                <w:highlight w:val="none"/>
              </w:rPr>
            </w:pPr>
            <w:r>
              <w:rPr>
                <w:rFonts w:hint="eastAsia" w:ascii="宋体" w:hAnsi="宋体" w:cs="宋体"/>
                <w:color w:val="auto"/>
                <w:szCs w:val="21"/>
                <w:highlight w:val="none"/>
              </w:rPr>
              <w:t>第（ ）页</w:t>
            </w:r>
          </w:p>
        </w:tc>
      </w:tr>
      <w:tr w14:paraId="672A1E8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82" w:hRule="atLeast"/>
          <w:jc w:val="center"/>
        </w:trPr>
        <w:tc>
          <w:tcPr>
            <w:tcW w:w="1289" w:type="dxa"/>
            <w:vMerge w:val="continue"/>
            <w:tcBorders>
              <w:top w:val="single" w:color="111111" w:sz="4" w:space="0"/>
              <w:left w:val="single" w:color="auto" w:sz="12" w:space="0"/>
              <w:bottom w:val="single" w:color="111111" w:sz="4" w:space="0"/>
              <w:right w:val="single" w:color="111111" w:sz="4" w:space="0"/>
            </w:tcBorders>
            <w:vAlign w:val="center"/>
          </w:tcPr>
          <w:p w14:paraId="214BCFAB">
            <w:pPr>
              <w:spacing w:line="240" w:lineRule="exact"/>
              <w:rPr>
                <w:rFonts w:ascii="宋体" w:hAnsi="宋体" w:cs="宋体"/>
                <w:color w:val="auto"/>
                <w:szCs w:val="21"/>
                <w:highlight w:val="none"/>
              </w:rPr>
            </w:pPr>
          </w:p>
        </w:tc>
        <w:tc>
          <w:tcPr>
            <w:tcW w:w="4391" w:type="dxa"/>
            <w:tcBorders>
              <w:top w:val="single" w:color="111111" w:sz="4" w:space="0"/>
              <w:left w:val="single" w:color="111111" w:sz="4" w:space="0"/>
              <w:bottom w:val="single" w:color="111111" w:sz="4" w:space="0"/>
              <w:right w:val="single" w:color="111111" w:sz="4" w:space="0"/>
            </w:tcBorders>
            <w:vAlign w:val="center"/>
          </w:tcPr>
          <w:p w14:paraId="746A8ADD">
            <w:pPr>
              <w:spacing w:line="240" w:lineRule="exact"/>
              <w:rPr>
                <w:rFonts w:ascii="宋体" w:hAnsi="宋体" w:cs="宋体"/>
                <w:color w:val="auto"/>
                <w:szCs w:val="21"/>
                <w:highlight w:val="none"/>
              </w:rPr>
            </w:pPr>
            <w:r>
              <w:rPr>
                <w:rFonts w:hint="eastAsia" w:ascii="宋体" w:hAnsi="宋体" w:cs="宋体"/>
                <w:color w:val="auto"/>
                <w:szCs w:val="21"/>
                <w:highlight w:val="none"/>
              </w:rPr>
              <w:t>6、按有关法律、法规、规章不属于投标无效的。</w:t>
            </w:r>
          </w:p>
        </w:tc>
        <w:tc>
          <w:tcPr>
            <w:tcW w:w="1427" w:type="dxa"/>
            <w:tcBorders>
              <w:top w:val="single" w:color="111111" w:sz="4" w:space="0"/>
              <w:left w:val="single" w:color="111111" w:sz="4" w:space="0"/>
              <w:bottom w:val="single" w:color="111111" w:sz="4" w:space="0"/>
              <w:right w:val="single" w:color="111111" w:sz="4" w:space="0"/>
            </w:tcBorders>
            <w:vAlign w:val="center"/>
          </w:tcPr>
          <w:p w14:paraId="365E45E2">
            <w:pPr>
              <w:spacing w:line="240" w:lineRule="exact"/>
              <w:rPr>
                <w:rFonts w:ascii="宋体" w:hAnsi="宋体" w:cs="宋体"/>
                <w:color w:val="auto"/>
                <w:szCs w:val="21"/>
                <w:highlight w:val="none"/>
              </w:rPr>
            </w:pPr>
            <w:r>
              <w:rPr>
                <w:rFonts w:hint="eastAsia" w:ascii="宋体" w:hAnsi="宋体" w:cs="宋体"/>
                <w:color w:val="auto"/>
                <w:szCs w:val="21"/>
                <w:highlight w:val="none"/>
              </w:rPr>
              <w:t xml:space="preserve">□通过 </w:t>
            </w:r>
          </w:p>
          <w:p w14:paraId="59ABC3D8">
            <w:pPr>
              <w:spacing w:line="240" w:lineRule="exact"/>
              <w:rPr>
                <w:rFonts w:ascii="宋体" w:hAnsi="宋体" w:cs="宋体"/>
                <w:color w:val="auto"/>
                <w:szCs w:val="21"/>
                <w:highlight w:val="none"/>
              </w:rPr>
            </w:pPr>
            <w:r>
              <w:rPr>
                <w:rFonts w:hint="eastAsia" w:ascii="宋体" w:hAnsi="宋体" w:cs="宋体"/>
                <w:color w:val="auto"/>
                <w:szCs w:val="21"/>
                <w:highlight w:val="none"/>
              </w:rPr>
              <w:t>□不通过</w:t>
            </w:r>
          </w:p>
        </w:tc>
        <w:tc>
          <w:tcPr>
            <w:tcW w:w="1991" w:type="dxa"/>
            <w:tcBorders>
              <w:top w:val="single" w:color="111111" w:sz="4" w:space="0"/>
              <w:left w:val="single" w:color="111111" w:sz="4" w:space="0"/>
              <w:bottom w:val="single" w:color="111111" w:sz="4" w:space="0"/>
              <w:right w:val="single" w:color="auto" w:sz="12" w:space="0"/>
            </w:tcBorders>
            <w:vAlign w:val="center"/>
          </w:tcPr>
          <w:p w14:paraId="2D852005">
            <w:pPr>
              <w:spacing w:line="240" w:lineRule="exact"/>
              <w:rPr>
                <w:rFonts w:ascii="宋体" w:hAnsi="宋体" w:cs="宋体"/>
                <w:color w:val="auto"/>
                <w:szCs w:val="21"/>
                <w:highlight w:val="none"/>
              </w:rPr>
            </w:pPr>
            <w:r>
              <w:rPr>
                <w:rFonts w:hint="eastAsia" w:ascii="宋体" w:hAnsi="宋体" w:cs="宋体"/>
                <w:color w:val="auto"/>
                <w:szCs w:val="21"/>
                <w:highlight w:val="none"/>
              </w:rPr>
              <w:t>第（ ）页</w:t>
            </w:r>
          </w:p>
        </w:tc>
      </w:tr>
    </w:tbl>
    <w:p w14:paraId="55E22285">
      <w:pPr>
        <w:pStyle w:val="18"/>
        <w:widowControl/>
        <w:spacing w:line="360" w:lineRule="auto"/>
        <w:jc w:val="left"/>
        <w:rPr>
          <w:rFonts w:hAnsi="宋体" w:cs="宋体"/>
          <w:b/>
          <w:color w:val="auto"/>
          <w:sz w:val="21"/>
          <w:szCs w:val="21"/>
          <w:highlight w:val="none"/>
        </w:rPr>
      </w:pPr>
      <w:r>
        <w:rPr>
          <w:rFonts w:hint="eastAsia" w:hAnsi="宋体" w:cs="宋体"/>
          <w:b/>
          <w:color w:val="auto"/>
          <w:sz w:val="21"/>
          <w:szCs w:val="21"/>
          <w:highlight w:val="none"/>
        </w:rPr>
        <w:t>备注：供应商自查表将作为投标供应商有效性审查的重要内容之一，投标供应商必须严格按照其内容及序列要求在投标文件中对应如实提供，对资格性证明文件的任何缺漏和不符合项将会直接导致投标无效！</w:t>
      </w:r>
    </w:p>
    <w:p w14:paraId="5F531D5C">
      <w:pPr>
        <w:rPr>
          <w:rFonts w:ascii="宋体" w:hAnsi="宋体" w:cs="宋体"/>
          <w:b/>
          <w:color w:val="auto"/>
          <w:szCs w:val="21"/>
          <w:highlight w:val="none"/>
        </w:rPr>
      </w:pPr>
      <w:r>
        <w:rPr>
          <w:rFonts w:hint="eastAsia" w:ascii="宋体" w:hAnsi="宋体" w:cs="宋体"/>
          <w:b/>
          <w:color w:val="auto"/>
          <w:szCs w:val="21"/>
          <w:highlight w:val="none"/>
        </w:rPr>
        <w:br w:type="page"/>
      </w:r>
    </w:p>
    <w:p w14:paraId="129A327C">
      <w:pPr>
        <w:spacing w:line="360" w:lineRule="auto"/>
        <w:jc w:val="center"/>
        <w:outlineLvl w:val="2"/>
        <w:rPr>
          <w:rFonts w:ascii="宋体" w:hAnsi="宋体" w:cs="宋体"/>
          <w:b/>
          <w:bCs/>
          <w:color w:val="auto"/>
          <w:sz w:val="28"/>
          <w:szCs w:val="28"/>
          <w:highlight w:val="none"/>
        </w:rPr>
      </w:pPr>
      <w:bookmarkStart w:id="445" w:name="_Toc12453"/>
      <w:bookmarkStart w:id="446" w:name="_Toc2273"/>
      <w:bookmarkStart w:id="447" w:name="_Toc7652"/>
      <w:bookmarkStart w:id="448" w:name="_Toc4939"/>
      <w:r>
        <w:rPr>
          <w:rStyle w:val="90"/>
          <w:rFonts w:hint="eastAsia" w:ascii="宋体" w:hAnsi="宋体" w:cs="宋体"/>
          <w:color w:val="auto"/>
          <w:szCs w:val="28"/>
          <w:highlight w:val="none"/>
        </w:rPr>
        <w:t>供应商承诺函</w:t>
      </w:r>
      <w:bookmarkEnd w:id="445"/>
      <w:bookmarkEnd w:id="446"/>
      <w:bookmarkEnd w:id="447"/>
      <w:bookmarkEnd w:id="448"/>
    </w:p>
    <w:p w14:paraId="408F6D47">
      <w:pPr>
        <w:pStyle w:val="86"/>
        <w:spacing w:line="336" w:lineRule="auto"/>
        <w:ind w:right="84" w:rightChars="40"/>
        <w:rPr>
          <w:rFonts w:ascii="宋体" w:hAnsi="宋体" w:cs="宋体"/>
          <w:color w:val="auto"/>
          <w:sz w:val="24"/>
          <w:szCs w:val="24"/>
          <w:highlight w:val="none"/>
        </w:rPr>
      </w:pPr>
    </w:p>
    <w:p w14:paraId="59601967">
      <w:pPr>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（采购单位名称）：</w:t>
      </w:r>
    </w:p>
    <w:p w14:paraId="56BB71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我方确认收到贵方提供的</w:t>
      </w:r>
      <w:bookmarkStart w:id="449" w:name="xmmc"/>
      <w:r>
        <w:rPr>
          <w:rFonts w:hint="eastAsia" w:ascii="宋体" w:hAnsi="宋体" w:cs="宋体"/>
          <w:color w:val="auto"/>
          <w:szCs w:val="21"/>
          <w:highlight w:val="none"/>
          <w:u w:val="single"/>
        </w:rPr>
        <w:t xml:space="preserve">    （项目名称/标项号）  </w:t>
      </w:r>
      <w:r>
        <w:rPr>
          <w:rFonts w:hint="eastAsia" w:ascii="宋体" w:hAnsi="宋体" w:cs="宋体"/>
          <w:color w:val="auto"/>
          <w:szCs w:val="21"/>
          <w:highlight w:val="none"/>
        </w:rPr>
        <w:t>项目</w:t>
      </w:r>
      <w:bookmarkEnd w:id="449"/>
      <w:r>
        <w:rPr>
          <w:rFonts w:hint="eastAsia" w:ascii="宋体" w:hAnsi="宋体" w:cs="宋体"/>
          <w:color w:val="auto"/>
          <w:szCs w:val="21"/>
          <w:highlight w:val="none"/>
        </w:rPr>
        <w:t>（采购编号：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）的采购文件，已完全理解采购文件的所有内容。决定投标本项目，据此我方承诺如下：</w:t>
      </w:r>
    </w:p>
    <w:p w14:paraId="70073A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1、我方的投标文件在投标截止日后90天（日历天）内保持有效，如中标，有效期将延至本项目执行期满日为止。</w:t>
      </w:r>
    </w:p>
    <w:p w14:paraId="6049D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参与投标前已仔细研究了采购文件和所有相关资料，我方完全明白并认为此采购文件没有倾向性，也没有存在排斥潜在供应商的内容，我方同意采购文件的相关条款，放弃对采购文件提出误解和质疑的一切权利。</w:t>
      </w:r>
    </w:p>
    <w:p w14:paraId="0B6117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3、我方声明投标文件及所提供的一切资料均真实无误及有效。由于我方提供资料不实而造成的责任和后果由我方承担。我方同意按照贵方可能提出的要求，提供与投标有关的任何其它数据或信息。</w:t>
      </w:r>
    </w:p>
    <w:p w14:paraId="26D66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4、我方如果中标，保证履行投标文件中承诺的全部责任和义务，采购合同中的全部条款。</w:t>
      </w:r>
    </w:p>
    <w:p w14:paraId="0B090DAD">
      <w:pPr>
        <w:spacing w:line="360" w:lineRule="auto"/>
        <w:ind w:firstLine="420" w:firstLineChars="200"/>
        <w:rPr>
          <w:rFonts w:ascii="宋体" w:hAnsi="宋体" w:cs="宋体"/>
          <w:color w:val="auto"/>
          <w:szCs w:val="21"/>
          <w:highlight w:val="none"/>
        </w:rPr>
      </w:pPr>
      <w:bookmarkStart w:id="450" w:name="_Toc18184"/>
      <w:bookmarkStart w:id="451" w:name="_Toc24331"/>
      <w:bookmarkStart w:id="452" w:name="_Toc23206"/>
      <w:r>
        <w:rPr>
          <w:rFonts w:hint="eastAsia" w:ascii="宋体" w:hAnsi="宋体" w:cs="宋体"/>
          <w:color w:val="auto"/>
          <w:szCs w:val="21"/>
          <w:highlight w:val="none"/>
        </w:rPr>
        <w:t>5、我方理解贵方不一定接受最低报价的投标。</w:t>
      </w:r>
      <w:bookmarkEnd w:id="450"/>
      <w:bookmarkEnd w:id="451"/>
      <w:bookmarkEnd w:id="452"/>
    </w:p>
    <w:p w14:paraId="755E55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6、我方同意如在本项目开标后、投标有效期之内撤销投标文件，或中标后未在规定期限内签订合同并送贵方备案的，贵方将不退还投标保证金（如有）。</w:t>
      </w:r>
    </w:p>
    <w:p w14:paraId="3EF1BE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5B1A6259">
      <w:pPr>
        <w:rPr>
          <w:rFonts w:ascii="宋体" w:hAnsi="宋体" w:cs="宋体"/>
          <w:color w:val="auto"/>
          <w:szCs w:val="21"/>
          <w:highlight w:val="none"/>
        </w:rPr>
      </w:pPr>
    </w:p>
    <w:p w14:paraId="1E3BD689">
      <w:pPr>
        <w:rPr>
          <w:rFonts w:ascii="宋体" w:hAnsi="宋体" w:cs="宋体"/>
          <w:color w:val="auto"/>
          <w:szCs w:val="21"/>
          <w:highlight w:val="none"/>
        </w:rPr>
      </w:pPr>
    </w:p>
    <w:p w14:paraId="78A21650">
      <w:pPr>
        <w:rPr>
          <w:rFonts w:ascii="宋体" w:hAnsi="宋体" w:cs="宋体"/>
          <w:color w:val="auto"/>
          <w:szCs w:val="21"/>
          <w:highlight w:val="none"/>
        </w:rPr>
      </w:pPr>
    </w:p>
    <w:p w14:paraId="7D3F0560">
      <w:pPr>
        <w:pStyle w:val="18"/>
        <w:widowControl/>
        <w:spacing w:line="360" w:lineRule="auto"/>
        <w:rPr>
          <w:rFonts w:hAnsi="宋体" w:cs="宋体"/>
          <w:color w:val="auto"/>
          <w:sz w:val="21"/>
          <w:szCs w:val="21"/>
          <w:highlight w:val="none"/>
        </w:rPr>
      </w:pPr>
      <w:r>
        <w:rPr>
          <w:rFonts w:hint="eastAsia" w:hAnsi="宋体" w:cs="宋体"/>
          <w:color w:val="auto"/>
          <w:sz w:val="21"/>
          <w:szCs w:val="21"/>
          <w:highlight w:val="none"/>
        </w:rPr>
        <w:t>供应商全称（盖公章）：</w:t>
      </w:r>
    </w:p>
    <w:p w14:paraId="75BE4010">
      <w:pPr>
        <w:pStyle w:val="18"/>
        <w:widowControl/>
        <w:spacing w:line="360" w:lineRule="auto"/>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1EACA05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5F8F4307">
      <w:pPr>
        <w:rPr>
          <w:rFonts w:ascii="宋体" w:hAnsi="宋体" w:cs="宋体"/>
          <w:b/>
          <w:bCs/>
          <w:color w:val="auto"/>
          <w:sz w:val="28"/>
          <w:szCs w:val="28"/>
          <w:highlight w:val="none"/>
        </w:rPr>
      </w:pPr>
    </w:p>
    <w:p w14:paraId="160B4A33">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A2A3429">
      <w:pPr>
        <w:pStyle w:val="7"/>
        <w:spacing w:before="0" w:after="0"/>
        <w:jc w:val="center"/>
        <w:rPr>
          <w:rFonts w:ascii="宋体" w:hAnsi="宋体" w:cs="宋体"/>
          <w:color w:val="auto"/>
          <w:highlight w:val="none"/>
        </w:rPr>
      </w:pPr>
      <w:bookmarkStart w:id="453" w:name="_Toc17173"/>
      <w:bookmarkStart w:id="454" w:name="_Toc2947"/>
      <w:bookmarkStart w:id="455" w:name="_Toc14187"/>
      <w:bookmarkStart w:id="456" w:name="_Toc20014"/>
      <w:r>
        <w:rPr>
          <w:rFonts w:hint="eastAsia" w:ascii="宋体" w:hAnsi="宋体" w:cs="宋体"/>
          <w:color w:val="auto"/>
          <w:szCs w:val="28"/>
          <w:highlight w:val="none"/>
        </w:rPr>
        <w:t>供应商评标索引</w:t>
      </w:r>
      <w:bookmarkEnd w:id="453"/>
      <w:bookmarkEnd w:id="454"/>
      <w:bookmarkEnd w:id="455"/>
      <w:bookmarkEnd w:id="456"/>
    </w:p>
    <w:p w14:paraId="501FD41F">
      <w:pPr>
        <w:rPr>
          <w:rFonts w:ascii="宋体" w:hAnsi="宋体" w:cs="宋体"/>
          <w:color w:val="auto"/>
          <w:szCs w:val="21"/>
          <w:highlight w:val="none"/>
        </w:rPr>
      </w:pPr>
      <w:r>
        <w:rPr>
          <w:rFonts w:hint="eastAsia" w:ascii="宋体" w:hAnsi="宋体" w:cs="宋体"/>
          <w:color w:val="auto"/>
          <w:szCs w:val="21"/>
          <w:highlight w:val="none"/>
        </w:rPr>
        <w:t xml:space="preserve">项目名称/标项号：                                    </w:t>
      </w:r>
    </w:p>
    <w:tbl>
      <w:tblPr>
        <w:tblStyle w:val="42"/>
        <w:tblW w:w="9239" w:type="dxa"/>
        <w:jc w:val="center"/>
        <w:tblLayout w:type="fixed"/>
        <w:tblCellMar>
          <w:top w:w="0" w:type="dxa"/>
          <w:left w:w="108" w:type="dxa"/>
          <w:bottom w:w="0" w:type="dxa"/>
          <w:right w:w="108" w:type="dxa"/>
        </w:tblCellMar>
      </w:tblPr>
      <w:tblGrid>
        <w:gridCol w:w="892"/>
        <w:gridCol w:w="5030"/>
        <w:gridCol w:w="2068"/>
        <w:gridCol w:w="1249"/>
      </w:tblGrid>
      <w:tr w14:paraId="03D2CA3B">
        <w:tblPrEx>
          <w:tblCellMar>
            <w:top w:w="0" w:type="dxa"/>
            <w:left w:w="108" w:type="dxa"/>
            <w:bottom w:w="0" w:type="dxa"/>
            <w:right w:w="108" w:type="dxa"/>
          </w:tblCellMar>
        </w:tblPrEx>
        <w:trPr>
          <w:trHeight w:val="61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7019912F">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030" w:type="dxa"/>
            <w:tcBorders>
              <w:top w:val="single" w:color="auto" w:sz="4" w:space="0"/>
              <w:left w:val="single" w:color="auto" w:sz="4" w:space="0"/>
              <w:bottom w:val="single" w:color="auto" w:sz="4" w:space="0"/>
              <w:right w:val="single" w:color="auto" w:sz="4" w:space="0"/>
            </w:tcBorders>
            <w:vAlign w:val="center"/>
          </w:tcPr>
          <w:p w14:paraId="1FE3B5CE">
            <w:pPr>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2068" w:type="dxa"/>
            <w:tcBorders>
              <w:top w:val="single" w:color="auto" w:sz="4" w:space="0"/>
              <w:left w:val="nil"/>
              <w:bottom w:val="single" w:color="auto" w:sz="4" w:space="0"/>
              <w:right w:val="single" w:color="auto" w:sz="4" w:space="0"/>
            </w:tcBorders>
            <w:vAlign w:val="center"/>
          </w:tcPr>
          <w:p w14:paraId="7DC271E1">
            <w:pPr>
              <w:jc w:val="center"/>
              <w:rPr>
                <w:rFonts w:ascii="宋体" w:hAnsi="宋体" w:cs="宋体"/>
                <w:color w:val="auto"/>
                <w:szCs w:val="21"/>
                <w:highlight w:val="none"/>
              </w:rPr>
            </w:pPr>
            <w:r>
              <w:rPr>
                <w:rFonts w:hint="eastAsia" w:ascii="宋体" w:hAnsi="宋体" w:cs="宋体"/>
                <w:color w:val="auto"/>
                <w:szCs w:val="21"/>
                <w:highlight w:val="none"/>
              </w:rPr>
              <w:t>证明文件</w:t>
            </w:r>
          </w:p>
        </w:tc>
        <w:tc>
          <w:tcPr>
            <w:tcW w:w="1249" w:type="dxa"/>
            <w:tcBorders>
              <w:top w:val="single" w:color="auto" w:sz="4" w:space="0"/>
              <w:left w:val="nil"/>
              <w:bottom w:val="single" w:color="auto" w:sz="4" w:space="0"/>
              <w:right w:val="single" w:color="auto" w:sz="4" w:space="0"/>
            </w:tcBorders>
            <w:vAlign w:val="center"/>
          </w:tcPr>
          <w:p w14:paraId="2797C0F9">
            <w:pPr>
              <w:jc w:val="center"/>
              <w:rPr>
                <w:rFonts w:ascii="宋体" w:hAnsi="宋体" w:cs="宋体"/>
                <w:color w:val="auto"/>
                <w:szCs w:val="21"/>
                <w:highlight w:val="none"/>
              </w:rPr>
            </w:pPr>
            <w:r>
              <w:rPr>
                <w:rFonts w:hint="eastAsia" w:ascii="宋体" w:hAnsi="宋体" w:cs="宋体"/>
                <w:color w:val="auto"/>
                <w:szCs w:val="21"/>
                <w:highlight w:val="none"/>
              </w:rPr>
              <w:t>自评得分</w:t>
            </w:r>
          </w:p>
        </w:tc>
      </w:tr>
      <w:tr w14:paraId="4C5ED168">
        <w:trPr>
          <w:trHeight w:val="607" w:hRule="atLeast"/>
          <w:jc w:val="center"/>
        </w:trPr>
        <w:tc>
          <w:tcPr>
            <w:tcW w:w="892" w:type="dxa"/>
            <w:tcBorders>
              <w:top w:val="nil"/>
              <w:left w:val="single" w:color="auto" w:sz="4" w:space="0"/>
              <w:bottom w:val="single" w:color="auto" w:sz="4" w:space="0"/>
              <w:right w:val="single" w:color="auto" w:sz="4" w:space="0"/>
            </w:tcBorders>
            <w:vAlign w:val="center"/>
          </w:tcPr>
          <w:p w14:paraId="48A4EEA2">
            <w:pPr>
              <w:rPr>
                <w:rFonts w:ascii="宋体" w:hAnsi="宋体" w:cs="宋体"/>
                <w:color w:val="auto"/>
                <w:szCs w:val="21"/>
                <w:highlight w:val="none"/>
              </w:rPr>
            </w:pPr>
          </w:p>
        </w:tc>
        <w:tc>
          <w:tcPr>
            <w:tcW w:w="5030" w:type="dxa"/>
            <w:tcBorders>
              <w:top w:val="nil"/>
              <w:left w:val="single" w:color="auto" w:sz="4" w:space="0"/>
              <w:bottom w:val="single" w:color="auto" w:sz="4" w:space="0"/>
              <w:right w:val="single" w:color="auto" w:sz="4" w:space="0"/>
            </w:tcBorders>
            <w:vAlign w:val="center"/>
          </w:tcPr>
          <w:p w14:paraId="7A639557">
            <w:pPr>
              <w:rPr>
                <w:rFonts w:ascii="宋体" w:hAnsi="宋体" w:cs="宋体"/>
                <w:color w:val="auto"/>
                <w:szCs w:val="21"/>
                <w:highlight w:val="none"/>
              </w:rPr>
            </w:pPr>
          </w:p>
        </w:tc>
        <w:tc>
          <w:tcPr>
            <w:tcW w:w="2068" w:type="dxa"/>
            <w:tcBorders>
              <w:top w:val="nil"/>
              <w:left w:val="nil"/>
              <w:bottom w:val="single" w:color="auto" w:sz="4" w:space="0"/>
              <w:right w:val="single" w:color="auto" w:sz="4" w:space="0"/>
            </w:tcBorders>
            <w:vAlign w:val="center"/>
          </w:tcPr>
          <w:p w14:paraId="5965184D">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nil"/>
              <w:left w:val="nil"/>
              <w:bottom w:val="single" w:color="auto" w:sz="4" w:space="0"/>
              <w:right w:val="single" w:color="auto" w:sz="4" w:space="0"/>
            </w:tcBorders>
            <w:vAlign w:val="center"/>
          </w:tcPr>
          <w:p w14:paraId="166218D1">
            <w:pPr>
              <w:jc w:val="center"/>
              <w:rPr>
                <w:rFonts w:ascii="宋体" w:hAnsi="宋体" w:cs="宋体"/>
                <w:color w:val="auto"/>
                <w:szCs w:val="21"/>
                <w:highlight w:val="none"/>
              </w:rPr>
            </w:pPr>
          </w:p>
        </w:tc>
      </w:tr>
      <w:tr w14:paraId="09D2B962">
        <w:trPr>
          <w:trHeight w:val="628" w:hRule="atLeast"/>
          <w:jc w:val="center"/>
        </w:trPr>
        <w:tc>
          <w:tcPr>
            <w:tcW w:w="892" w:type="dxa"/>
            <w:tcBorders>
              <w:top w:val="nil"/>
              <w:left w:val="single" w:color="auto" w:sz="4" w:space="0"/>
              <w:bottom w:val="single" w:color="auto" w:sz="4" w:space="0"/>
              <w:right w:val="single" w:color="auto" w:sz="4" w:space="0"/>
            </w:tcBorders>
            <w:vAlign w:val="center"/>
          </w:tcPr>
          <w:p w14:paraId="6C94678F">
            <w:pPr>
              <w:rPr>
                <w:rFonts w:ascii="宋体" w:hAnsi="宋体" w:cs="宋体"/>
                <w:color w:val="auto"/>
                <w:szCs w:val="21"/>
                <w:highlight w:val="none"/>
              </w:rPr>
            </w:pPr>
          </w:p>
        </w:tc>
        <w:tc>
          <w:tcPr>
            <w:tcW w:w="5030" w:type="dxa"/>
            <w:tcBorders>
              <w:top w:val="nil"/>
              <w:left w:val="single" w:color="auto" w:sz="4" w:space="0"/>
              <w:bottom w:val="single" w:color="auto" w:sz="4" w:space="0"/>
              <w:right w:val="single" w:color="auto" w:sz="4" w:space="0"/>
            </w:tcBorders>
            <w:vAlign w:val="center"/>
          </w:tcPr>
          <w:p w14:paraId="1455BE8E">
            <w:pPr>
              <w:rPr>
                <w:rFonts w:ascii="宋体" w:hAnsi="宋体" w:cs="宋体"/>
                <w:color w:val="auto"/>
                <w:szCs w:val="21"/>
                <w:highlight w:val="none"/>
              </w:rPr>
            </w:pPr>
          </w:p>
        </w:tc>
        <w:tc>
          <w:tcPr>
            <w:tcW w:w="2068" w:type="dxa"/>
            <w:tcBorders>
              <w:top w:val="nil"/>
              <w:left w:val="nil"/>
              <w:bottom w:val="single" w:color="auto" w:sz="4" w:space="0"/>
              <w:right w:val="single" w:color="auto" w:sz="4" w:space="0"/>
            </w:tcBorders>
            <w:vAlign w:val="center"/>
          </w:tcPr>
          <w:p w14:paraId="387C0CC0">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nil"/>
              <w:left w:val="nil"/>
              <w:bottom w:val="single" w:color="auto" w:sz="4" w:space="0"/>
              <w:right w:val="single" w:color="auto" w:sz="4" w:space="0"/>
            </w:tcBorders>
            <w:vAlign w:val="center"/>
          </w:tcPr>
          <w:p w14:paraId="0A020050">
            <w:pPr>
              <w:jc w:val="center"/>
              <w:rPr>
                <w:rFonts w:ascii="宋体" w:hAnsi="宋体" w:cs="宋体"/>
                <w:color w:val="auto"/>
                <w:szCs w:val="21"/>
                <w:highlight w:val="none"/>
              </w:rPr>
            </w:pPr>
          </w:p>
        </w:tc>
      </w:tr>
      <w:tr w14:paraId="0443FD9E">
        <w:trPr>
          <w:trHeight w:val="534" w:hRule="atLeast"/>
          <w:jc w:val="center"/>
        </w:trPr>
        <w:tc>
          <w:tcPr>
            <w:tcW w:w="892" w:type="dxa"/>
            <w:tcBorders>
              <w:top w:val="nil"/>
              <w:left w:val="single" w:color="auto" w:sz="4" w:space="0"/>
              <w:bottom w:val="single" w:color="auto" w:sz="4" w:space="0"/>
              <w:right w:val="single" w:color="auto" w:sz="4" w:space="0"/>
            </w:tcBorders>
            <w:vAlign w:val="center"/>
          </w:tcPr>
          <w:p w14:paraId="741EA08B">
            <w:pPr>
              <w:rPr>
                <w:rFonts w:ascii="宋体" w:hAnsi="宋体" w:cs="宋体"/>
                <w:color w:val="auto"/>
                <w:szCs w:val="21"/>
                <w:highlight w:val="none"/>
              </w:rPr>
            </w:pPr>
          </w:p>
        </w:tc>
        <w:tc>
          <w:tcPr>
            <w:tcW w:w="5030" w:type="dxa"/>
            <w:tcBorders>
              <w:top w:val="nil"/>
              <w:left w:val="single" w:color="auto" w:sz="4" w:space="0"/>
              <w:bottom w:val="single" w:color="auto" w:sz="4" w:space="0"/>
              <w:right w:val="single" w:color="auto" w:sz="4" w:space="0"/>
            </w:tcBorders>
            <w:vAlign w:val="center"/>
          </w:tcPr>
          <w:p w14:paraId="5601DA53">
            <w:pPr>
              <w:rPr>
                <w:rFonts w:ascii="宋体" w:hAnsi="宋体" w:cs="宋体"/>
                <w:color w:val="auto"/>
                <w:szCs w:val="21"/>
                <w:highlight w:val="none"/>
              </w:rPr>
            </w:pPr>
          </w:p>
        </w:tc>
        <w:tc>
          <w:tcPr>
            <w:tcW w:w="2068" w:type="dxa"/>
            <w:tcBorders>
              <w:top w:val="nil"/>
              <w:left w:val="nil"/>
              <w:bottom w:val="single" w:color="auto" w:sz="4" w:space="0"/>
              <w:right w:val="single" w:color="auto" w:sz="4" w:space="0"/>
            </w:tcBorders>
            <w:vAlign w:val="center"/>
          </w:tcPr>
          <w:p w14:paraId="2021764D">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nil"/>
              <w:left w:val="nil"/>
              <w:bottom w:val="single" w:color="auto" w:sz="4" w:space="0"/>
              <w:right w:val="single" w:color="auto" w:sz="4" w:space="0"/>
            </w:tcBorders>
            <w:vAlign w:val="center"/>
          </w:tcPr>
          <w:p w14:paraId="3EC41AC6">
            <w:pPr>
              <w:jc w:val="center"/>
              <w:rPr>
                <w:rFonts w:ascii="宋体" w:hAnsi="宋体" w:cs="宋体"/>
                <w:color w:val="auto"/>
                <w:szCs w:val="21"/>
                <w:highlight w:val="none"/>
              </w:rPr>
            </w:pPr>
          </w:p>
        </w:tc>
      </w:tr>
      <w:tr w14:paraId="364B6529">
        <w:tblPrEx>
          <w:tblCellMar>
            <w:top w:w="0" w:type="dxa"/>
            <w:left w:w="108" w:type="dxa"/>
            <w:bottom w:w="0" w:type="dxa"/>
            <w:right w:w="108" w:type="dxa"/>
          </w:tblCellMar>
        </w:tblPrEx>
        <w:trPr>
          <w:trHeight w:val="545" w:hRule="atLeast"/>
          <w:jc w:val="center"/>
        </w:trPr>
        <w:tc>
          <w:tcPr>
            <w:tcW w:w="892" w:type="dxa"/>
            <w:tcBorders>
              <w:top w:val="nil"/>
              <w:left w:val="single" w:color="auto" w:sz="4" w:space="0"/>
              <w:bottom w:val="single" w:color="auto" w:sz="4" w:space="0"/>
              <w:right w:val="single" w:color="auto" w:sz="4" w:space="0"/>
            </w:tcBorders>
            <w:vAlign w:val="center"/>
          </w:tcPr>
          <w:p w14:paraId="3F654827">
            <w:pPr>
              <w:rPr>
                <w:rFonts w:ascii="宋体" w:hAnsi="宋体" w:cs="宋体"/>
                <w:color w:val="auto"/>
                <w:szCs w:val="21"/>
                <w:highlight w:val="none"/>
              </w:rPr>
            </w:pPr>
          </w:p>
        </w:tc>
        <w:tc>
          <w:tcPr>
            <w:tcW w:w="5030" w:type="dxa"/>
            <w:tcBorders>
              <w:top w:val="nil"/>
              <w:left w:val="single" w:color="auto" w:sz="4" w:space="0"/>
              <w:bottom w:val="single" w:color="auto" w:sz="4" w:space="0"/>
              <w:right w:val="single" w:color="auto" w:sz="4" w:space="0"/>
            </w:tcBorders>
            <w:vAlign w:val="center"/>
          </w:tcPr>
          <w:p w14:paraId="2B8DCB06">
            <w:pPr>
              <w:rPr>
                <w:rFonts w:ascii="宋体" w:hAnsi="宋体" w:cs="宋体"/>
                <w:color w:val="auto"/>
                <w:szCs w:val="21"/>
                <w:highlight w:val="none"/>
              </w:rPr>
            </w:pPr>
          </w:p>
        </w:tc>
        <w:tc>
          <w:tcPr>
            <w:tcW w:w="2068" w:type="dxa"/>
            <w:tcBorders>
              <w:top w:val="nil"/>
              <w:left w:val="nil"/>
              <w:bottom w:val="single" w:color="auto" w:sz="4" w:space="0"/>
              <w:right w:val="single" w:color="auto" w:sz="4" w:space="0"/>
            </w:tcBorders>
            <w:vAlign w:val="center"/>
          </w:tcPr>
          <w:p w14:paraId="79B26A43">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nil"/>
              <w:left w:val="nil"/>
              <w:bottom w:val="single" w:color="auto" w:sz="4" w:space="0"/>
              <w:right w:val="single" w:color="auto" w:sz="4" w:space="0"/>
            </w:tcBorders>
            <w:vAlign w:val="center"/>
          </w:tcPr>
          <w:p w14:paraId="4CA37850">
            <w:pPr>
              <w:jc w:val="center"/>
              <w:rPr>
                <w:rFonts w:ascii="宋体" w:hAnsi="宋体" w:cs="宋体"/>
                <w:color w:val="auto"/>
                <w:szCs w:val="21"/>
                <w:highlight w:val="none"/>
              </w:rPr>
            </w:pPr>
          </w:p>
        </w:tc>
      </w:tr>
      <w:tr w14:paraId="4AB74B06">
        <w:tblPrEx>
          <w:tblCellMar>
            <w:top w:w="0" w:type="dxa"/>
            <w:left w:w="108" w:type="dxa"/>
            <w:bottom w:w="0" w:type="dxa"/>
            <w:right w:w="108" w:type="dxa"/>
          </w:tblCellMar>
        </w:tblPrEx>
        <w:trPr>
          <w:trHeight w:val="621"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0574B668">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69866575">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63EF23C0">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683B6C51">
            <w:pPr>
              <w:jc w:val="center"/>
              <w:rPr>
                <w:rFonts w:ascii="宋体" w:hAnsi="宋体" w:cs="宋体"/>
                <w:color w:val="auto"/>
                <w:szCs w:val="21"/>
                <w:highlight w:val="none"/>
              </w:rPr>
            </w:pPr>
          </w:p>
        </w:tc>
      </w:tr>
      <w:tr w14:paraId="2A7AAD91">
        <w:tblPrEx>
          <w:tblCellMar>
            <w:top w:w="0" w:type="dxa"/>
            <w:left w:w="108" w:type="dxa"/>
            <w:bottom w:w="0" w:type="dxa"/>
            <w:right w:w="108" w:type="dxa"/>
          </w:tblCellMar>
        </w:tblPrEx>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74C5F8B9">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69E3BF59">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6130BA22">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25618D69">
            <w:pPr>
              <w:jc w:val="center"/>
              <w:rPr>
                <w:rFonts w:ascii="宋体" w:hAnsi="宋体" w:cs="宋体"/>
                <w:color w:val="auto"/>
                <w:szCs w:val="21"/>
                <w:highlight w:val="none"/>
              </w:rPr>
            </w:pPr>
          </w:p>
        </w:tc>
      </w:tr>
      <w:tr w14:paraId="6A2E1407">
        <w:tblPrEx>
          <w:tblCellMar>
            <w:top w:w="0" w:type="dxa"/>
            <w:left w:w="108" w:type="dxa"/>
            <w:bottom w:w="0" w:type="dxa"/>
            <w:right w:w="108" w:type="dxa"/>
          </w:tblCellMar>
        </w:tblPrEx>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3F6164E6">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1668A180">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47086C17">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292777DD">
            <w:pPr>
              <w:jc w:val="center"/>
              <w:rPr>
                <w:rFonts w:ascii="宋体" w:hAnsi="宋体" w:cs="宋体"/>
                <w:color w:val="auto"/>
                <w:szCs w:val="21"/>
                <w:highlight w:val="none"/>
              </w:rPr>
            </w:pPr>
          </w:p>
        </w:tc>
      </w:tr>
      <w:tr w14:paraId="19A65376">
        <w:tblPrEx>
          <w:tblCellMar>
            <w:top w:w="0" w:type="dxa"/>
            <w:left w:w="108" w:type="dxa"/>
            <w:bottom w:w="0" w:type="dxa"/>
            <w:right w:w="108" w:type="dxa"/>
          </w:tblCellMar>
        </w:tblPrEx>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04C339F9">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5093A85F">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4BAF3714">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1BE0C9B1">
            <w:pPr>
              <w:jc w:val="center"/>
              <w:rPr>
                <w:rFonts w:ascii="宋体" w:hAnsi="宋体" w:cs="宋体"/>
                <w:color w:val="auto"/>
                <w:szCs w:val="21"/>
                <w:highlight w:val="none"/>
              </w:rPr>
            </w:pPr>
          </w:p>
        </w:tc>
      </w:tr>
      <w:tr w14:paraId="72E05969">
        <w:tblPrEx>
          <w:tblCellMar>
            <w:top w:w="0" w:type="dxa"/>
            <w:left w:w="108" w:type="dxa"/>
            <w:bottom w:w="0" w:type="dxa"/>
            <w:right w:w="108" w:type="dxa"/>
          </w:tblCellMar>
        </w:tblPrEx>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1CDC8646">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5317EBF1">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57C36573">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7E17D201">
            <w:pPr>
              <w:jc w:val="center"/>
              <w:rPr>
                <w:rFonts w:ascii="宋体" w:hAnsi="宋体" w:cs="宋体"/>
                <w:color w:val="auto"/>
                <w:szCs w:val="21"/>
                <w:highlight w:val="none"/>
              </w:rPr>
            </w:pPr>
          </w:p>
        </w:tc>
      </w:tr>
      <w:tr w14:paraId="0A81A3D7">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23D30476">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715EEB52">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61769B6D">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1E35A181">
            <w:pPr>
              <w:jc w:val="center"/>
              <w:rPr>
                <w:rFonts w:ascii="宋体" w:hAnsi="宋体" w:cs="宋体"/>
                <w:color w:val="auto"/>
                <w:szCs w:val="21"/>
                <w:highlight w:val="none"/>
              </w:rPr>
            </w:pPr>
          </w:p>
        </w:tc>
      </w:tr>
      <w:tr w14:paraId="07E6A99F">
        <w:tblPrEx>
          <w:tblCellMar>
            <w:top w:w="0" w:type="dxa"/>
            <w:left w:w="108" w:type="dxa"/>
            <w:bottom w:w="0" w:type="dxa"/>
            <w:right w:w="108" w:type="dxa"/>
          </w:tblCellMar>
        </w:tblPrEx>
        <w:trPr>
          <w:trHeight w:val="62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2A7717A5">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35D2D2AF">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73E950D3">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58CE92E8">
            <w:pPr>
              <w:jc w:val="center"/>
              <w:rPr>
                <w:rFonts w:ascii="宋体" w:hAnsi="宋体" w:cs="宋体"/>
                <w:color w:val="auto"/>
                <w:szCs w:val="21"/>
                <w:highlight w:val="none"/>
              </w:rPr>
            </w:pPr>
          </w:p>
        </w:tc>
      </w:tr>
      <w:tr w14:paraId="5D6B97E8">
        <w:tblPrEx>
          <w:tblCellMar>
            <w:top w:w="0" w:type="dxa"/>
            <w:left w:w="108" w:type="dxa"/>
            <w:bottom w:w="0" w:type="dxa"/>
            <w:right w:w="108" w:type="dxa"/>
          </w:tblCellMar>
        </w:tblPrEx>
        <w:trPr>
          <w:trHeight w:val="776"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3705FC59">
            <w:pPr>
              <w:rPr>
                <w:rFonts w:ascii="宋体" w:hAnsi="宋体" w:cs="宋体"/>
                <w:color w:val="auto"/>
                <w:szCs w:val="21"/>
                <w:highlight w:val="none"/>
              </w:rPr>
            </w:pPr>
          </w:p>
        </w:tc>
        <w:tc>
          <w:tcPr>
            <w:tcW w:w="5030" w:type="dxa"/>
            <w:tcBorders>
              <w:top w:val="single" w:color="auto" w:sz="4" w:space="0"/>
              <w:left w:val="single" w:color="auto" w:sz="4" w:space="0"/>
              <w:bottom w:val="single" w:color="auto" w:sz="4" w:space="0"/>
              <w:right w:val="single" w:color="auto" w:sz="4" w:space="0"/>
            </w:tcBorders>
            <w:vAlign w:val="center"/>
          </w:tcPr>
          <w:p w14:paraId="7BAEB606">
            <w:pPr>
              <w:rPr>
                <w:rFonts w:ascii="宋体" w:hAnsi="宋体" w:cs="宋体"/>
                <w:color w:val="auto"/>
                <w:szCs w:val="21"/>
                <w:highlight w:val="none"/>
              </w:rPr>
            </w:pPr>
          </w:p>
        </w:tc>
        <w:tc>
          <w:tcPr>
            <w:tcW w:w="2068" w:type="dxa"/>
            <w:tcBorders>
              <w:top w:val="single" w:color="auto" w:sz="4" w:space="0"/>
              <w:left w:val="nil"/>
              <w:bottom w:val="single" w:color="auto" w:sz="4" w:space="0"/>
              <w:right w:val="single" w:color="auto" w:sz="4" w:space="0"/>
            </w:tcBorders>
            <w:vAlign w:val="center"/>
          </w:tcPr>
          <w:p w14:paraId="788A0042">
            <w:pPr>
              <w:jc w:val="center"/>
              <w:rPr>
                <w:rFonts w:ascii="宋体" w:hAnsi="宋体" w:cs="宋体"/>
                <w:color w:val="auto"/>
                <w:szCs w:val="21"/>
                <w:highlight w:val="none"/>
              </w:rPr>
            </w:pPr>
            <w:r>
              <w:rPr>
                <w:rFonts w:hint="eastAsia" w:ascii="宋体" w:hAnsi="宋体" w:cs="宋体"/>
                <w:color w:val="auto"/>
                <w:szCs w:val="21"/>
                <w:highlight w:val="none"/>
              </w:rPr>
              <w:t>见（  ）页</w:t>
            </w:r>
          </w:p>
        </w:tc>
        <w:tc>
          <w:tcPr>
            <w:tcW w:w="1249" w:type="dxa"/>
            <w:tcBorders>
              <w:top w:val="single" w:color="auto" w:sz="4" w:space="0"/>
              <w:left w:val="nil"/>
              <w:bottom w:val="single" w:color="auto" w:sz="4" w:space="0"/>
              <w:right w:val="single" w:color="auto" w:sz="4" w:space="0"/>
            </w:tcBorders>
            <w:vAlign w:val="center"/>
          </w:tcPr>
          <w:p w14:paraId="6138DC62">
            <w:pPr>
              <w:jc w:val="center"/>
              <w:rPr>
                <w:rFonts w:ascii="宋体" w:hAnsi="宋体" w:cs="宋体"/>
                <w:color w:val="auto"/>
                <w:szCs w:val="21"/>
                <w:highlight w:val="none"/>
              </w:rPr>
            </w:pPr>
          </w:p>
        </w:tc>
      </w:tr>
    </w:tbl>
    <w:p w14:paraId="03AF863D">
      <w:pPr>
        <w:rPr>
          <w:rFonts w:ascii="宋体" w:hAnsi="宋体" w:cs="宋体"/>
          <w:b/>
          <w:color w:val="auto"/>
          <w:szCs w:val="21"/>
          <w:highlight w:val="none"/>
        </w:rPr>
      </w:pPr>
      <w:r>
        <w:rPr>
          <w:rFonts w:hint="eastAsia" w:ascii="宋体" w:hAnsi="宋体" w:cs="宋体"/>
          <w:b/>
          <w:color w:val="auto"/>
          <w:szCs w:val="21"/>
          <w:highlight w:val="none"/>
        </w:rPr>
        <w:t>根据评分标准逐条填写。</w:t>
      </w:r>
    </w:p>
    <w:p w14:paraId="7FBD754C">
      <w:pPr>
        <w:rPr>
          <w:rFonts w:ascii="宋体" w:hAnsi="宋体" w:cs="宋体"/>
          <w:color w:val="auto"/>
          <w:szCs w:val="21"/>
          <w:highlight w:val="none"/>
        </w:rPr>
      </w:pPr>
    </w:p>
    <w:p w14:paraId="2249EC15">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08F2A4B2">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5FA4E394">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53BB9755">
      <w:pPr>
        <w:pStyle w:val="18"/>
        <w:spacing w:line="360" w:lineRule="auto"/>
        <w:ind w:firstLine="0"/>
        <w:jc w:val="center"/>
        <w:outlineLvl w:val="2"/>
        <w:rPr>
          <w:rFonts w:hAnsi="宋体" w:cs="宋体"/>
          <w:b/>
          <w:bCs/>
          <w:color w:val="auto"/>
          <w:sz w:val="32"/>
          <w:szCs w:val="32"/>
          <w:highlight w:val="none"/>
        </w:rPr>
      </w:pPr>
      <w:r>
        <w:rPr>
          <w:rFonts w:hint="eastAsia" w:hAnsi="宋体" w:cs="宋体"/>
          <w:b/>
          <w:color w:val="auto"/>
          <w:sz w:val="32"/>
          <w:szCs w:val="32"/>
          <w:highlight w:val="none"/>
        </w:rPr>
        <w:br w:type="page"/>
      </w:r>
      <w:bookmarkStart w:id="457" w:name="_Toc25333"/>
      <w:bookmarkStart w:id="458" w:name="_Toc14318"/>
      <w:bookmarkStart w:id="459" w:name="_Toc1302"/>
      <w:bookmarkStart w:id="460" w:name="_Toc13393"/>
      <w:r>
        <w:rPr>
          <w:rStyle w:val="90"/>
          <w:rFonts w:hint="eastAsia" w:ascii="宋体" w:hAnsi="宋体" w:cs="宋体"/>
          <w:color w:val="auto"/>
          <w:szCs w:val="28"/>
          <w:highlight w:val="none"/>
        </w:rPr>
        <w:t>商务条款偏离表</w:t>
      </w:r>
      <w:bookmarkEnd w:id="457"/>
      <w:bookmarkEnd w:id="458"/>
      <w:bookmarkEnd w:id="459"/>
      <w:bookmarkEnd w:id="460"/>
    </w:p>
    <w:p w14:paraId="5EA9674D">
      <w:pPr>
        <w:snapToGrid w:val="0"/>
        <w:rPr>
          <w:rFonts w:ascii="宋体" w:hAnsi="宋体" w:cs="宋体"/>
          <w:color w:val="auto"/>
          <w:szCs w:val="21"/>
          <w:highlight w:val="none"/>
          <w:u w:val="single"/>
        </w:rPr>
      </w:pPr>
      <w:r>
        <w:rPr>
          <w:rFonts w:hint="eastAsia" w:ascii="宋体" w:hAnsi="宋体" w:cs="宋体"/>
          <w:color w:val="auto"/>
          <w:szCs w:val="21"/>
          <w:highlight w:val="none"/>
        </w:rPr>
        <w:t xml:space="preserve">项目名称/标项号：                      </w:t>
      </w:r>
    </w:p>
    <w:tbl>
      <w:tblPr>
        <w:tblStyle w:val="4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152"/>
        <w:gridCol w:w="2448"/>
        <w:gridCol w:w="1872"/>
      </w:tblGrid>
      <w:tr w14:paraId="2347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6" w:type="dxa"/>
            <w:vAlign w:val="center"/>
          </w:tcPr>
          <w:p w14:paraId="23ECE37E">
            <w:pPr>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4152" w:type="dxa"/>
            <w:vAlign w:val="center"/>
          </w:tcPr>
          <w:p w14:paraId="51E02F8A">
            <w:pPr>
              <w:jc w:val="center"/>
              <w:rPr>
                <w:rFonts w:ascii="宋体" w:hAnsi="宋体" w:cs="宋体"/>
                <w:color w:val="auto"/>
                <w:szCs w:val="21"/>
                <w:highlight w:val="none"/>
              </w:rPr>
            </w:pPr>
            <w:r>
              <w:rPr>
                <w:rFonts w:hint="eastAsia" w:ascii="宋体" w:hAnsi="宋体" w:cs="宋体"/>
                <w:color w:val="auto"/>
                <w:szCs w:val="21"/>
                <w:highlight w:val="none"/>
              </w:rPr>
              <w:t>采购文件的商务条款</w:t>
            </w:r>
          </w:p>
        </w:tc>
        <w:tc>
          <w:tcPr>
            <w:tcW w:w="2448" w:type="dxa"/>
            <w:vAlign w:val="center"/>
          </w:tcPr>
          <w:p w14:paraId="208CA803">
            <w:pPr>
              <w:jc w:val="center"/>
              <w:rPr>
                <w:rFonts w:ascii="宋体" w:hAnsi="宋体" w:cs="宋体"/>
                <w:color w:val="auto"/>
                <w:szCs w:val="21"/>
                <w:highlight w:val="none"/>
              </w:rPr>
            </w:pPr>
            <w:r>
              <w:rPr>
                <w:rFonts w:hint="eastAsia" w:ascii="宋体" w:hAnsi="宋体" w:cs="宋体"/>
                <w:color w:val="auto"/>
                <w:szCs w:val="21"/>
                <w:highlight w:val="none"/>
              </w:rPr>
              <w:t>投标文件的响应情况</w:t>
            </w:r>
          </w:p>
        </w:tc>
        <w:tc>
          <w:tcPr>
            <w:tcW w:w="1872" w:type="dxa"/>
            <w:vAlign w:val="center"/>
          </w:tcPr>
          <w:p w14:paraId="4F163DA0">
            <w:pPr>
              <w:jc w:val="center"/>
              <w:rPr>
                <w:rFonts w:ascii="宋体" w:hAnsi="宋体" w:cs="宋体"/>
                <w:color w:val="auto"/>
                <w:szCs w:val="21"/>
                <w:highlight w:val="none"/>
              </w:rPr>
            </w:pPr>
            <w:r>
              <w:rPr>
                <w:rFonts w:hint="eastAsia" w:ascii="宋体" w:hAnsi="宋体" w:cs="宋体"/>
                <w:color w:val="auto"/>
                <w:szCs w:val="21"/>
                <w:highlight w:val="none"/>
              </w:rPr>
              <w:t>说明（偏离/响应）</w:t>
            </w:r>
          </w:p>
        </w:tc>
      </w:tr>
      <w:tr w14:paraId="39BC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77184DBE">
            <w:pPr>
              <w:spacing w:line="360" w:lineRule="auto"/>
              <w:jc w:val="center"/>
              <w:rPr>
                <w:rFonts w:ascii="宋体" w:hAnsi="宋体" w:cs="宋体"/>
                <w:color w:val="auto"/>
                <w:szCs w:val="21"/>
                <w:highlight w:val="none"/>
              </w:rPr>
            </w:pPr>
          </w:p>
        </w:tc>
        <w:tc>
          <w:tcPr>
            <w:tcW w:w="4152" w:type="dxa"/>
            <w:vAlign w:val="center"/>
          </w:tcPr>
          <w:p w14:paraId="7A6B652F">
            <w:pPr>
              <w:spacing w:line="360" w:lineRule="auto"/>
              <w:rPr>
                <w:rFonts w:ascii="宋体" w:hAnsi="宋体" w:cs="宋体"/>
                <w:b/>
                <w:bCs/>
                <w:color w:val="auto"/>
                <w:szCs w:val="21"/>
                <w:highlight w:val="none"/>
              </w:rPr>
            </w:pPr>
          </w:p>
        </w:tc>
        <w:tc>
          <w:tcPr>
            <w:tcW w:w="2448" w:type="dxa"/>
            <w:vAlign w:val="center"/>
          </w:tcPr>
          <w:p w14:paraId="0515C353">
            <w:pPr>
              <w:spacing w:line="360" w:lineRule="auto"/>
              <w:jc w:val="center"/>
              <w:rPr>
                <w:rFonts w:ascii="宋体" w:hAnsi="宋体" w:cs="宋体"/>
                <w:color w:val="auto"/>
                <w:szCs w:val="21"/>
                <w:highlight w:val="none"/>
              </w:rPr>
            </w:pPr>
          </w:p>
        </w:tc>
        <w:tc>
          <w:tcPr>
            <w:tcW w:w="1872" w:type="dxa"/>
            <w:vAlign w:val="center"/>
          </w:tcPr>
          <w:p w14:paraId="2EF2F562">
            <w:pPr>
              <w:spacing w:line="360" w:lineRule="auto"/>
              <w:jc w:val="center"/>
              <w:rPr>
                <w:rFonts w:ascii="宋体" w:hAnsi="宋体" w:cs="宋体"/>
                <w:color w:val="auto"/>
                <w:szCs w:val="21"/>
                <w:highlight w:val="none"/>
              </w:rPr>
            </w:pPr>
          </w:p>
        </w:tc>
      </w:tr>
      <w:tr w14:paraId="0728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11823DF1">
            <w:pPr>
              <w:spacing w:line="360" w:lineRule="auto"/>
              <w:jc w:val="center"/>
              <w:rPr>
                <w:rFonts w:ascii="宋体" w:hAnsi="宋体" w:cs="宋体"/>
                <w:color w:val="auto"/>
                <w:szCs w:val="21"/>
                <w:highlight w:val="none"/>
              </w:rPr>
            </w:pPr>
          </w:p>
        </w:tc>
        <w:tc>
          <w:tcPr>
            <w:tcW w:w="4152" w:type="dxa"/>
            <w:vAlign w:val="center"/>
          </w:tcPr>
          <w:p w14:paraId="4C8EFA8D">
            <w:pPr>
              <w:spacing w:line="360" w:lineRule="auto"/>
              <w:rPr>
                <w:rFonts w:ascii="宋体" w:hAnsi="宋体" w:cs="宋体"/>
                <w:b/>
                <w:bCs/>
                <w:color w:val="auto"/>
                <w:szCs w:val="21"/>
                <w:highlight w:val="none"/>
              </w:rPr>
            </w:pPr>
          </w:p>
        </w:tc>
        <w:tc>
          <w:tcPr>
            <w:tcW w:w="2448" w:type="dxa"/>
            <w:vAlign w:val="center"/>
          </w:tcPr>
          <w:p w14:paraId="242ECF50">
            <w:pPr>
              <w:spacing w:line="360" w:lineRule="auto"/>
              <w:jc w:val="center"/>
              <w:rPr>
                <w:rFonts w:ascii="宋体" w:hAnsi="宋体" w:cs="宋体"/>
                <w:color w:val="auto"/>
                <w:szCs w:val="21"/>
                <w:highlight w:val="none"/>
              </w:rPr>
            </w:pPr>
          </w:p>
        </w:tc>
        <w:tc>
          <w:tcPr>
            <w:tcW w:w="1872" w:type="dxa"/>
            <w:vAlign w:val="center"/>
          </w:tcPr>
          <w:p w14:paraId="32D3EC9B">
            <w:pPr>
              <w:spacing w:line="360" w:lineRule="auto"/>
              <w:jc w:val="center"/>
              <w:rPr>
                <w:rFonts w:ascii="宋体" w:hAnsi="宋体" w:cs="宋体"/>
                <w:color w:val="auto"/>
                <w:szCs w:val="21"/>
                <w:highlight w:val="none"/>
              </w:rPr>
            </w:pPr>
          </w:p>
        </w:tc>
      </w:tr>
      <w:tr w14:paraId="26E5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426D22FF">
            <w:pPr>
              <w:spacing w:line="360" w:lineRule="auto"/>
              <w:jc w:val="center"/>
              <w:rPr>
                <w:rFonts w:ascii="宋体" w:hAnsi="宋体" w:cs="宋体"/>
                <w:color w:val="auto"/>
                <w:szCs w:val="21"/>
                <w:highlight w:val="none"/>
              </w:rPr>
            </w:pPr>
          </w:p>
        </w:tc>
        <w:tc>
          <w:tcPr>
            <w:tcW w:w="4152" w:type="dxa"/>
            <w:vAlign w:val="center"/>
          </w:tcPr>
          <w:p w14:paraId="6FE465D4">
            <w:pPr>
              <w:spacing w:line="360" w:lineRule="auto"/>
              <w:rPr>
                <w:rFonts w:ascii="宋体" w:hAnsi="宋体" w:cs="宋体"/>
                <w:b/>
                <w:bCs/>
                <w:color w:val="auto"/>
                <w:szCs w:val="21"/>
                <w:highlight w:val="none"/>
              </w:rPr>
            </w:pPr>
          </w:p>
        </w:tc>
        <w:tc>
          <w:tcPr>
            <w:tcW w:w="2448" w:type="dxa"/>
            <w:vAlign w:val="center"/>
          </w:tcPr>
          <w:p w14:paraId="28236403">
            <w:pPr>
              <w:spacing w:line="360" w:lineRule="auto"/>
              <w:jc w:val="center"/>
              <w:rPr>
                <w:rFonts w:ascii="宋体" w:hAnsi="宋体" w:cs="宋体"/>
                <w:color w:val="auto"/>
                <w:szCs w:val="21"/>
                <w:highlight w:val="none"/>
              </w:rPr>
            </w:pPr>
          </w:p>
        </w:tc>
        <w:tc>
          <w:tcPr>
            <w:tcW w:w="1872" w:type="dxa"/>
            <w:vAlign w:val="center"/>
          </w:tcPr>
          <w:p w14:paraId="70C09370">
            <w:pPr>
              <w:spacing w:line="360" w:lineRule="auto"/>
              <w:jc w:val="center"/>
              <w:rPr>
                <w:rFonts w:ascii="宋体" w:hAnsi="宋体" w:cs="宋体"/>
                <w:color w:val="auto"/>
                <w:szCs w:val="21"/>
                <w:highlight w:val="none"/>
              </w:rPr>
            </w:pPr>
          </w:p>
        </w:tc>
      </w:tr>
      <w:tr w14:paraId="77B4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41F22992">
            <w:pPr>
              <w:spacing w:line="360" w:lineRule="auto"/>
              <w:jc w:val="center"/>
              <w:rPr>
                <w:rFonts w:ascii="宋体" w:hAnsi="宋体" w:cs="宋体"/>
                <w:color w:val="auto"/>
                <w:szCs w:val="21"/>
                <w:highlight w:val="none"/>
              </w:rPr>
            </w:pPr>
          </w:p>
        </w:tc>
        <w:tc>
          <w:tcPr>
            <w:tcW w:w="4152" w:type="dxa"/>
            <w:vAlign w:val="center"/>
          </w:tcPr>
          <w:p w14:paraId="0231AB7F">
            <w:pPr>
              <w:spacing w:line="360" w:lineRule="auto"/>
              <w:rPr>
                <w:rFonts w:ascii="宋体" w:hAnsi="宋体" w:cs="宋体"/>
                <w:b/>
                <w:bCs/>
                <w:color w:val="auto"/>
                <w:szCs w:val="21"/>
                <w:highlight w:val="none"/>
              </w:rPr>
            </w:pPr>
          </w:p>
        </w:tc>
        <w:tc>
          <w:tcPr>
            <w:tcW w:w="2448" w:type="dxa"/>
            <w:vAlign w:val="center"/>
          </w:tcPr>
          <w:p w14:paraId="468CD85D">
            <w:pPr>
              <w:spacing w:line="360" w:lineRule="auto"/>
              <w:jc w:val="center"/>
              <w:rPr>
                <w:rFonts w:ascii="宋体" w:hAnsi="宋体" w:cs="宋体"/>
                <w:color w:val="auto"/>
                <w:szCs w:val="21"/>
                <w:highlight w:val="none"/>
              </w:rPr>
            </w:pPr>
          </w:p>
        </w:tc>
        <w:tc>
          <w:tcPr>
            <w:tcW w:w="1872" w:type="dxa"/>
            <w:vAlign w:val="center"/>
          </w:tcPr>
          <w:p w14:paraId="24554E97">
            <w:pPr>
              <w:spacing w:line="360" w:lineRule="auto"/>
              <w:jc w:val="center"/>
              <w:rPr>
                <w:rFonts w:ascii="宋体" w:hAnsi="宋体" w:cs="宋体"/>
                <w:color w:val="auto"/>
                <w:szCs w:val="21"/>
                <w:highlight w:val="none"/>
              </w:rPr>
            </w:pPr>
          </w:p>
        </w:tc>
      </w:tr>
      <w:tr w14:paraId="06D3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6DA03AE1">
            <w:pPr>
              <w:spacing w:line="360" w:lineRule="auto"/>
              <w:jc w:val="center"/>
              <w:rPr>
                <w:rFonts w:ascii="宋体" w:hAnsi="宋体" w:cs="宋体"/>
                <w:color w:val="auto"/>
                <w:szCs w:val="21"/>
                <w:highlight w:val="none"/>
              </w:rPr>
            </w:pPr>
          </w:p>
        </w:tc>
        <w:tc>
          <w:tcPr>
            <w:tcW w:w="4152" w:type="dxa"/>
            <w:vAlign w:val="center"/>
          </w:tcPr>
          <w:p w14:paraId="36FFB350">
            <w:pPr>
              <w:spacing w:line="360" w:lineRule="auto"/>
              <w:rPr>
                <w:rFonts w:ascii="宋体" w:hAnsi="宋体" w:cs="宋体"/>
                <w:color w:val="auto"/>
                <w:szCs w:val="21"/>
                <w:highlight w:val="none"/>
              </w:rPr>
            </w:pPr>
          </w:p>
        </w:tc>
        <w:tc>
          <w:tcPr>
            <w:tcW w:w="2448" w:type="dxa"/>
            <w:vAlign w:val="center"/>
          </w:tcPr>
          <w:p w14:paraId="0A8EDB5C">
            <w:pPr>
              <w:spacing w:line="360" w:lineRule="auto"/>
              <w:jc w:val="center"/>
              <w:rPr>
                <w:rFonts w:ascii="宋体" w:hAnsi="宋体" w:cs="宋体"/>
                <w:color w:val="auto"/>
                <w:szCs w:val="21"/>
                <w:highlight w:val="none"/>
              </w:rPr>
            </w:pPr>
          </w:p>
        </w:tc>
        <w:tc>
          <w:tcPr>
            <w:tcW w:w="1872" w:type="dxa"/>
            <w:vAlign w:val="center"/>
          </w:tcPr>
          <w:p w14:paraId="2581FCFD">
            <w:pPr>
              <w:spacing w:line="360" w:lineRule="auto"/>
              <w:jc w:val="center"/>
              <w:rPr>
                <w:rFonts w:ascii="宋体" w:hAnsi="宋体" w:cs="宋体"/>
                <w:color w:val="auto"/>
                <w:szCs w:val="21"/>
                <w:highlight w:val="none"/>
              </w:rPr>
            </w:pPr>
          </w:p>
        </w:tc>
      </w:tr>
      <w:tr w14:paraId="36D4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71966237">
            <w:pPr>
              <w:spacing w:line="360" w:lineRule="auto"/>
              <w:jc w:val="center"/>
              <w:rPr>
                <w:rFonts w:ascii="宋体" w:hAnsi="宋体" w:cs="宋体"/>
                <w:color w:val="auto"/>
                <w:szCs w:val="21"/>
                <w:highlight w:val="none"/>
              </w:rPr>
            </w:pPr>
          </w:p>
        </w:tc>
        <w:tc>
          <w:tcPr>
            <w:tcW w:w="4152" w:type="dxa"/>
            <w:vAlign w:val="center"/>
          </w:tcPr>
          <w:p w14:paraId="3142CEBE">
            <w:pPr>
              <w:spacing w:line="360" w:lineRule="auto"/>
              <w:rPr>
                <w:rFonts w:ascii="宋体" w:hAnsi="宋体" w:cs="宋体"/>
                <w:color w:val="auto"/>
                <w:szCs w:val="21"/>
                <w:highlight w:val="none"/>
              </w:rPr>
            </w:pPr>
          </w:p>
        </w:tc>
        <w:tc>
          <w:tcPr>
            <w:tcW w:w="2448" w:type="dxa"/>
            <w:vAlign w:val="center"/>
          </w:tcPr>
          <w:p w14:paraId="6B02251D">
            <w:pPr>
              <w:spacing w:line="360" w:lineRule="auto"/>
              <w:jc w:val="center"/>
              <w:rPr>
                <w:rFonts w:ascii="宋体" w:hAnsi="宋体" w:cs="宋体"/>
                <w:color w:val="auto"/>
                <w:szCs w:val="21"/>
                <w:highlight w:val="none"/>
              </w:rPr>
            </w:pPr>
          </w:p>
        </w:tc>
        <w:tc>
          <w:tcPr>
            <w:tcW w:w="1872" w:type="dxa"/>
            <w:vAlign w:val="center"/>
          </w:tcPr>
          <w:p w14:paraId="4C56BE6C">
            <w:pPr>
              <w:spacing w:line="360" w:lineRule="auto"/>
              <w:jc w:val="center"/>
              <w:rPr>
                <w:rFonts w:ascii="宋体" w:hAnsi="宋体" w:cs="宋体"/>
                <w:color w:val="auto"/>
                <w:szCs w:val="21"/>
                <w:highlight w:val="none"/>
              </w:rPr>
            </w:pPr>
          </w:p>
        </w:tc>
      </w:tr>
      <w:tr w14:paraId="799C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026405C8">
            <w:pPr>
              <w:spacing w:line="360" w:lineRule="auto"/>
              <w:jc w:val="center"/>
              <w:rPr>
                <w:rFonts w:ascii="宋体" w:hAnsi="宋体" w:cs="宋体"/>
                <w:color w:val="auto"/>
                <w:szCs w:val="21"/>
                <w:highlight w:val="none"/>
              </w:rPr>
            </w:pPr>
          </w:p>
        </w:tc>
        <w:tc>
          <w:tcPr>
            <w:tcW w:w="4152" w:type="dxa"/>
            <w:vAlign w:val="center"/>
          </w:tcPr>
          <w:p w14:paraId="523E85AC">
            <w:pPr>
              <w:spacing w:line="360" w:lineRule="auto"/>
              <w:rPr>
                <w:rFonts w:ascii="宋体" w:hAnsi="宋体" w:cs="宋体"/>
                <w:color w:val="auto"/>
                <w:szCs w:val="21"/>
                <w:highlight w:val="none"/>
              </w:rPr>
            </w:pPr>
          </w:p>
        </w:tc>
        <w:tc>
          <w:tcPr>
            <w:tcW w:w="2448" w:type="dxa"/>
            <w:vAlign w:val="center"/>
          </w:tcPr>
          <w:p w14:paraId="439B0448">
            <w:pPr>
              <w:spacing w:line="360" w:lineRule="auto"/>
              <w:jc w:val="center"/>
              <w:rPr>
                <w:rFonts w:ascii="宋体" w:hAnsi="宋体" w:cs="宋体"/>
                <w:color w:val="auto"/>
                <w:szCs w:val="21"/>
                <w:highlight w:val="none"/>
              </w:rPr>
            </w:pPr>
          </w:p>
        </w:tc>
        <w:tc>
          <w:tcPr>
            <w:tcW w:w="1872" w:type="dxa"/>
            <w:vAlign w:val="center"/>
          </w:tcPr>
          <w:p w14:paraId="2D00251C">
            <w:pPr>
              <w:spacing w:line="360" w:lineRule="auto"/>
              <w:jc w:val="center"/>
              <w:rPr>
                <w:rFonts w:ascii="宋体" w:hAnsi="宋体" w:cs="宋体"/>
                <w:color w:val="auto"/>
                <w:szCs w:val="21"/>
                <w:highlight w:val="none"/>
              </w:rPr>
            </w:pPr>
          </w:p>
        </w:tc>
      </w:tr>
      <w:tr w14:paraId="74B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010209F5">
            <w:pPr>
              <w:spacing w:line="360" w:lineRule="auto"/>
              <w:jc w:val="center"/>
              <w:rPr>
                <w:rFonts w:ascii="宋体" w:hAnsi="宋体" w:cs="宋体"/>
                <w:color w:val="auto"/>
                <w:szCs w:val="21"/>
                <w:highlight w:val="none"/>
              </w:rPr>
            </w:pPr>
          </w:p>
        </w:tc>
        <w:tc>
          <w:tcPr>
            <w:tcW w:w="4152" w:type="dxa"/>
            <w:vAlign w:val="center"/>
          </w:tcPr>
          <w:p w14:paraId="4644BF11">
            <w:pPr>
              <w:spacing w:line="360" w:lineRule="auto"/>
              <w:rPr>
                <w:rFonts w:ascii="宋体" w:hAnsi="宋体" w:cs="宋体"/>
                <w:color w:val="auto"/>
                <w:szCs w:val="21"/>
                <w:highlight w:val="none"/>
              </w:rPr>
            </w:pPr>
          </w:p>
        </w:tc>
        <w:tc>
          <w:tcPr>
            <w:tcW w:w="2448" w:type="dxa"/>
            <w:vAlign w:val="center"/>
          </w:tcPr>
          <w:p w14:paraId="5662B875">
            <w:pPr>
              <w:spacing w:line="360" w:lineRule="auto"/>
              <w:jc w:val="center"/>
              <w:rPr>
                <w:rFonts w:ascii="宋体" w:hAnsi="宋体" w:cs="宋体"/>
                <w:color w:val="auto"/>
                <w:szCs w:val="21"/>
                <w:highlight w:val="none"/>
              </w:rPr>
            </w:pPr>
          </w:p>
        </w:tc>
        <w:tc>
          <w:tcPr>
            <w:tcW w:w="1872" w:type="dxa"/>
            <w:vAlign w:val="center"/>
          </w:tcPr>
          <w:p w14:paraId="244B382C">
            <w:pPr>
              <w:spacing w:line="360" w:lineRule="auto"/>
              <w:jc w:val="center"/>
              <w:rPr>
                <w:rFonts w:ascii="宋体" w:hAnsi="宋体" w:cs="宋体"/>
                <w:color w:val="auto"/>
                <w:szCs w:val="21"/>
                <w:highlight w:val="none"/>
              </w:rPr>
            </w:pPr>
          </w:p>
        </w:tc>
      </w:tr>
      <w:tr w14:paraId="54F1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20A65524">
            <w:pPr>
              <w:spacing w:line="360" w:lineRule="auto"/>
              <w:jc w:val="center"/>
              <w:rPr>
                <w:rFonts w:ascii="宋体" w:hAnsi="宋体" w:cs="宋体"/>
                <w:color w:val="auto"/>
                <w:szCs w:val="21"/>
                <w:highlight w:val="none"/>
              </w:rPr>
            </w:pPr>
          </w:p>
        </w:tc>
        <w:tc>
          <w:tcPr>
            <w:tcW w:w="4152" w:type="dxa"/>
            <w:vAlign w:val="center"/>
          </w:tcPr>
          <w:p w14:paraId="281D0971">
            <w:pPr>
              <w:spacing w:line="360" w:lineRule="auto"/>
              <w:rPr>
                <w:rFonts w:ascii="宋体" w:hAnsi="宋体" w:cs="宋体"/>
                <w:color w:val="auto"/>
                <w:szCs w:val="21"/>
                <w:highlight w:val="none"/>
              </w:rPr>
            </w:pPr>
          </w:p>
        </w:tc>
        <w:tc>
          <w:tcPr>
            <w:tcW w:w="2448" w:type="dxa"/>
            <w:vAlign w:val="center"/>
          </w:tcPr>
          <w:p w14:paraId="7CFFF2D6">
            <w:pPr>
              <w:spacing w:line="360" w:lineRule="auto"/>
              <w:jc w:val="center"/>
              <w:rPr>
                <w:rFonts w:ascii="宋体" w:hAnsi="宋体" w:cs="宋体"/>
                <w:color w:val="auto"/>
                <w:szCs w:val="21"/>
                <w:highlight w:val="none"/>
              </w:rPr>
            </w:pPr>
          </w:p>
        </w:tc>
        <w:tc>
          <w:tcPr>
            <w:tcW w:w="1872" w:type="dxa"/>
            <w:vAlign w:val="center"/>
          </w:tcPr>
          <w:p w14:paraId="02140431">
            <w:pPr>
              <w:spacing w:line="360" w:lineRule="auto"/>
              <w:jc w:val="center"/>
              <w:rPr>
                <w:rFonts w:ascii="宋体" w:hAnsi="宋体" w:cs="宋体"/>
                <w:color w:val="auto"/>
                <w:szCs w:val="21"/>
                <w:highlight w:val="none"/>
              </w:rPr>
            </w:pPr>
          </w:p>
        </w:tc>
      </w:tr>
      <w:tr w14:paraId="790A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4E5967BA">
            <w:pPr>
              <w:spacing w:line="360" w:lineRule="auto"/>
              <w:jc w:val="center"/>
              <w:rPr>
                <w:rFonts w:ascii="宋体" w:hAnsi="宋体" w:cs="宋体"/>
                <w:color w:val="auto"/>
                <w:szCs w:val="21"/>
                <w:highlight w:val="none"/>
              </w:rPr>
            </w:pPr>
          </w:p>
        </w:tc>
        <w:tc>
          <w:tcPr>
            <w:tcW w:w="4152" w:type="dxa"/>
            <w:vAlign w:val="center"/>
          </w:tcPr>
          <w:p w14:paraId="56ED2E86">
            <w:pPr>
              <w:spacing w:line="360" w:lineRule="auto"/>
              <w:rPr>
                <w:rFonts w:ascii="宋体" w:hAnsi="宋体" w:cs="宋体"/>
                <w:color w:val="auto"/>
                <w:szCs w:val="21"/>
                <w:highlight w:val="none"/>
              </w:rPr>
            </w:pPr>
          </w:p>
        </w:tc>
        <w:tc>
          <w:tcPr>
            <w:tcW w:w="2448" w:type="dxa"/>
            <w:vAlign w:val="center"/>
          </w:tcPr>
          <w:p w14:paraId="641EB05B">
            <w:pPr>
              <w:spacing w:line="360" w:lineRule="auto"/>
              <w:jc w:val="center"/>
              <w:rPr>
                <w:rFonts w:ascii="宋体" w:hAnsi="宋体" w:cs="宋体"/>
                <w:color w:val="auto"/>
                <w:szCs w:val="21"/>
                <w:highlight w:val="none"/>
              </w:rPr>
            </w:pPr>
          </w:p>
        </w:tc>
        <w:tc>
          <w:tcPr>
            <w:tcW w:w="1872" w:type="dxa"/>
            <w:vAlign w:val="center"/>
          </w:tcPr>
          <w:p w14:paraId="08607F8F">
            <w:pPr>
              <w:spacing w:line="360" w:lineRule="auto"/>
              <w:jc w:val="center"/>
              <w:rPr>
                <w:rFonts w:ascii="宋体" w:hAnsi="宋体" w:cs="宋体"/>
                <w:color w:val="auto"/>
                <w:szCs w:val="21"/>
                <w:highlight w:val="none"/>
              </w:rPr>
            </w:pPr>
          </w:p>
        </w:tc>
      </w:tr>
      <w:tr w14:paraId="6EFE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1A06DA3D">
            <w:pPr>
              <w:spacing w:line="360" w:lineRule="auto"/>
              <w:jc w:val="center"/>
              <w:rPr>
                <w:rFonts w:ascii="宋体" w:hAnsi="宋体" w:cs="宋体"/>
                <w:color w:val="auto"/>
                <w:szCs w:val="21"/>
                <w:highlight w:val="none"/>
              </w:rPr>
            </w:pPr>
          </w:p>
        </w:tc>
        <w:tc>
          <w:tcPr>
            <w:tcW w:w="4152" w:type="dxa"/>
            <w:vAlign w:val="center"/>
          </w:tcPr>
          <w:p w14:paraId="13EF0EBC">
            <w:pPr>
              <w:spacing w:line="360" w:lineRule="auto"/>
              <w:rPr>
                <w:rFonts w:ascii="宋体" w:hAnsi="宋体" w:cs="宋体"/>
                <w:color w:val="auto"/>
                <w:szCs w:val="21"/>
                <w:highlight w:val="none"/>
              </w:rPr>
            </w:pPr>
          </w:p>
        </w:tc>
        <w:tc>
          <w:tcPr>
            <w:tcW w:w="2448" w:type="dxa"/>
            <w:vAlign w:val="center"/>
          </w:tcPr>
          <w:p w14:paraId="5514FB17">
            <w:pPr>
              <w:spacing w:line="360" w:lineRule="auto"/>
              <w:jc w:val="center"/>
              <w:rPr>
                <w:rFonts w:ascii="宋体" w:hAnsi="宋体" w:cs="宋体"/>
                <w:color w:val="auto"/>
                <w:szCs w:val="21"/>
                <w:highlight w:val="none"/>
              </w:rPr>
            </w:pPr>
          </w:p>
        </w:tc>
        <w:tc>
          <w:tcPr>
            <w:tcW w:w="1872" w:type="dxa"/>
            <w:vAlign w:val="center"/>
          </w:tcPr>
          <w:p w14:paraId="20F1956C">
            <w:pPr>
              <w:spacing w:line="360" w:lineRule="auto"/>
              <w:jc w:val="center"/>
              <w:rPr>
                <w:rFonts w:ascii="宋体" w:hAnsi="宋体" w:cs="宋体"/>
                <w:color w:val="auto"/>
                <w:szCs w:val="21"/>
                <w:highlight w:val="none"/>
              </w:rPr>
            </w:pPr>
          </w:p>
        </w:tc>
      </w:tr>
      <w:tr w14:paraId="3A25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23F4F6DE">
            <w:pPr>
              <w:spacing w:line="360" w:lineRule="auto"/>
              <w:jc w:val="center"/>
              <w:rPr>
                <w:rFonts w:ascii="宋体" w:hAnsi="宋体" w:cs="宋体"/>
                <w:color w:val="auto"/>
                <w:szCs w:val="21"/>
                <w:highlight w:val="none"/>
              </w:rPr>
            </w:pPr>
          </w:p>
        </w:tc>
        <w:tc>
          <w:tcPr>
            <w:tcW w:w="4152" w:type="dxa"/>
            <w:vAlign w:val="center"/>
          </w:tcPr>
          <w:p w14:paraId="07AF5AA0">
            <w:pPr>
              <w:spacing w:line="360" w:lineRule="auto"/>
              <w:rPr>
                <w:rFonts w:ascii="宋体" w:hAnsi="宋体" w:cs="宋体"/>
                <w:color w:val="auto"/>
                <w:szCs w:val="21"/>
                <w:highlight w:val="none"/>
              </w:rPr>
            </w:pPr>
          </w:p>
        </w:tc>
        <w:tc>
          <w:tcPr>
            <w:tcW w:w="2448" w:type="dxa"/>
            <w:vAlign w:val="center"/>
          </w:tcPr>
          <w:p w14:paraId="6D345389">
            <w:pPr>
              <w:spacing w:line="360" w:lineRule="auto"/>
              <w:jc w:val="center"/>
              <w:rPr>
                <w:rFonts w:ascii="宋体" w:hAnsi="宋体" w:cs="宋体"/>
                <w:color w:val="auto"/>
                <w:szCs w:val="21"/>
                <w:highlight w:val="none"/>
              </w:rPr>
            </w:pPr>
          </w:p>
        </w:tc>
        <w:tc>
          <w:tcPr>
            <w:tcW w:w="1872" w:type="dxa"/>
            <w:vAlign w:val="center"/>
          </w:tcPr>
          <w:p w14:paraId="0B759D71">
            <w:pPr>
              <w:spacing w:line="360" w:lineRule="auto"/>
              <w:jc w:val="center"/>
              <w:rPr>
                <w:rFonts w:ascii="宋体" w:hAnsi="宋体" w:cs="宋体"/>
                <w:color w:val="auto"/>
                <w:szCs w:val="21"/>
                <w:highlight w:val="none"/>
              </w:rPr>
            </w:pPr>
          </w:p>
        </w:tc>
      </w:tr>
      <w:tr w14:paraId="0347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53D5D8D5">
            <w:pPr>
              <w:spacing w:line="360" w:lineRule="auto"/>
              <w:jc w:val="center"/>
              <w:rPr>
                <w:rFonts w:ascii="宋体" w:hAnsi="宋体" w:cs="宋体"/>
                <w:color w:val="auto"/>
                <w:szCs w:val="21"/>
                <w:highlight w:val="none"/>
              </w:rPr>
            </w:pPr>
          </w:p>
        </w:tc>
        <w:tc>
          <w:tcPr>
            <w:tcW w:w="4152" w:type="dxa"/>
            <w:vAlign w:val="center"/>
          </w:tcPr>
          <w:p w14:paraId="4DEC48E8">
            <w:pPr>
              <w:spacing w:line="360" w:lineRule="auto"/>
              <w:rPr>
                <w:rFonts w:ascii="宋体" w:hAnsi="宋体" w:cs="宋体"/>
                <w:color w:val="auto"/>
                <w:szCs w:val="21"/>
                <w:highlight w:val="none"/>
              </w:rPr>
            </w:pPr>
          </w:p>
        </w:tc>
        <w:tc>
          <w:tcPr>
            <w:tcW w:w="2448" w:type="dxa"/>
            <w:vAlign w:val="center"/>
          </w:tcPr>
          <w:p w14:paraId="7CB5CAD6">
            <w:pPr>
              <w:spacing w:line="360" w:lineRule="auto"/>
              <w:jc w:val="center"/>
              <w:rPr>
                <w:rFonts w:ascii="宋体" w:hAnsi="宋体" w:cs="宋体"/>
                <w:color w:val="auto"/>
                <w:szCs w:val="21"/>
                <w:highlight w:val="none"/>
              </w:rPr>
            </w:pPr>
          </w:p>
        </w:tc>
        <w:tc>
          <w:tcPr>
            <w:tcW w:w="1872" w:type="dxa"/>
            <w:vAlign w:val="center"/>
          </w:tcPr>
          <w:p w14:paraId="65337CC9">
            <w:pPr>
              <w:spacing w:line="360" w:lineRule="auto"/>
              <w:jc w:val="center"/>
              <w:rPr>
                <w:rFonts w:ascii="宋体" w:hAnsi="宋体" w:cs="宋体"/>
                <w:color w:val="auto"/>
                <w:szCs w:val="21"/>
                <w:highlight w:val="none"/>
              </w:rPr>
            </w:pPr>
          </w:p>
        </w:tc>
      </w:tr>
      <w:tr w14:paraId="332F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6" w:type="dxa"/>
            <w:vAlign w:val="center"/>
          </w:tcPr>
          <w:p w14:paraId="57D9EED9">
            <w:pPr>
              <w:spacing w:line="360" w:lineRule="auto"/>
              <w:jc w:val="center"/>
              <w:rPr>
                <w:rFonts w:ascii="宋体" w:hAnsi="宋体" w:cs="宋体"/>
                <w:color w:val="auto"/>
                <w:szCs w:val="21"/>
                <w:highlight w:val="none"/>
              </w:rPr>
            </w:pPr>
          </w:p>
        </w:tc>
        <w:tc>
          <w:tcPr>
            <w:tcW w:w="4152" w:type="dxa"/>
            <w:vAlign w:val="center"/>
          </w:tcPr>
          <w:p w14:paraId="5EACF125">
            <w:pPr>
              <w:spacing w:line="360" w:lineRule="auto"/>
              <w:rPr>
                <w:rFonts w:ascii="宋体" w:hAnsi="宋体" w:cs="宋体"/>
                <w:color w:val="auto"/>
                <w:szCs w:val="21"/>
                <w:highlight w:val="none"/>
              </w:rPr>
            </w:pPr>
          </w:p>
        </w:tc>
        <w:tc>
          <w:tcPr>
            <w:tcW w:w="2448" w:type="dxa"/>
            <w:vAlign w:val="center"/>
          </w:tcPr>
          <w:p w14:paraId="2BAC0204">
            <w:pPr>
              <w:spacing w:line="360" w:lineRule="auto"/>
              <w:jc w:val="center"/>
              <w:rPr>
                <w:rFonts w:ascii="宋体" w:hAnsi="宋体" w:cs="宋体"/>
                <w:color w:val="auto"/>
                <w:szCs w:val="21"/>
                <w:highlight w:val="none"/>
              </w:rPr>
            </w:pPr>
          </w:p>
        </w:tc>
        <w:tc>
          <w:tcPr>
            <w:tcW w:w="1872" w:type="dxa"/>
            <w:vAlign w:val="center"/>
          </w:tcPr>
          <w:p w14:paraId="00D62AAD">
            <w:pPr>
              <w:spacing w:line="360" w:lineRule="auto"/>
              <w:jc w:val="center"/>
              <w:rPr>
                <w:rFonts w:ascii="宋体" w:hAnsi="宋体" w:cs="宋体"/>
                <w:color w:val="auto"/>
                <w:szCs w:val="21"/>
                <w:highlight w:val="none"/>
              </w:rPr>
            </w:pPr>
          </w:p>
        </w:tc>
      </w:tr>
    </w:tbl>
    <w:p w14:paraId="4BC30197">
      <w:pPr>
        <w:snapToGrid w:val="0"/>
        <w:rPr>
          <w:rFonts w:ascii="宋体" w:hAnsi="宋体" w:cs="宋体"/>
          <w:color w:val="auto"/>
          <w:szCs w:val="21"/>
          <w:highlight w:val="none"/>
        </w:rPr>
      </w:pPr>
    </w:p>
    <w:p w14:paraId="1320CA79">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备注：供应商须按第二章《采购需求》的相应要求，在偏离说明栏如实填写“正偏离”、“无偏离”或“负偏离”，若“正偏离”或“负偏离”的，请在备注栏对偏离情况进行说明。如招标文件中所有技术条款（包含“▲”条款）均无负偏离，在“偏离情况”处填写“全部响应”即可。</w:t>
      </w:r>
    </w:p>
    <w:p w14:paraId="6C044032">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7A1FBFDD">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2F106B4F">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23F19070">
      <w:pPr>
        <w:pStyle w:val="18"/>
        <w:spacing w:line="360" w:lineRule="auto"/>
        <w:rPr>
          <w:rFonts w:hAnsi="宋体" w:cs="宋体"/>
          <w:color w:val="auto"/>
          <w:sz w:val="22"/>
          <w:szCs w:val="22"/>
          <w:highlight w:val="none"/>
          <w:u w:val="single"/>
        </w:rPr>
      </w:pPr>
    </w:p>
    <w:p w14:paraId="053EF142">
      <w:pPr>
        <w:rPr>
          <w:rFonts w:ascii="宋体" w:hAnsi="宋体" w:cs="宋体"/>
          <w:b/>
          <w:bCs/>
          <w:color w:val="auto"/>
          <w:sz w:val="22"/>
          <w:szCs w:val="22"/>
          <w:highlight w:val="none"/>
        </w:rPr>
      </w:pPr>
      <w:r>
        <w:rPr>
          <w:rFonts w:hint="eastAsia" w:ascii="宋体" w:hAnsi="宋体" w:cs="宋体"/>
          <w:b/>
          <w:bCs/>
          <w:color w:val="auto"/>
          <w:sz w:val="22"/>
          <w:szCs w:val="22"/>
          <w:highlight w:val="none"/>
        </w:rPr>
        <w:br w:type="page"/>
      </w:r>
    </w:p>
    <w:p w14:paraId="5ABA18E9">
      <w:pPr>
        <w:pStyle w:val="7"/>
        <w:spacing w:before="0" w:after="0"/>
        <w:jc w:val="center"/>
        <w:rPr>
          <w:rFonts w:ascii="宋体" w:hAnsi="宋体" w:cs="宋体"/>
          <w:color w:val="auto"/>
          <w:szCs w:val="28"/>
          <w:highlight w:val="none"/>
        </w:rPr>
      </w:pPr>
      <w:bookmarkStart w:id="461" w:name="_Toc21176"/>
      <w:bookmarkStart w:id="462" w:name="_Toc10160"/>
      <w:bookmarkStart w:id="463" w:name="_Toc14922"/>
      <w:bookmarkStart w:id="464" w:name="_Toc4677"/>
      <w:r>
        <w:rPr>
          <w:rFonts w:hint="eastAsia" w:ascii="宋体" w:hAnsi="宋体" w:cs="宋体"/>
          <w:color w:val="auto"/>
          <w:szCs w:val="28"/>
          <w:highlight w:val="none"/>
        </w:rPr>
        <w:t>技术条款偏离表</w:t>
      </w:r>
      <w:bookmarkEnd w:id="461"/>
      <w:bookmarkEnd w:id="462"/>
      <w:bookmarkEnd w:id="463"/>
      <w:bookmarkEnd w:id="464"/>
    </w:p>
    <w:p w14:paraId="305A9BBB">
      <w:pPr>
        <w:snapToGrid w:val="0"/>
        <w:rPr>
          <w:rFonts w:ascii="宋体" w:hAnsi="宋体" w:cs="宋体"/>
          <w:color w:val="auto"/>
          <w:szCs w:val="21"/>
          <w:highlight w:val="none"/>
          <w:u w:val="single"/>
        </w:rPr>
      </w:pPr>
      <w:r>
        <w:rPr>
          <w:rFonts w:hint="eastAsia" w:ascii="宋体" w:hAnsi="宋体" w:cs="宋体"/>
          <w:color w:val="auto"/>
          <w:kern w:val="28"/>
          <w:szCs w:val="21"/>
          <w:highlight w:val="none"/>
        </w:rPr>
        <w:t>项目名称/标项号：</w:t>
      </w:r>
      <w:r>
        <w:rPr>
          <w:rFonts w:hint="eastAsia" w:ascii="宋体" w:hAnsi="宋体" w:cs="宋体"/>
          <w:color w:val="auto"/>
          <w:szCs w:val="21"/>
          <w:highlight w:val="none"/>
        </w:rPr>
        <w:t xml:space="preserve">                      </w:t>
      </w:r>
    </w:p>
    <w:tbl>
      <w:tblPr>
        <w:tblStyle w:val="42"/>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461"/>
        <w:gridCol w:w="2647"/>
        <w:gridCol w:w="1843"/>
      </w:tblGrid>
      <w:tr w14:paraId="1B67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67" w:type="dxa"/>
            <w:vAlign w:val="center"/>
          </w:tcPr>
          <w:p w14:paraId="1F151CCB">
            <w:pPr>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3461" w:type="dxa"/>
            <w:vAlign w:val="center"/>
          </w:tcPr>
          <w:p w14:paraId="07FE52A5">
            <w:pPr>
              <w:jc w:val="center"/>
              <w:rPr>
                <w:rFonts w:ascii="宋体" w:hAnsi="宋体" w:cs="宋体"/>
                <w:color w:val="auto"/>
                <w:szCs w:val="21"/>
                <w:highlight w:val="none"/>
              </w:rPr>
            </w:pPr>
            <w:r>
              <w:rPr>
                <w:rFonts w:hint="eastAsia" w:ascii="宋体" w:hAnsi="宋体" w:cs="宋体"/>
                <w:color w:val="auto"/>
                <w:szCs w:val="21"/>
                <w:highlight w:val="none"/>
              </w:rPr>
              <w:t>采购文件的技术条款</w:t>
            </w:r>
          </w:p>
        </w:tc>
        <w:tc>
          <w:tcPr>
            <w:tcW w:w="2647" w:type="dxa"/>
            <w:vAlign w:val="center"/>
          </w:tcPr>
          <w:p w14:paraId="42B52E93">
            <w:pPr>
              <w:jc w:val="center"/>
              <w:rPr>
                <w:rFonts w:ascii="宋体" w:hAnsi="宋体" w:cs="宋体"/>
                <w:color w:val="auto"/>
                <w:szCs w:val="21"/>
                <w:highlight w:val="none"/>
              </w:rPr>
            </w:pPr>
            <w:r>
              <w:rPr>
                <w:rFonts w:hint="eastAsia" w:ascii="宋体" w:hAnsi="宋体" w:cs="宋体"/>
                <w:color w:val="auto"/>
                <w:szCs w:val="21"/>
                <w:highlight w:val="none"/>
              </w:rPr>
              <w:t>投标文件的响应情况</w:t>
            </w:r>
          </w:p>
        </w:tc>
        <w:tc>
          <w:tcPr>
            <w:tcW w:w="1843" w:type="dxa"/>
            <w:vAlign w:val="center"/>
          </w:tcPr>
          <w:p w14:paraId="3BC8A4CE">
            <w:pPr>
              <w:jc w:val="center"/>
              <w:rPr>
                <w:rFonts w:ascii="宋体" w:hAnsi="宋体" w:cs="宋体"/>
                <w:color w:val="auto"/>
                <w:szCs w:val="21"/>
                <w:highlight w:val="none"/>
              </w:rPr>
            </w:pPr>
            <w:r>
              <w:rPr>
                <w:rFonts w:hint="eastAsia" w:ascii="宋体" w:hAnsi="宋体" w:cs="宋体"/>
                <w:color w:val="auto"/>
                <w:szCs w:val="21"/>
                <w:highlight w:val="none"/>
              </w:rPr>
              <w:t>说明（偏离/响应）</w:t>
            </w:r>
          </w:p>
        </w:tc>
      </w:tr>
      <w:tr w14:paraId="7E2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6306F0C3">
            <w:pPr>
              <w:spacing w:line="360" w:lineRule="auto"/>
              <w:jc w:val="center"/>
              <w:rPr>
                <w:rFonts w:ascii="宋体" w:hAnsi="宋体" w:cs="宋体"/>
                <w:color w:val="auto"/>
                <w:szCs w:val="21"/>
                <w:highlight w:val="none"/>
              </w:rPr>
            </w:pPr>
          </w:p>
        </w:tc>
        <w:tc>
          <w:tcPr>
            <w:tcW w:w="3461" w:type="dxa"/>
            <w:vAlign w:val="center"/>
          </w:tcPr>
          <w:p w14:paraId="1C4F5484">
            <w:pPr>
              <w:spacing w:line="360" w:lineRule="auto"/>
              <w:rPr>
                <w:rFonts w:ascii="宋体" w:hAnsi="宋体" w:cs="宋体"/>
                <w:b/>
                <w:bCs/>
                <w:color w:val="auto"/>
                <w:szCs w:val="21"/>
                <w:highlight w:val="none"/>
              </w:rPr>
            </w:pPr>
          </w:p>
        </w:tc>
        <w:tc>
          <w:tcPr>
            <w:tcW w:w="2647" w:type="dxa"/>
            <w:vAlign w:val="center"/>
          </w:tcPr>
          <w:p w14:paraId="2A6A001B">
            <w:pPr>
              <w:spacing w:line="360" w:lineRule="auto"/>
              <w:jc w:val="center"/>
              <w:rPr>
                <w:rFonts w:ascii="宋体" w:hAnsi="宋体" w:cs="宋体"/>
                <w:color w:val="auto"/>
                <w:szCs w:val="21"/>
                <w:highlight w:val="none"/>
              </w:rPr>
            </w:pPr>
          </w:p>
        </w:tc>
        <w:tc>
          <w:tcPr>
            <w:tcW w:w="1843" w:type="dxa"/>
            <w:vAlign w:val="center"/>
          </w:tcPr>
          <w:p w14:paraId="3F92CF78">
            <w:pPr>
              <w:spacing w:line="360" w:lineRule="auto"/>
              <w:jc w:val="center"/>
              <w:rPr>
                <w:rFonts w:ascii="宋体" w:hAnsi="宋体" w:cs="宋体"/>
                <w:color w:val="auto"/>
                <w:szCs w:val="21"/>
                <w:highlight w:val="none"/>
              </w:rPr>
            </w:pPr>
          </w:p>
        </w:tc>
      </w:tr>
      <w:tr w14:paraId="064E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4725FA93">
            <w:pPr>
              <w:spacing w:line="360" w:lineRule="auto"/>
              <w:jc w:val="center"/>
              <w:rPr>
                <w:rFonts w:ascii="宋体" w:hAnsi="宋体" w:cs="宋体"/>
                <w:color w:val="auto"/>
                <w:szCs w:val="21"/>
                <w:highlight w:val="none"/>
              </w:rPr>
            </w:pPr>
          </w:p>
        </w:tc>
        <w:tc>
          <w:tcPr>
            <w:tcW w:w="3461" w:type="dxa"/>
            <w:vAlign w:val="center"/>
          </w:tcPr>
          <w:p w14:paraId="170AABE7">
            <w:pPr>
              <w:spacing w:line="360" w:lineRule="auto"/>
              <w:rPr>
                <w:rFonts w:ascii="宋体" w:hAnsi="宋体" w:cs="宋体"/>
                <w:b/>
                <w:bCs/>
                <w:color w:val="auto"/>
                <w:szCs w:val="21"/>
                <w:highlight w:val="none"/>
              </w:rPr>
            </w:pPr>
          </w:p>
        </w:tc>
        <w:tc>
          <w:tcPr>
            <w:tcW w:w="2647" w:type="dxa"/>
            <w:vAlign w:val="center"/>
          </w:tcPr>
          <w:p w14:paraId="0F716FDF">
            <w:pPr>
              <w:spacing w:line="360" w:lineRule="auto"/>
              <w:jc w:val="center"/>
              <w:rPr>
                <w:rFonts w:ascii="宋体" w:hAnsi="宋体" w:cs="宋体"/>
                <w:color w:val="auto"/>
                <w:szCs w:val="21"/>
                <w:highlight w:val="none"/>
              </w:rPr>
            </w:pPr>
          </w:p>
        </w:tc>
        <w:tc>
          <w:tcPr>
            <w:tcW w:w="1843" w:type="dxa"/>
            <w:vAlign w:val="center"/>
          </w:tcPr>
          <w:p w14:paraId="0DDD8546">
            <w:pPr>
              <w:spacing w:line="360" w:lineRule="auto"/>
              <w:jc w:val="center"/>
              <w:rPr>
                <w:rFonts w:ascii="宋体" w:hAnsi="宋体" w:cs="宋体"/>
                <w:color w:val="auto"/>
                <w:szCs w:val="21"/>
                <w:highlight w:val="none"/>
              </w:rPr>
            </w:pPr>
          </w:p>
        </w:tc>
      </w:tr>
      <w:tr w14:paraId="71FF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0B5C2428">
            <w:pPr>
              <w:spacing w:line="360" w:lineRule="auto"/>
              <w:jc w:val="center"/>
              <w:rPr>
                <w:rFonts w:ascii="宋体" w:hAnsi="宋体" w:cs="宋体"/>
                <w:color w:val="auto"/>
                <w:szCs w:val="21"/>
                <w:highlight w:val="none"/>
              </w:rPr>
            </w:pPr>
          </w:p>
        </w:tc>
        <w:tc>
          <w:tcPr>
            <w:tcW w:w="3461" w:type="dxa"/>
            <w:vAlign w:val="center"/>
          </w:tcPr>
          <w:p w14:paraId="68E3D092">
            <w:pPr>
              <w:spacing w:line="360" w:lineRule="auto"/>
              <w:rPr>
                <w:rFonts w:ascii="宋体" w:hAnsi="宋体" w:cs="宋体"/>
                <w:b/>
                <w:bCs/>
                <w:color w:val="auto"/>
                <w:szCs w:val="21"/>
                <w:highlight w:val="none"/>
              </w:rPr>
            </w:pPr>
          </w:p>
        </w:tc>
        <w:tc>
          <w:tcPr>
            <w:tcW w:w="2647" w:type="dxa"/>
            <w:vAlign w:val="center"/>
          </w:tcPr>
          <w:p w14:paraId="06C55A2B">
            <w:pPr>
              <w:spacing w:line="360" w:lineRule="auto"/>
              <w:jc w:val="center"/>
              <w:rPr>
                <w:rFonts w:ascii="宋体" w:hAnsi="宋体" w:cs="宋体"/>
                <w:color w:val="auto"/>
                <w:szCs w:val="21"/>
                <w:highlight w:val="none"/>
              </w:rPr>
            </w:pPr>
          </w:p>
        </w:tc>
        <w:tc>
          <w:tcPr>
            <w:tcW w:w="1843" w:type="dxa"/>
            <w:vAlign w:val="center"/>
          </w:tcPr>
          <w:p w14:paraId="5C20D107">
            <w:pPr>
              <w:spacing w:line="360" w:lineRule="auto"/>
              <w:jc w:val="center"/>
              <w:rPr>
                <w:rFonts w:ascii="宋体" w:hAnsi="宋体" w:cs="宋体"/>
                <w:color w:val="auto"/>
                <w:szCs w:val="21"/>
                <w:highlight w:val="none"/>
              </w:rPr>
            </w:pPr>
          </w:p>
        </w:tc>
      </w:tr>
      <w:tr w14:paraId="027E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7ECA635B">
            <w:pPr>
              <w:spacing w:line="360" w:lineRule="auto"/>
              <w:jc w:val="center"/>
              <w:rPr>
                <w:rFonts w:ascii="宋体" w:hAnsi="宋体" w:cs="宋体"/>
                <w:color w:val="auto"/>
                <w:szCs w:val="21"/>
                <w:highlight w:val="none"/>
              </w:rPr>
            </w:pPr>
          </w:p>
        </w:tc>
        <w:tc>
          <w:tcPr>
            <w:tcW w:w="3461" w:type="dxa"/>
            <w:vAlign w:val="center"/>
          </w:tcPr>
          <w:p w14:paraId="355296AA">
            <w:pPr>
              <w:spacing w:line="360" w:lineRule="auto"/>
              <w:rPr>
                <w:rFonts w:ascii="宋体" w:hAnsi="宋体" w:cs="宋体"/>
                <w:b/>
                <w:bCs/>
                <w:color w:val="auto"/>
                <w:szCs w:val="21"/>
                <w:highlight w:val="none"/>
              </w:rPr>
            </w:pPr>
          </w:p>
        </w:tc>
        <w:tc>
          <w:tcPr>
            <w:tcW w:w="2647" w:type="dxa"/>
            <w:vAlign w:val="center"/>
          </w:tcPr>
          <w:p w14:paraId="3C6AD44B">
            <w:pPr>
              <w:spacing w:line="360" w:lineRule="auto"/>
              <w:jc w:val="center"/>
              <w:rPr>
                <w:rFonts w:ascii="宋体" w:hAnsi="宋体" w:cs="宋体"/>
                <w:color w:val="auto"/>
                <w:szCs w:val="21"/>
                <w:highlight w:val="none"/>
              </w:rPr>
            </w:pPr>
          </w:p>
        </w:tc>
        <w:tc>
          <w:tcPr>
            <w:tcW w:w="1843" w:type="dxa"/>
            <w:vAlign w:val="center"/>
          </w:tcPr>
          <w:p w14:paraId="695F2799">
            <w:pPr>
              <w:spacing w:line="360" w:lineRule="auto"/>
              <w:jc w:val="center"/>
              <w:rPr>
                <w:rFonts w:ascii="宋体" w:hAnsi="宋体" w:cs="宋体"/>
                <w:color w:val="auto"/>
                <w:szCs w:val="21"/>
                <w:highlight w:val="none"/>
              </w:rPr>
            </w:pPr>
          </w:p>
        </w:tc>
      </w:tr>
      <w:tr w14:paraId="5F86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5BD922E3">
            <w:pPr>
              <w:spacing w:line="360" w:lineRule="auto"/>
              <w:jc w:val="center"/>
              <w:rPr>
                <w:rFonts w:ascii="宋体" w:hAnsi="宋体" w:cs="宋体"/>
                <w:color w:val="auto"/>
                <w:szCs w:val="21"/>
                <w:highlight w:val="none"/>
              </w:rPr>
            </w:pPr>
          </w:p>
        </w:tc>
        <w:tc>
          <w:tcPr>
            <w:tcW w:w="3461" w:type="dxa"/>
            <w:vAlign w:val="center"/>
          </w:tcPr>
          <w:p w14:paraId="341C44E5">
            <w:pPr>
              <w:spacing w:line="360" w:lineRule="auto"/>
              <w:rPr>
                <w:rFonts w:ascii="宋体" w:hAnsi="宋体" w:cs="宋体"/>
                <w:color w:val="auto"/>
                <w:szCs w:val="21"/>
                <w:highlight w:val="none"/>
              </w:rPr>
            </w:pPr>
          </w:p>
        </w:tc>
        <w:tc>
          <w:tcPr>
            <w:tcW w:w="2647" w:type="dxa"/>
            <w:vAlign w:val="center"/>
          </w:tcPr>
          <w:p w14:paraId="3B8BDB49">
            <w:pPr>
              <w:spacing w:line="360" w:lineRule="auto"/>
              <w:jc w:val="center"/>
              <w:rPr>
                <w:rFonts w:ascii="宋体" w:hAnsi="宋体" w:cs="宋体"/>
                <w:color w:val="auto"/>
                <w:szCs w:val="21"/>
                <w:highlight w:val="none"/>
              </w:rPr>
            </w:pPr>
          </w:p>
        </w:tc>
        <w:tc>
          <w:tcPr>
            <w:tcW w:w="1843" w:type="dxa"/>
            <w:vAlign w:val="center"/>
          </w:tcPr>
          <w:p w14:paraId="7F684E0A">
            <w:pPr>
              <w:spacing w:line="360" w:lineRule="auto"/>
              <w:jc w:val="center"/>
              <w:rPr>
                <w:rFonts w:ascii="宋体" w:hAnsi="宋体" w:cs="宋体"/>
                <w:color w:val="auto"/>
                <w:szCs w:val="21"/>
                <w:highlight w:val="none"/>
              </w:rPr>
            </w:pPr>
          </w:p>
        </w:tc>
      </w:tr>
      <w:tr w14:paraId="0FC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54D72CB1">
            <w:pPr>
              <w:spacing w:line="360" w:lineRule="auto"/>
              <w:jc w:val="center"/>
              <w:rPr>
                <w:rFonts w:ascii="宋体" w:hAnsi="宋体" w:cs="宋体"/>
                <w:color w:val="auto"/>
                <w:szCs w:val="21"/>
                <w:highlight w:val="none"/>
              </w:rPr>
            </w:pPr>
          </w:p>
        </w:tc>
        <w:tc>
          <w:tcPr>
            <w:tcW w:w="3461" w:type="dxa"/>
            <w:vAlign w:val="center"/>
          </w:tcPr>
          <w:p w14:paraId="5DDA6BA6">
            <w:pPr>
              <w:spacing w:line="360" w:lineRule="auto"/>
              <w:rPr>
                <w:rFonts w:ascii="宋体" w:hAnsi="宋体" w:cs="宋体"/>
                <w:color w:val="auto"/>
                <w:szCs w:val="21"/>
                <w:highlight w:val="none"/>
              </w:rPr>
            </w:pPr>
          </w:p>
        </w:tc>
        <w:tc>
          <w:tcPr>
            <w:tcW w:w="2647" w:type="dxa"/>
            <w:vAlign w:val="center"/>
          </w:tcPr>
          <w:p w14:paraId="1F60A7FB">
            <w:pPr>
              <w:spacing w:line="360" w:lineRule="auto"/>
              <w:jc w:val="center"/>
              <w:rPr>
                <w:rFonts w:ascii="宋体" w:hAnsi="宋体" w:cs="宋体"/>
                <w:color w:val="auto"/>
                <w:szCs w:val="21"/>
                <w:highlight w:val="none"/>
              </w:rPr>
            </w:pPr>
          </w:p>
        </w:tc>
        <w:tc>
          <w:tcPr>
            <w:tcW w:w="1843" w:type="dxa"/>
            <w:vAlign w:val="center"/>
          </w:tcPr>
          <w:p w14:paraId="5A191881">
            <w:pPr>
              <w:spacing w:line="360" w:lineRule="auto"/>
              <w:jc w:val="center"/>
              <w:rPr>
                <w:rFonts w:ascii="宋体" w:hAnsi="宋体" w:cs="宋体"/>
                <w:color w:val="auto"/>
                <w:szCs w:val="21"/>
                <w:highlight w:val="none"/>
              </w:rPr>
            </w:pPr>
          </w:p>
        </w:tc>
      </w:tr>
      <w:tr w14:paraId="3808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6D3A2978">
            <w:pPr>
              <w:spacing w:line="360" w:lineRule="auto"/>
              <w:jc w:val="center"/>
              <w:rPr>
                <w:rFonts w:ascii="宋体" w:hAnsi="宋体" w:cs="宋体"/>
                <w:color w:val="auto"/>
                <w:szCs w:val="21"/>
                <w:highlight w:val="none"/>
              </w:rPr>
            </w:pPr>
          </w:p>
        </w:tc>
        <w:tc>
          <w:tcPr>
            <w:tcW w:w="3461" w:type="dxa"/>
            <w:vAlign w:val="center"/>
          </w:tcPr>
          <w:p w14:paraId="6B55CBF7">
            <w:pPr>
              <w:spacing w:line="360" w:lineRule="auto"/>
              <w:rPr>
                <w:rFonts w:ascii="宋体" w:hAnsi="宋体" w:cs="宋体"/>
                <w:color w:val="auto"/>
                <w:szCs w:val="21"/>
                <w:highlight w:val="none"/>
              </w:rPr>
            </w:pPr>
          </w:p>
        </w:tc>
        <w:tc>
          <w:tcPr>
            <w:tcW w:w="2647" w:type="dxa"/>
            <w:vAlign w:val="center"/>
          </w:tcPr>
          <w:p w14:paraId="557EA7CF">
            <w:pPr>
              <w:spacing w:line="360" w:lineRule="auto"/>
              <w:jc w:val="center"/>
              <w:rPr>
                <w:rFonts w:ascii="宋体" w:hAnsi="宋体" w:cs="宋体"/>
                <w:color w:val="auto"/>
                <w:szCs w:val="21"/>
                <w:highlight w:val="none"/>
              </w:rPr>
            </w:pPr>
          </w:p>
        </w:tc>
        <w:tc>
          <w:tcPr>
            <w:tcW w:w="1843" w:type="dxa"/>
            <w:vAlign w:val="center"/>
          </w:tcPr>
          <w:p w14:paraId="76F88B62">
            <w:pPr>
              <w:spacing w:line="360" w:lineRule="auto"/>
              <w:jc w:val="center"/>
              <w:rPr>
                <w:rFonts w:ascii="宋体" w:hAnsi="宋体" w:cs="宋体"/>
                <w:color w:val="auto"/>
                <w:szCs w:val="21"/>
                <w:highlight w:val="none"/>
              </w:rPr>
            </w:pPr>
          </w:p>
        </w:tc>
      </w:tr>
      <w:tr w14:paraId="10E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2D4BC2C2">
            <w:pPr>
              <w:spacing w:line="360" w:lineRule="auto"/>
              <w:jc w:val="center"/>
              <w:rPr>
                <w:rFonts w:ascii="宋体" w:hAnsi="宋体" w:cs="宋体"/>
                <w:color w:val="auto"/>
                <w:szCs w:val="21"/>
                <w:highlight w:val="none"/>
              </w:rPr>
            </w:pPr>
          </w:p>
        </w:tc>
        <w:tc>
          <w:tcPr>
            <w:tcW w:w="3461" w:type="dxa"/>
            <w:vAlign w:val="center"/>
          </w:tcPr>
          <w:p w14:paraId="4E7B6172">
            <w:pPr>
              <w:spacing w:line="360" w:lineRule="auto"/>
              <w:rPr>
                <w:rFonts w:ascii="宋体" w:hAnsi="宋体" w:cs="宋体"/>
                <w:color w:val="auto"/>
                <w:szCs w:val="21"/>
                <w:highlight w:val="none"/>
              </w:rPr>
            </w:pPr>
          </w:p>
        </w:tc>
        <w:tc>
          <w:tcPr>
            <w:tcW w:w="2647" w:type="dxa"/>
            <w:vAlign w:val="center"/>
          </w:tcPr>
          <w:p w14:paraId="6E562B80">
            <w:pPr>
              <w:spacing w:line="360" w:lineRule="auto"/>
              <w:jc w:val="center"/>
              <w:rPr>
                <w:rFonts w:ascii="宋体" w:hAnsi="宋体" w:cs="宋体"/>
                <w:color w:val="auto"/>
                <w:szCs w:val="21"/>
                <w:highlight w:val="none"/>
              </w:rPr>
            </w:pPr>
          </w:p>
        </w:tc>
        <w:tc>
          <w:tcPr>
            <w:tcW w:w="1843" w:type="dxa"/>
            <w:vAlign w:val="center"/>
          </w:tcPr>
          <w:p w14:paraId="7ACFCC93">
            <w:pPr>
              <w:spacing w:line="360" w:lineRule="auto"/>
              <w:jc w:val="center"/>
              <w:rPr>
                <w:rFonts w:ascii="宋体" w:hAnsi="宋体" w:cs="宋体"/>
                <w:color w:val="auto"/>
                <w:szCs w:val="21"/>
                <w:highlight w:val="none"/>
              </w:rPr>
            </w:pPr>
          </w:p>
        </w:tc>
      </w:tr>
      <w:tr w14:paraId="202D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3506BEEB">
            <w:pPr>
              <w:spacing w:line="360" w:lineRule="auto"/>
              <w:jc w:val="center"/>
              <w:rPr>
                <w:rFonts w:ascii="宋体" w:hAnsi="宋体" w:cs="宋体"/>
                <w:color w:val="auto"/>
                <w:szCs w:val="21"/>
                <w:highlight w:val="none"/>
              </w:rPr>
            </w:pPr>
          </w:p>
        </w:tc>
        <w:tc>
          <w:tcPr>
            <w:tcW w:w="3461" w:type="dxa"/>
            <w:vAlign w:val="center"/>
          </w:tcPr>
          <w:p w14:paraId="5ED70CF2">
            <w:pPr>
              <w:spacing w:line="360" w:lineRule="auto"/>
              <w:rPr>
                <w:rFonts w:ascii="宋体" w:hAnsi="宋体" w:cs="宋体"/>
                <w:color w:val="auto"/>
                <w:szCs w:val="21"/>
                <w:highlight w:val="none"/>
              </w:rPr>
            </w:pPr>
          </w:p>
        </w:tc>
        <w:tc>
          <w:tcPr>
            <w:tcW w:w="2647" w:type="dxa"/>
            <w:vAlign w:val="center"/>
          </w:tcPr>
          <w:p w14:paraId="7B187601">
            <w:pPr>
              <w:spacing w:line="360" w:lineRule="auto"/>
              <w:jc w:val="center"/>
              <w:rPr>
                <w:rFonts w:ascii="宋体" w:hAnsi="宋体" w:cs="宋体"/>
                <w:color w:val="auto"/>
                <w:szCs w:val="21"/>
                <w:highlight w:val="none"/>
              </w:rPr>
            </w:pPr>
          </w:p>
        </w:tc>
        <w:tc>
          <w:tcPr>
            <w:tcW w:w="1843" w:type="dxa"/>
            <w:vAlign w:val="center"/>
          </w:tcPr>
          <w:p w14:paraId="7473F940">
            <w:pPr>
              <w:spacing w:line="360" w:lineRule="auto"/>
              <w:jc w:val="center"/>
              <w:rPr>
                <w:rFonts w:ascii="宋体" w:hAnsi="宋体" w:cs="宋体"/>
                <w:color w:val="auto"/>
                <w:szCs w:val="21"/>
                <w:highlight w:val="none"/>
              </w:rPr>
            </w:pPr>
          </w:p>
        </w:tc>
      </w:tr>
      <w:tr w14:paraId="2795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7" w:type="dxa"/>
            <w:vAlign w:val="center"/>
          </w:tcPr>
          <w:p w14:paraId="1DF1BA4F">
            <w:pPr>
              <w:spacing w:line="360" w:lineRule="auto"/>
              <w:jc w:val="center"/>
              <w:rPr>
                <w:rFonts w:ascii="宋体" w:hAnsi="宋体" w:cs="宋体"/>
                <w:color w:val="auto"/>
                <w:szCs w:val="21"/>
                <w:highlight w:val="none"/>
              </w:rPr>
            </w:pPr>
          </w:p>
        </w:tc>
        <w:tc>
          <w:tcPr>
            <w:tcW w:w="3461" w:type="dxa"/>
            <w:vAlign w:val="center"/>
          </w:tcPr>
          <w:p w14:paraId="5D852BAF">
            <w:pPr>
              <w:spacing w:line="360" w:lineRule="auto"/>
              <w:rPr>
                <w:rFonts w:ascii="宋体" w:hAnsi="宋体" w:cs="宋体"/>
                <w:color w:val="auto"/>
                <w:szCs w:val="21"/>
                <w:highlight w:val="none"/>
              </w:rPr>
            </w:pPr>
          </w:p>
        </w:tc>
        <w:tc>
          <w:tcPr>
            <w:tcW w:w="2647" w:type="dxa"/>
            <w:vAlign w:val="center"/>
          </w:tcPr>
          <w:p w14:paraId="58E9C13F">
            <w:pPr>
              <w:spacing w:line="360" w:lineRule="auto"/>
              <w:jc w:val="center"/>
              <w:rPr>
                <w:rFonts w:ascii="宋体" w:hAnsi="宋体" w:cs="宋体"/>
                <w:color w:val="auto"/>
                <w:szCs w:val="21"/>
                <w:highlight w:val="none"/>
              </w:rPr>
            </w:pPr>
          </w:p>
        </w:tc>
        <w:tc>
          <w:tcPr>
            <w:tcW w:w="1843" w:type="dxa"/>
            <w:vAlign w:val="center"/>
          </w:tcPr>
          <w:p w14:paraId="1AA78493">
            <w:pPr>
              <w:spacing w:line="360" w:lineRule="auto"/>
              <w:jc w:val="center"/>
              <w:rPr>
                <w:rFonts w:ascii="宋体" w:hAnsi="宋体" w:cs="宋体"/>
                <w:color w:val="auto"/>
                <w:szCs w:val="21"/>
                <w:highlight w:val="none"/>
              </w:rPr>
            </w:pPr>
          </w:p>
        </w:tc>
      </w:tr>
      <w:tr w14:paraId="004A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67" w:type="dxa"/>
            <w:vAlign w:val="center"/>
          </w:tcPr>
          <w:p w14:paraId="38848FD2">
            <w:pPr>
              <w:spacing w:line="360" w:lineRule="auto"/>
              <w:jc w:val="center"/>
              <w:rPr>
                <w:rFonts w:ascii="宋体" w:hAnsi="宋体" w:cs="宋体"/>
                <w:color w:val="auto"/>
                <w:szCs w:val="21"/>
                <w:highlight w:val="none"/>
              </w:rPr>
            </w:pPr>
          </w:p>
        </w:tc>
        <w:tc>
          <w:tcPr>
            <w:tcW w:w="3461" w:type="dxa"/>
            <w:vAlign w:val="center"/>
          </w:tcPr>
          <w:p w14:paraId="508E304C">
            <w:pPr>
              <w:spacing w:line="360" w:lineRule="auto"/>
              <w:rPr>
                <w:rFonts w:ascii="宋体" w:hAnsi="宋体" w:cs="宋体"/>
                <w:color w:val="auto"/>
                <w:szCs w:val="21"/>
                <w:highlight w:val="none"/>
              </w:rPr>
            </w:pPr>
          </w:p>
        </w:tc>
        <w:tc>
          <w:tcPr>
            <w:tcW w:w="2647" w:type="dxa"/>
            <w:vAlign w:val="center"/>
          </w:tcPr>
          <w:p w14:paraId="79DFB89C">
            <w:pPr>
              <w:spacing w:line="360" w:lineRule="auto"/>
              <w:jc w:val="center"/>
              <w:rPr>
                <w:rFonts w:ascii="宋体" w:hAnsi="宋体" w:cs="宋体"/>
                <w:color w:val="auto"/>
                <w:szCs w:val="21"/>
                <w:highlight w:val="none"/>
              </w:rPr>
            </w:pPr>
          </w:p>
        </w:tc>
        <w:tc>
          <w:tcPr>
            <w:tcW w:w="1843" w:type="dxa"/>
            <w:vAlign w:val="center"/>
          </w:tcPr>
          <w:p w14:paraId="16BA332F">
            <w:pPr>
              <w:spacing w:line="360" w:lineRule="auto"/>
              <w:jc w:val="center"/>
              <w:rPr>
                <w:rFonts w:ascii="宋体" w:hAnsi="宋体" w:cs="宋体"/>
                <w:color w:val="auto"/>
                <w:szCs w:val="21"/>
                <w:highlight w:val="none"/>
              </w:rPr>
            </w:pPr>
          </w:p>
        </w:tc>
      </w:tr>
    </w:tbl>
    <w:p w14:paraId="3C4404EE">
      <w:pPr>
        <w:snapToGrid w:val="0"/>
        <w:rPr>
          <w:rFonts w:ascii="宋体" w:hAnsi="宋体" w:cs="宋体"/>
          <w:color w:val="auto"/>
          <w:szCs w:val="21"/>
          <w:highlight w:val="none"/>
        </w:rPr>
      </w:pPr>
    </w:p>
    <w:p w14:paraId="187DF276">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备注：供应商须按第二章《采购需求》的相应要求，在偏离说明栏如实填写“正偏离”、“无偏离”或“负偏离”，若“正偏离”或“负偏离”的，请在备注栏对偏离情况进行说明。如招标文件中所有技术条款（包含“▲”条款）均无负偏离，在“偏离情况”处填写“全部响应”即可。</w:t>
      </w:r>
    </w:p>
    <w:p w14:paraId="32CB4C1F">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3C33FE07">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31A5384C">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2A6D88B6">
      <w:pPr>
        <w:spacing w:line="360" w:lineRule="auto"/>
        <w:ind w:right="180"/>
        <w:jc w:val="right"/>
        <w:rPr>
          <w:rFonts w:ascii="宋体" w:hAnsi="宋体" w:cs="宋体"/>
          <w:color w:val="auto"/>
          <w:szCs w:val="21"/>
          <w:highlight w:val="none"/>
        </w:rPr>
      </w:pPr>
    </w:p>
    <w:p w14:paraId="4722846F">
      <w:pPr>
        <w:spacing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br w:type="page"/>
      </w:r>
    </w:p>
    <w:p w14:paraId="123F79C2">
      <w:pPr>
        <w:pStyle w:val="88"/>
        <w:spacing w:line="360" w:lineRule="auto"/>
        <w:ind w:left="0" w:leftChars="0" w:firstLine="0"/>
        <w:jc w:val="center"/>
        <w:outlineLvl w:val="2"/>
        <w:rPr>
          <w:rFonts w:ascii="宋体" w:hAnsi="宋体" w:cs="宋体"/>
          <w:b/>
          <w:bCs/>
          <w:color w:val="auto"/>
          <w:sz w:val="28"/>
          <w:szCs w:val="28"/>
          <w:highlight w:val="none"/>
          <w:lang w:val="zh-CN" w:bidi="zh-CN"/>
        </w:rPr>
      </w:pPr>
      <w:bookmarkStart w:id="465" w:name="_Toc30126"/>
      <w:bookmarkStart w:id="466" w:name="_Toc16053"/>
      <w:bookmarkStart w:id="467" w:name="_Toc31950"/>
      <w:bookmarkStart w:id="468" w:name="_Toc25682"/>
      <w:r>
        <w:rPr>
          <w:rFonts w:hint="eastAsia" w:ascii="宋体" w:hAnsi="宋体" w:cs="宋体"/>
          <w:b/>
          <w:bCs/>
          <w:color w:val="auto"/>
          <w:sz w:val="28"/>
          <w:szCs w:val="28"/>
          <w:highlight w:val="none"/>
          <w:lang w:val="zh-CN" w:bidi="zh-CN"/>
        </w:rPr>
        <w:t>供应商基本情况说明</w:t>
      </w:r>
      <w:bookmarkEnd w:id="465"/>
      <w:bookmarkEnd w:id="466"/>
      <w:bookmarkEnd w:id="467"/>
      <w:bookmarkEnd w:id="468"/>
    </w:p>
    <w:tbl>
      <w:tblPr>
        <w:tblStyle w:val="42"/>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587"/>
        <w:gridCol w:w="992"/>
        <w:gridCol w:w="893"/>
        <w:gridCol w:w="1686"/>
        <w:gridCol w:w="2111"/>
      </w:tblGrid>
      <w:tr w14:paraId="7223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282EBC61">
            <w:pPr>
              <w:jc w:val="center"/>
              <w:rPr>
                <w:rFonts w:ascii="宋体" w:hAnsi="宋体" w:cs="宋体"/>
                <w:color w:val="auto"/>
                <w:szCs w:val="21"/>
                <w:highlight w:val="none"/>
              </w:rPr>
            </w:pPr>
            <w:r>
              <w:rPr>
                <w:rFonts w:hint="eastAsia" w:ascii="宋体" w:hAnsi="宋体" w:cs="宋体"/>
                <w:color w:val="auto"/>
                <w:szCs w:val="21"/>
                <w:highlight w:val="none"/>
              </w:rPr>
              <w:t>单位名称</w:t>
            </w:r>
          </w:p>
        </w:tc>
        <w:tc>
          <w:tcPr>
            <w:tcW w:w="3472" w:type="dxa"/>
            <w:gridSpan w:val="3"/>
            <w:vAlign w:val="center"/>
          </w:tcPr>
          <w:p w14:paraId="23FD91DB">
            <w:pPr>
              <w:jc w:val="center"/>
              <w:rPr>
                <w:rFonts w:ascii="宋体" w:hAnsi="宋体" w:cs="宋体"/>
                <w:color w:val="auto"/>
                <w:szCs w:val="21"/>
                <w:highlight w:val="none"/>
              </w:rPr>
            </w:pPr>
          </w:p>
        </w:tc>
        <w:tc>
          <w:tcPr>
            <w:tcW w:w="1686" w:type="dxa"/>
            <w:vAlign w:val="center"/>
          </w:tcPr>
          <w:p w14:paraId="51D15660">
            <w:pPr>
              <w:jc w:val="center"/>
              <w:rPr>
                <w:rFonts w:ascii="宋体" w:hAnsi="宋体" w:cs="宋体"/>
                <w:color w:val="auto"/>
                <w:szCs w:val="21"/>
                <w:highlight w:val="none"/>
              </w:rPr>
            </w:pPr>
            <w:r>
              <w:rPr>
                <w:rFonts w:hint="eastAsia" w:ascii="宋体" w:hAnsi="宋体" w:cs="宋体"/>
                <w:color w:val="auto"/>
                <w:szCs w:val="21"/>
                <w:highlight w:val="none"/>
              </w:rPr>
              <w:t>组织机构代码</w:t>
            </w:r>
          </w:p>
        </w:tc>
        <w:tc>
          <w:tcPr>
            <w:tcW w:w="2111" w:type="dxa"/>
            <w:vAlign w:val="center"/>
          </w:tcPr>
          <w:p w14:paraId="66EB7637">
            <w:pPr>
              <w:jc w:val="center"/>
              <w:rPr>
                <w:rFonts w:ascii="宋体" w:hAnsi="宋体" w:cs="宋体"/>
                <w:color w:val="auto"/>
                <w:szCs w:val="21"/>
                <w:highlight w:val="none"/>
              </w:rPr>
            </w:pPr>
          </w:p>
        </w:tc>
      </w:tr>
      <w:tr w14:paraId="4C08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4759301E">
            <w:pPr>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72" w:type="dxa"/>
            <w:gridSpan w:val="3"/>
            <w:vAlign w:val="center"/>
          </w:tcPr>
          <w:p w14:paraId="4397CD15">
            <w:pPr>
              <w:jc w:val="center"/>
              <w:rPr>
                <w:rFonts w:ascii="宋体" w:hAnsi="宋体" w:cs="宋体"/>
                <w:color w:val="auto"/>
                <w:szCs w:val="21"/>
                <w:highlight w:val="none"/>
              </w:rPr>
            </w:pPr>
          </w:p>
        </w:tc>
        <w:tc>
          <w:tcPr>
            <w:tcW w:w="1686" w:type="dxa"/>
            <w:vAlign w:val="center"/>
          </w:tcPr>
          <w:p w14:paraId="31A384D5">
            <w:pPr>
              <w:jc w:val="center"/>
              <w:rPr>
                <w:rFonts w:ascii="宋体" w:hAnsi="宋体" w:cs="宋体"/>
                <w:color w:val="auto"/>
                <w:szCs w:val="21"/>
                <w:highlight w:val="none"/>
              </w:rPr>
            </w:pPr>
            <w:r>
              <w:rPr>
                <w:rFonts w:hint="eastAsia" w:ascii="宋体" w:hAnsi="宋体" w:cs="宋体"/>
                <w:color w:val="auto"/>
                <w:szCs w:val="21"/>
                <w:highlight w:val="none"/>
              </w:rPr>
              <w:t>注册登记号</w:t>
            </w:r>
          </w:p>
        </w:tc>
        <w:tc>
          <w:tcPr>
            <w:tcW w:w="2111" w:type="dxa"/>
            <w:vAlign w:val="center"/>
          </w:tcPr>
          <w:p w14:paraId="692BAFED">
            <w:pPr>
              <w:jc w:val="center"/>
              <w:rPr>
                <w:rFonts w:ascii="宋体" w:hAnsi="宋体" w:cs="宋体"/>
                <w:color w:val="auto"/>
                <w:szCs w:val="21"/>
                <w:highlight w:val="none"/>
              </w:rPr>
            </w:pPr>
          </w:p>
        </w:tc>
      </w:tr>
      <w:tr w14:paraId="33A0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0F940767">
            <w:pPr>
              <w:jc w:val="center"/>
              <w:rPr>
                <w:rFonts w:ascii="宋体" w:hAnsi="宋体" w:cs="宋体"/>
                <w:color w:val="auto"/>
                <w:szCs w:val="21"/>
                <w:highlight w:val="none"/>
              </w:rPr>
            </w:pPr>
            <w:r>
              <w:rPr>
                <w:rFonts w:hint="eastAsia" w:ascii="宋体" w:hAnsi="宋体" w:cs="宋体"/>
                <w:color w:val="auto"/>
                <w:szCs w:val="21"/>
                <w:highlight w:val="none"/>
              </w:rPr>
              <w:t>经营地址</w:t>
            </w:r>
          </w:p>
        </w:tc>
        <w:tc>
          <w:tcPr>
            <w:tcW w:w="3472" w:type="dxa"/>
            <w:gridSpan w:val="3"/>
            <w:vAlign w:val="center"/>
          </w:tcPr>
          <w:p w14:paraId="3CECC08D">
            <w:pPr>
              <w:jc w:val="center"/>
              <w:rPr>
                <w:rFonts w:ascii="宋体" w:hAnsi="宋体" w:cs="宋体"/>
                <w:color w:val="auto"/>
                <w:szCs w:val="21"/>
                <w:highlight w:val="none"/>
              </w:rPr>
            </w:pPr>
          </w:p>
        </w:tc>
        <w:tc>
          <w:tcPr>
            <w:tcW w:w="1686" w:type="dxa"/>
            <w:vAlign w:val="center"/>
          </w:tcPr>
          <w:p w14:paraId="61A3BBA9">
            <w:pPr>
              <w:jc w:val="center"/>
              <w:rPr>
                <w:rFonts w:ascii="宋体" w:hAnsi="宋体" w:cs="宋体"/>
                <w:color w:val="auto"/>
                <w:spacing w:val="30"/>
                <w:szCs w:val="21"/>
                <w:highlight w:val="none"/>
              </w:rPr>
            </w:pPr>
            <w:r>
              <w:rPr>
                <w:rFonts w:hint="eastAsia" w:ascii="宋体" w:hAnsi="宋体" w:cs="宋体"/>
                <w:color w:val="auto"/>
                <w:szCs w:val="21"/>
                <w:highlight w:val="none"/>
              </w:rPr>
              <w:t>税务登记证号</w:t>
            </w:r>
          </w:p>
        </w:tc>
        <w:tc>
          <w:tcPr>
            <w:tcW w:w="2111" w:type="dxa"/>
            <w:vAlign w:val="center"/>
          </w:tcPr>
          <w:p w14:paraId="61632573">
            <w:pPr>
              <w:jc w:val="center"/>
              <w:rPr>
                <w:rFonts w:ascii="宋体" w:hAnsi="宋体" w:cs="宋体"/>
                <w:color w:val="auto"/>
                <w:szCs w:val="21"/>
                <w:highlight w:val="none"/>
              </w:rPr>
            </w:pPr>
          </w:p>
        </w:tc>
      </w:tr>
      <w:tr w14:paraId="5395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3116E489">
            <w:pPr>
              <w:jc w:val="center"/>
              <w:rPr>
                <w:rFonts w:ascii="宋体" w:hAnsi="宋体" w:cs="宋体"/>
                <w:color w:val="auto"/>
                <w:szCs w:val="21"/>
                <w:highlight w:val="none"/>
              </w:rPr>
            </w:pPr>
            <w:r>
              <w:rPr>
                <w:rFonts w:hint="eastAsia" w:ascii="宋体" w:hAnsi="宋体" w:cs="宋体"/>
                <w:color w:val="auto"/>
                <w:szCs w:val="21"/>
                <w:highlight w:val="none"/>
              </w:rPr>
              <w:t>单位性质</w:t>
            </w:r>
          </w:p>
        </w:tc>
        <w:tc>
          <w:tcPr>
            <w:tcW w:w="3472" w:type="dxa"/>
            <w:gridSpan w:val="3"/>
            <w:vAlign w:val="center"/>
          </w:tcPr>
          <w:p w14:paraId="564A31B6">
            <w:pPr>
              <w:jc w:val="center"/>
              <w:rPr>
                <w:rFonts w:ascii="宋体" w:hAnsi="宋体" w:cs="宋体"/>
                <w:color w:val="auto"/>
                <w:szCs w:val="21"/>
                <w:highlight w:val="none"/>
              </w:rPr>
            </w:pPr>
          </w:p>
        </w:tc>
        <w:tc>
          <w:tcPr>
            <w:tcW w:w="1686" w:type="dxa"/>
            <w:vAlign w:val="center"/>
          </w:tcPr>
          <w:p w14:paraId="7761FA11">
            <w:pPr>
              <w:jc w:val="center"/>
              <w:rPr>
                <w:rFonts w:ascii="宋体" w:hAnsi="宋体" w:cs="宋体"/>
                <w:color w:val="auto"/>
                <w:szCs w:val="21"/>
                <w:highlight w:val="none"/>
              </w:rPr>
            </w:pPr>
            <w:r>
              <w:rPr>
                <w:rFonts w:hint="eastAsia" w:ascii="宋体" w:hAnsi="宋体" w:cs="宋体"/>
                <w:color w:val="auto"/>
                <w:spacing w:val="34"/>
                <w:szCs w:val="21"/>
                <w:highlight w:val="none"/>
              </w:rPr>
              <w:t>注册资本</w:t>
            </w:r>
          </w:p>
        </w:tc>
        <w:tc>
          <w:tcPr>
            <w:tcW w:w="2111" w:type="dxa"/>
            <w:vAlign w:val="center"/>
          </w:tcPr>
          <w:p w14:paraId="04C34E0C">
            <w:pPr>
              <w:jc w:val="center"/>
              <w:rPr>
                <w:rFonts w:ascii="宋体" w:hAnsi="宋体" w:cs="宋体"/>
                <w:color w:val="auto"/>
                <w:szCs w:val="21"/>
                <w:highlight w:val="none"/>
              </w:rPr>
            </w:pPr>
          </w:p>
        </w:tc>
      </w:tr>
      <w:tr w14:paraId="2CB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3752F7BE">
            <w:pPr>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3472" w:type="dxa"/>
            <w:gridSpan w:val="3"/>
            <w:vAlign w:val="center"/>
          </w:tcPr>
          <w:p w14:paraId="04F6F930">
            <w:pPr>
              <w:jc w:val="center"/>
              <w:rPr>
                <w:rFonts w:ascii="宋体" w:hAnsi="宋体" w:cs="宋体"/>
                <w:color w:val="auto"/>
                <w:szCs w:val="21"/>
                <w:highlight w:val="none"/>
              </w:rPr>
            </w:pPr>
          </w:p>
        </w:tc>
        <w:tc>
          <w:tcPr>
            <w:tcW w:w="1686" w:type="dxa"/>
            <w:vAlign w:val="center"/>
          </w:tcPr>
          <w:p w14:paraId="11C24CA7">
            <w:pPr>
              <w:jc w:val="center"/>
              <w:rPr>
                <w:rFonts w:ascii="宋体" w:hAnsi="宋体" w:cs="宋体"/>
                <w:color w:val="auto"/>
                <w:szCs w:val="21"/>
                <w:highlight w:val="none"/>
              </w:rPr>
            </w:pPr>
            <w:r>
              <w:rPr>
                <w:rFonts w:hint="eastAsia" w:ascii="宋体" w:hAnsi="宋体" w:cs="宋体"/>
                <w:color w:val="auto"/>
                <w:szCs w:val="21"/>
                <w:highlight w:val="none"/>
              </w:rPr>
              <w:t>营业期限</w:t>
            </w:r>
          </w:p>
        </w:tc>
        <w:tc>
          <w:tcPr>
            <w:tcW w:w="2111" w:type="dxa"/>
            <w:vAlign w:val="center"/>
          </w:tcPr>
          <w:p w14:paraId="66036E91">
            <w:pPr>
              <w:jc w:val="center"/>
              <w:rPr>
                <w:rFonts w:ascii="宋体" w:hAnsi="宋体" w:cs="宋体"/>
                <w:color w:val="auto"/>
                <w:szCs w:val="21"/>
                <w:highlight w:val="none"/>
              </w:rPr>
            </w:pPr>
            <w:r>
              <w:rPr>
                <w:rFonts w:hint="eastAsia" w:ascii="宋体" w:hAnsi="宋体" w:cs="宋体"/>
                <w:color w:val="auto"/>
                <w:szCs w:val="21"/>
                <w:highlight w:val="none"/>
              </w:rPr>
              <w:t>年 月-  年 月</w:t>
            </w:r>
          </w:p>
        </w:tc>
      </w:tr>
      <w:tr w14:paraId="00A8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51525948">
            <w:pPr>
              <w:jc w:val="center"/>
              <w:rPr>
                <w:rFonts w:ascii="宋体" w:hAnsi="宋体" w:cs="宋体"/>
                <w:color w:val="auto"/>
                <w:szCs w:val="21"/>
                <w:highlight w:val="none"/>
              </w:rPr>
            </w:pPr>
            <w:r>
              <w:rPr>
                <w:rFonts w:hint="eastAsia" w:ascii="宋体" w:hAnsi="宋体" w:cs="宋体"/>
                <w:color w:val="auto"/>
                <w:szCs w:val="21"/>
                <w:highlight w:val="none"/>
              </w:rPr>
              <w:t>资质情况</w:t>
            </w:r>
          </w:p>
        </w:tc>
        <w:tc>
          <w:tcPr>
            <w:tcW w:w="7269" w:type="dxa"/>
            <w:gridSpan w:val="5"/>
            <w:vAlign w:val="center"/>
          </w:tcPr>
          <w:p w14:paraId="5F37F46C">
            <w:pPr>
              <w:jc w:val="center"/>
              <w:rPr>
                <w:rFonts w:ascii="宋体" w:hAnsi="宋体" w:cs="宋体"/>
                <w:color w:val="auto"/>
                <w:szCs w:val="21"/>
                <w:highlight w:val="none"/>
              </w:rPr>
            </w:pPr>
          </w:p>
        </w:tc>
      </w:tr>
      <w:tr w14:paraId="5541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661514C2">
            <w:pPr>
              <w:jc w:val="center"/>
              <w:rPr>
                <w:rFonts w:ascii="宋体" w:hAnsi="宋体" w:cs="宋体"/>
                <w:color w:val="auto"/>
                <w:szCs w:val="21"/>
                <w:highlight w:val="none"/>
              </w:rPr>
            </w:pPr>
            <w:r>
              <w:rPr>
                <w:rFonts w:hint="eastAsia" w:ascii="宋体" w:hAnsi="宋体" w:cs="宋体"/>
                <w:color w:val="auto"/>
                <w:szCs w:val="21"/>
                <w:highlight w:val="none"/>
              </w:rPr>
              <w:t>员工数量</w:t>
            </w:r>
          </w:p>
        </w:tc>
        <w:tc>
          <w:tcPr>
            <w:tcW w:w="7269" w:type="dxa"/>
            <w:gridSpan w:val="5"/>
            <w:vAlign w:val="center"/>
          </w:tcPr>
          <w:p w14:paraId="51CA3436">
            <w:pPr>
              <w:rPr>
                <w:rFonts w:ascii="宋体" w:hAnsi="宋体" w:cs="宋体"/>
                <w:color w:val="auto"/>
                <w:szCs w:val="21"/>
                <w:highlight w:val="none"/>
              </w:rPr>
            </w:pPr>
            <w:r>
              <w:rPr>
                <w:rFonts w:hint="eastAsia" w:ascii="宋体" w:hAnsi="宋体" w:cs="宋体"/>
                <w:color w:val="auto"/>
                <w:szCs w:val="21"/>
                <w:highlight w:val="none"/>
              </w:rPr>
              <w:t>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人，其中，高级职称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人，中级职称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w:t>
            </w:r>
          </w:p>
        </w:tc>
      </w:tr>
      <w:tr w14:paraId="5B3D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5CB497FF">
            <w:pPr>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3472" w:type="dxa"/>
            <w:gridSpan w:val="3"/>
            <w:vAlign w:val="center"/>
          </w:tcPr>
          <w:p w14:paraId="17380900">
            <w:pPr>
              <w:jc w:val="center"/>
              <w:rPr>
                <w:rFonts w:ascii="宋体" w:hAnsi="宋体" w:cs="宋体"/>
                <w:color w:val="auto"/>
                <w:szCs w:val="21"/>
                <w:highlight w:val="none"/>
              </w:rPr>
            </w:pPr>
          </w:p>
        </w:tc>
        <w:tc>
          <w:tcPr>
            <w:tcW w:w="1686" w:type="dxa"/>
            <w:vAlign w:val="center"/>
          </w:tcPr>
          <w:p w14:paraId="5BBE0609">
            <w:pPr>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111" w:type="dxa"/>
            <w:vAlign w:val="center"/>
          </w:tcPr>
          <w:p w14:paraId="23FA7A96">
            <w:pPr>
              <w:jc w:val="center"/>
              <w:rPr>
                <w:rFonts w:ascii="宋体" w:hAnsi="宋体" w:cs="宋体"/>
                <w:color w:val="auto"/>
                <w:szCs w:val="21"/>
                <w:highlight w:val="none"/>
              </w:rPr>
            </w:pPr>
          </w:p>
        </w:tc>
      </w:tr>
      <w:tr w14:paraId="5051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389" w:type="dxa"/>
            <w:vAlign w:val="center"/>
          </w:tcPr>
          <w:p w14:paraId="64851AAF">
            <w:pPr>
              <w:jc w:val="center"/>
              <w:rPr>
                <w:rFonts w:ascii="宋体" w:hAnsi="宋体" w:cs="宋体"/>
                <w:color w:val="auto"/>
                <w:szCs w:val="21"/>
                <w:highlight w:val="none"/>
              </w:rPr>
            </w:pPr>
            <w:r>
              <w:rPr>
                <w:rFonts w:hint="eastAsia" w:ascii="宋体" w:hAnsi="宋体" w:cs="宋体"/>
                <w:color w:val="auto"/>
                <w:szCs w:val="21"/>
                <w:highlight w:val="none"/>
              </w:rPr>
              <w:t>主要业绩</w:t>
            </w:r>
          </w:p>
        </w:tc>
        <w:tc>
          <w:tcPr>
            <w:tcW w:w="7269" w:type="dxa"/>
            <w:gridSpan w:val="5"/>
            <w:vAlign w:val="center"/>
          </w:tcPr>
          <w:p w14:paraId="615D8616">
            <w:pPr>
              <w:rPr>
                <w:rFonts w:ascii="宋体" w:hAnsi="宋体" w:cs="宋体"/>
                <w:color w:val="auto"/>
                <w:szCs w:val="21"/>
                <w:highlight w:val="none"/>
              </w:rPr>
            </w:pPr>
          </w:p>
          <w:p w14:paraId="5BEDE404">
            <w:pPr>
              <w:rPr>
                <w:rFonts w:ascii="宋体" w:hAnsi="宋体" w:cs="宋体"/>
                <w:color w:val="auto"/>
                <w:szCs w:val="21"/>
                <w:highlight w:val="none"/>
              </w:rPr>
            </w:pPr>
          </w:p>
        </w:tc>
      </w:tr>
      <w:tr w14:paraId="4C43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58" w:type="dxa"/>
            <w:gridSpan w:val="6"/>
            <w:vAlign w:val="center"/>
          </w:tcPr>
          <w:p w14:paraId="5948787E">
            <w:pPr>
              <w:jc w:val="center"/>
              <w:rPr>
                <w:rFonts w:ascii="宋体" w:hAnsi="宋体" w:cs="宋体"/>
                <w:color w:val="auto"/>
                <w:szCs w:val="21"/>
                <w:highlight w:val="none"/>
              </w:rPr>
            </w:pPr>
            <w:r>
              <w:rPr>
                <w:rFonts w:hint="eastAsia" w:ascii="宋体" w:hAnsi="宋体" w:cs="宋体"/>
                <w:color w:val="auto"/>
                <w:szCs w:val="21"/>
                <w:highlight w:val="none"/>
              </w:rPr>
              <w:t>法 定 代 表 人 基 本 情 况</w:t>
            </w:r>
          </w:p>
        </w:tc>
      </w:tr>
      <w:tr w14:paraId="67C7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528EAA4B">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3472" w:type="dxa"/>
            <w:gridSpan w:val="3"/>
            <w:vAlign w:val="center"/>
          </w:tcPr>
          <w:p w14:paraId="4627F0FD">
            <w:pPr>
              <w:jc w:val="center"/>
              <w:rPr>
                <w:rFonts w:ascii="宋体" w:hAnsi="宋体" w:cs="宋体"/>
                <w:color w:val="auto"/>
                <w:szCs w:val="21"/>
                <w:highlight w:val="none"/>
              </w:rPr>
            </w:pPr>
          </w:p>
        </w:tc>
        <w:tc>
          <w:tcPr>
            <w:tcW w:w="1686" w:type="dxa"/>
            <w:vAlign w:val="center"/>
          </w:tcPr>
          <w:p w14:paraId="0554E96A">
            <w:pPr>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2111" w:type="dxa"/>
            <w:vAlign w:val="center"/>
          </w:tcPr>
          <w:p w14:paraId="258B3045">
            <w:pPr>
              <w:jc w:val="center"/>
              <w:rPr>
                <w:rFonts w:ascii="宋体" w:hAnsi="宋体" w:cs="宋体"/>
                <w:color w:val="auto"/>
                <w:szCs w:val="21"/>
                <w:highlight w:val="none"/>
              </w:rPr>
            </w:pPr>
          </w:p>
        </w:tc>
      </w:tr>
      <w:tr w14:paraId="7804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89" w:type="dxa"/>
            <w:vAlign w:val="center"/>
          </w:tcPr>
          <w:p w14:paraId="6F60C25E">
            <w:pPr>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587" w:type="dxa"/>
            <w:vAlign w:val="center"/>
          </w:tcPr>
          <w:p w14:paraId="6E0D7586">
            <w:pPr>
              <w:jc w:val="center"/>
              <w:rPr>
                <w:rFonts w:ascii="宋体" w:hAnsi="宋体" w:cs="宋体"/>
                <w:color w:val="auto"/>
                <w:szCs w:val="21"/>
                <w:highlight w:val="none"/>
              </w:rPr>
            </w:pPr>
          </w:p>
        </w:tc>
        <w:tc>
          <w:tcPr>
            <w:tcW w:w="992" w:type="dxa"/>
            <w:vAlign w:val="center"/>
          </w:tcPr>
          <w:p w14:paraId="15628CBE">
            <w:pPr>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893" w:type="dxa"/>
            <w:vAlign w:val="center"/>
          </w:tcPr>
          <w:p w14:paraId="00BE20A1">
            <w:pPr>
              <w:jc w:val="center"/>
              <w:rPr>
                <w:rFonts w:ascii="宋体" w:hAnsi="宋体" w:cs="宋体"/>
                <w:color w:val="auto"/>
                <w:szCs w:val="21"/>
                <w:highlight w:val="none"/>
              </w:rPr>
            </w:pPr>
          </w:p>
        </w:tc>
        <w:tc>
          <w:tcPr>
            <w:tcW w:w="1686" w:type="dxa"/>
            <w:vAlign w:val="center"/>
          </w:tcPr>
          <w:p w14:paraId="18F67E88">
            <w:pPr>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2111" w:type="dxa"/>
            <w:vAlign w:val="center"/>
          </w:tcPr>
          <w:p w14:paraId="4360EA2B">
            <w:pPr>
              <w:jc w:val="center"/>
              <w:rPr>
                <w:rFonts w:ascii="宋体" w:hAnsi="宋体" w:cs="宋体"/>
                <w:color w:val="auto"/>
                <w:szCs w:val="21"/>
                <w:highlight w:val="none"/>
              </w:rPr>
            </w:pPr>
          </w:p>
        </w:tc>
      </w:tr>
      <w:tr w14:paraId="125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58" w:type="dxa"/>
            <w:gridSpan w:val="6"/>
          </w:tcPr>
          <w:p w14:paraId="58ECE020">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bl>
    <w:p w14:paraId="630270A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兹证明上述声明是真实、正确的，并提供了全部能提供的资料和数据，我们同意遵照贵方要求出示有关证明文件。</w:t>
      </w:r>
    </w:p>
    <w:p w14:paraId="6FA8DC2F">
      <w:pPr>
        <w:pStyle w:val="15"/>
        <w:spacing w:line="360" w:lineRule="auto"/>
        <w:ind w:firstLine="422" w:firstLineChars="200"/>
        <w:jc w:val="both"/>
        <w:rPr>
          <w:rFonts w:ascii="宋体" w:hAnsi="宋体" w:cs="宋体"/>
          <w:b/>
          <w:bCs/>
          <w:color w:val="auto"/>
          <w:highlight w:val="none"/>
        </w:rPr>
      </w:pPr>
      <w:r>
        <w:rPr>
          <w:rFonts w:hint="eastAsia" w:ascii="宋体" w:hAnsi="宋体" w:cs="宋体"/>
          <w:b/>
          <w:bCs/>
          <w:color w:val="auto"/>
          <w:highlight w:val="none"/>
        </w:rPr>
        <w:t>备注：在本表后应附企业法人营业执照或事业法人登记证副本或其他登记证明材料的复印件加盖供应商单位章。</w:t>
      </w:r>
    </w:p>
    <w:p w14:paraId="3C13DA48">
      <w:pPr>
        <w:pStyle w:val="15"/>
        <w:spacing w:line="360" w:lineRule="auto"/>
        <w:ind w:firstLine="422" w:firstLineChars="200"/>
        <w:jc w:val="both"/>
        <w:rPr>
          <w:rFonts w:ascii="宋体" w:hAnsi="宋体" w:cs="宋体"/>
          <w:b/>
          <w:color w:val="auto"/>
          <w:szCs w:val="21"/>
          <w:highlight w:val="none"/>
        </w:rPr>
      </w:pPr>
      <w:r>
        <w:rPr>
          <w:rFonts w:hint="eastAsia" w:ascii="宋体" w:hAnsi="宋体" w:cs="宋体"/>
          <w:b/>
          <w:bCs/>
          <w:color w:val="auto"/>
          <w:highlight w:val="none"/>
        </w:rPr>
        <w:t xml:space="preserve">      </w:t>
      </w:r>
    </w:p>
    <w:p w14:paraId="60A9C283">
      <w:pPr>
        <w:rPr>
          <w:rFonts w:ascii="宋体" w:hAnsi="宋体" w:cs="宋体"/>
          <w:color w:val="auto"/>
          <w:szCs w:val="21"/>
          <w:highlight w:val="none"/>
        </w:rPr>
      </w:pPr>
    </w:p>
    <w:p w14:paraId="6B980AEE">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42E84984">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64592CEF">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4C1DC0D0">
      <w:pPr>
        <w:adjustRightInd w:val="0"/>
        <w:snapToGrid w:val="0"/>
        <w:spacing w:line="360" w:lineRule="auto"/>
        <w:jc w:val="center"/>
        <w:outlineLvl w:val="2"/>
        <w:rPr>
          <w:rFonts w:ascii="宋体" w:hAnsi="宋体" w:cs="宋体"/>
          <w:b/>
          <w:color w:val="auto"/>
          <w:sz w:val="32"/>
          <w:szCs w:val="32"/>
          <w:highlight w:val="none"/>
        </w:rPr>
      </w:pPr>
      <w:r>
        <w:rPr>
          <w:rFonts w:hint="eastAsia" w:ascii="宋体" w:hAnsi="宋体" w:cs="宋体"/>
          <w:color w:val="auto"/>
          <w:szCs w:val="21"/>
          <w:highlight w:val="none"/>
        </w:rPr>
        <w:br w:type="page"/>
      </w:r>
      <w:bookmarkStart w:id="469" w:name="_Toc5302"/>
      <w:bookmarkStart w:id="470" w:name="_Toc11103"/>
      <w:bookmarkStart w:id="471" w:name="_Toc106"/>
      <w:bookmarkStart w:id="472" w:name="_Toc30505"/>
      <w:r>
        <w:rPr>
          <w:rStyle w:val="90"/>
          <w:rFonts w:hint="eastAsia" w:ascii="宋体" w:hAnsi="宋体" w:cs="宋体"/>
          <w:color w:val="auto"/>
          <w:szCs w:val="28"/>
          <w:highlight w:val="none"/>
        </w:rPr>
        <w:t>拟投入本项目人员配备情况表</w:t>
      </w:r>
      <w:bookmarkEnd w:id="469"/>
      <w:bookmarkEnd w:id="470"/>
      <w:bookmarkEnd w:id="471"/>
      <w:bookmarkEnd w:id="472"/>
    </w:p>
    <w:p w14:paraId="2C7ACC4C">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kern w:val="28"/>
          <w:szCs w:val="21"/>
          <w:highlight w:val="none"/>
        </w:rPr>
        <w:t>项目名称/标项号：</w:t>
      </w:r>
      <w:r>
        <w:rPr>
          <w:rFonts w:hint="eastAsia" w:ascii="宋体" w:hAnsi="宋体" w:cs="宋体"/>
          <w:color w:val="auto"/>
          <w:szCs w:val="21"/>
          <w:highlight w:val="none"/>
          <w:u w:val="single"/>
        </w:rPr>
        <w:t xml:space="preserve">                     </w:t>
      </w:r>
    </w:p>
    <w:tbl>
      <w:tblPr>
        <w:tblStyle w:val="42"/>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90"/>
        <w:gridCol w:w="890"/>
        <w:gridCol w:w="1089"/>
        <w:gridCol w:w="737"/>
        <w:gridCol w:w="756"/>
        <w:gridCol w:w="893"/>
        <w:gridCol w:w="1286"/>
        <w:gridCol w:w="1287"/>
      </w:tblGrid>
      <w:tr w14:paraId="15B0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Merge w:val="restart"/>
            <w:vAlign w:val="center"/>
          </w:tcPr>
          <w:p w14:paraId="7DFC4630">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890" w:type="dxa"/>
            <w:vMerge w:val="restart"/>
            <w:vAlign w:val="center"/>
          </w:tcPr>
          <w:p w14:paraId="521DA3AF">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90" w:type="dxa"/>
            <w:vMerge w:val="restart"/>
            <w:vAlign w:val="center"/>
          </w:tcPr>
          <w:p w14:paraId="561D6157">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3475" w:type="dxa"/>
            <w:gridSpan w:val="4"/>
            <w:vAlign w:val="center"/>
          </w:tcPr>
          <w:p w14:paraId="402C2E9B">
            <w:pPr>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1286" w:type="dxa"/>
            <w:vMerge w:val="restart"/>
            <w:vAlign w:val="center"/>
          </w:tcPr>
          <w:p w14:paraId="7A04CEA4">
            <w:pPr>
              <w:jc w:val="center"/>
              <w:rPr>
                <w:rFonts w:ascii="宋体" w:hAnsi="宋体" w:cs="宋体"/>
                <w:color w:val="auto"/>
                <w:szCs w:val="21"/>
                <w:highlight w:val="none"/>
              </w:rPr>
            </w:pPr>
            <w:r>
              <w:rPr>
                <w:rFonts w:hint="eastAsia" w:ascii="宋体" w:hAnsi="宋体" w:cs="宋体"/>
                <w:color w:val="auto"/>
                <w:szCs w:val="21"/>
                <w:highlight w:val="none"/>
              </w:rPr>
              <w:t>从业经验</w:t>
            </w:r>
          </w:p>
        </w:tc>
        <w:tc>
          <w:tcPr>
            <w:tcW w:w="1287" w:type="dxa"/>
            <w:vMerge w:val="restart"/>
            <w:vAlign w:val="center"/>
          </w:tcPr>
          <w:p w14:paraId="25785DB8">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773D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0" w:type="dxa"/>
            <w:vMerge w:val="continue"/>
            <w:vAlign w:val="center"/>
          </w:tcPr>
          <w:p w14:paraId="216D6A40">
            <w:pPr>
              <w:spacing w:line="360" w:lineRule="auto"/>
              <w:jc w:val="center"/>
              <w:rPr>
                <w:rFonts w:ascii="宋体" w:hAnsi="宋体" w:cs="宋体"/>
                <w:color w:val="auto"/>
                <w:szCs w:val="21"/>
                <w:highlight w:val="none"/>
              </w:rPr>
            </w:pPr>
          </w:p>
        </w:tc>
        <w:tc>
          <w:tcPr>
            <w:tcW w:w="890" w:type="dxa"/>
            <w:vMerge w:val="continue"/>
            <w:vAlign w:val="center"/>
          </w:tcPr>
          <w:p w14:paraId="7D91EFA4">
            <w:pPr>
              <w:spacing w:line="360" w:lineRule="auto"/>
              <w:jc w:val="center"/>
              <w:rPr>
                <w:rFonts w:ascii="宋体" w:hAnsi="宋体" w:cs="宋体"/>
                <w:color w:val="auto"/>
                <w:szCs w:val="21"/>
                <w:highlight w:val="none"/>
              </w:rPr>
            </w:pPr>
          </w:p>
        </w:tc>
        <w:tc>
          <w:tcPr>
            <w:tcW w:w="890" w:type="dxa"/>
            <w:vMerge w:val="continue"/>
            <w:vAlign w:val="center"/>
          </w:tcPr>
          <w:p w14:paraId="62A350F9">
            <w:pPr>
              <w:spacing w:line="360" w:lineRule="auto"/>
              <w:jc w:val="center"/>
              <w:rPr>
                <w:rFonts w:ascii="宋体" w:hAnsi="宋体" w:cs="宋体"/>
                <w:color w:val="auto"/>
                <w:szCs w:val="21"/>
                <w:highlight w:val="none"/>
              </w:rPr>
            </w:pPr>
          </w:p>
        </w:tc>
        <w:tc>
          <w:tcPr>
            <w:tcW w:w="1089" w:type="dxa"/>
            <w:vAlign w:val="center"/>
          </w:tcPr>
          <w:p w14:paraId="2E665DF7">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737" w:type="dxa"/>
            <w:vAlign w:val="center"/>
          </w:tcPr>
          <w:p w14:paraId="282F89B9">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756" w:type="dxa"/>
            <w:vAlign w:val="center"/>
          </w:tcPr>
          <w:p w14:paraId="42C35280">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893" w:type="dxa"/>
            <w:vAlign w:val="center"/>
          </w:tcPr>
          <w:p w14:paraId="5A40DF9A">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286" w:type="dxa"/>
            <w:vMerge w:val="continue"/>
            <w:vAlign w:val="center"/>
          </w:tcPr>
          <w:p w14:paraId="05CEEE64">
            <w:pPr>
              <w:spacing w:line="360" w:lineRule="auto"/>
              <w:jc w:val="center"/>
              <w:rPr>
                <w:rFonts w:ascii="宋体" w:hAnsi="宋体" w:cs="宋体"/>
                <w:color w:val="auto"/>
                <w:szCs w:val="21"/>
                <w:highlight w:val="none"/>
              </w:rPr>
            </w:pPr>
          </w:p>
        </w:tc>
        <w:tc>
          <w:tcPr>
            <w:tcW w:w="1287" w:type="dxa"/>
            <w:vMerge w:val="continue"/>
          </w:tcPr>
          <w:p w14:paraId="6E9C24D4">
            <w:pPr>
              <w:spacing w:line="360" w:lineRule="auto"/>
              <w:jc w:val="center"/>
              <w:rPr>
                <w:rFonts w:ascii="宋体" w:hAnsi="宋体" w:cs="宋体"/>
                <w:color w:val="auto"/>
                <w:szCs w:val="21"/>
                <w:highlight w:val="none"/>
              </w:rPr>
            </w:pPr>
          </w:p>
        </w:tc>
      </w:tr>
      <w:tr w14:paraId="37B6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1775F11D">
            <w:pPr>
              <w:spacing w:line="360" w:lineRule="auto"/>
              <w:jc w:val="center"/>
              <w:rPr>
                <w:rFonts w:ascii="宋体" w:hAnsi="宋体" w:cs="宋体"/>
                <w:color w:val="auto"/>
                <w:szCs w:val="21"/>
                <w:highlight w:val="none"/>
              </w:rPr>
            </w:pPr>
          </w:p>
        </w:tc>
        <w:tc>
          <w:tcPr>
            <w:tcW w:w="890" w:type="dxa"/>
            <w:vAlign w:val="center"/>
          </w:tcPr>
          <w:p w14:paraId="22AFB5EF">
            <w:pPr>
              <w:spacing w:line="360" w:lineRule="auto"/>
              <w:jc w:val="center"/>
              <w:rPr>
                <w:rFonts w:ascii="宋体" w:hAnsi="宋体" w:cs="宋体"/>
                <w:color w:val="auto"/>
                <w:szCs w:val="21"/>
                <w:highlight w:val="none"/>
              </w:rPr>
            </w:pPr>
          </w:p>
        </w:tc>
        <w:tc>
          <w:tcPr>
            <w:tcW w:w="890" w:type="dxa"/>
            <w:vAlign w:val="center"/>
          </w:tcPr>
          <w:p w14:paraId="49E367D7">
            <w:pPr>
              <w:spacing w:line="360" w:lineRule="auto"/>
              <w:jc w:val="center"/>
              <w:rPr>
                <w:rFonts w:ascii="宋体" w:hAnsi="宋体" w:cs="宋体"/>
                <w:color w:val="auto"/>
                <w:szCs w:val="21"/>
                <w:highlight w:val="none"/>
              </w:rPr>
            </w:pPr>
          </w:p>
        </w:tc>
        <w:tc>
          <w:tcPr>
            <w:tcW w:w="1089" w:type="dxa"/>
            <w:vAlign w:val="center"/>
          </w:tcPr>
          <w:p w14:paraId="34139107">
            <w:pPr>
              <w:spacing w:line="360" w:lineRule="auto"/>
              <w:jc w:val="center"/>
              <w:rPr>
                <w:rFonts w:ascii="宋体" w:hAnsi="宋体" w:cs="宋体"/>
                <w:color w:val="auto"/>
                <w:szCs w:val="21"/>
                <w:highlight w:val="none"/>
              </w:rPr>
            </w:pPr>
          </w:p>
        </w:tc>
        <w:tc>
          <w:tcPr>
            <w:tcW w:w="737" w:type="dxa"/>
            <w:vAlign w:val="center"/>
          </w:tcPr>
          <w:p w14:paraId="6DAF7EED">
            <w:pPr>
              <w:spacing w:line="360" w:lineRule="auto"/>
              <w:jc w:val="center"/>
              <w:rPr>
                <w:rFonts w:ascii="宋体" w:hAnsi="宋体" w:cs="宋体"/>
                <w:color w:val="auto"/>
                <w:szCs w:val="21"/>
                <w:highlight w:val="none"/>
              </w:rPr>
            </w:pPr>
          </w:p>
        </w:tc>
        <w:tc>
          <w:tcPr>
            <w:tcW w:w="756" w:type="dxa"/>
            <w:vAlign w:val="center"/>
          </w:tcPr>
          <w:p w14:paraId="00A52B95">
            <w:pPr>
              <w:spacing w:line="360" w:lineRule="auto"/>
              <w:jc w:val="center"/>
              <w:rPr>
                <w:rFonts w:ascii="宋体" w:hAnsi="宋体" w:cs="宋体"/>
                <w:color w:val="auto"/>
                <w:szCs w:val="21"/>
                <w:highlight w:val="none"/>
              </w:rPr>
            </w:pPr>
          </w:p>
        </w:tc>
        <w:tc>
          <w:tcPr>
            <w:tcW w:w="893" w:type="dxa"/>
            <w:vAlign w:val="center"/>
          </w:tcPr>
          <w:p w14:paraId="5B85B2BE">
            <w:pPr>
              <w:spacing w:line="360" w:lineRule="auto"/>
              <w:jc w:val="center"/>
              <w:rPr>
                <w:rFonts w:ascii="宋体" w:hAnsi="宋体" w:cs="宋体"/>
                <w:color w:val="auto"/>
                <w:szCs w:val="21"/>
                <w:highlight w:val="none"/>
              </w:rPr>
            </w:pPr>
          </w:p>
        </w:tc>
        <w:tc>
          <w:tcPr>
            <w:tcW w:w="1286" w:type="dxa"/>
            <w:vAlign w:val="center"/>
          </w:tcPr>
          <w:p w14:paraId="33270508">
            <w:pPr>
              <w:spacing w:line="360" w:lineRule="auto"/>
              <w:jc w:val="center"/>
              <w:rPr>
                <w:rFonts w:ascii="宋体" w:hAnsi="宋体" w:cs="宋体"/>
                <w:color w:val="auto"/>
                <w:szCs w:val="21"/>
                <w:highlight w:val="none"/>
              </w:rPr>
            </w:pPr>
          </w:p>
        </w:tc>
        <w:tc>
          <w:tcPr>
            <w:tcW w:w="1287" w:type="dxa"/>
          </w:tcPr>
          <w:p w14:paraId="7AF8D952">
            <w:pPr>
              <w:spacing w:line="360" w:lineRule="auto"/>
              <w:jc w:val="center"/>
              <w:rPr>
                <w:rFonts w:ascii="宋体" w:hAnsi="宋体" w:cs="宋体"/>
                <w:color w:val="auto"/>
                <w:szCs w:val="21"/>
                <w:highlight w:val="none"/>
              </w:rPr>
            </w:pPr>
          </w:p>
        </w:tc>
      </w:tr>
      <w:tr w14:paraId="2D75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6137435D">
            <w:pPr>
              <w:spacing w:line="360" w:lineRule="auto"/>
              <w:jc w:val="center"/>
              <w:rPr>
                <w:rFonts w:ascii="宋体" w:hAnsi="宋体" w:cs="宋体"/>
                <w:color w:val="auto"/>
                <w:szCs w:val="21"/>
                <w:highlight w:val="none"/>
              </w:rPr>
            </w:pPr>
          </w:p>
        </w:tc>
        <w:tc>
          <w:tcPr>
            <w:tcW w:w="890" w:type="dxa"/>
            <w:vAlign w:val="center"/>
          </w:tcPr>
          <w:p w14:paraId="20202C3E">
            <w:pPr>
              <w:spacing w:line="360" w:lineRule="auto"/>
              <w:jc w:val="center"/>
              <w:rPr>
                <w:rFonts w:ascii="宋体" w:hAnsi="宋体" w:cs="宋体"/>
                <w:color w:val="auto"/>
                <w:szCs w:val="21"/>
                <w:highlight w:val="none"/>
              </w:rPr>
            </w:pPr>
          </w:p>
        </w:tc>
        <w:tc>
          <w:tcPr>
            <w:tcW w:w="890" w:type="dxa"/>
            <w:vAlign w:val="center"/>
          </w:tcPr>
          <w:p w14:paraId="0D4DF7C1">
            <w:pPr>
              <w:spacing w:line="360" w:lineRule="auto"/>
              <w:jc w:val="center"/>
              <w:rPr>
                <w:rFonts w:ascii="宋体" w:hAnsi="宋体" w:cs="宋体"/>
                <w:color w:val="auto"/>
                <w:szCs w:val="21"/>
                <w:highlight w:val="none"/>
              </w:rPr>
            </w:pPr>
          </w:p>
        </w:tc>
        <w:tc>
          <w:tcPr>
            <w:tcW w:w="1089" w:type="dxa"/>
            <w:vAlign w:val="center"/>
          </w:tcPr>
          <w:p w14:paraId="0326678E">
            <w:pPr>
              <w:spacing w:line="360" w:lineRule="auto"/>
              <w:jc w:val="center"/>
              <w:rPr>
                <w:rFonts w:ascii="宋体" w:hAnsi="宋体" w:cs="宋体"/>
                <w:color w:val="auto"/>
                <w:szCs w:val="21"/>
                <w:highlight w:val="none"/>
              </w:rPr>
            </w:pPr>
          </w:p>
        </w:tc>
        <w:tc>
          <w:tcPr>
            <w:tcW w:w="737" w:type="dxa"/>
            <w:vAlign w:val="center"/>
          </w:tcPr>
          <w:p w14:paraId="735F6E27">
            <w:pPr>
              <w:spacing w:line="360" w:lineRule="auto"/>
              <w:jc w:val="center"/>
              <w:rPr>
                <w:rFonts w:ascii="宋体" w:hAnsi="宋体" w:cs="宋体"/>
                <w:color w:val="auto"/>
                <w:szCs w:val="21"/>
                <w:highlight w:val="none"/>
              </w:rPr>
            </w:pPr>
          </w:p>
        </w:tc>
        <w:tc>
          <w:tcPr>
            <w:tcW w:w="756" w:type="dxa"/>
            <w:vAlign w:val="center"/>
          </w:tcPr>
          <w:p w14:paraId="2F11B785">
            <w:pPr>
              <w:spacing w:line="360" w:lineRule="auto"/>
              <w:jc w:val="center"/>
              <w:rPr>
                <w:rFonts w:ascii="宋体" w:hAnsi="宋体" w:cs="宋体"/>
                <w:color w:val="auto"/>
                <w:szCs w:val="21"/>
                <w:highlight w:val="none"/>
              </w:rPr>
            </w:pPr>
          </w:p>
        </w:tc>
        <w:tc>
          <w:tcPr>
            <w:tcW w:w="893" w:type="dxa"/>
            <w:vAlign w:val="center"/>
          </w:tcPr>
          <w:p w14:paraId="55BA42B4">
            <w:pPr>
              <w:spacing w:line="360" w:lineRule="auto"/>
              <w:jc w:val="center"/>
              <w:rPr>
                <w:rFonts w:ascii="宋体" w:hAnsi="宋体" w:cs="宋体"/>
                <w:color w:val="auto"/>
                <w:szCs w:val="21"/>
                <w:highlight w:val="none"/>
              </w:rPr>
            </w:pPr>
          </w:p>
        </w:tc>
        <w:tc>
          <w:tcPr>
            <w:tcW w:w="1286" w:type="dxa"/>
            <w:vAlign w:val="center"/>
          </w:tcPr>
          <w:p w14:paraId="659DE7FA">
            <w:pPr>
              <w:spacing w:line="360" w:lineRule="auto"/>
              <w:jc w:val="center"/>
              <w:rPr>
                <w:rFonts w:ascii="宋体" w:hAnsi="宋体" w:cs="宋体"/>
                <w:color w:val="auto"/>
                <w:szCs w:val="21"/>
                <w:highlight w:val="none"/>
              </w:rPr>
            </w:pPr>
          </w:p>
        </w:tc>
        <w:tc>
          <w:tcPr>
            <w:tcW w:w="1287" w:type="dxa"/>
          </w:tcPr>
          <w:p w14:paraId="75D953EF">
            <w:pPr>
              <w:spacing w:line="360" w:lineRule="auto"/>
              <w:jc w:val="center"/>
              <w:rPr>
                <w:rFonts w:ascii="宋体" w:hAnsi="宋体" w:cs="宋体"/>
                <w:color w:val="auto"/>
                <w:szCs w:val="21"/>
                <w:highlight w:val="none"/>
              </w:rPr>
            </w:pPr>
          </w:p>
        </w:tc>
      </w:tr>
      <w:tr w14:paraId="3538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1FA52E4B">
            <w:pPr>
              <w:spacing w:line="360" w:lineRule="auto"/>
              <w:jc w:val="center"/>
              <w:rPr>
                <w:rFonts w:ascii="宋体" w:hAnsi="宋体" w:cs="宋体"/>
                <w:color w:val="auto"/>
                <w:szCs w:val="21"/>
                <w:highlight w:val="none"/>
              </w:rPr>
            </w:pPr>
          </w:p>
        </w:tc>
        <w:tc>
          <w:tcPr>
            <w:tcW w:w="890" w:type="dxa"/>
            <w:vAlign w:val="center"/>
          </w:tcPr>
          <w:p w14:paraId="1EEDAF57">
            <w:pPr>
              <w:spacing w:line="360" w:lineRule="auto"/>
              <w:jc w:val="center"/>
              <w:rPr>
                <w:rFonts w:ascii="宋体" w:hAnsi="宋体" w:cs="宋体"/>
                <w:color w:val="auto"/>
                <w:szCs w:val="21"/>
                <w:highlight w:val="none"/>
              </w:rPr>
            </w:pPr>
          </w:p>
        </w:tc>
        <w:tc>
          <w:tcPr>
            <w:tcW w:w="890" w:type="dxa"/>
            <w:vAlign w:val="center"/>
          </w:tcPr>
          <w:p w14:paraId="1F6C6A02">
            <w:pPr>
              <w:spacing w:line="360" w:lineRule="auto"/>
              <w:jc w:val="center"/>
              <w:rPr>
                <w:rFonts w:ascii="宋体" w:hAnsi="宋体" w:cs="宋体"/>
                <w:color w:val="auto"/>
                <w:szCs w:val="21"/>
                <w:highlight w:val="none"/>
              </w:rPr>
            </w:pPr>
          </w:p>
        </w:tc>
        <w:tc>
          <w:tcPr>
            <w:tcW w:w="1089" w:type="dxa"/>
            <w:vAlign w:val="center"/>
          </w:tcPr>
          <w:p w14:paraId="1D2B9A8E">
            <w:pPr>
              <w:spacing w:line="360" w:lineRule="auto"/>
              <w:jc w:val="center"/>
              <w:rPr>
                <w:rFonts w:ascii="宋体" w:hAnsi="宋体" w:cs="宋体"/>
                <w:color w:val="auto"/>
                <w:szCs w:val="21"/>
                <w:highlight w:val="none"/>
              </w:rPr>
            </w:pPr>
          </w:p>
        </w:tc>
        <w:tc>
          <w:tcPr>
            <w:tcW w:w="737" w:type="dxa"/>
            <w:vAlign w:val="center"/>
          </w:tcPr>
          <w:p w14:paraId="2CD50C88">
            <w:pPr>
              <w:spacing w:line="360" w:lineRule="auto"/>
              <w:jc w:val="center"/>
              <w:rPr>
                <w:rFonts w:ascii="宋体" w:hAnsi="宋体" w:cs="宋体"/>
                <w:color w:val="auto"/>
                <w:szCs w:val="21"/>
                <w:highlight w:val="none"/>
              </w:rPr>
            </w:pPr>
          </w:p>
        </w:tc>
        <w:tc>
          <w:tcPr>
            <w:tcW w:w="756" w:type="dxa"/>
            <w:vAlign w:val="center"/>
          </w:tcPr>
          <w:p w14:paraId="044E9A2C">
            <w:pPr>
              <w:spacing w:line="360" w:lineRule="auto"/>
              <w:jc w:val="center"/>
              <w:rPr>
                <w:rFonts w:ascii="宋体" w:hAnsi="宋体" w:cs="宋体"/>
                <w:color w:val="auto"/>
                <w:szCs w:val="21"/>
                <w:highlight w:val="none"/>
              </w:rPr>
            </w:pPr>
          </w:p>
        </w:tc>
        <w:tc>
          <w:tcPr>
            <w:tcW w:w="893" w:type="dxa"/>
            <w:vAlign w:val="center"/>
          </w:tcPr>
          <w:p w14:paraId="567D3884">
            <w:pPr>
              <w:spacing w:line="360" w:lineRule="auto"/>
              <w:jc w:val="center"/>
              <w:rPr>
                <w:rFonts w:ascii="宋体" w:hAnsi="宋体" w:cs="宋体"/>
                <w:color w:val="auto"/>
                <w:szCs w:val="21"/>
                <w:highlight w:val="none"/>
              </w:rPr>
            </w:pPr>
          </w:p>
        </w:tc>
        <w:tc>
          <w:tcPr>
            <w:tcW w:w="1286" w:type="dxa"/>
            <w:vAlign w:val="center"/>
          </w:tcPr>
          <w:p w14:paraId="1CEDF214">
            <w:pPr>
              <w:spacing w:line="360" w:lineRule="auto"/>
              <w:jc w:val="center"/>
              <w:rPr>
                <w:rFonts w:ascii="宋体" w:hAnsi="宋体" w:cs="宋体"/>
                <w:color w:val="auto"/>
                <w:szCs w:val="21"/>
                <w:highlight w:val="none"/>
              </w:rPr>
            </w:pPr>
          </w:p>
        </w:tc>
        <w:tc>
          <w:tcPr>
            <w:tcW w:w="1287" w:type="dxa"/>
          </w:tcPr>
          <w:p w14:paraId="6F6C9FBC">
            <w:pPr>
              <w:spacing w:line="360" w:lineRule="auto"/>
              <w:jc w:val="center"/>
              <w:rPr>
                <w:rFonts w:ascii="宋体" w:hAnsi="宋体" w:cs="宋体"/>
                <w:color w:val="auto"/>
                <w:szCs w:val="21"/>
                <w:highlight w:val="none"/>
              </w:rPr>
            </w:pPr>
          </w:p>
        </w:tc>
      </w:tr>
      <w:tr w14:paraId="1DF1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64966FD4">
            <w:pPr>
              <w:spacing w:line="360" w:lineRule="auto"/>
              <w:jc w:val="center"/>
              <w:rPr>
                <w:rFonts w:ascii="宋体" w:hAnsi="宋体" w:cs="宋体"/>
                <w:color w:val="auto"/>
                <w:szCs w:val="21"/>
                <w:highlight w:val="none"/>
              </w:rPr>
            </w:pPr>
          </w:p>
        </w:tc>
        <w:tc>
          <w:tcPr>
            <w:tcW w:w="890" w:type="dxa"/>
            <w:vAlign w:val="center"/>
          </w:tcPr>
          <w:p w14:paraId="7A4D0329">
            <w:pPr>
              <w:spacing w:line="360" w:lineRule="auto"/>
              <w:jc w:val="center"/>
              <w:rPr>
                <w:rFonts w:ascii="宋体" w:hAnsi="宋体" w:cs="宋体"/>
                <w:color w:val="auto"/>
                <w:szCs w:val="21"/>
                <w:highlight w:val="none"/>
              </w:rPr>
            </w:pPr>
          </w:p>
        </w:tc>
        <w:tc>
          <w:tcPr>
            <w:tcW w:w="890" w:type="dxa"/>
            <w:vAlign w:val="center"/>
          </w:tcPr>
          <w:p w14:paraId="777F325A">
            <w:pPr>
              <w:spacing w:line="360" w:lineRule="auto"/>
              <w:jc w:val="center"/>
              <w:rPr>
                <w:rFonts w:ascii="宋体" w:hAnsi="宋体" w:cs="宋体"/>
                <w:color w:val="auto"/>
                <w:szCs w:val="21"/>
                <w:highlight w:val="none"/>
              </w:rPr>
            </w:pPr>
          </w:p>
        </w:tc>
        <w:tc>
          <w:tcPr>
            <w:tcW w:w="1089" w:type="dxa"/>
            <w:vAlign w:val="center"/>
          </w:tcPr>
          <w:p w14:paraId="65BBADA4">
            <w:pPr>
              <w:spacing w:line="360" w:lineRule="auto"/>
              <w:jc w:val="center"/>
              <w:rPr>
                <w:rFonts w:ascii="宋体" w:hAnsi="宋体" w:cs="宋体"/>
                <w:color w:val="auto"/>
                <w:szCs w:val="21"/>
                <w:highlight w:val="none"/>
              </w:rPr>
            </w:pPr>
          </w:p>
        </w:tc>
        <w:tc>
          <w:tcPr>
            <w:tcW w:w="737" w:type="dxa"/>
            <w:vAlign w:val="center"/>
          </w:tcPr>
          <w:p w14:paraId="6C014BA9">
            <w:pPr>
              <w:spacing w:line="360" w:lineRule="auto"/>
              <w:jc w:val="center"/>
              <w:rPr>
                <w:rFonts w:ascii="宋体" w:hAnsi="宋体" w:cs="宋体"/>
                <w:color w:val="auto"/>
                <w:szCs w:val="21"/>
                <w:highlight w:val="none"/>
              </w:rPr>
            </w:pPr>
          </w:p>
        </w:tc>
        <w:tc>
          <w:tcPr>
            <w:tcW w:w="756" w:type="dxa"/>
            <w:vAlign w:val="center"/>
          </w:tcPr>
          <w:p w14:paraId="08C07F7E">
            <w:pPr>
              <w:spacing w:line="360" w:lineRule="auto"/>
              <w:jc w:val="center"/>
              <w:rPr>
                <w:rFonts w:ascii="宋体" w:hAnsi="宋体" w:cs="宋体"/>
                <w:color w:val="auto"/>
                <w:szCs w:val="21"/>
                <w:highlight w:val="none"/>
              </w:rPr>
            </w:pPr>
          </w:p>
        </w:tc>
        <w:tc>
          <w:tcPr>
            <w:tcW w:w="893" w:type="dxa"/>
            <w:vAlign w:val="center"/>
          </w:tcPr>
          <w:p w14:paraId="5BE7CA3B">
            <w:pPr>
              <w:spacing w:line="360" w:lineRule="auto"/>
              <w:jc w:val="center"/>
              <w:rPr>
                <w:rFonts w:ascii="宋体" w:hAnsi="宋体" w:cs="宋体"/>
                <w:color w:val="auto"/>
                <w:szCs w:val="21"/>
                <w:highlight w:val="none"/>
              </w:rPr>
            </w:pPr>
          </w:p>
        </w:tc>
        <w:tc>
          <w:tcPr>
            <w:tcW w:w="1286" w:type="dxa"/>
            <w:vAlign w:val="center"/>
          </w:tcPr>
          <w:p w14:paraId="664621E2">
            <w:pPr>
              <w:spacing w:line="360" w:lineRule="auto"/>
              <w:jc w:val="center"/>
              <w:rPr>
                <w:rFonts w:ascii="宋体" w:hAnsi="宋体" w:cs="宋体"/>
                <w:color w:val="auto"/>
                <w:szCs w:val="21"/>
                <w:highlight w:val="none"/>
              </w:rPr>
            </w:pPr>
          </w:p>
        </w:tc>
        <w:tc>
          <w:tcPr>
            <w:tcW w:w="1287" w:type="dxa"/>
          </w:tcPr>
          <w:p w14:paraId="2B8EBCE2">
            <w:pPr>
              <w:spacing w:line="360" w:lineRule="auto"/>
              <w:jc w:val="center"/>
              <w:rPr>
                <w:rFonts w:ascii="宋体" w:hAnsi="宋体" w:cs="宋体"/>
                <w:color w:val="auto"/>
                <w:szCs w:val="21"/>
                <w:highlight w:val="none"/>
              </w:rPr>
            </w:pPr>
          </w:p>
        </w:tc>
      </w:tr>
      <w:tr w14:paraId="3BA1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426D6382">
            <w:pPr>
              <w:spacing w:line="360" w:lineRule="auto"/>
              <w:jc w:val="center"/>
              <w:rPr>
                <w:rFonts w:ascii="宋体" w:hAnsi="宋体" w:cs="宋体"/>
                <w:color w:val="auto"/>
                <w:szCs w:val="21"/>
                <w:highlight w:val="none"/>
              </w:rPr>
            </w:pPr>
          </w:p>
        </w:tc>
        <w:tc>
          <w:tcPr>
            <w:tcW w:w="890" w:type="dxa"/>
            <w:vAlign w:val="center"/>
          </w:tcPr>
          <w:p w14:paraId="798F41CC">
            <w:pPr>
              <w:spacing w:line="360" w:lineRule="auto"/>
              <w:jc w:val="center"/>
              <w:rPr>
                <w:rFonts w:ascii="宋体" w:hAnsi="宋体" w:cs="宋体"/>
                <w:color w:val="auto"/>
                <w:szCs w:val="21"/>
                <w:highlight w:val="none"/>
              </w:rPr>
            </w:pPr>
          </w:p>
        </w:tc>
        <w:tc>
          <w:tcPr>
            <w:tcW w:w="890" w:type="dxa"/>
            <w:vAlign w:val="center"/>
          </w:tcPr>
          <w:p w14:paraId="07DC2B92">
            <w:pPr>
              <w:spacing w:line="360" w:lineRule="auto"/>
              <w:jc w:val="center"/>
              <w:rPr>
                <w:rFonts w:ascii="宋体" w:hAnsi="宋体" w:cs="宋体"/>
                <w:color w:val="auto"/>
                <w:szCs w:val="21"/>
                <w:highlight w:val="none"/>
              </w:rPr>
            </w:pPr>
          </w:p>
        </w:tc>
        <w:tc>
          <w:tcPr>
            <w:tcW w:w="1089" w:type="dxa"/>
            <w:vAlign w:val="center"/>
          </w:tcPr>
          <w:p w14:paraId="24802847">
            <w:pPr>
              <w:spacing w:line="360" w:lineRule="auto"/>
              <w:jc w:val="center"/>
              <w:rPr>
                <w:rFonts w:ascii="宋体" w:hAnsi="宋体" w:cs="宋体"/>
                <w:color w:val="auto"/>
                <w:szCs w:val="21"/>
                <w:highlight w:val="none"/>
              </w:rPr>
            </w:pPr>
          </w:p>
        </w:tc>
        <w:tc>
          <w:tcPr>
            <w:tcW w:w="737" w:type="dxa"/>
            <w:vAlign w:val="center"/>
          </w:tcPr>
          <w:p w14:paraId="6395F406">
            <w:pPr>
              <w:spacing w:line="360" w:lineRule="auto"/>
              <w:jc w:val="center"/>
              <w:rPr>
                <w:rFonts w:ascii="宋体" w:hAnsi="宋体" w:cs="宋体"/>
                <w:color w:val="auto"/>
                <w:szCs w:val="21"/>
                <w:highlight w:val="none"/>
              </w:rPr>
            </w:pPr>
          </w:p>
        </w:tc>
        <w:tc>
          <w:tcPr>
            <w:tcW w:w="756" w:type="dxa"/>
            <w:vAlign w:val="center"/>
          </w:tcPr>
          <w:p w14:paraId="0ABF67EB">
            <w:pPr>
              <w:spacing w:line="360" w:lineRule="auto"/>
              <w:jc w:val="center"/>
              <w:rPr>
                <w:rFonts w:ascii="宋体" w:hAnsi="宋体" w:cs="宋体"/>
                <w:color w:val="auto"/>
                <w:szCs w:val="21"/>
                <w:highlight w:val="none"/>
              </w:rPr>
            </w:pPr>
          </w:p>
        </w:tc>
        <w:tc>
          <w:tcPr>
            <w:tcW w:w="893" w:type="dxa"/>
            <w:vAlign w:val="center"/>
          </w:tcPr>
          <w:p w14:paraId="6C025EC3">
            <w:pPr>
              <w:spacing w:line="360" w:lineRule="auto"/>
              <w:jc w:val="center"/>
              <w:rPr>
                <w:rFonts w:ascii="宋体" w:hAnsi="宋体" w:cs="宋体"/>
                <w:color w:val="auto"/>
                <w:szCs w:val="21"/>
                <w:highlight w:val="none"/>
              </w:rPr>
            </w:pPr>
          </w:p>
        </w:tc>
        <w:tc>
          <w:tcPr>
            <w:tcW w:w="1286" w:type="dxa"/>
            <w:vAlign w:val="center"/>
          </w:tcPr>
          <w:p w14:paraId="31FA481E">
            <w:pPr>
              <w:spacing w:line="360" w:lineRule="auto"/>
              <w:jc w:val="center"/>
              <w:rPr>
                <w:rFonts w:ascii="宋体" w:hAnsi="宋体" w:cs="宋体"/>
                <w:color w:val="auto"/>
                <w:szCs w:val="21"/>
                <w:highlight w:val="none"/>
              </w:rPr>
            </w:pPr>
          </w:p>
        </w:tc>
        <w:tc>
          <w:tcPr>
            <w:tcW w:w="1287" w:type="dxa"/>
          </w:tcPr>
          <w:p w14:paraId="69AD6250">
            <w:pPr>
              <w:spacing w:line="360" w:lineRule="auto"/>
              <w:jc w:val="center"/>
              <w:rPr>
                <w:rFonts w:ascii="宋体" w:hAnsi="宋体" w:cs="宋体"/>
                <w:color w:val="auto"/>
                <w:szCs w:val="21"/>
                <w:highlight w:val="none"/>
              </w:rPr>
            </w:pPr>
          </w:p>
        </w:tc>
      </w:tr>
      <w:tr w14:paraId="5816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41713AA9">
            <w:pPr>
              <w:spacing w:line="360" w:lineRule="auto"/>
              <w:jc w:val="center"/>
              <w:rPr>
                <w:rFonts w:ascii="宋体" w:hAnsi="宋体" w:cs="宋体"/>
                <w:color w:val="auto"/>
                <w:szCs w:val="21"/>
                <w:highlight w:val="none"/>
              </w:rPr>
            </w:pPr>
          </w:p>
        </w:tc>
        <w:tc>
          <w:tcPr>
            <w:tcW w:w="890" w:type="dxa"/>
            <w:vAlign w:val="center"/>
          </w:tcPr>
          <w:p w14:paraId="2FE434F8">
            <w:pPr>
              <w:spacing w:line="360" w:lineRule="auto"/>
              <w:jc w:val="center"/>
              <w:rPr>
                <w:rFonts w:ascii="宋体" w:hAnsi="宋体" w:cs="宋体"/>
                <w:color w:val="auto"/>
                <w:szCs w:val="21"/>
                <w:highlight w:val="none"/>
              </w:rPr>
            </w:pPr>
          </w:p>
        </w:tc>
        <w:tc>
          <w:tcPr>
            <w:tcW w:w="890" w:type="dxa"/>
            <w:vAlign w:val="center"/>
          </w:tcPr>
          <w:p w14:paraId="60D0E42F">
            <w:pPr>
              <w:spacing w:line="360" w:lineRule="auto"/>
              <w:jc w:val="center"/>
              <w:rPr>
                <w:rFonts w:ascii="宋体" w:hAnsi="宋体" w:cs="宋体"/>
                <w:color w:val="auto"/>
                <w:szCs w:val="21"/>
                <w:highlight w:val="none"/>
              </w:rPr>
            </w:pPr>
          </w:p>
        </w:tc>
        <w:tc>
          <w:tcPr>
            <w:tcW w:w="1089" w:type="dxa"/>
            <w:vAlign w:val="center"/>
          </w:tcPr>
          <w:p w14:paraId="48CED3F6">
            <w:pPr>
              <w:spacing w:line="360" w:lineRule="auto"/>
              <w:jc w:val="center"/>
              <w:rPr>
                <w:rFonts w:ascii="宋体" w:hAnsi="宋体" w:cs="宋体"/>
                <w:color w:val="auto"/>
                <w:szCs w:val="21"/>
                <w:highlight w:val="none"/>
              </w:rPr>
            </w:pPr>
          </w:p>
        </w:tc>
        <w:tc>
          <w:tcPr>
            <w:tcW w:w="737" w:type="dxa"/>
            <w:vAlign w:val="center"/>
          </w:tcPr>
          <w:p w14:paraId="41A66BFE">
            <w:pPr>
              <w:spacing w:line="360" w:lineRule="auto"/>
              <w:jc w:val="center"/>
              <w:rPr>
                <w:rFonts w:ascii="宋体" w:hAnsi="宋体" w:cs="宋体"/>
                <w:color w:val="auto"/>
                <w:szCs w:val="21"/>
                <w:highlight w:val="none"/>
              </w:rPr>
            </w:pPr>
          </w:p>
        </w:tc>
        <w:tc>
          <w:tcPr>
            <w:tcW w:w="756" w:type="dxa"/>
            <w:vAlign w:val="center"/>
          </w:tcPr>
          <w:p w14:paraId="2889D122">
            <w:pPr>
              <w:spacing w:line="360" w:lineRule="auto"/>
              <w:jc w:val="center"/>
              <w:rPr>
                <w:rFonts w:ascii="宋体" w:hAnsi="宋体" w:cs="宋体"/>
                <w:color w:val="auto"/>
                <w:szCs w:val="21"/>
                <w:highlight w:val="none"/>
              </w:rPr>
            </w:pPr>
          </w:p>
        </w:tc>
        <w:tc>
          <w:tcPr>
            <w:tcW w:w="893" w:type="dxa"/>
            <w:vAlign w:val="center"/>
          </w:tcPr>
          <w:p w14:paraId="4A28C15E">
            <w:pPr>
              <w:spacing w:line="360" w:lineRule="auto"/>
              <w:jc w:val="center"/>
              <w:rPr>
                <w:rFonts w:ascii="宋体" w:hAnsi="宋体" w:cs="宋体"/>
                <w:color w:val="auto"/>
                <w:szCs w:val="21"/>
                <w:highlight w:val="none"/>
              </w:rPr>
            </w:pPr>
          </w:p>
        </w:tc>
        <w:tc>
          <w:tcPr>
            <w:tcW w:w="1286" w:type="dxa"/>
            <w:vAlign w:val="center"/>
          </w:tcPr>
          <w:p w14:paraId="188F1FF2">
            <w:pPr>
              <w:spacing w:line="360" w:lineRule="auto"/>
              <w:jc w:val="center"/>
              <w:rPr>
                <w:rFonts w:ascii="宋体" w:hAnsi="宋体" w:cs="宋体"/>
                <w:color w:val="auto"/>
                <w:szCs w:val="21"/>
                <w:highlight w:val="none"/>
              </w:rPr>
            </w:pPr>
          </w:p>
        </w:tc>
        <w:tc>
          <w:tcPr>
            <w:tcW w:w="1287" w:type="dxa"/>
          </w:tcPr>
          <w:p w14:paraId="45C956DD">
            <w:pPr>
              <w:spacing w:line="360" w:lineRule="auto"/>
              <w:jc w:val="center"/>
              <w:rPr>
                <w:rFonts w:ascii="宋体" w:hAnsi="宋体" w:cs="宋体"/>
                <w:color w:val="auto"/>
                <w:szCs w:val="21"/>
                <w:highlight w:val="none"/>
              </w:rPr>
            </w:pPr>
          </w:p>
        </w:tc>
      </w:tr>
      <w:tr w14:paraId="3BAB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661067D7">
            <w:pPr>
              <w:spacing w:line="360" w:lineRule="auto"/>
              <w:jc w:val="center"/>
              <w:rPr>
                <w:rFonts w:ascii="宋体" w:hAnsi="宋体" w:cs="宋体"/>
                <w:color w:val="auto"/>
                <w:szCs w:val="21"/>
                <w:highlight w:val="none"/>
              </w:rPr>
            </w:pPr>
          </w:p>
        </w:tc>
        <w:tc>
          <w:tcPr>
            <w:tcW w:w="890" w:type="dxa"/>
            <w:vAlign w:val="center"/>
          </w:tcPr>
          <w:p w14:paraId="1E6C8C9B">
            <w:pPr>
              <w:spacing w:line="360" w:lineRule="auto"/>
              <w:jc w:val="center"/>
              <w:rPr>
                <w:rFonts w:ascii="宋体" w:hAnsi="宋体" w:cs="宋体"/>
                <w:color w:val="auto"/>
                <w:szCs w:val="21"/>
                <w:highlight w:val="none"/>
              </w:rPr>
            </w:pPr>
          </w:p>
        </w:tc>
        <w:tc>
          <w:tcPr>
            <w:tcW w:w="890" w:type="dxa"/>
            <w:vAlign w:val="center"/>
          </w:tcPr>
          <w:p w14:paraId="455AE68F">
            <w:pPr>
              <w:spacing w:line="360" w:lineRule="auto"/>
              <w:jc w:val="center"/>
              <w:rPr>
                <w:rFonts w:ascii="宋体" w:hAnsi="宋体" w:cs="宋体"/>
                <w:color w:val="auto"/>
                <w:szCs w:val="21"/>
                <w:highlight w:val="none"/>
              </w:rPr>
            </w:pPr>
          </w:p>
        </w:tc>
        <w:tc>
          <w:tcPr>
            <w:tcW w:w="1089" w:type="dxa"/>
            <w:vAlign w:val="center"/>
          </w:tcPr>
          <w:p w14:paraId="4B4BC408">
            <w:pPr>
              <w:spacing w:line="360" w:lineRule="auto"/>
              <w:jc w:val="center"/>
              <w:rPr>
                <w:rFonts w:ascii="宋体" w:hAnsi="宋体" w:cs="宋体"/>
                <w:color w:val="auto"/>
                <w:szCs w:val="21"/>
                <w:highlight w:val="none"/>
              </w:rPr>
            </w:pPr>
          </w:p>
        </w:tc>
        <w:tc>
          <w:tcPr>
            <w:tcW w:w="737" w:type="dxa"/>
            <w:vAlign w:val="center"/>
          </w:tcPr>
          <w:p w14:paraId="34AC36B5">
            <w:pPr>
              <w:spacing w:line="360" w:lineRule="auto"/>
              <w:jc w:val="center"/>
              <w:rPr>
                <w:rFonts w:ascii="宋体" w:hAnsi="宋体" w:cs="宋体"/>
                <w:color w:val="auto"/>
                <w:szCs w:val="21"/>
                <w:highlight w:val="none"/>
              </w:rPr>
            </w:pPr>
          </w:p>
        </w:tc>
        <w:tc>
          <w:tcPr>
            <w:tcW w:w="756" w:type="dxa"/>
            <w:vAlign w:val="center"/>
          </w:tcPr>
          <w:p w14:paraId="4DBB8263">
            <w:pPr>
              <w:spacing w:line="360" w:lineRule="auto"/>
              <w:jc w:val="center"/>
              <w:rPr>
                <w:rFonts w:ascii="宋体" w:hAnsi="宋体" w:cs="宋体"/>
                <w:color w:val="auto"/>
                <w:szCs w:val="21"/>
                <w:highlight w:val="none"/>
              </w:rPr>
            </w:pPr>
          </w:p>
        </w:tc>
        <w:tc>
          <w:tcPr>
            <w:tcW w:w="893" w:type="dxa"/>
            <w:vAlign w:val="center"/>
          </w:tcPr>
          <w:p w14:paraId="2D85F87E">
            <w:pPr>
              <w:spacing w:line="360" w:lineRule="auto"/>
              <w:jc w:val="center"/>
              <w:rPr>
                <w:rFonts w:ascii="宋体" w:hAnsi="宋体" w:cs="宋体"/>
                <w:color w:val="auto"/>
                <w:szCs w:val="21"/>
                <w:highlight w:val="none"/>
              </w:rPr>
            </w:pPr>
          </w:p>
        </w:tc>
        <w:tc>
          <w:tcPr>
            <w:tcW w:w="1286" w:type="dxa"/>
            <w:vAlign w:val="center"/>
          </w:tcPr>
          <w:p w14:paraId="079ABC2A">
            <w:pPr>
              <w:spacing w:line="360" w:lineRule="auto"/>
              <w:jc w:val="center"/>
              <w:rPr>
                <w:rFonts w:ascii="宋体" w:hAnsi="宋体" w:cs="宋体"/>
                <w:color w:val="auto"/>
                <w:szCs w:val="21"/>
                <w:highlight w:val="none"/>
              </w:rPr>
            </w:pPr>
          </w:p>
        </w:tc>
        <w:tc>
          <w:tcPr>
            <w:tcW w:w="1287" w:type="dxa"/>
          </w:tcPr>
          <w:p w14:paraId="5631482F">
            <w:pPr>
              <w:spacing w:line="360" w:lineRule="auto"/>
              <w:jc w:val="center"/>
              <w:rPr>
                <w:rFonts w:ascii="宋体" w:hAnsi="宋体" w:cs="宋体"/>
                <w:color w:val="auto"/>
                <w:szCs w:val="21"/>
                <w:highlight w:val="none"/>
              </w:rPr>
            </w:pPr>
          </w:p>
        </w:tc>
      </w:tr>
      <w:tr w14:paraId="6516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2F9EF634">
            <w:pPr>
              <w:spacing w:line="360" w:lineRule="auto"/>
              <w:jc w:val="center"/>
              <w:rPr>
                <w:rFonts w:ascii="宋体" w:hAnsi="宋体" w:cs="宋体"/>
                <w:color w:val="auto"/>
                <w:szCs w:val="21"/>
                <w:highlight w:val="none"/>
              </w:rPr>
            </w:pPr>
          </w:p>
        </w:tc>
        <w:tc>
          <w:tcPr>
            <w:tcW w:w="890" w:type="dxa"/>
            <w:vAlign w:val="center"/>
          </w:tcPr>
          <w:p w14:paraId="0057EA62">
            <w:pPr>
              <w:spacing w:line="360" w:lineRule="auto"/>
              <w:jc w:val="center"/>
              <w:rPr>
                <w:rFonts w:ascii="宋体" w:hAnsi="宋体" w:cs="宋体"/>
                <w:color w:val="auto"/>
                <w:szCs w:val="21"/>
                <w:highlight w:val="none"/>
              </w:rPr>
            </w:pPr>
          </w:p>
        </w:tc>
        <w:tc>
          <w:tcPr>
            <w:tcW w:w="890" w:type="dxa"/>
            <w:vAlign w:val="center"/>
          </w:tcPr>
          <w:p w14:paraId="47C75BA3">
            <w:pPr>
              <w:spacing w:line="360" w:lineRule="auto"/>
              <w:jc w:val="center"/>
              <w:rPr>
                <w:rFonts w:ascii="宋体" w:hAnsi="宋体" w:cs="宋体"/>
                <w:color w:val="auto"/>
                <w:szCs w:val="21"/>
                <w:highlight w:val="none"/>
              </w:rPr>
            </w:pPr>
          </w:p>
        </w:tc>
        <w:tc>
          <w:tcPr>
            <w:tcW w:w="1089" w:type="dxa"/>
            <w:vAlign w:val="center"/>
          </w:tcPr>
          <w:p w14:paraId="4613523C">
            <w:pPr>
              <w:spacing w:line="360" w:lineRule="auto"/>
              <w:jc w:val="center"/>
              <w:rPr>
                <w:rFonts w:ascii="宋体" w:hAnsi="宋体" w:cs="宋体"/>
                <w:color w:val="auto"/>
                <w:szCs w:val="21"/>
                <w:highlight w:val="none"/>
              </w:rPr>
            </w:pPr>
          </w:p>
        </w:tc>
        <w:tc>
          <w:tcPr>
            <w:tcW w:w="737" w:type="dxa"/>
            <w:vAlign w:val="center"/>
          </w:tcPr>
          <w:p w14:paraId="6E469DBD">
            <w:pPr>
              <w:spacing w:line="360" w:lineRule="auto"/>
              <w:jc w:val="center"/>
              <w:rPr>
                <w:rFonts w:ascii="宋体" w:hAnsi="宋体" w:cs="宋体"/>
                <w:color w:val="auto"/>
                <w:szCs w:val="21"/>
                <w:highlight w:val="none"/>
              </w:rPr>
            </w:pPr>
          </w:p>
        </w:tc>
        <w:tc>
          <w:tcPr>
            <w:tcW w:w="756" w:type="dxa"/>
            <w:vAlign w:val="center"/>
          </w:tcPr>
          <w:p w14:paraId="261E429D">
            <w:pPr>
              <w:spacing w:line="360" w:lineRule="auto"/>
              <w:jc w:val="center"/>
              <w:rPr>
                <w:rFonts w:ascii="宋体" w:hAnsi="宋体" w:cs="宋体"/>
                <w:color w:val="auto"/>
                <w:szCs w:val="21"/>
                <w:highlight w:val="none"/>
              </w:rPr>
            </w:pPr>
          </w:p>
        </w:tc>
        <w:tc>
          <w:tcPr>
            <w:tcW w:w="893" w:type="dxa"/>
            <w:vAlign w:val="center"/>
          </w:tcPr>
          <w:p w14:paraId="71EE4AB0">
            <w:pPr>
              <w:spacing w:line="360" w:lineRule="auto"/>
              <w:jc w:val="center"/>
              <w:rPr>
                <w:rFonts w:ascii="宋体" w:hAnsi="宋体" w:cs="宋体"/>
                <w:color w:val="auto"/>
                <w:szCs w:val="21"/>
                <w:highlight w:val="none"/>
              </w:rPr>
            </w:pPr>
          </w:p>
        </w:tc>
        <w:tc>
          <w:tcPr>
            <w:tcW w:w="1286" w:type="dxa"/>
            <w:vAlign w:val="center"/>
          </w:tcPr>
          <w:p w14:paraId="5DB430FB">
            <w:pPr>
              <w:spacing w:line="360" w:lineRule="auto"/>
              <w:jc w:val="center"/>
              <w:rPr>
                <w:rFonts w:ascii="宋体" w:hAnsi="宋体" w:cs="宋体"/>
                <w:color w:val="auto"/>
                <w:szCs w:val="21"/>
                <w:highlight w:val="none"/>
              </w:rPr>
            </w:pPr>
          </w:p>
        </w:tc>
        <w:tc>
          <w:tcPr>
            <w:tcW w:w="1287" w:type="dxa"/>
          </w:tcPr>
          <w:p w14:paraId="64C7EE83">
            <w:pPr>
              <w:spacing w:line="360" w:lineRule="auto"/>
              <w:jc w:val="center"/>
              <w:rPr>
                <w:rFonts w:ascii="宋体" w:hAnsi="宋体" w:cs="宋体"/>
                <w:color w:val="auto"/>
                <w:szCs w:val="21"/>
                <w:highlight w:val="none"/>
              </w:rPr>
            </w:pPr>
          </w:p>
        </w:tc>
      </w:tr>
      <w:tr w14:paraId="2FE1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1B53BBA7">
            <w:pPr>
              <w:spacing w:line="360" w:lineRule="auto"/>
              <w:jc w:val="center"/>
              <w:rPr>
                <w:rFonts w:ascii="宋体" w:hAnsi="宋体" w:cs="宋体"/>
                <w:color w:val="auto"/>
                <w:szCs w:val="21"/>
                <w:highlight w:val="none"/>
              </w:rPr>
            </w:pPr>
          </w:p>
        </w:tc>
        <w:tc>
          <w:tcPr>
            <w:tcW w:w="890" w:type="dxa"/>
            <w:vAlign w:val="center"/>
          </w:tcPr>
          <w:p w14:paraId="7652C2FE">
            <w:pPr>
              <w:spacing w:line="360" w:lineRule="auto"/>
              <w:jc w:val="center"/>
              <w:rPr>
                <w:rFonts w:ascii="宋体" w:hAnsi="宋体" w:cs="宋体"/>
                <w:color w:val="auto"/>
                <w:szCs w:val="21"/>
                <w:highlight w:val="none"/>
              </w:rPr>
            </w:pPr>
          </w:p>
        </w:tc>
        <w:tc>
          <w:tcPr>
            <w:tcW w:w="890" w:type="dxa"/>
            <w:vAlign w:val="center"/>
          </w:tcPr>
          <w:p w14:paraId="600F757F">
            <w:pPr>
              <w:spacing w:line="360" w:lineRule="auto"/>
              <w:jc w:val="center"/>
              <w:rPr>
                <w:rFonts w:ascii="宋体" w:hAnsi="宋体" w:cs="宋体"/>
                <w:color w:val="auto"/>
                <w:szCs w:val="21"/>
                <w:highlight w:val="none"/>
              </w:rPr>
            </w:pPr>
          </w:p>
        </w:tc>
        <w:tc>
          <w:tcPr>
            <w:tcW w:w="1089" w:type="dxa"/>
            <w:vAlign w:val="center"/>
          </w:tcPr>
          <w:p w14:paraId="4C1B6047">
            <w:pPr>
              <w:spacing w:line="360" w:lineRule="auto"/>
              <w:jc w:val="center"/>
              <w:rPr>
                <w:rFonts w:ascii="宋体" w:hAnsi="宋体" w:cs="宋体"/>
                <w:color w:val="auto"/>
                <w:szCs w:val="21"/>
                <w:highlight w:val="none"/>
              </w:rPr>
            </w:pPr>
          </w:p>
        </w:tc>
        <w:tc>
          <w:tcPr>
            <w:tcW w:w="737" w:type="dxa"/>
            <w:vAlign w:val="center"/>
          </w:tcPr>
          <w:p w14:paraId="51496726">
            <w:pPr>
              <w:spacing w:line="360" w:lineRule="auto"/>
              <w:jc w:val="center"/>
              <w:rPr>
                <w:rFonts w:ascii="宋体" w:hAnsi="宋体" w:cs="宋体"/>
                <w:color w:val="auto"/>
                <w:szCs w:val="21"/>
                <w:highlight w:val="none"/>
              </w:rPr>
            </w:pPr>
          </w:p>
        </w:tc>
        <w:tc>
          <w:tcPr>
            <w:tcW w:w="756" w:type="dxa"/>
            <w:vAlign w:val="center"/>
          </w:tcPr>
          <w:p w14:paraId="0806F11A">
            <w:pPr>
              <w:spacing w:line="360" w:lineRule="auto"/>
              <w:jc w:val="center"/>
              <w:rPr>
                <w:rFonts w:ascii="宋体" w:hAnsi="宋体" w:cs="宋体"/>
                <w:color w:val="auto"/>
                <w:szCs w:val="21"/>
                <w:highlight w:val="none"/>
              </w:rPr>
            </w:pPr>
          </w:p>
        </w:tc>
        <w:tc>
          <w:tcPr>
            <w:tcW w:w="893" w:type="dxa"/>
            <w:vAlign w:val="center"/>
          </w:tcPr>
          <w:p w14:paraId="0D5C3330">
            <w:pPr>
              <w:spacing w:line="360" w:lineRule="auto"/>
              <w:jc w:val="center"/>
              <w:rPr>
                <w:rFonts w:ascii="宋体" w:hAnsi="宋体" w:cs="宋体"/>
                <w:color w:val="auto"/>
                <w:szCs w:val="21"/>
                <w:highlight w:val="none"/>
              </w:rPr>
            </w:pPr>
          </w:p>
        </w:tc>
        <w:tc>
          <w:tcPr>
            <w:tcW w:w="1286" w:type="dxa"/>
            <w:vAlign w:val="center"/>
          </w:tcPr>
          <w:p w14:paraId="25246984">
            <w:pPr>
              <w:spacing w:line="360" w:lineRule="auto"/>
              <w:jc w:val="center"/>
              <w:rPr>
                <w:rFonts w:ascii="宋体" w:hAnsi="宋体" w:cs="宋体"/>
                <w:color w:val="auto"/>
                <w:szCs w:val="21"/>
                <w:highlight w:val="none"/>
              </w:rPr>
            </w:pPr>
          </w:p>
        </w:tc>
        <w:tc>
          <w:tcPr>
            <w:tcW w:w="1287" w:type="dxa"/>
          </w:tcPr>
          <w:p w14:paraId="00F0C5D2">
            <w:pPr>
              <w:spacing w:line="360" w:lineRule="auto"/>
              <w:jc w:val="center"/>
              <w:rPr>
                <w:rFonts w:ascii="宋体" w:hAnsi="宋体" w:cs="宋体"/>
                <w:color w:val="auto"/>
                <w:szCs w:val="21"/>
                <w:highlight w:val="none"/>
              </w:rPr>
            </w:pPr>
          </w:p>
        </w:tc>
      </w:tr>
      <w:tr w14:paraId="1868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048620B0">
            <w:pPr>
              <w:spacing w:line="360" w:lineRule="auto"/>
              <w:jc w:val="center"/>
              <w:rPr>
                <w:rFonts w:ascii="宋体" w:hAnsi="宋体" w:cs="宋体"/>
                <w:color w:val="auto"/>
                <w:szCs w:val="21"/>
                <w:highlight w:val="none"/>
              </w:rPr>
            </w:pPr>
          </w:p>
        </w:tc>
        <w:tc>
          <w:tcPr>
            <w:tcW w:w="890" w:type="dxa"/>
            <w:vAlign w:val="center"/>
          </w:tcPr>
          <w:p w14:paraId="28A0AE6F">
            <w:pPr>
              <w:spacing w:line="360" w:lineRule="auto"/>
              <w:jc w:val="center"/>
              <w:rPr>
                <w:rFonts w:ascii="宋体" w:hAnsi="宋体" w:cs="宋体"/>
                <w:color w:val="auto"/>
                <w:szCs w:val="21"/>
                <w:highlight w:val="none"/>
              </w:rPr>
            </w:pPr>
          </w:p>
        </w:tc>
        <w:tc>
          <w:tcPr>
            <w:tcW w:w="890" w:type="dxa"/>
            <w:vAlign w:val="center"/>
          </w:tcPr>
          <w:p w14:paraId="375093C8">
            <w:pPr>
              <w:spacing w:line="360" w:lineRule="auto"/>
              <w:jc w:val="center"/>
              <w:rPr>
                <w:rFonts w:ascii="宋体" w:hAnsi="宋体" w:cs="宋体"/>
                <w:color w:val="auto"/>
                <w:szCs w:val="21"/>
                <w:highlight w:val="none"/>
              </w:rPr>
            </w:pPr>
          </w:p>
        </w:tc>
        <w:tc>
          <w:tcPr>
            <w:tcW w:w="1089" w:type="dxa"/>
            <w:vAlign w:val="center"/>
          </w:tcPr>
          <w:p w14:paraId="29422B5F">
            <w:pPr>
              <w:spacing w:line="360" w:lineRule="auto"/>
              <w:jc w:val="center"/>
              <w:rPr>
                <w:rFonts w:ascii="宋体" w:hAnsi="宋体" w:cs="宋体"/>
                <w:color w:val="auto"/>
                <w:szCs w:val="21"/>
                <w:highlight w:val="none"/>
              </w:rPr>
            </w:pPr>
          </w:p>
        </w:tc>
        <w:tc>
          <w:tcPr>
            <w:tcW w:w="737" w:type="dxa"/>
            <w:vAlign w:val="center"/>
          </w:tcPr>
          <w:p w14:paraId="6A86B739">
            <w:pPr>
              <w:spacing w:line="360" w:lineRule="auto"/>
              <w:jc w:val="center"/>
              <w:rPr>
                <w:rFonts w:ascii="宋体" w:hAnsi="宋体" w:cs="宋体"/>
                <w:color w:val="auto"/>
                <w:szCs w:val="21"/>
                <w:highlight w:val="none"/>
              </w:rPr>
            </w:pPr>
          </w:p>
        </w:tc>
        <w:tc>
          <w:tcPr>
            <w:tcW w:w="756" w:type="dxa"/>
            <w:vAlign w:val="center"/>
          </w:tcPr>
          <w:p w14:paraId="4D2FEC22">
            <w:pPr>
              <w:spacing w:line="360" w:lineRule="auto"/>
              <w:jc w:val="center"/>
              <w:rPr>
                <w:rFonts w:ascii="宋体" w:hAnsi="宋体" w:cs="宋体"/>
                <w:color w:val="auto"/>
                <w:szCs w:val="21"/>
                <w:highlight w:val="none"/>
              </w:rPr>
            </w:pPr>
          </w:p>
        </w:tc>
        <w:tc>
          <w:tcPr>
            <w:tcW w:w="893" w:type="dxa"/>
            <w:vAlign w:val="center"/>
          </w:tcPr>
          <w:p w14:paraId="4282B9CE">
            <w:pPr>
              <w:spacing w:line="360" w:lineRule="auto"/>
              <w:jc w:val="center"/>
              <w:rPr>
                <w:rFonts w:ascii="宋体" w:hAnsi="宋体" w:cs="宋体"/>
                <w:color w:val="auto"/>
                <w:szCs w:val="21"/>
                <w:highlight w:val="none"/>
              </w:rPr>
            </w:pPr>
          </w:p>
        </w:tc>
        <w:tc>
          <w:tcPr>
            <w:tcW w:w="1286" w:type="dxa"/>
            <w:vAlign w:val="center"/>
          </w:tcPr>
          <w:p w14:paraId="2C1EEB6E">
            <w:pPr>
              <w:spacing w:line="360" w:lineRule="auto"/>
              <w:jc w:val="center"/>
              <w:rPr>
                <w:rFonts w:ascii="宋体" w:hAnsi="宋体" w:cs="宋体"/>
                <w:color w:val="auto"/>
                <w:szCs w:val="21"/>
                <w:highlight w:val="none"/>
              </w:rPr>
            </w:pPr>
          </w:p>
        </w:tc>
        <w:tc>
          <w:tcPr>
            <w:tcW w:w="1287" w:type="dxa"/>
          </w:tcPr>
          <w:p w14:paraId="393A9B66">
            <w:pPr>
              <w:spacing w:line="360" w:lineRule="auto"/>
              <w:jc w:val="center"/>
              <w:rPr>
                <w:rFonts w:ascii="宋体" w:hAnsi="宋体" w:cs="宋体"/>
                <w:color w:val="auto"/>
                <w:szCs w:val="21"/>
                <w:highlight w:val="none"/>
              </w:rPr>
            </w:pPr>
          </w:p>
        </w:tc>
      </w:tr>
      <w:tr w14:paraId="2EB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7B1CA1E5">
            <w:pPr>
              <w:spacing w:line="360" w:lineRule="auto"/>
              <w:jc w:val="center"/>
              <w:rPr>
                <w:rFonts w:ascii="宋体" w:hAnsi="宋体" w:cs="宋体"/>
                <w:color w:val="auto"/>
                <w:szCs w:val="21"/>
                <w:highlight w:val="none"/>
              </w:rPr>
            </w:pPr>
          </w:p>
        </w:tc>
        <w:tc>
          <w:tcPr>
            <w:tcW w:w="890" w:type="dxa"/>
            <w:vAlign w:val="center"/>
          </w:tcPr>
          <w:p w14:paraId="147BB6DF">
            <w:pPr>
              <w:spacing w:line="360" w:lineRule="auto"/>
              <w:jc w:val="center"/>
              <w:rPr>
                <w:rFonts w:ascii="宋体" w:hAnsi="宋体" w:cs="宋体"/>
                <w:color w:val="auto"/>
                <w:szCs w:val="21"/>
                <w:highlight w:val="none"/>
              </w:rPr>
            </w:pPr>
          </w:p>
        </w:tc>
        <w:tc>
          <w:tcPr>
            <w:tcW w:w="890" w:type="dxa"/>
            <w:vAlign w:val="center"/>
          </w:tcPr>
          <w:p w14:paraId="6923330B">
            <w:pPr>
              <w:spacing w:line="360" w:lineRule="auto"/>
              <w:jc w:val="center"/>
              <w:rPr>
                <w:rFonts w:ascii="宋体" w:hAnsi="宋体" w:cs="宋体"/>
                <w:color w:val="auto"/>
                <w:szCs w:val="21"/>
                <w:highlight w:val="none"/>
              </w:rPr>
            </w:pPr>
          </w:p>
        </w:tc>
        <w:tc>
          <w:tcPr>
            <w:tcW w:w="1089" w:type="dxa"/>
            <w:vAlign w:val="center"/>
          </w:tcPr>
          <w:p w14:paraId="066A2962">
            <w:pPr>
              <w:spacing w:line="360" w:lineRule="auto"/>
              <w:jc w:val="center"/>
              <w:rPr>
                <w:rFonts w:ascii="宋体" w:hAnsi="宋体" w:cs="宋体"/>
                <w:color w:val="auto"/>
                <w:szCs w:val="21"/>
                <w:highlight w:val="none"/>
              </w:rPr>
            </w:pPr>
          </w:p>
        </w:tc>
        <w:tc>
          <w:tcPr>
            <w:tcW w:w="737" w:type="dxa"/>
            <w:vAlign w:val="center"/>
          </w:tcPr>
          <w:p w14:paraId="31C235CC">
            <w:pPr>
              <w:spacing w:line="360" w:lineRule="auto"/>
              <w:jc w:val="center"/>
              <w:rPr>
                <w:rFonts w:ascii="宋体" w:hAnsi="宋体" w:cs="宋体"/>
                <w:color w:val="auto"/>
                <w:szCs w:val="21"/>
                <w:highlight w:val="none"/>
              </w:rPr>
            </w:pPr>
          </w:p>
        </w:tc>
        <w:tc>
          <w:tcPr>
            <w:tcW w:w="756" w:type="dxa"/>
            <w:vAlign w:val="center"/>
          </w:tcPr>
          <w:p w14:paraId="0296987F">
            <w:pPr>
              <w:spacing w:line="360" w:lineRule="auto"/>
              <w:jc w:val="center"/>
              <w:rPr>
                <w:rFonts w:ascii="宋体" w:hAnsi="宋体" w:cs="宋体"/>
                <w:color w:val="auto"/>
                <w:szCs w:val="21"/>
                <w:highlight w:val="none"/>
              </w:rPr>
            </w:pPr>
          </w:p>
        </w:tc>
        <w:tc>
          <w:tcPr>
            <w:tcW w:w="893" w:type="dxa"/>
            <w:vAlign w:val="center"/>
          </w:tcPr>
          <w:p w14:paraId="6664FB41">
            <w:pPr>
              <w:spacing w:line="360" w:lineRule="auto"/>
              <w:jc w:val="center"/>
              <w:rPr>
                <w:rFonts w:ascii="宋体" w:hAnsi="宋体" w:cs="宋体"/>
                <w:color w:val="auto"/>
                <w:szCs w:val="21"/>
                <w:highlight w:val="none"/>
              </w:rPr>
            </w:pPr>
          </w:p>
        </w:tc>
        <w:tc>
          <w:tcPr>
            <w:tcW w:w="1286" w:type="dxa"/>
            <w:vAlign w:val="center"/>
          </w:tcPr>
          <w:p w14:paraId="4B07D285">
            <w:pPr>
              <w:spacing w:line="360" w:lineRule="auto"/>
              <w:jc w:val="center"/>
              <w:rPr>
                <w:rFonts w:ascii="宋体" w:hAnsi="宋体" w:cs="宋体"/>
                <w:color w:val="auto"/>
                <w:szCs w:val="21"/>
                <w:highlight w:val="none"/>
              </w:rPr>
            </w:pPr>
          </w:p>
        </w:tc>
        <w:tc>
          <w:tcPr>
            <w:tcW w:w="1287" w:type="dxa"/>
          </w:tcPr>
          <w:p w14:paraId="062403FF">
            <w:pPr>
              <w:spacing w:line="360" w:lineRule="auto"/>
              <w:jc w:val="center"/>
              <w:rPr>
                <w:rFonts w:ascii="宋体" w:hAnsi="宋体" w:cs="宋体"/>
                <w:color w:val="auto"/>
                <w:szCs w:val="21"/>
                <w:highlight w:val="none"/>
              </w:rPr>
            </w:pPr>
          </w:p>
        </w:tc>
      </w:tr>
      <w:tr w14:paraId="4F23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0" w:type="dxa"/>
            <w:vAlign w:val="center"/>
          </w:tcPr>
          <w:p w14:paraId="336A28F2">
            <w:pPr>
              <w:spacing w:line="360" w:lineRule="auto"/>
              <w:jc w:val="center"/>
              <w:rPr>
                <w:rFonts w:ascii="宋体" w:hAnsi="宋体" w:cs="宋体"/>
                <w:color w:val="auto"/>
                <w:szCs w:val="21"/>
                <w:highlight w:val="none"/>
              </w:rPr>
            </w:pPr>
          </w:p>
        </w:tc>
        <w:tc>
          <w:tcPr>
            <w:tcW w:w="890" w:type="dxa"/>
            <w:vAlign w:val="center"/>
          </w:tcPr>
          <w:p w14:paraId="0AB1A010">
            <w:pPr>
              <w:spacing w:line="360" w:lineRule="auto"/>
              <w:jc w:val="center"/>
              <w:rPr>
                <w:rFonts w:ascii="宋体" w:hAnsi="宋体" w:cs="宋体"/>
                <w:color w:val="auto"/>
                <w:szCs w:val="21"/>
                <w:highlight w:val="none"/>
              </w:rPr>
            </w:pPr>
          </w:p>
        </w:tc>
        <w:tc>
          <w:tcPr>
            <w:tcW w:w="890" w:type="dxa"/>
            <w:vAlign w:val="center"/>
          </w:tcPr>
          <w:p w14:paraId="5B56389D">
            <w:pPr>
              <w:spacing w:line="360" w:lineRule="auto"/>
              <w:jc w:val="center"/>
              <w:rPr>
                <w:rFonts w:ascii="宋体" w:hAnsi="宋体" w:cs="宋体"/>
                <w:color w:val="auto"/>
                <w:szCs w:val="21"/>
                <w:highlight w:val="none"/>
              </w:rPr>
            </w:pPr>
          </w:p>
        </w:tc>
        <w:tc>
          <w:tcPr>
            <w:tcW w:w="1089" w:type="dxa"/>
            <w:vAlign w:val="center"/>
          </w:tcPr>
          <w:p w14:paraId="15C6BEB9">
            <w:pPr>
              <w:spacing w:line="360" w:lineRule="auto"/>
              <w:jc w:val="center"/>
              <w:rPr>
                <w:rFonts w:ascii="宋体" w:hAnsi="宋体" w:cs="宋体"/>
                <w:color w:val="auto"/>
                <w:szCs w:val="21"/>
                <w:highlight w:val="none"/>
              </w:rPr>
            </w:pPr>
          </w:p>
        </w:tc>
        <w:tc>
          <w:tcPr>
            <w:tcW w:w="737" w:type="dxa"/>
            <w:vAlign w:val="center"/>
          </w:tcPr>
          <w:p w14:paraId="048F70F7">
            <w:pPr>
              <w:spacing w:line="360" w:lineRule="auto"/>
              <w:jc w:val="center"/>
              <w:rPr>
                <w:rFonts w:ascii="宋体" w:hAnsi="宋体" w:cs="宋体"/>
                <w:color w:val="auto"/>
                <w:szCs w:val="21"/>
                <w:highlight w:val="none"/>
              </w:rPr>
            </w:pPr>
          </w:p>
        </w:tc>
        <w:tc>
          <w:tcPr>
            <w:tcW w:w="756" w:type="dxa"/>
            <w:vAlign w:val="center"/>
          </w:tcPr>
          <w:p w14:paraId="0DED5839">
            <w:pPr>
              <w:spacing w:line="360" w:lineRule="auto"/>
              <w:jc w:val="center"/>
              <w:rPr>
                <w:rFonts w:ascii="宋体" w:hAnsi="宋体" w:cs="宋体"/>
                <w:color w:val="auto"/>
                <w:szCs w:val="21"/>
                <w:highlight w:val="none"/>
              </w:rPr>
            </w:pPr>
          </w:p>
        </w:tc>
        <w:tc>
          <w:tcPr>
            <w:tcW w:w="893" w:type="dxa"/>
            <w:vAlign w:val="center"/>
          </w:tcPr>
          <w:p w14:paraId="655E47CA">
            <w:pPr>
              <w:spacing w:line="360" w:lineRule="auto"/>
              <w:jc w:val="center"/>
              <w:rPr>
                <w:rFonts w:ascii="宋体" w:hAnsi="宋体" w:cs="宋体"/>
                <w:color w:val="auto"/>
                <w:szCs w:val="21"/>
                <w:highlight w:val="none"/>
              </w:rPr>
            </w:pPr>
          </w:p>
        </w:tc>
        <w:tc>
          <w:tcPr>
            <w:tcW w:w="1286" w:type="dxa"/>
            <w:vAlign w:val="center"/>
          </w:tcPr>
          <w:p w14:paraId="6CF4FC5A">
            <w:pPr>
              <w:spacing w:line="360" w:lineRule="auto"/>
              <w:jc w:val="center"/>
              <w:rPr>
                <w:rFonts w:ascii="宋体" w:hAnsi="宋体" w:cs="宋体"/>
                <w:color w:val="auto"/>
                <w:szCs w:val="21"/>
                <w:highlight w:val="none"/>
              </w:rPr>
            </w:pPr>
          </w:p>
        </w:tc>
        <w:tc>
          <w:tcPr>
            <w:tcW w:w="1287" w:type="dxa"/>
          </w:tcPr>
          <w:p w14:paraId="0D81FF16">
            <w:pPr>
              <w:spacing w:line="360" w:lineRule="auto"/>
              <w:jc w:val="center"/>
              <w:rPr>
                <w:rFonts w:ascii="宋体" w:hAnsi="宋体" w:cs="宋体"/>
                <w:color w:val="auto"/>
                <w:szCs w:val="21"/>
                <w:highlight w:val="none"/>
              </w:rPr>
            </w:pPr>
          </w:p>
        </w:tc>
      </w:tr>
      <w:tr w14:paraId="47EB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0" w:type="dxa"/>
            <w:vAlign w:val="center"/>
          </w:tcPr>
          <w:p w14:paraId="251127C9">
            <w:pPr>
              <w:spacing w:line="360" w:lineRule="auto"/>
              <w:jc w:val="center"/>
              <w:rPr>
                <w:rFonts w:ascii="宋体" w:hAnsi="宋体" w:cs="宋体"/>
                <w:color w:val="auto"/>
                <w:szCs w:val="21"/>
                <w:highlight w:val="none"/>
              </w:rPr>
            </w:pPr>
          </w:p>
        </w:tc>
        <w:tc>
          <w:tcPr>
            <w:tcW w:w="890" w:type="dxa"/>
            <w:vAlign w:val="center"/>
          </w:tcPr>
          <w:p w14:paraId="1E300D88">
            <w:pPr>
              <w:spacing w:line="360" w:lineRule="auto"/>
              <w:jc w:val="center"/>
              <w:rPr>
                <w:rFonts w:ascii="宋体" w:hAnsi="宋体" w:cs="宋体"/>
                <w:color w:val="auto"/>
                <w:szCs w:val="21"/>
                <w:highlight w:val="none"/>
              </w:rPr>
            </w:pPr>
          </w:p>
        </w:tc>
        <w:tc>
          <w:tcPr>
            <w:tcW w:w="890" w:type="dxa"/>
            <w:vAlign w:val="center"/>
          </w:tcPr>
          <w:p w14:paraId="3483E722">
            <w:pPr>
              <w:spacing w:line="360" w:lineRule="auto"/>
              <w:jc w:val="center"/>
              <w:rPr>
                <w:rFonts w:ascii="宋体" w:hAnsi="宋体" w:cs="宋体"/>
                <w:color w:val="auto"/>
                <w:szCs w:val="21"/>
                <w:highlight w:val="none"/>
              </w:rPr>
            </w:pPr>
          </w:p>
        </w:tc>
        <w:tc>
          <w:tcPr>
            <w:tcW w:w="1089" w:type="dxa"/>
            <w:vAlign w:val="center"/>
          </w:tcPr>
          <w:p w14:paraId="4346DD31">
            <w:pPr>
              <w:spacing w:line="360" w:lineRule="auto"/>
              <w:jc w:val="center"/>
              <w:rPr>
                <w:rFonts w:ascii="宋体" w:hAnsi="宋体" w:cs="宋体"/>
                <w:color w:val="auto"/>
                <w:szCs w:val="21"/>
                <w:highlight w:val="none"/>
              </w:rPr>
            </w:pPr>
          </w:p>
        </w:tc>
        <w:tc>
          <w:tcPr>
            <w:tcW w:w="737" w:type="dxa"/>
            <w:vAlign w:val="center"/>
          </w:tcPr>
          <w:p w14:paraId="10A0727A">
            <w:pPr>
              <w:spacing w:line="360" w:lineRule="auto"/>
              <w:jc w:val="center"/>
              <w:rPr>
                <w:rFonts w:ascii="宋体" w:hAnsi="宋体" w:cs="宋体"/>
                <w:color w:val="auto"/>
                <w:szCs w:val="21"/>
                <w:highlight w:val="none"/>
              </w:rPr>
            </w:pPr>
          </w:p>
        </w:tc>
        <w:tc>
          <w:tcPr>
            <w:tcW w:w="756" w:type="dxa"/>
            <w:vAlign w:val="center"/>
          </w:tcPr>
          <w:p w14:paraId="76546558">
            <w:pPr>
              <w:spacing w:line="360" w:lineRule="auto"/>
              <w:jc w:val="center"/>
              <w:rPr>
                <w:rFonts w:ascii="宋体" w:hAnsi="宋体" w:cs="宋体"/>
                <w:color w:val="auto"/>
                <w:szCs w:val="21"/>
                <w:highlight w:val="none"/>
              </w:rPr>
            </w:pPr>
          </w:p>
        </w:tc>
        <w:tc>
          <w:tcPr>
            <w:tcW w:w="893" w:type="dxa"/>
            <w:vAlign w:val="center"/>
          </w:tcPr>
          <w:p w14:paraId="1EC0D58F">
            <w:pPr>
              <w:spacing w:line="360" w:lineRule="auto"/>
              <w:jc w:val="center"/>
              <w:rPr>
                <w:rFonts w:ascii="宋体" w:hAnsi="宋体" w:cs="宋体"/>
                <w:color w:val="auto"/>
                <w:szCs w:val="21"/>
                <w:highlight w:val="none"/>
              </w:rPr>
            </w:pPr>
          </w:p>
        </w:tc>
        <w:tc>
          <w:tcPr>
            <w:tcW w:w="1286" w:type="dxa"/>
            <w:vAlign w:val="center"/>
          </w:tcPr>
          <w:p w14:paraId="66CD9AB3">
            <w:pPr>
              <w:spacing w:line="360" w:lineRule="auto"/>
              <w:jc w:val="center"/>
              <w:rPr>
                <w:rFonts w:ascii="宋体" w:hAnsi="宋体" w:cs="宋体"/>
                <w:color w:val="auto"/>
                <w:szCs w:val="21"/>
                <w:highlight w:val="none"/>
              </w:rPr>
            </w:pPr>
          </w:p>
        </w:tc>
        <w:tc>
          <w:tcPr>
            <w:tcW w:w="1287" w:type="dxa"/>
          </w:tcPr>
          <w:p w14:paraId="78B4B75D">
            <w:pPr>
              <w:spacing w:line="360" w:lineRule="auto"/>
              <w:jc w:val="center"/>
              <w:rPr>
                <w:rFonts w:ascii="宋体" w:hAnsi="宋体" w:cs="宋体"/>
                <w:color w:val="auto"/>
                <w:szCs w:val="21"/>
                <w:highlight w:val="none"/>
              </w:rPr>
            </w:pPr>
          </w:p>
        </w:tc>
      </w:tr>
    </w:tbl>
    <w:p w14:paraId="2E827180">
      <w:pPr>
        <w:spacing w:line="360" w:lineRule="auto"/>
        <w:rPr>
          <w:rFonts w:ascii="宋体" w:hAnsi="宋体" w:cs="宋体"/>
          <w:color w:val="auto"/>
          <w:szCs w:val="21"/>
          <w:highlight w:val="none"/>
        </w:rPr>
      </w:pPr>
      <w:r>
        <w:rPr>
          <w:rFonts w:hint="eastAsia" w:ascii="宋体" w:hAnsi="宋体" w:cs="宋体"/>
          <w:color w:val="auto"/>
          <w:szCs w:val="21"/>
          <w:highlight w:val="none"/>
        </w:rPr>
        <w:t>注：后附相关人员简历表、证书复印件、从业</w:t>
      </w:r>
      <w:r>
        <w:rPr>
          <w:rFonts w:hint="eastAsia" w:ascii="宋体" w:hAnsi="宋体" w:cs="宋体"/>
          <w:color w:val="auto"/>
          <w:kern w:val="0"/>
          <w:szCs w:val="21"/>
          <w:highlight w:val="none"/>
        </w:rPr>
        <w:t>经验证明资料复印件等，以便评委酌情打分</w:t>
      </w:r>
      <w:r>
        <w:rPr>
          <w:rFonts w:hint="eastAsia" w:ascii="宋体" w:hAnsi="宋体" w:cs="宋体"/>
          <w:color w:val="auto"/>
          <w:szCs w:val="21"/>
          <w:highlight w:val="none"/>
        </w:rPr>
        <w:t>。</w:t>
      </w:r>
    </w:p>
    <w:p w14:paraId="5D49181C">
      <w:pPr>
        <w:adjustRightInd w:val="0"/>
        <w:snapToGrid w:val="0"/>
        <w:spacing w:line="400" w:lineRule="exact"/>
        <w:rPr>
          <w:rFonts w:ascii="宋体" w:hAnsi="宋体" w:cs="宋体"/>
          <w:color w:val="auto"/>
          <w:szCs w:val="21"/>
          <w:highlight w:val="none"/>
          <w:u w:val="single"/>
        </w:rPr>
      </w:pPr>
    </w:p>
    <w:p w14:paraId="582ED77E">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供应商全称（盖公章）：</w:t>
      </w:r>
    </w:p>
    <w:p w14:paraId="180DD724">
      <w:pPr>
        <w:pStyle w:val="18"/>
        <w:widowControl/>
        <w:spacing w:line="360" w:lineRule="auto"/>
        <w:jc w:val="right"/>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660335CD">
      <w:pPr>
        <w:spacing w:line="360" w:lineRule="auto"/>
        <w:ind w:right="180"/>
        <w:jc w:val="right"/>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14:paraId="2433DC61">
      <w:pPr>
        <w:rPr>
          <w:rStyle w:val="90"/>
          <w:rFonts w:ascii="宋体" w:hAnsi="宋体" w:cs="宋体"/>
          <w:color w:val="auto"/>
          <w:sz w:val="21"/>
          <w:szCs w:val="21"/>
          <w:highlight w:val="none"/>
        </w:rPr>
      </w:pPr>
      <w:r>
        <w:rPr>
          <w:rStyle w:val="90"/>
          <w:rFonts w:hint="eastAsia" w:ascii="宋体" w:hAnsi="宋体" w:cs="宋体"/>
          <w:color w:val="auto"/>
          <w:sz w:val="21"/>
          <w:szCs w:val="21"/>
          <w:highlight w:val="none"/>
        </w:rPr>
        <w:br w:type="page"/>
      </w:r>
    </w:p>
    <w:p w14:paraId="749A4615">
      <w:pPr>
        <w:spacing w:line="360" w:lineRule="auto"/>
        <w:jc w:val="center"/>
        <w:outlineLvl w:val="2"/>
        <w:rPr>
          <w:rFonts w:ascii="宋体" w:hAnsi="宋体" w:cs="宋体"/>
          <w:b/>
          <w:bCs/>
          <w:color w:val="auto"/>
          <w:sz w:val="28"/>
          <w:szCs w:val="28"/>
          <w:highlight w:val="none"/>
        </w:rPr>
      </w:pPr>
      <w:bookmarkStart w:id="473" w:name="_Toc8563"/>
      <w:bookmarkStart w:id="474" w:name="_Toc32721"/>
      <w:bookmarkStart w:id="475" w:name="_Toc23500"/>
      <w:bookmarkStart w:id="476" w:name="_Toc9808"/>
      <w:r>
        <w:rPr>
          <w:rStyle w:val="90"/>
          <w:rFonts w:hint="eastAsia" w:ascii="宋体" w:hAnsi="宋体" w:cs="宋体"/>
          <w:color w:val="auto"/>
          <w:szCs w:val="28"/>
          <w:highlight w:val="none"/>
        </w:rPr>
        <w:t>同类项目业绩表</w:t>
      </w:r>
      <w:bookmarkEnd w:id="473"/>
      <w:bookmarkEnd w:id="474"/>
      <w:bookmarkEnd w:id="475"/>
      <w:bookmarkEnd w:id="476"/>
    </w:p>
    <w:p w14:paraId="5D7F9375">
      <w:pPr>
        <w:spacing w:line="360" w:lineRule="auto"/>
        <w:ind w:firstLine="3089"/>
        <w:rPr>
          <w:rFonts w:ascii="宋体" w:hAnsi="宋体" w:cs="宋体"/>
          <w:b/>
          <w:color w:val="auto"/>
          <w:sz w:val="24"/>
          <w:szCs w:val="21"/>
          <w:highlight w:val="none"/>
        </w:rPr>
      </w:pPr>
    </w:p>
    <w:p w14:paraId="0248C4DA">
      <w:pPr>
        <w:spacing w:line="360" w:lineRule="auto"/>
        <w:rPr>
          <w:rFonts w:ascii="宋体" w:hAnsi="宋体" w:cs="宋体"/>
          <w:color w:val="auto"/>
          <w:sz w:val="22"/>
          <w:szCs w:val="22"/>
          <w:highlight w:val="none"/>
          <w:u w:val="single"/>
        </w:rPr>
      </w:pPr>
      <w:r>
        <w:rPr>
          <w:rFonts w:hint="eastAsia" w:ascii="宋体" w:hAnsi="宋体" w:cs="宋体"/>
          <w:color w:val="auto"/>
          <w:kern w:val="28"/>
          <w:szCs w:val="21"/>
          <w:highlight w:val="none"/>
        </w:rPr>
        <w:t>项目名称/标项号：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招标编号：</w:t>
      </w:r>
      <w:r>
        <w:rPr>
          <w:rFonts w:hint="eastAsia" w:ascii="宋体" w:hAnsi="宋体" w:cs="宋体"/>
          <w:color w:val="auto"/>
          <w:sz w:val="22"/>
          <w:szCs w:val="22"/>
          <w:highlight w:val="none"/>
          <w:u w:val="single"/>
        </w:rPr>
        <w:t xml:space="preserve">                   </w:t>
      </w:r>
    </w:p>
    <w:tbl>
      <w:tblPr>
        <w:tblStyle w:val="42"/>
        <w:tblW w:w="8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24"/>
        <w:gridCol w:w="1805"/>
        <w:gridCol w:w="1428"/>
        <w:gridCol w:w="2785"/>
      </w:tblGrid>
      <w:tr w14:paraId="4D2BC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56" w:type="dxa"/>
            <w:vAlign w:val="center"/>
          </w:tcPr>
          <w:p w14:paraId="3CB48E67">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24" w:type="dxa"/>
            <w:vAlign w:val="center"/>
          </w:tcPr>
          <w:p w14:paraId="75C7C987">
            <w:pPr>
              <w:snapToGrid w:val="0"/>
              <w:jc w:val="center"/>
              <w:rPr>
                <w:rFonts w:ascii="宋体" w:hAnsi="宋体" w:cs="宋体"/>
                <w:b/>
                <w:color w:val="auto"/>
                <w:szCs w:val="21"/>
                <w:highlight w:val="none"/>
              </w:rPr>
            </w:pPr>
            <w:r>
              <w:rPr>
                <w:rFonts w:hint="eastAsia" w:ascii="宋体" w:hAnsi="宋体" w:cs="宋体"/>
                <w:b/>
                <w:color w:val="auto"/>
                <w:szCs w:val="21"/>
                <w:highlight w:val="none"/>
              </w:rPr>
              <w:t>项目名称</w:t>
            </w:r>
          </w:p>
        </w:tc>
        <w:tc>
          <w:tcPr>
            <w:tcW w:w="1805" w:type="dxa"/>
            <w:vAlign w:val="center"/>
          </w:tcPr>
          <w:p w14:paraId="0C8B3529">
            <w:pPr>
              <w:snapToGrid w:val="0"/>
              <w:jc w:val="center"/>
              <w:rPr>
                <w:rFonts w:ascii="宋体" w:hAnsi="宋体" w:cs="宋体"/>
                <w:b/>
                <w:color w:val="auto"/>
                <w:szCs w:val="21"/>
                <w:highlight w:val="none"/>
              </w:rPr>
            </w:pPr>
            <w:r>
              <w:rPr>
                <w:rFonts w:hint="eastAsia" w:ascii="宋体" w:hAnsi="宋体" w:cs="宋体"/>
                <w:b/>
                <w:color w:val="auto"/>
                <w:szCs w:val="21"/>
                <w:highlight w:val="none"/>
              </w:rPr>
              <w:t>合同签订时间</w:t>
            </w:r>
          </w:p>
        </w:tc>
        <w:tc>
          <w:tcPr>
            <w:tcW w:w="1428" w:type="dxa"/>
            <w:vAlign w:val="center"/>
          </w:tcPr>
          <w:p w14:paraId="538315C6">
            <w:pPr>
              <w:snapToGrid w:val="0"/>
              <w:jc w:val="center"/>
              <w:rPr>
                <w:rFonts w:ascii="宋体" w:hAnsi="宋体" w:cs="宋体"/>
                <w:b/>
                <w:color w:val="auto"/>
                <w:szCs w:val="21"/>
                <w:highlight w:val="none"/>
              </w:rPr>
            </w:pPr>
            <w:r>
              <w:rPr>
                <w:rFonts w:hint="eastAsia" w:ascii="宋体" w:hAnsi="宋体" w:cs="宋体"/>
                <w:b/>
                <w:color w:val="auto"/>
                <w:szCs w:val="21"/>
                <w:highlight w:val="none"/>
              </w:rPr>
              <w:t>金额</w:t>
            </w:r>
          </w:p>
        </w:tc>
        <w:tc>
          <w:tcPr>
            <w:tcW w:w="2785" w:type="dxa"/>
            <w:vAlign w:val="center"/>
          </w:tcPr>
          <w:p w14:paraId="66E72964">
            <w:pPr>
              <w:snapToGrid w:val="0"/>
              <w:jc w:val="center"/>
              <w:rPr>
                <w:rFonts w:ascii="宋体" w:hAnsi="宋体" w:cs="宋体"/>
                <w:b/>
                <w:color w:val="auto"/>
                <w:szCs w:val="21"/>
                <w:highlight w:val="none"/>
              </w:rPr>
            </w:pPr>
            <w:r>
              <w:rPr>
                <w:rFonts w:hint="eastAsia" w:ascii="宋体" w:hAnsi="宋体" w:cs="宋体"/>
                <w:b/>
                <w:color w:val="auto"/>
                <w:szCs w:val="21"/>
                <w:highlight w:val="none"/>
              </w:rPr>
              <w:t>项目甲方联系人/联系电话</w:t>
            </w:r>
          </w:p>
        </w:tc>
      </w:tr>
      <w:tr w14:paraId="5281C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228CE8BA">
            <w:pPr>
              <w:tabs>
                <w:tab w:val="center" w:pos="4410"/>
              </w:tabs>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1</w:t>
            </w:r>
          </w:p>
        </w:tc>
        <w:tc>
          <w:tcPr>
            <w:tcW w:w="1524" w:type="dxa"/>
            <w:vAlign w:val="center"/>
          </w:tcPr>
          <w:p w14:paraId="12C8DC8C">
            <w:pPr>
              <w:spacing w:line="300" w:lineRule="exact"/>
              <w:rPr>
                <w:rFonts w:ascii="宋体" w:hAnsi="宋体" w:cs="宋体"/>
                <w:color w:val="auto"/>
                <w:szCs w:val="21"/>
                <w:highlight w:val="none"/>
              </w:rPr>
            </w:pPr>
          </w:p>
        </w:tc>
        <w:tc>
          <w:tcPr>
            <w:tcW w:w="1805" w:type="dxa"/>
            <w:vAlign w:val="center"/>
          </w:tcPr>
          <w:p w14:paraId="3EC1AA72">
            <w:pPr>
              <w:snapToGrid w:val="0"/>
              <w:rPr>
                <w:rFonts w:ascii="宋体" w:hAnsi="宋体" w:cs="宋体"/>
                <w:color w:val="auto"/>
                <w:szCs w:val="21"/>
                <w:highlight w:val="none"/>
              </w:rPr>
            </w:pPr>
          </w:p>
        </w:tc>
        <w:tc>
          <w:tcPr>
            <w:tcW w:w="1428" w:type="dxa"/>
            <w:vAlign w:val="center"/>
          </w:tcPr>
          <w:p w14:paraId="26B4AB1C">
            <w:pPr>
              <w:snapToGrid w:val="0"/>
              <w:rPr>
                <w:rFonts w:ascii="宋体" w:hAnsi="宋体" w:cs="宋体"/>
                <w:color w:val="auto"/>
                <w:szCs w:val="21"/>
                <w:highlight w:val="none"/>
              </w:rPr>
            </w:pPr>
          </w:p>
        </w:tc>
        <w:tc>
          <w:tcPr>
            <w:tcW w:w="2785" w:type="dxa"/>
            <w:vAlign w:val="center"/>
          </w:tcPr>
          <w:p w14:paraId="7C1526E3">
            <w:pPr>
              <w:snapToGrid w:val="0"/>
              <w:rPr>
                <w:rFonts w:ascii="宋体" w:hAnsi="宋体" w:cs="宋体"/>
                <w:color w:val="auto"/>
                <w:szCs w:val="21"/>
                <w:highlight w:val="none"/>
              </w:rPr>
            </w:pPr>
          </w:p>
        </w:tc>
      </w:tr>
      <w:tr w14:paraId="347AB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5850C951">
            <w:pPr>
              <w:tabs>
                <w:tab w:val="center" w:pos="4410"/>
              </w:tabs>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2</w:t>
            </w:r>
          </w:p>
        </w:tc>
        <w:tc>
          <w:tcPr>
            <w:tcW w:w="1524" w:type="dxa"/>
            <w:vAlign w:val="center"/>
          </w:tcPr>
          <w:p w14:paraId="2E480F61">
            <w:pPr>
              <w:spacing w:line="300" w:lineRule="exact"/>
              <w:rPr>
                <w:rFonts w:ascii="宋体" w:hAnsi="宋体" w:cs="宋体"/>
                <w:color w:val="auto"/>
                <w:szCs w:val="21"/>
                <w:highlight w:val="none"/>
              </w:rPr>
            </w:pPr>
          </w:p>
        </w:tc>
        <w:tc>
          <w:tcPr>
            <w:tcW w:w="1805" w:type="dxa"/>
            <w:vAlign w:val="center"/>
          </w:tcPr>
          <w:p w14:paraId="1D82C5BF">
            <w:pPr>
              <w:snapToGrid w:val="0"/>
              <w:rPr>
                <w:rFonts w:ascii="宋体" w:hAnsi="宋体" w:cs="宋体"/>
                <w:color w:val="auto"/>
                <w:szCs w:val="21"/>
                <w:highlight w:val="none"/>
              </w:rPr>
            </w:pPr>
          </w:p>
        </w:tc>
        <w:tc>
          <w:tcPr>
            <w:tcW w:w="1428" w:type="dxa"/>
            <w:vAlign w:val="center"/>
          </w:tcPr>
          <w:p w14:paraId="3CE8EB22">
            <w:pPr>
              <w:snapToGrid w:val="0"/>
              <w:rPr>
                <w:rFonts w:ascii="宋体" w:hAnsi="宋体" w:cs="宋体"/>
                <w:color w:val="auto"/>
                <w:szCs w:val="21"/>
                <w:highlight w:val="none"/>
              </w:rPr>
            </w:pPr>
          </w:p>
        </w:tc>
        <w:tc>
          <w:tcPr>
            <w:tcW w:w="2785" w:type="dxa"/>
            <w:vAlign w:val="center"/>
          </w:tcPr>
          <w:p w14:paraId="4E913A69">
            <w:pPr>
              <w:snapToGrid w:val="0"/>
              <w:rPr>
                <w:rFonts w:ascii="宋体" w:hAnsi="宋体" w:cs="宋体"/>
                <w:color w:val="auto"/>
                <w:szCs w:val="21"/>
                <w:highlight w:val="none"/>
              </w:rPr>
            </w:pPr>
          </w:p>
        </w:tc>
      </w:tr>
      <w:tr w14:paraId="72CC9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63CFBA95">
            <w:pPr>
              <w:tabs>
                <w:tab w:val="center" w:pos="4410"/>
              </w:tabs>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3</w:t>
            </w:r>
          </w:p>
        </w:tc>
        <w:tc>
          <w:tcPr>
            <w:tcW w:w="1524" w:type="dxa"/>
            <w:vAlign w:val="center"/>
          </w:tcPr>
          <w:p w14:paraId="3335DBEB">
            <w:pPr>
              <w:spacing w:line="300" w:lineRule="exact"/>
              <w:rPr>
                <w:rFonts w:ascii="宋体" w:hAnsi="宋体" w:cs="宋体"/>
                <w:color w:val="auto"/>
                <w:szCs w:val="21"/>
                <w:highlight w:val="none"/>
              </w:rPr>
            </w:pPr>
          </w:p>
        </w:tc>
        <w:tc>
          <w:tcPr>
            <w:tcW w:w="1805" w:type="dxa"/>
            <w:vAlign w:val="center"/>
          </w:tcPr>
          <w:p w14:paraId="34428E87">
            <w:pPr>
              <w:jc w:val="center"/>
              <w:rPr>
                <w:rFonts w:ascii="宋体" w:hAnsi="宋体" w:cs="宋体"/>
                <w:color w:val="auto"/>
                <w:szCs w:val="21"/>
                <w:highlight w:val="none"/>
              </w:rPr>
            </w:pPr>
          </w:p>
        </w:tc>
        <w:tc>
          <w:tcPr>
            <w:tcW w:w="1428" w:type="dxa"/>
            <w:vAlign w:val="center"/>
          </w:tcPr>
          <w:p w14:paraId="7862A7CF">
            <w:pPr>
              <w:jc w:val="center"/>
              <w:rPr>
                <w:rFonts w:ascii="宋体" w:hAnsi="宋体" w:cs="宋体"/>
                <w:color w:val="auto"/>
                <w:szCs w:val="21"/>
                <w:highlight w:val="none"/>
              </w:rPr>
            </w:pPr>
          </w:p>
        </w:tc>
        <w:tc>
          <w:tcPr>
            <w:tcW w:w="2785" w:type="dxa"/>
            <w:vAlign w:val="center"/>
          </w:tcPr>
          <w:p w14:paraId="7BCC9713">
            <w:pPr>
              <w:jc w:val="center"/>
              <w:rPr>
                <w:rFonts w:ascii="宋体" w:hAnsi="宋体" w:cs="宋体"/>
                <w:color w:val="auto"/>
                <w:szCs w:val="21"/>
                <w:highlight w:val="none"/>
              </w:rPr>
            </w:pPr>
          </w:p>
        </w:tc>
      </w:tr>
      <w:tr w14:paraId="0E13F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2EAB29A6">
            <w:pPr>
              <w:tabs>
                <w:tab w:val="center" w:pos="4410"/>
              </w:tabs>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4</w:t>
            </w:r>
          </w:p>
        </w:tc>
        <w:tc>
          <w:tcPr>
            <w:tcW w:w="1524" w:type="dxa"/>
            <w:vAlign w:val="center"/>
          </w:tcPr>
          <w:p w14:paraId="77698AE9">
            <w:pPr>
              <w:spacing w:line="300" w:lineRule="exact"/>
              <w:rPr>
                <w:rFonts w:ascii="宋体" w:hAnsi="宋体" w:cs="宋体"/>
                <w:color w:val="auto"/>
                <w:szCs w:val="21"/>
                <w:highlight w:val="none"/>
              </w:rPr>
            </w:pPr>
          </w:p>
        </w:tc>
        <w:tc>
          <w:tcPr>
            <w:tcW w:w="1805" w:type="dxa"/>
            <w:vAlign w:val="center"/>
          </w:tcPr>
          <w:p w14:paraId="27030308">
            <w:pPr>
              <w:snapToGrid w:val="0"/>
              <w:rPr>
                <w:rFonts w:ascii="宋体" w:hAnsi="宋体" w:cs="宋体"/>
                <w:color w:val="auto"/>
                <w:szCs w:val="21"/>
                <w:highlight w:val="none"/>
              </w:rPr>
            </w:pPr>
          </w:p>
        </w:tc>
        <w:tc>
          <w:tcPr>
            <w:tcW w:w="1428" w:type="dxa"/>
            <w:vAlign w:val="center"/>
          </w:tcPr>
          <w:p w14:paraId="39982372">
            <w:pPr>
              <w:spacing w:line="300" w:lineRule="exact"/>
              <w:rPr>
                <w:rFonts w:ascii="宋体" w:hAnsi="宋体" w:cs="宋体"/>
                <w:color w:val="auto"/>
                <w:szCs w:val="21"/>
                <w:highlight w:val="none"/>
              </w:rPr>
            </w:pPr>
          </w:p>
        </w:tc>
        <w:tc>
          <w:tcPr>
            <w:tcW w:w="2785" w:type="dxa"/>
            <w:vAlign w:val="center"/>
          </w:tcPr>
          <w:p w14:paraId="1C94A894">
            <w:pPr>
              <w:spacing w:line="300" w:lineRule="exact"/>
              <w:rPr>
                <w:rFonts w:ascii="宋体" w:hAnsi="宋体" w:cs="宋体"/>
                <w:color w:val="auto"/>
                <w:szCs w:val="21"/>
                <w:highlight w:val="none"/>
              </w:rPr>
            </w:pPr>
          </w:p>
        </w:tc>
      </w:tr>
      <w:tr w14:paraId="338F0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2F4EE585">
            <w:pPr>
              <w:tabs>
                <w:tab w:val="center" w:pos="4410"/>
              </w:tabs>
              <w:spacing w:line="360" w:lineRule="auto"/>
              <w:jc w:val="center"/>
              <w:rPr>
                <w:rFonts w:ascii="宋体" w:hAnsi="宋体" w:cs="宋体"/>
                <w:color w:val="auto"/>
                <w:spacing w:val="-4"/>
                <w:szCs w:val="21"/>
                <w:highlight w:val="none"/>
              </w:rPr>
            </w:pPr>
          </w:p>
        </w:tc>
        <w:tc>
          <w:tcPr>
            <w:tcW w:w="1524" w:type="dxa"/>
            <w:vAlign w:val="center"/>
          </w:tcPr>
          <w:p w14:paraId="00C7F929">
            <w:pPr>
              <w:spacing w:line="300" w:lineRule="exact"/>
              <w:rPr>
                <w:rFonts w:ascii="宋体" w:hAnsi="宋体" w:cs="宋体"/>
                <w:color w:val="auto"/>
                <w:szCs w:val="21"/>
                <w:highlight w:val="none"/>
              </w:rPr>
            </w:pPr>
          </w:p>
        </w:tc>
        <w:tc>
          <w:tcPr>
            <w:tcW w:w="1805" w:type="dxa"/>
            <w:vAlign w:val="center"/>
          </w:tcPr>
          <w:p w14:paraId="12AE4535">
            <w:pPr>
              <w:snapToGrid w:val="0"/>
              <w:rPr>
                <w:rFonts w:ascii="宋体" w:hAnsi="宋体" w:cs="宋体"/>
                <w:color w:val="auto"/>
                <w:szCs w:val="21"/>
                <w:highlight w:val="none"/>
              </w:rPr>
            </w:pPr>
          </w:p>
        </w:tc>
        <w:tc>
          <w:tcPr>
            <w:tcW w:w="1428" w:type="dxa"/>
            <w:vAlign w:val="center"/>
          </w:tcPr>
          <w:p w14:paraId="42A1B548">
            <w:pPr>
              <w:spacing w:line="300" w:lineRule="exact"/>
              <w:rPr>
                <w:rFonts w:ascii="宋体" w:hAnsi="宋体" w:cs="宋体"/>
                <w:color w:val="auto"/>
                <w:szCs w:val="21"/>
                <w:highlight w:val="none"/>
              </w:rPr>
            </w:pPr>
          </w:p>
        </w:tc>
        <w:tc>
          <w:tcPr>
            <w:tcW w:w="2785" w:type="dxa"/>
            <w:vAlign w:val="center"/>
          </w:tcPr>
          <w:p w14:paraId="50B464E2">
            <w:pPr>
              <w:spacing w:line="300" w:lineRule="exact"/>
              <w:rPr>
                <w:rFonts w:ascii="宋体" w:hAnsi="宋体" w:cs="宋体"/>
                <w:color w:val="auto"/>
                <w:szCs w:val="21"/>
                <w:highlight w:val="none"/>
              </w:rPr>
            </w:pPr>
          </w:p>
        </w:tc>
      </w:tr>
      <w:tr w14:paraId="0C454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11DE0D52">
            <w:pPr>
              <w:tabs>
                <w:tab w:val="center" w:pos="4410"/>
              </w:tabs>
              <w:spacing w:line="360" w:lineRule="auto"/>
              <w:jc w:val="center"/>
              <w:rPr>
                <w:rFonts w:ascii="宋体" w:hAnsi="宋体" w:cs="宋体"/>
                <w:color w:val="auto"/>
                <w:spacing w:val="-4"/>
                <w:szCs w:val="21"/>
                <w:highlight w:val="none"/>
              </w:rPr>
            </w:pPr>
          </w:p>
        </w:tc>
        <w:tc>
          <w:tcPr>
            <w:tcW w:w="1524" w:type="dxa"/>
            <w:vAlign w:val="center"/>
          </w:tcPr>
          <w:p w14:paraId="0EB1BF56">
            <w:pPr>
              <w:spacing w:line="300" w:lineRule="exact"/>
              <w:rPr>
                <w:rFonts w:ascii="宋体" w:hAnsi="宋体" w:cs="宋体"/>
                <w:color w:val="auto"/>
                <w:szCs w:val="21"/>
                <w:highlight w:val="none"/>
              </w:rPr>
            </w:pPr>
          </w:p>
        </w:tc>
        <w:tc>
          <w:tcPr>
            <w:tcW w:w="1805" w:type="dxa"/>
            <w:vAlign w:val="center"/>
          </w:tcPr>
          <w:p w14:paraId="5405F0BA">
            <w:pPr>
              <w:snapToGrid w:val="0"/>
              <w:rPr>
                <w:rFonts w:ascii="宋体" w:hAnsi="宋体" w:cs="宋体"/>
                <w:color w:val="auto"/>
                <w:szCs w:val="21"/>
                <w:highlight w:val="none"/>
              </w:rPr>
            </w:pPr>
          </w:p>
        </w:tc>
        <w:tc>
          <w:tcPr>
            <w:tcW w:w="1428" w:type="dxa"/>
            <w:vAlign w:val="center"/>
          </w:tcPr>
          <w:p w14:paraId="02F0E90A">
            <w:pPr>
              <w:spacing w:line="300" w:lineRule="exact"/>
              <w:rPr>
                <w:rFonts w:ascii="宋体" w:hAnsi="宋体" w:cs="宋体"/>
                <w:color w:val="auto"/>
                <w:szCs w:val="21"/>
                <w:highlight w:val="none"/>
              </w:rPr>
            </w:pPr>
          </w:p>
        </w:tc>
        <w:tc>
          <w:tcPr>
            <w:tcW w:w="2785" w:type="dxa"/>
            <w:vAlign w:val="center"/>
          </w:tcPr>
          <w:p w14:paraId="6F28D376">
            <w:pPr>
              <w:spacing w:line="300" w:lineRule="exact"/>
              <w:rPr>
                <w:rFonts w:ascii="宋体" w:hAnsi="宋体" w:cs="宋体"/>
                <w:color w:val="auto"/>
                <w:szCs w:val="21"/>
                <w:highlight w:val="none"/>
              </w:rPr>
            </w:pPr>
          </w:p>
        </w:tc>
      </w:tr>
      <w:tr w14:paraId="0A372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6" w:type="dxa"/>
            <w:vAlign w:val="center"/>
          </w:tcPr>
          <w:p w14:paraId="584958B7">
            <w:pPr>
              <w:tabs>
                <w:tab w:val="center" w:pos="4410"/>
              </w:tabs>
              <w:spacing w:line="360" w:lineRule="auto"/>
              <w:jc w:val="center"/>
              <w:rPr>
                <w:rFonts w:ascii="宋体" w:hAnsi="宋体" w:cs="宋体"/>
                <w:color w:val="auto"/>
                <w:spacing w:val="-4"/>
                <w:szCs w:val="21"/>
                <w:highlight w:val="none"/>
              </w:rPr>
            </w:pPr>
          </w:p>
        </w:tc>
        <w:tc>
          <w:tcPr>
            <w:tcW w:w="1524" w:type="dxa"/>
            <w:vAlign w:val="center"/>
          </w:tcPr>
          <w:p w14:paraId="10DD3FBF">
            <w:pPr>
              <w:spacing w:line="300" w:lineRule="exact"/>
              <w:rPr>
                <w:rFonts w:ascii="宋体" w:hAnsi="宋体" w:cs="宋体"/>
                <w:color w:val="auto"/>
                <w:szCs w:val="21"/>
                <w:highlight w:val="none"/>
              </w:rPr>
            </w:pPr>
          </w:p>
        </w:tc>
        <w:tc>
          <w:tcPr>
            <w:tcW w:w="1805" w:type="dxa"/>
            <w:vAlign w:val="center"/>
          </w:tcPr>
          <w:p w14:paraId="12E33F02">
            <w:pPr>
              <w:jc w:val="center"/>
              <w:rPr>
                <w:rFonts w:ascii="宋体" w:hAnsi="宋体" w:cs="宋体"/>
                <w:color w:val="auto"/>
                <w:szCs w:val="21"/>
                <w:highlight w:val="none"/>
              </w:rPr>
            </w:pPr>
          </w:p>
        </w:tc>
        <w:tc>
          <w:tcPr>
            <w:tcW w:w="1428" w:type="dxa"/>
            <w:vAlign w:val="center"/>
          </w:tcPr>
          <w:p w14:paraId="32F4E12E">
            <w:pPr>
              <w:jc w:val="center"/>
              <w:rPr>
                <w:rFonts w:ascii="宋体" w:hAnsi="宋体" w:cs="宋体"/>
                <w:color w:val="auto"/>
                <w:szCs w:val="21"/>
                <w:highlight w:val="none"/>
              </w:rPr>
            </w:pPr>
          </w:p>
        </w:tc>
        <w:tc>
          <w:tcPr>
            <w:tcW w:w="2785" w:type="dxa"/>
            <w:vAlign w:val="center"/>
          </w:tcPr>
          <w:p w14:paraId="776F770D">
            <w:pPr>
              <w:jc w:val="center"/>
              <w:rPr>
                <w:rFonts w:ascii="宋体" w:hAnsi="宋体" w:cs="宋体"/>
                <w:color w:val="auto"/>
                <w:szCs w:val="21"/>
                <w:highlight w:val="none"/>
              </w:rPr>
            </w:pPr>
          </w:p>
        </w:tc>
      </w:tr>
      <w:tr w14:paraId="2677E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56" w:type="dxa"/>
            <w:vAlign w:val="center"/>
          </w:tcPr>
          <w:p w14:paraId="0145D64C">
            <w:pPr>
              <w:tabs>
                <w:tab w:val="center" w:pos="4410"/>
              </w:tabs>
              <w:spacing w:line="360" w:lineRule="auto"/>
              <w:jc w:val="center"/>
              <w:rPr>
                <w:rFonts w:ascii="宋体" w:hAnsi="宋体" w:cs="宋体"/>
                <w:color w:val="auto"/>
                <w:spacing w:val="-4"/>
                <w:szCs w:val="21"/>
                <w:highlight w:val="none"/>
              </w:rPr>
            </w:pPr>
          </w:p>
        </w:tc>
        <w:tc>
          <w:tcPr>
            <w:tcW w:w="1524" w:type="dxa"/>
            <w:vAlign w:val="center"/>
          </w:tcPr>
          <w:p w14:paraId="6F3AC0ED">
            <w:pPr>
              <w:spacing w:line="300" w:lineRule="exact"/>
              <w:rPr>
                <w:rFonts w:ascii="宋体" w:hAnsi="宋体" w:cs="宋体"/>
                <w:color w:val="auto"/>
                <w:szCs w:val="21"/>
                <w:highlight w:val="none"/>
              </w:rPr>
            </w:pPr>
          </w:p>
        </w:tc>
        <w:tc>
          <w:tcPr>
            <w:tcW w:w="1805" w:type="dxa"/>
            <w:vAlign w:val="center"/>
          </w:tcPr>
          <w:p w14:paraId="3C084174">
            <w:pPr>
              <w:jc w:val="center"/>
              <w:rPr>
                <w:rFonts w:ascii="宋体" w:hAnsi="宋体" w:cs="宋体"/>
                <w:color w:val="auto"/>
                <w:szCs w:val="21"/>
                <w:highlight w:val="none"/>
              </w:rPr>
            </w:pPr>
          </w:p>
        </w:tc>
        <w:tc>
          <w:tcPr>
            <w:tcW w:w="1428" w:type="dxa"/>
            <w:vAlign w:val="center"/>
          </w:tcPr>
          <w:p w14:paraId="23C3E02D">
            <w:pPr>
              <w:jc w:val="center"/>
              <w:rPr>
                <w:rFonts w:ascii="宋体" w:hAnsi="宋体" w:cs="宋体"/>
                <w:color w:val="auto"/>
                <w:szCs w:val="21"/>
                <w:highlight w:val="none"/>
              </w:rPr>
            </w:pPr>
          </w:p>
        </w:tc>
        <w:tc>
          <w:tcPr>
            <w:tcW w:w="2785" w:type="dxa"/>
            <w:vAlign w:val="center"/>
          </w:tcPr>
          <w:p w14:paraId="2C7BDA71">
            <w:pPr>
              <w:jc w:val="center"/>
              <w:rPr>
                <w:rFonts w:ascii="宋体" w:hAnsi="宋体" w:cs="宋体"/>
                <w:color w:val="auto"/>
                <w:szCs w:val="21"/>
                <w:highlight w:val="none"/>
              </w:rPr>
            </w:pPr>
          </w:p>
        </w:tc>
      </w:tr>
    </w:tbl>
    <w:p w14:paraId="6203A3F7">
      <w:pPr>
        <w:tabs>
          <w:tab w:val="center" w:pos="4410"/>
        </w:tabs>
        <w:spacing w:line="360" w:lineRule="auto"/>
        <w:rPr>
          <w:rFonts w:ascii="宋体" w:hAnsi="宋体" w:cs="宋体"/>
          <w:color w:val="auto"/>
          <w:spacing w:val="-4"/>
          <w:sz w:val="22"/>
          <w:szCs w:val="22"/>
          <w:highlight w:val="none"/>
        </w:rPr>
      </w:pPr>
      <w:r>
        <w:rPr>
          <w:rFonts w:hint="eastAsia" w:ascii="宋体" w:hAnsi="宋体" w:cs="宋体"/>
          <w:color w:val="auto"/>
          <w:spacing w:val="-4"/>
          <w:szCs w:val="21"/>
          <w:highlight w:val="none"/>
        </w:rPr>
        <w:t>注：本表后附评标细则（如有）要求提供的证明资料。</w:t>
      </w:r>
    </w:p>
    <w:p w14:paraId="40B6340A">
      <w:pPr>
        <w:rPr>
          <w:rFonts w:ascii="宋体" w:hAnsi="宋体" w:cs="宋体"/>
          <w:color w:val="auto"/>
          <w:sz w:val="22"/>
          <w:szCs w:val="22"/>
          <w:highlight w:val="none"/>
        </w:rPr>
      </w:pPr>
    </w:p>
    <w:p w14:paraId="28F74065">
      <w:pPr>
        <w:rPr>
          <w:rFonts w:ascii="宋体" w:hAnsi="宋体" w:cs="宋体"/>
          <w:color w:val="auto"/>
          <w:sz w:val="22"/>
          <w:szCs w:val="22"/>
          <w:highlight w:val="none"/>
        </w:rPr>
      </w:pPr>
    </w:p>
    <w:p w14:paraId="306E3796">
      <w:pPr>
        <w:pStyle w:val="18"/>
        <w:widowControl/>
        <w:spacing w:line="360" w:lineRule="auto"/>
        <w:jc w:val="right"/>
        <w:rPr>
          <w:rFonts w:hAnsi="宋体" w:cs="宋体"/>
          <w:color w:val="auto"/>
          <w:sz w:val="22"/>
          <w:szCs w:val="22"/>
          <w:highlight w:val="none"/>
        </w:rPr>
      </w:pPr>
      <w:r>
        <w:rPr>
          <w:rFonts w:hint="eastAsia" w:hAnsi="宋体" w:cs="宋体"/>
          <w:color w:val="auto"/>
          <w:sz w:val="22"/>
          <w:szCs w:val="22"/>
          <w:highlight w:val="none"/>
        </w:rPr>
        <w:t>供应商全称（盖公章）：</w:t>
      </w:r>
    </w:p>
    <w:p w14:paraId="0F57479E">
      <w:pPr>
        <w:pStyle w:val="18"/>
        <w:widowControl/>
        <w:spacing w:line="360" w:lineRule="auto"/>
        <w:jc w:val="right"/>
        <w:rPr>
          <w:rFonts w:hAnsi="宋体" w:cs="宋体"/>
          <w:color w:val="auto"/>
          <w:sz w:val="22"/>
          <w:szCs w:val="22"/>
          <w:highlight w:val="none"/>
        </w:rPr>
      </w:pPr>
      <w:r>
        <w:rPr>
          <w:rFonts w:hint="eastAsia" w:hAnsi="宋体" w:cs="宋体"/>
          <w:color w:val="auto"/>
          <w:sz w:val="22"/>
          <w:szCs w:val="22"/>
          <w:highlight w:val="none"/>
        </w:rPr>
        <w:t>法定代表人或其授权委托人（签名或印章）：</w:t>
      </w:r>
    </w:p>
    <w:p w14:paraId="22632EE0">
      <w:pPr>
        <w:spacing w:line="360" w:lineRule="auto"/>
        <w:ind w:right="18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日期：   年   月  日</w:t>
      </w:r>
    </w:p>
    <w:p w14:paraId="5209FCDF">
      <w:pPr>
        <w:pStyle w:val="18"/>
        <w:widowControl/>
        <w:spacing w:line="360" w:lineRule="auto"/>
        <w:ind w:firstLine="344" w:firstLineChars="200"/>
        <w:rPr>
          <w:rStyle w:val="90"/>
          <w:rFonts w:ascii="宋体" w:hAnsi="宋体" w:cs="宋体"/>
          <w:color w:val="auto"/>
          <w:sz w:val="21"/>
          <w:szCs w:val="21"/>
          <w:highlight w:val="none"/>
        </w:rPr>
      </w:pPr>
      <w:r>
        <w:rPr>
          <w:rFonts w:hint="eastAsia" w:hAnsi="宋体" w:cs="宋体"/>
          <w:color w:val="auto"/>
          <w:szCs w:val="21"/>
          <w:highlight w:val="none"/>
        </w:rPr>
        <w:br w:type="page"/>
      </w:r>
    </w:p>
    <w:p w14:paraId="6436EB60">
      <w:pPr>
        <w:spacing w:line="360" w:lineRule="auto"/>
        <w:jc w:val="center"/>
        <w:outlineLvl w:val="2"/>
        <w:rPr>
          <w:rFonts w:hint="eastAsia" w:ascii="宋体" w:hAnsi="宋体" w:eastAsia="宋体" w:cs="宋体"/>
          <w:b/>
          <w:color w:val="auto"/>
          <w:sz w:val="24"/>
          <w:highlight w:val="none"/>
          <w:lang w:eastAsia="zh-CN"/>
        </w:rPr>
      </w:pPr>
      <w:bookmarkStart w:id="477" w:name="_Toc21093"/>
      <w:bookmarkStart w:id="478" w:name="_Toc29559"/>
      <w:bookmarkStart w:id="479" w:name="_Toc11505"/>
      <w:bookmarkStart w:id="480" w:name="_Toc1147"/>
      <w:r>
        <w:rPr>
          <w:rStyle w:val="90"/>
          <w:rFonts w:hint="eastAsia" w:ascii="宋体" w:hAnsi="宋体" w:cs="宋体"/>
          <w:color w:val="auto"/>
          <w:szCs w:val="28"/>
          <w:highlight w:val="none"/>
        </w:rPr>
        <w:t>现场</w:t>
      </w:r>
      <w:r>
        <w:rPr>
          <w:rStyle w:val="90"/>
          <w:rFonts w:hint="eastAsia" w:ascii="宋体" w:hAnsi="宋体" w:cs="宋体"/>
          <w:color w:val="auto"/>
          <w:szCs w:val="28"/>
          <w:highlight w:val="none"/>
          <w:lang w:val="en-US" w:eastAsia="zh-CN"/>
        </w:rPr>
        <w:t>踏勘</w:t>
      </w:r>
      <w:r>
        <w:rPr>
          <w:rStyle w:val="90"/>
          <w:rFonts w:hint="eastAsia" w:ascii="宋体" w:hAnsi="宋体" w:cs="宋体"/>
          <w:color w:val="auto"/>
          <w:szCs w:val="28"/>
          <w:highlight w:val="none"/>
        </w:rPr>
        <w:t>报告</w:t>
      </w:r>
      <w:r>
        <w:rPr>
          <w:rStyle w:val="90"/>
          <w:rFonts w:hint="eastAsia" w:ascii="宋体" w:hAnsi="宋体" w:cs="宋体"/>
          <w:color w:val="auto"/>
          <w:szCs w:val="28"/>
          <w:highlight w:val="none"/>
          <w:lang w:eastAsia="zh-CN"/>
        </w:rPr>
        <w:t>（</w:t>
      </w:r>
      <w:r>
        <w:rPr>
          <w:rStyle w:val="90"/>
          <w:rFonts w:hint="eastAsia" w:ascii="宋体" w:hAnsi="宋体" w:cs="宋体"/>
          <w:color w:val="auto"/>
          <w:szCs w:val="28"/>
          <w:highlight w:val="none"/>
          <w:lang w:val="en-US" w:eastAsia="zh-CN"/>
        </w:rPr>
        <w:t>如有</w:t>
      </w:r>
      <w:r>
        <w:rPr>
          <w:rStyle w:val="90"/>
          <w:rFonts w:hint="eastAsia" w:ascii="宋体" w:hAnsi="宋体" w:cs="宋体"/>
          <w:color w:val="auto"/>
          <w:szCs w:val="28"/>
          <w:highlight w:val="none"/>
          <w:lang w:eastAsia="zh-CN"/>
        </w:rPr>
        <w:t>）</w:t>
      </w:r>
    </w:p>
    <w:p w14:paraId="29F09F16">
      <w:pPr>
        <w:jc w:val="center"/>
        <w:rPr>
          <w:rStyle w:val="90"/>
          <w:rFonts w:ascii="宋体" w:hAnsi="宋体" w:cs="宋体"/>
          <w:color w:val="auto"/>
          <w:szCs w:val="28"/>
          <w:highlight w:val="none"/>
        </w:rPr>
      </w:pPr>
      <w:r>
        <w:rPr>
          <w:rFonts w:hint="eastAsia" w:ascii="宋体" w:hAnsi="宋体" w:cs="宋体"/>
          <w:iCs/>
          <w:color w:val="auto"/>
          <w:szCs w:val="21"/>
          <w:highlight w:val="none"/>
        </w:rPr>
        <w:t>（具体详见招标文件第三章“供应商须知”前附表第8条 现场踏勘）</w:t>
      </w:r>
    </w:p>
    <w:p w14:paraId="0F13E756">
      <w:pPr>
        <w:rPr>
          <w:rStyle w:val="90"/>
          <w:rFonts w:ascii="宋体" w:hAnsi="宋体" w:cs="宋体"/>
          <w:color w:val="auto"/>
          <w:szCs w:val="28"/>
          <w:highlight w:val="none"/>
        </w:rPr>
      </w:pPr>
      <w:r>
        <w:rPr>
          <w:rStyle w:val="90"/>
          <w:rFonts w:hint="eastAsia" w:ascii="宋体" w:hAnsi="宋体" w:cs="宋体"/>
          <w:color w:val="auto"/>
          <w:szCs w:val="28"/>
          <w:highlight w:val="none"/>
        </w:rPr>
        <w:br w:type="page"/>
      </w:r>
    </w:p>
    <w:p w14:paraId="099E87A4">
      <w:pPr>
        <w:pStyle w:val="18"/>
        <w:widowControl/>
        <w:spacing w:line="360" w:lineRule="auto"/>
        <w:ind w:firstLine="0"/>
        <w:jc w:val="center"/>
        <w:outlineLvl w:val="2"/>
        <w:rPr>
          <w:rFonts w:hAnsi="宋体" w:cs="宋体"/>
          <w:b/>
          <w:color w:val="auto"/>
          <w:sz w:val="32"/>
          <w:szCs w:val="32"/>
          <w:highlight w:val="none"/>
        </w:rPr>
      </w:pPr>
      <w:r>
        <w:rPr>
          <w:rStyle w:val="90"/>
          <w:rFonts w:hint="eastAsia" w:ascii="宋体" w:hAnsi="宋体" w:cs="宋体"/>
          <w:color w:val="auto"/>
          <w:szCs w:val="28"/>
          <w:highlight w:val="none"/>
        </w:rPr>
        <w:t>投标函</w:t>
      </w:r>
      <w:bookmarkEnd w:id="477"/>
      <w:bookmarkEnd w:id="478"/>
      <w:bookmarkEnd w:id="479"/>
      <w:bookmarkEnd w:id="480"/>
    </w:p>
    <w:p w14:paraId="21C6574D">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（采购人）  </w:t>
      </w:r>
      <w:r>
        <w:rPr>
          <w:rFonts w:hint="eastAsia" w:hAnsi="宋体" w:cs="宋体"/>
          <w:color w:val="auto"/>
          <w:sz w:val="21"/>
          <w:szCs w:val="21"/>
          <w:highlight w:val="none"/>
        </w:rPr>
        <w:t>：</w:t>
      </w:r>
    </w:p>
    <w:p w14:paraId="510FEBB4">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（供应商全称） </w:t>
      </w:r>
      <w:r>
        <w:rPr>
          <w:rFonts w:hint="eastAsia" w:hAnsi="宋体" w:cs="宋体"/>
          <w:color w:val="auto"/>
          <w:sz w:val="21"/>
          <w:szCs w:val="21"/>
          <w:highlight w:val="none"/>
        </w:rPr>
        <w:t>授权</w:t>
      </w:r>
      <w:r>
        <w:rPr>
          <w:rFonts w:hint="eastAsia" w:hAnsi="宋体" w:cs="宋体"/>
          <w:color w:val="auto"/>
          <w:sz w:val="21"/>
          <w:szCs w:val="21"/>
          <w:highlight w:val="none"/>
          <w:u w:val="single"/>
        </w:rPr>
        <w:t>（全权代表姓名）</w:t>
      </w:r>
      <w:r>
        <w:rPr>
          <w:rFonts w:hint="eastAsia" w:hAnsi="宋体" w:cs="宋体"/>
          <w:color w:val="auto"/>
          <w:sz w:val="21"/>
          <w:szCs w:val="21"/>
          <w:highlight w:val="none"/>
        </w:rPr>
        <w:t>为本公司（单位）合法代理人，参加贵方组织的</w:t>
      </w:r>
      <w:r>
        <w:rPr>
          <w:rFonts w:hint="eastAsia" w:hAnsi="宋体" w:cs="宋体"/>
          <w:color w:val="auto"/>
          <w:sz w:val="21"/>
          <w:szCs w:val="21"/>
          <w:highlight w:val="none"/>
          <w:u w:val="single"/>
        </w:rPr>
        <w:t xml:space="preserve">（招标编号、项目名称）  </w:t>
      </w:r>
      <w:r>
        <w:rPr>
          <w:rFonts w:hint="eastAsia" w:hAnsi="宋体" w:cs="宋体"/>
          <w:color w:val="auto"/>
          <w:sz w:val="21"/>
          <w:szCs w:val="21"/>
          <w:highlight w:val="none"/>
        </w:rPr>
        <w:t>招投标活动，代表本公司（单位）处理招投标活动中的一切事宜，为对</w:t>
      </w:r>
      <w:r>
        <w:rPr>
          <w:rFonts w:hint="eastAsia" w:hAnsi="宋体" w:cs="宋体"/>
          <w:color w:val="auto"/>
          <w:sz w:val="21"/>
          <w:szCs w:val="21"/>
          <w:highlight w:val="none"/>
          <w:u w:val="single"/>
        </w:rPr>
        <w:t xml:space="preserve"> （项目名称/标项号）</w:t>
      </w:r>
      <w:r>
        <w:rPr>
          <w:rFonts w:hint="eastAsia" w:hAnsi="宋体" w:cs="宋体"/>
          <w:color w:val="auto"/>
          <w:sz w:val="21"/>
          <w:szCs w:val="21"/>
          <w:highlight w:val="none"/>
        </w:rPr>
        <w:t>进行投标，在此：</w:t>
      </w:r>
    </w:p>
    <w:p w14:paraId="6AD24436">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 xml:space="preserve">1、提供采购文件中“投标须知”规定的全部投标文件。 </w:t>
      </w:r>
    </w:p>
    <w:p w14:paraId="1F8FB412">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2、据此函，签字代表宣布并承诺如下：</w:t>
      </w:r>
    </w:p>
    <w:p w14:paraId="66FBD21B">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投标报价：</w:t>
      </w:r>
      <w:r>
        <w:rPr>
          <w:rFonts w:hint="eastAsia" w:hAnsi="宋体" w:cs="宋体"/>
          <w:color w:val="auto"/>
          <w:sz w:val="21"/>
          <w:szCs w:val="21"/>
          <w:highlight w:val="none"/>
          <w:u w:val="single"/>
        </w:rPr>
        <w:t xml:space="preserve"> 详见开标一览表 </w:t>
      </w:r>
      <w:r>
        <w:rPr>
          <w:rFonts w:hint="eastAsia" w:hAnsi="宋体" w:cs="宋体"/>
          <w:color w:val="auto"/>
          <w:sz w:val="21"/>
          <w:szCs w:val="21"/>
          <w:highlight w:val="none"/>
        </w:rPr>
        <w:t>。</w:t>
      </w:r>
    </w:p>
    <w:p w14:paraId="65B83F28">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本报价已经包含了所提供服务应纳的税金及采购文件规定的报价方式应包含的其它费用。本报价在投标有效期内固定不变，并在合同有效期内不受市场价变化、不受实际工作量变化及利率波动的影响。</w:t>
      </w:r>
    </w:p>
    <w:p w14:paraId="685BCA34">
      <w:pPr>
        <w:pStyle w:val="18"/>
        <w:spacing w:line="360" w:lineRule="auto"/>
        <w:ind w:firstLine="404" w:firstLineChars="200"/>
        <w:rPr>
          <w:rFonts w:hAnsi="宋体" w:cs="宋体"/>
          <w:color w:val="auto"/>
          <w:sz w:val="21"/>
          <w:szCs w:val="21"/>
          <w:highlight w:val="none"/>
        </w:rPr>
      </w:pPr>
      <w:bookmarkStart w:id="481" w:name="_Toc7050"/>
      <w:bookmarkStart w:id="482" w:name="_Toc15479"/>
      <w:bookmarkStart w:id="483" w:name="_Toc9465"/>
      <w:r>
        <w:rPr>
          <w:rFonts w:hint="eastAsia" w:hAnsi="宋体" w:cs="宋体"/>
          <w:color w:val="auto"/>
          <w:sz w:val="21"/>
          <w:szCs w:val="21"/>
          <w:highlight w:val="none"/>
        </w:rPr>
        <w:t>3、本投标自投标截止之日起</w:t>
      </w:r>
      <w:r>
        <w:rPr>
          <w:rFonts w:hint="eastAsia" w:hAnsi="宋体" w:cs="宋体"/>
          <w:color w:val="auto"/>
          <w:sz w:val="21"/>
          <w:szCs w:val="21"/>
          <w:highlight w:val="none"/>
          <w:u w:val="single"/>
        </w:rPr>
        <w:t>90</w:t>
      </w:r>
      <w:r>
        <w:rPr>
          <w:rFonts w:hint="eastAsia" w:hAnsi="宋体" w:cs="宋体"/>
          <w:color w:val="auto"/>
          <w:sz w:val="21"/>
          <w:szCs w:val="21"/>
          <w:highlight w:val="none"/>
        </w:rPr>
        <w:t>天内有效。</w:t>
      </w:r>
      <w:bookmarkEnd w:id="481"/>
      <w:bookmarkEnd w:id="482"/>
      <w:bookmarkEnd w:id="483"/>
    </w:p>
    <w:p w14:paraId="24692394">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4、我们已详细审查全部采购文件及有关的澄清/修改文件(若有的话)，我们完全理解并同意放弃对这方面提出任何异议的权利。保证遵守采购文件有关条款规定。</w:t>
      </w:r>
    </w:p>
    <w:p w14:paraId="7086B3D0">
      <w:pPr>
        <w:pStyle w:val="18"/>
        <w:spacing w:line="360" w:lineRule="auto"/>
        <w:ind w:firstLine="404" w:firstLineChars="200"/>
        <w:rPr>
          <w:rFonts w:hAnsi="宋体" w:cs="宋体"/>
          <w:color w:val="auto"/>
          <w:sz w:val="21"/>
          <w:szCs w:val="21"/>
          <w:highlight w:val="none"/>
        </w:rPr>
      </w:pPr>
      <w:bookmarkStart w:id="484" w:name="_Toc7829"/>
      <w:bookmarkStart w:id="485" w:name="_Toc24182"/>
      <w:bookmarkStart w:id="486" w:name="_Toc27122"/>
      <w:r>
        <w:rPr>
          <w:rFonts w:hint="eastAsia" w:hAnsi="宋体" w:cs="宋体"/>
          <w:color w:val="auto"/>
          <w:sz w:val="21"/>
          <w:szCs w:val="21"/>
          <w:highlight w:val="none"/>
        </w:rPr>
        <w:t>5、保证遵守采购文件有关条款规定。</w:t>
      </w:r>
      <w:bookmarkEnd w:id="484"/>
      <w:bookmarkEnd w:id="485"/>
      <w:bookmarkEnd w:id="486"/>
    </w:p>
    <w:p w14:paraId="7AAD249A">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6、保证在中标后忠实地执行与采购人所签署的合同，并承担合同规定的责任义务。保证在中标后按照采购文件的规定支付中标服务费。</w:t>
      </w:r>
    </w:p>
    <w:p w14:paraId="5F621377">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7、承诺应贵方要求提供任何与该项目投标有关的数据、情况和技术资料。</w:t>
      </w:r>
    </w:p>
    <w:p w14:paraId="5091AF3F">
      <w:pPr>
        <w:pStyle w:val="18"/>
        <w:spacing w:line="360" w:lineRule="auto"/>
        <w:ind w:firstLine="404" w:firstLineChars="200"/>
        <w:rPr>
          <w:rFonts w:hAnsi="宋体" w:cs="宋体"/>
          <w:color w:val="auto"/>
          <w:sz w:val="21"/>
          <w:szCs w:val="21"/>
          <w:highlight w:val="none"/>
        </w:rPr>
      </w:pPr>
      <w:bookmarkStart w:id="487" w:name="_Toc14712"/>
      <w:bookmarkStart w:id="488" w:name="_Toc15679"/>
      <w:bookmarkStart w:id="489" w:name="_Toc2003"/>
      <w:r>
        <w:rPr>
          <w:rFonts w:hint="eastAsia" w:hAnsi="宋体" w:cs="宋体"/>
          <w:color w:val="auto"/>
          <w:sz w:val="21"/>
          <w:szCs w:val="21"/>
          <w:highlight w:val="none"/>
        </w:rPr>
        <w:t>8、与本投标有关的一切往来通讯请寄：</w:t>
      </w:r>
      <w:bookmarkEnd w:id="487"/>
      <w:bookmarkEnd w:id="488"/>
      <w:bookmarkEnd w:id="489"/>
    </w:p>
    <w:p w14:paraId="7FFCD6C1">
      <w:pPr>
        <w:pStyle w:val="18"/>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p>
    <w:p w14:paraId="21C7A646">
      <w:pPr>
        <w:pStyle w:val="18"/>
        <w:spacing w:line="360" w:lineRule="auto"/>
        <w:ind w:firstLine="404" w:firstLineChars="200"/>
        <w:rPr>
          <w:rFonts w:hAnsi="宋体" w:cs="宋体"/>
          <w:color w:val="auto"/>
          <w:sz w:val="21"/>
          <w:szCs w:val="21"/>
          <w:highlight w:val="none"/>
          <w:u w:val="single"/>
        </w:rPr>
      </w:pPr>
      <w:r>
        <w:rPr>
          <w:rFonts w:hint="eastAsia" w:hAnsi="宋体" w:cs="宋体"/>
          <w:color w:val="auto"/>
          <w:sz w:val="21"/>
          <w:szCs w:val="21"/>
          <w:highlight w:val="none"/>
        </w:rPr>
        <w:t>邮编：</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传真：</w:t>
      </w:r>
      <w:r>
        <w:rPr>
          <w:rFonts w:hint="eastAsia" w:hAnsi="宋体" w:cs="宋体"/>
          <w:color w:val="auto"/>
          <w:sz w:val="21"/>
          <w:szCs w:val="21"/>
          <w:highlight w:val="none"/>
          <w:u w:val="single"/>
        </w:rPr>
        <w:t xml:space="preserve">         </w:t>
      </w:r>
    </w:p>
    <w:p w14:paraId="03427E29">
      <w:pPr>
        <w:pStyle w:val="18"/>
        <w:spacing w:line="360" w:lineRule="auto"/>
        <w:ind w:firstLine="404" w:firstLineChars="200"/>
        <w:rPr>
          <w:rFonts w:hAnsi="宋体" w:cs="宋体"/>
          <w:color w:val="auto"/>
          <w:sz w:val="21"/>
          <w:szCs w:val="21"/>
          <w:highlight w:val="none"/>
        </w:rPr>
      </w:pPr>
    </w:p>
    <w:p w14:paraId="28EE9D40">
      <w:pPr>
        <w:pStyle w:val="18"/>
        <w:spacing w:line="360" w:lineRule="auto"/>
        <w:ind w:firstLine="404" w:firstLineChars="200"/>
        <w:rPr>
          <w:rFonts w:hAnsi="宋体" w:cs="宋体"/>
          <w:color w:val="auto"/>
          <w:sz w:val="21"/>
          <w:szCs w:val="21"/>
          <w:highlight w:val="none"/>
        </w:rPr>
      </w:pPr>
    </w:p>
    <w:p w14:paraId="65135620">
      <w:pPr>
        <w:pStyle w:val="18"/>
        <w:widowControl/>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供应商全称（盖公章）：</w:t>
      </w:r>
    </w:p>
    <w:p w14:paraId="31DBEB1C">
      <w:pPr>
        <w:pStyle w:val="18"/>
        <w:widowControl/>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法定代表人或其授权委托人（签名或印章）：</w:t>
      </w:r>
    </w:p>
    <w:p w14:paraId="5CD750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4B403128">
      <w:pPr>
        <w:pStyle w:val="87"/>
        <w:keepNext w:val="0"/>
        <w:pageBreakBefore w:val="0"/>
        <w:tabs>
          <w:tab w:val="left" w:pos="420"/>
        </w:tabs>
        <w:adjustRightInd w:val="0"/>
        <w:snapToGrid w:val="0"/>
        <w:outlineLvl w:val="2"/>
        <w:rPr>
          <w:rFonts w:ascii="宋体" w:hAnsi="宋体" w:eastAsia="宋体" w:cs="宋体"/>
          <w:color w:val="auto"/>
          <w:sz w:val="30"/>
          <w:szCs w:val="30"/>
          <w:highlight w:val="none"/>
        </w:rPr>
      </w:pPr>
      <w:r>
        <w:rPr>
          <w:rFonts w:hint="eastAsia" w:ascii="宋体" w:hAnsi="宋体" w:eastAsia="宋体" w:cs="宋体"/>
          <w:b w:val="0"/>
          <w:color w:val="auto"/>
          <w:sz w:val="22"/>
          <w:szCs w:val="22"/>
          <w:highlight w:val="none"/>
        </w:rPr>
        <w:br w:type="page"/>
      </w:r>
      <w:bookmarkStart w:id="490" w:name="_Toc29085"/>
      <w:bookmarkStart w:id="491" w:name="_Toc18121"/>
      <w:bookmarkStart w:id="492" w:name="_Toc4325"/>
      <w:bookmarkStart w:id="493" w:name="_Toc31603"/>
      <w:bookmarkStart w:id="494" w:name="_Toc19411"/>
      <w:bookmarkStart w:id="495" w:name="_Toc25176"/>
      <w:r>
        <w:rPr>
          <w:rStyle w:val="90"/>
          <w:rFonts w:hint="eastAsia" w:ascii="宋体" w:hAnsi="宋体" w:cs="宋体"/>
          <w:b/>
          <w:color w:val="auto"/>
          <w:szCs w:val="28"/>
          <w:highlight w:val="none"/>
        </w:rPr>
        <w:t>开标一览表</w:t>
      </w:r>
      <w:bookmarkEnd w:id="490"/>
      <w:bookmarkEnd w:id="491"/>
      <w:bookmarkEnd w:id="492"/>
      <w:bookmarkEnd w:id="493"/>
      <w:bookmarkEnd w:id="494"/>
      <w:bookmarkEnd w:id="495"/>
    </w:p>
    <w:p w14:paraId="78AA999A">
      <w:pPr>
        <w:snapToGrid w:val="0"/>
        <w:spacing w:before="50" w:after="50" w:line="440" w:lineRule="exact"/>
        <w:rPr>
          <w:color w:val="auto"/>
          <w:sz w:val="22"/>
          <w:szCs w:val="22"/>
          <w:highlight w:val="none"/>
          <w:u w:val="single"/>
        </w:rPr>
      </w:pPr>
      <w:r>
        <w:rPr>
          <w:rFonts w:hint="eastAsia"/>
          <w:color w:val="auto"/>
          <w:sz w:val="22"/>
          <w:szCs w:val="22"/>
          <w:highlight w:val="none"/>
        </w:rPr>
        <w:t>招标编号：</w:t>
      </w:r>
      <w:r>
        <w:rPr>
          <w:rFonts w:hint="eastAsia"/>
          <w:color w:val="auto"/>
          <w:sz w:val="22"/>
          <w:szCs w:val="22"/>
          <w:highlight w:val="none"/>
          <w:u w:val="single"/>
        </w:rPr>
        <w:t xml:space="preserve">              </w:t>
      </w:r>
    </w:p>
    <w:p w14:paraId="43D3B37D">
      <w:pPr>
        <w:snapToGrid w:val="0"/>
        <w:spacing w:before="50" w:after="50" w:line="440" w:lineRule="exact"/>
        <w:rPr>
          <w:color w:val="auto"/>
          <w:sz w:val="22"/>
          <w:szCs w:val="22"/>
          <w:highlight w:val="none"/>
          <w:u w:val="single"/>
        </w:rPr>
      </w:pPr>
      <w:r>
        <w:rPr>
          <w:rFonts w:hint="eastAsia"/>
          <w:color w:val="auto"/>
          <w:sz w:val="22"/>
          <w:szCs w:val="22"/>
          <w:highlight w:val="none"/>
        </w:rPr>
        <w:t>供应商名称：</w:t>
      </w:r>
      <w:r>
        <w:rPr>
          <w:rFonts w:hint="eastAsia"/>
          <w:color w:val="auto"/>
          <w:sz w:val="22"/>
          <w:szCs w:val="22"/>
          <w:highlight w:val="none"/>
          <w:u w:val="single"/>
        </w:rPr>
        <w:t xml:space="preserve">            </w:t>
      </w:r>
    </w:p>
    <w:tbl>
      <w:tblPr>
        <w:tblStyle w:val="4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279"/>
      </w:tblGrid>
      <w:tr w14:paraId="6D30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2B9996B5">
            <w:pPr>
              <w:snapToGrid w:val="0"/>
              <w:jc w:val="center"/>
              <w:rPr>
                <w:color w:val="auto"/>
                <w:sz w:val="22"/>
                <w:szCs w:val="22"/>
                <w:highlight w:val="none"/>
              </w:rPr>
            </w:pPr>
            <w:r>
              <w:rPr>
                <w:rFonts w:hint="eastAsia"/>
                <w:color w:val="auto"/>
                <w:sz w:val="22"/>
                <w:szCs w:val="22"/>
                <w:highlight w:val="none"/>
              </w:rPr>
              <w:t>项目名称</w:t>
            </w:r>
          </w:p>
        </w:tc>
        <w:tc>
          <w:tcPr>
            <w:tcW w:w="7279" w:type="dxa"/>
            <w:tcBorders>
              <w:top w:val="single" w:color="auto" w:sz="4" w:space="0"/>
              <w:left w:val="single" w:color="auto" w:sz="4" w:space="0"/>
              <w:bottom w:val="single" w:color="auto" w:sz="4" w:space="0"/>
              <w:right w:val="single" w:color="auto" w:sz="4" w:space="0"/>
            </w:tcBorders>
            <w:vAlign w:val="center"/>
          </w:tcPr>
          <w:p w14:paraId="3E375E7E">
            <w:pPr>
              <w:snapToGrid w:val="0"/>
              <w:spacing w:line="360" w:lineRule="auto"/>
              <w:jc w:val="center"/>
              <w:rPr>
                <w:color w:val="auto"/>
                <w:sz w:val="22"/>
                <w:szCs w:val="22"/>
                <w:highlight w:val="none"/>
              </w:rPr>
            </w:pPr>
          </w:p>
        </w:tc>
      </w:tr>
      <w:tr w14:paraId="0F47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740" w:type="dxa"/>
            <w:vMerge w:val="restart"/>
            <w:tcBorders>
              <w:top w:val="single" w:color="auto" w:sz="4" w:space="0"/>
              <w:left w:val="single" w:color="auto" w:sz="4" w:space="0"/>
              <w:right w:val="single" w:color="auto" w:sz="4" w:space="0"/>
            </w:tcBorders>
            <w:vAlign w:val="center"/>
          </w:tcPr>
          <w:p w14:paraId="06F019D9">
            <w:pPr>
              <w:snapToGrid w:val="0"/>
              <w:jc w:val="center"/>
              <w:rPr>
                <w:snapToGrid w:val="0"/>
                <w:color w:val="auto"/>
                <w:sz w:val="22"/>
                <w:szCs w:val="22"/>
                <w:highlight w:val="none"/>
              </w:rPr>
            </w:pPr>
            <w:r>
              <w:rPr>
                <w:rFonts w:hint="eastAsia"/>
                <w:snapToGrid w:val="0"/>
                <w:color w:val="auto"/>
                <w:sz w:val="22"/>
                <w:szCs w:val="22"/>
                <w:highlight w:val="none"/>
              </w:rPr>
              <w:t>投标报价</w:t>
            </w:r>
          </w:p>
        </w:tc>
        <w:tc>
          <w:tcPr>
            <w:tcW w:w="7279" w:type="dxa"/>
            <w:tcBorders>
              <w:top w:val="single" w:color="auto" w:sz="4" w:space="0"/>
              <w:left w:val="single" w:color="auto" w:sz="4" w:space="0"/>
              <w:bottom w:val="single" w:color="auto" w:sz="4" w:space="0"/>
              <w:right w:val="single" w:color="auto" w:sz="4" w:space="0"/>
            </w:tcBorders>
            <w:vAlign w:val="center"/>
          </w:tcPr>
          <w:p w14:paraId="441C5DCB">
            <w:pPr>
              <w:snapToGrid w:val="0"/>
              <w:spacing w:line="600" w:lineRule="exact"/>
              <w:jc w:val="center"/>
              <w:rPr>
                <w:color w:val="auto"/>
                <w:sz w:val="22"/>
                <w:szCs w:val="22"/>
                <w:highlight w:val="none"/>
              </w:rPr>
            </w:pPr>
            <w:r>
              <w:rPr>
                <w:rFonts w:hint="eastAsia"/>
                <w:b/>
                <w:snapToGrid w:val="0"/>
                <w:color w:val="auto"/>
                <w:sz w:val="22"/>
                <w:szCs w:val="22"/>
                <w:highlight w:val="none"/>
              </w:rPr>
              <w:t xml:space="preserve">大写： </w:t>
            </w:r>
            <w:r>
              <w:rPr>
                <w:rFonts w:hint="eastAsia"/>
                <w:b/>
                <w:color w:val="auto"/>
                <w:sz w:val="22"/>
                <w:szCs w:val="22"/>
                <w:highlight w:val="none"/>
                <w:u w:val="single"/>
              </w:rPr>
              <w:t xml:space="preserve">         </w:t>
            </w:r>
            <w:r>
              <w:rPr>
                <w:rFonts w:hint="eastAsia"/>
                <w:b/>
                <w:color w:val="auto"/>
                <w:sz w:val="22"/>
                <w:szCs w:val="22"/>
                <w:highlight w:val="none"/>
              </w:rPr>
              <w:t>（小写：</w:t>
            </w:r>
            <w:r>
              <w:rPr>
                <w:rFonts w:hint="eastAsia"/>
                <w:b/>
                <w:color w:val="auto"/>
                <w:sz w:val="22"/>
                <w:szCs w:val="22"/>
                <w:highlight w:val="none"/>
                <w:u w:val="single"/>
              </w:rPr>
              <w:t xml:space="preserve"> </w:t>
            </w:r>
            <w:r>
              <w:rPr>
                <w:rFonts w:hint="eastAsia"/>
                <w:b/>
                <w:color w:val="auto"/>
                <w:sz w:val="22"/>
                <w:szCs w:val="22"/>
                <w:highlight w:val="none"/>
                <w:u w:val="single"/>
                <w:lang w:val="en-US" w:eastAsia="zh-CN"/>
              </w:rPr>
              <w:t xml:space="preserve">  </w:t>
            </w:r>
            <w:r>
              <w:rPr>
                <w:rFonts w:hint="eastAsia"/>
                <w:b/>
                <w:color w:val="auto"/>
                <w:sz w:val="22"/>
                <w:szCs w:val="22"/>
                <w:highlight w:val="none"/>
                <w:u w:val="single"/>
              </w:rPr>
              <w:t xml:space="preserve">  </w:t>
            </w:r>
            <w:r>
              <w:rPr>
                <w:rFonts w:hint="eastAsia"/>
                <w:b/>
                <w:color w:val="auto"/>
                <w:sz w:val="22"/>
                <w:szCs w:val="22"/>
                <w:highlight w:val="none"/>
              </w:rPr>
              <w:t>元</w:t>
            </w:r>
            <w:r>
              <w:rPr>
                <w:rFonts w:hint="eastAsia"/>
                <w:b/>
                <w:color w:val="auto"/>
                <w:sz w:val="22"/>
                <w:szCs w:val="22"/>
                <w:highlight w:val="none"/>
                <w:lang w:val="en-US" w:eastAsia="zh-CN"/>
              </w:rPr>
              <w:t>/年</w:t>
            </w:r>
            <w:r>
              <w:rPr>
                <w:rFonts w:hint="eastAsia"/>
                <w:b/>
                <w:color w:val="auto"/>
                <w:sz w:val="22"/>
                <w:szCs w:val="22"/>
                <w:highlight w:val="none"/>
              </w:rPr>
              <w:t>）</w:t>
            </w:r>
          </w:p>
        </w:tc>
      </w:tr>
      <w:tr w14:paraId="1CFC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740" w:type="dxa"/>
            <w:vMerge w:val="continue"/>
            <w:tcBorders>
              <w:left w:val="single" w:color="auto" w:sz="4" w:space="0"/>
              <w:bottom w:val="single" w:color="auto" w:sz="4" w:space="0"/>
              <w:right w:val="single" w:color="auto" w:sz="4" w:space="0"/>
            </w:tcBorders>
            <w:shd w:val="clear" w:color="auto" w:fill="auto"/>
            <w:vAlign w:val="center"/>
          </w:tcPr>
          <w:p w14:paraId="0E0AB355">
            <w:pPr>
              <w:snapToGrid w:val="0"/>
              <w:jc w:val="center"/>
              <w:rPr>
                <w:rFonts w:hint="eastAsia" w:ascii="Times New Roman" w:hAnsi="Times New Roman" w:eastAsia="宋体" w:cs="Times New Roman"/>
                <w:snapToGrid w:val="0"/>
                <w:color w:val="auto"/>
                <w:kern w:val="2"/>
                <w:sz w:val="22"/>
                <w:szCs w:val="22"/>
                <w:highlight w:val="none"/>
                <w:lang w:val="en-US" w:eastAsia="zh-CN" w:bidi="ar-SA"/>
              </w:rPr>
            </w:pPr>
          </w:p>
        </w:tc>
        <w:tc>
          <w:tcPr>
            <w:tcW w:w="7279" w:type="dxa"/>
            <w:tcBorders>
              <w:top w:val="single" w:color="auto" w:sz="4" w:space="0"/>
              <w:left w:val="single" w:color="auto" w:sz="4" w:space="0"/>
              <w:bottom w:val="single" w:color="auto" w:sz="4" w:space="0"/>
              <w:right w:val="single" w:color="auto" w:sz="4" w:space="0"/>
            </w:tcBorders>
            <w:shd w:val="clear" w:color="auto" w:fill="auto"/>
            <w:vAlign w:val="center"/>
          </w:tcPr>
          <w:p w14:paraId="21BD86B4">
            <w:pPr>
              <w:snapToGrid w:val="0"/>
              <w:spacing w:line="600" w:lineRule="exact"/>
              <w:jc w:val="center"/>
              <w:rPr>
                <w:rFonts w:hint="eastAsia" w:ascii="Times New Roman" w:hAnsi="Times New Roman" w:eastAsia="宋体" w:cs="Times New Roman"/>
                <w:color w:val="auto"/>
                <w:kern w:val="2"/>
                <w:sz w:val="22"/>
                <w:szCs w:val="22"/>
                <w:highlight w:val="none"/>
                <w:lang w:val="en-US" w:eastAsia="zh-CN" w:bidi="ar-SA"/>
              </w:rPr>
            </w:pPr>
            <w:r>
              <w:rPr>
                <w:rFonts w:hint="eastAsia"/>
                <w:b/>
                <w:snapToGrid w:val="0"/>
                <w:color w:val="auto"/>
                <w:sz w:val="22"/>
                <w:szCs w:val="22"/>
                <w:highlight w:val="none"/>
              </w:rPr>
              <w:t xml:space="preserve">大写： </w:t>
            </w:r>
            <w:r>
              <w:rPr>
                <w:rFonts w:hint="eastAsia"/>
                <w:b/>
                <w:color w:val="auto"/>
                <w:sz w:val="22"/>
                <w:szCs w:val="22"/>
                <w:highlight w:val="none"/>
                <w:u w:val="single"/>
              </w:rPr>
              <w:t xml:space="preserve">         </w:t>
            </w:r>
            <w:r>
              <w:rPr>
                <w:rFonts w:hint="eastAsia"/>
                <w:b/>
                <w:color w:val="auto"/>
                <w:sz w:val="22"/>
                <w:szCs w:val="22"/>
                <w:highlight w:val="none"/>
              </w:rPr>
              <w:t>（小写：</w:t>
            </w:r>
            <w:r>
              <w:rPr>
                <w:rFonts w:hint="eastAsia"/>
                <w:b/>
                <w:color w:val="auto"/>
                <w:sz w:val="22"/>
                <w:szCs w:val="22"/>
                <w:highlight w:val="none"/>
                <w:u w:val="single"/>
              </w:rPr>
              <w:t xml:space="preserve"> </w:t>
            </w:r>
            <w:r>
              <w:rPr>
                <w:rFonts w:hint="eastAsia"/>
                <w:b/>
                <w:color w:val="auto"/>
                <w:sz w:val="22"/>
                <w:szCs w:val="22"/>
                <w:highlight w:val="none"/>
                <w:u w:val="single"/>
                <w:lang w:val="en-US" w:eastAsia="zh-CN"/>
              </w:rPr>
              <w:t xml:space="preserve">  </w:t>
            </w:r>
            <w:r>
              <w:rPr>
                <w:rFonts w:hint="eastAsia"/>
                <w:b/>
                <w:color w:val="auto"/>
                <w:sz w:val="22"/>
                <w:szCs w:val="22"/>
                <w:highlight w:val="none"/>
                <w:u w:val="single"/>
              </w:rPr>
              <w:t xml:space="preserve">  </w:t>
            </w:r>
            <w:r>
              <w:rPr>
                <w:rFonts w:hint="eastAsia"/>
                <w:b/>
                <w:color w:val="auto"/>
                <w:sz w:val="22"/>
                <w:szCs w:val="22"/>
                <w:highlight w:val="none"/>
              </w:rPr>
              <w:t>元</w:t>
            </w:r>
            <w:r>
              <w:rPr>
                <w:rFonts w:hint="eastAsia"/>
                <w:b/>
                <w:color w:val="auto"/>
                <w:sz w:val="22"/>
                <w:szCs w:val="22"/>
                <w:highlight w:val="none"/>
                <w:lang w:val="en-US" w:eastAsia="zh-CN"/>
              </w:rPr>
              <w:t>/三年</w:t>
            </w:r>
            <w:r>
              <w:rPr>
                <w:rFonts w:hint="eastAsia"/>
                <w:b/>
                <w:color w:val="auto"/>
                <w:sz w:val="22"/>
                <w:szCs w:val="22"/>
                <w:highlight w:val="none"/>
              </w:rPr>
              <w:t>）</w:t>
            </w:r>
          </w:p>
        </w:tc>
      </w:tr>
      <w:tr w14:paraId="0A23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329492D9">
            <w:pPr>
              <w:snapToGrid w:val="0"/>
              <w:jc w:val="center"/>
              <w:rPr>
                <w:snapToGrid w:val="0"/>
                <w:color w:val="auto"/>
                <w:sz w:val="22"/>
                <w:szCs w:val="22"/>
                <w:highlight w:val="none"/>
              </w:rPr>
            </w:pPr>
            <w:r>
              <w:rPr>
                <w:rFonts w:hint="eastAsia"/>
                <w:snapToGrid w:val="0"/>
                <w:color w:val="auto"/>
                <w:sz w:val="22"/>
                <w:szCs w:val="22"/>
                <w:highlight w:val="none"/>
              </w:rPr>
              <w:t>服务期限</w:t>
            </w:r>
          </w:p>
        </w:tc>
        <w:tc>
          <w:tcPr>
            <w:tcW w:w="7279" w:type="dxa"/>
            <w:tcBorders>
              <w:top w:val="single" w:color="auto" w:sz="4" w:space="0"/>
              <w:left w:val="single" w:color="auto" w:sz="4" w:space="0"/>
              <w:bottom w:val="single" w:color="auto" w:sz="4" w:space="0"/>
              <w:right w:val="single" w:color="auto" w:sz="4" w:space="0"/>
            </w:tcBorders>
            <w:vAlign w:val="center"/>
          </w:tcPr>
          <w:p w14:paraId="08D262C1">
            <w:pPr>
              <w:snapToGrid w:val="0"/>
              <w:spacing w:line="600" w:lineRule="exact"/>
              <w:jc w:val="center"/>
              <w:rPr>
                <w:color w:val="auto"/>
                <w:sz w:val="22"/>
                <w:szCs w:val="22"/>
                <w:highlight w:val="none"/>
              </w:rPr>
            </w:pPr>
          </w:p>
        </w:tc>
      </w:tr>
      <w:tr w14:paraId="7C16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06E90A90">
            <w:pPr>
              <w:snapToGrid w:val="0"/>
              <w:jc w:val="center"/>
              <w:rPr>
                <w:color w:val="auto"/>
                <w:sz w:val="22"/>
                <w:szCs w:val="22"/>
                <w:highlight w:val="none"/>
              </w:rPr>
            </w:pPr>
            <w:r>
              <w:rPr>
                <w:rFonts w:hint="eastAsia"/>
                <w:color w:val="auto"/>
                <w:sz w:val="22"/>
                <w:szCs w:val="22"/>
                <w:highlight w:val="none"/>
              </w:rPr>
              <w:t>投标声明</w:t>
            </w:r>
          </w:p>
        </w:tc>
        <w:tc>
          <w:tcPr>
            <w:tcW w:w="7279" w:type="dxa"/>
            <w:tcBorders>
              <w:top w:val="single" w:color="auto" w:sz="4" w:space="0"/>
              <w:left w:val="single" w:color="auto" w:sz="4" w:space="0"/>
              <w:bottom w:val="single" w:color="auto" w:sz="4" w:space="0"/>
              <w:right w:val="single" w:color="auto" w:sz="4" w:space="0"/>
            </w:tcBorders>
            <w:vAlign w:val="center"/>
          </w:tcPr>
          <w:p w14:paraId="3546E6F1">
            <w:pPr>
              <w:snapToGrid w:val="0"/>
              <w:spacing w:line="600" w:lineRule="exact"/>
              <w:jc w:val="center"/>
              <w:rPr>
                <w:color w:val="auto"/>
                <w:sz w:val="22"/>
                <w:szCs w:val="22"/>
                <w:highlight w:val="none"/>
              </w:rPr>
            </w:pPr>
            <w:r>
              <w:rPr>
                <w:rFonts w:hint="eastAsia"/>
                <w:color w:val="auto"/>
                <w:sz w:val="22"/>
                <w:szCs w:val="22"/>
                <w:highlight w:val="none"/>
              </w:rPr>
              <w:t>若无，请写“/”</w:t>
            </w:r>
          </w:p>
        </w:tc>
      </w:tr>
    </w:tbl>
    <w:p w14:paraId="065E86A2">
      <w:pPr>
        <w:snapToGrid w:val="0"/>
        <w:spacing w:before="50" w:after="50" w:line="440" w:lineRule="exact"/>
        <w:rPr>
          <w:color w:val="auto"/>
          <w:sz w:val="22"/>
          <w:szCs w:val="22"/>
          <w:highlight w:val="none"/>
        </w:rPr>
      </w:pPr>
      <w:r>
        <w:rPr>
          <w:rFonts w:hint="eastAsia"/>
          <w:color w:val="auto"/>
          <w:sz w:val="22"/>
          <w:szCs w:val="22"/>
          <w:highlight w:val="none"/>
        </w:rPr>
        <w:t>注: 1、报价一经涂改，应在涂改处加盖单位公章或者由法定代表人或授权委托人签字或盖章，否则其投标作无效标处理。</w:t>
      </w:r>
    </w:p>
    <w:p w14:paraId="735FB4EA">
      <w:pPr>
        <w:snapToGrid w:val="0"/>
        <w:spacing w:before="50" w:after="50" w:line="440" w:lineRule="exact"/>
        <w:rPr>
          <w:color w:val="auto"/>
          <w:sz w:val="22"/>
          <w:szCs w:val="22"/>
          <w:highlight w:val="none"/>
        </w:rPr>
      </w:pPr>
      <w:r>
        <w:rPr>
          <w:rFonts w:hint="eastAsia"/>
          <w:color w:val="auto"/>
          <w:sz w:val="22"/>
          <w:szCs w:val="22"/>
          <w:highlight w:val="none"/>
        </w:rPr>
        <w:t xml:space="preserve">2、投标报价超过最高限价的作无效标处理。 </w:t>
      </w:r>
    </w:p>
    <w:p w14:paraId="39AC5A76">
      <w:pPr>
        <w:snapToGrid w:val="0"/>
        <w:spacing w:before="50" w:after="50" w:line="440" w:lineRule="exact"/>
        <w:ind w:right="-817" w:rightChars="-389"/>
        <w:rPr>
          <w:color w:val="auto"/>
          <w:sz w:val="22"/>
          <w:szCs w:val="22"/>
          <w:highlight w:val="none"/>
        </w:rPr>
      </w:pPr>
    </w:p>
    <w:p w14:paraId="2417389C">
      <w:pPr>
        <w:snapToGrid w:val="0"/>
        <w:spacing w:line="360" w:lineRule="auto"/>
        <w:rPr>
          <w:color w:val="auto"/>
          <w:sz w:val="22"/>
          <w:szCs w:val="22"/>
          <w:highlight w:val="none"/>
        </w:rPr>
      </w:pPr>
      <w:r>
        <w:rPr>
          <w:rFonts w:hint="eastAsia"/>
          <w:color w:val="auto"/>
          <w:sz w:val="22"/>
          <w:szCs w:val="22"/>
          <w:highlight w:val="none"/>
        </w:rPr>
        <w:t xml:space="preserve">供应商名称（盖章）：                                 </w:t>
      </w:r>
    </w:p>
    <w:p w14:paraId="29E3870C">
      <w:pPr>
        <w:snapToGrid w:val="0"/>
        <w:spacing w:line="360" w:lineRule="auto"/>
        <w:rPr>
          <w:color w:val="auto"/>
          <w:sz w:val="22"/>
          <w:szCs w:val="22"/>
          <w:highlight w:val="none"/>
        </w:rPr>
      </w:pPr>
      <w:r>
        <w:rPr>
          <w:rFonts w:hint="eastAsia"/>
          <w:color w:val="auto"/>
          <w:sz w:val="22"/>
          <w:szCs w:val="22"/>
          <w:highlight w:val="none"/>
        </w:rPr>
        <w:t xml:space="preserve">法定代表人或授权代表（签字或盖章）： </w:t>
      </w:r>
    </w:p>
    <w:p w14:paraId="18C0B10D">
      <w:pPr>
        <w:spacing w:line="360" w:lineRule="auto"/>
        <w:rPr>
          <w:rFonts w:ascii="宋体" w:hAnsi="宋体" w:cs="宋体"/>
          <w:color w:val="auto"/>
          <w:szCs w:val="21"/>
          <w:highlight w:val="none"/>
        </w:rPr>
      </w:pPr>
      <w:r>
        <w:rPr>
          <w:rFonts w:hint="eastAsia"/>
          <w:color w:val="auto"/>
          <w:sz w:val="22"/>
          <w:szCs w:val="22"/>
          <w:highlight w:val="none"/>
        </w:rPr>
        <w:t>日期：    年   月   日</w:t>
      </w:r>
    </w:p>
    <w:p w14:paraId="33550375">
      <w:pPr>
        <w:jc w:val="center"/>
        <w:outlineLvl w:val="2"/>
        <w:rPr>
          <w:rStyle w:val="90"/>
          <w:rFonts w:ascii="宋体" w:hAnsi="宋体" w:cs="宋体"/>
          <w:color w:val="auto"/>
          <w:kern w:val="44"/>
          <w:szCs w:val="28"/>
          <w:highlight w:val="none"/>
        </w:rPr>
      </w:pPr>
      <w:r>
        <w:rPr>
          <w:rStyle w:val="90"/>
          <w:rFonts w:hint="eastAsia" w:ascii="宋体" w:hAnsi="宋体" w:cs="宋体"/>
          <w:color w:val="auto"/>
          <w:sz w:val="21"/>
          <w:szCs w:val="21"/>
          <w:highlight w:val="none"/>
        </w:rPr>
        <w:br w:type="page"/>
      </w:r>
      <w:bookmarkStart w:id="496" w:name="_Toc20154"/>
      <w:bookmarkStart w:id="497" w:name="_Toc20660"/>
      <w:bookmarkStart w:id="498" w:name="_Toc9645"/>
      <w:bookmarkStart w:id="499" w:name="_Toc18892"/>
      <w:r>
        <w:rPr>
          <w:rStyle w:val="90"/>
          <w:rFonts w:hint="eastAsia" w:ascii="宋体" w:hAnsi="宋体" w:cs="宋体"/>
          <w:color w:val="auto"/>
          <w:kern w:val="44"/>
          <w:szCs w:val="28"/>
          <w:highlight w:val="none"/>
        </w:rPr>
        <w:t>投标分项报价表</w:t>
      </w:r>
      <w:bookmarkEnd w:id="496"/>
      <w:bookmarkEnd w:id="497"/>
      <w:bookmarkEnd w:id="498"/>
      <w:bookmarkEnd w:id="499"/>
    </w:p>
    <w:p w14:paraId="5F728122">
      <w:pPr>
        <w:snapToGrid w:val="0"/>
        <w:spacing w:before="50" w:after="50" w:line="440" w:lineRule="exact"/>
        <w:rPr>
          <w:color w:val="auto"/>
          <w:highlight w:val="none"/>
          <w:u w:val="single"/>
        </w:rPr>
      </w:pPr>
      <w:r>
        <w:rPr>
          <w:rFonts w:hint="eastAsia"/>
          <w:color w:val="auto"/>
          <w:highlight w:val="none"/>
        </w:rPr>
        <w:t>招标编号：</w:t>
      </w:r>
      <w:r>
        <w:rPr>
          <w:rFonts w:hint="eastAsia"/>
          <w:color w:val="auto"/>
          <w:highlight w:val="none"/>
          <w:u w:val="single"/>
        </w:rPr>
        <w:t xml:space="preserve">              </w:t>
      </w:r>
    </w:p>
    <w:p w14:paraId="46D0E931">
      <w:pPr>
        <w:snapToGrid w:val="0"/>
        <w:spacing w:before="50" w:after="50" w:line="440" w:lineRule="exact"/>
        <w:rPr>
          <w:color w:val="auto"/>
          <w:highlight w:val="none"/>
        </w:rPr>
      </w:pPr>
      <w:r>
        <w:rPr>
          <w:rFonts w:hint="eastAsia"/>
          <w:color w:val="auto"/>
          <w:highlight w:val="none"/>
        </w:rPr>
        <w:t>供应商名称：</w:t>
      </w:r>
      <w:r>
        <w:rPr>
          <w:rFonts w:hint="eastAsia"/>
          <w:color w:val="auto"/>
          <w:highlight w:val="none"/>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668"/>
        <w:gridCol w:w="1285"/>
        <w:gridCol w:w="850"/>
        <w:gridCol w:w="2284"/>
      </w:tblGrid>
      <w:tr w14:paraId="442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578ECF98">
            <w:pPr>
              <w:pStyle w:val="29"/>
              <w:tabs>
                <w:tab w:val="right" w:leader="dot" w:pos="8834"/>
              </w:tabs>
              <w:jc w:val="center"/>
              <w:rPr>
                <w:rFonts w:ascii="宋体" w:hAnsi="宋体" w:cs="宋体"/>
                <w:color w:val="auto"/>
                <w:highlight w:val="none"/>
              </w:rPr>
            </w:pPr>
            <w:r>
              <w:rPr>
                <w:rFonts w:hint="eastAsia" w:ascii="宋体"/>
                <w:b/>
                <w:color w:val="auto"/>
                <w:szCs w:val="21"/>
                <w:highlight w:val="none"/>
              </w:rPr>
              <w:t>序号</w:t>
            </w:r>
          </w:p>
        </w:tc>
        <w:tc>
          <w:tcPr>
            <w:tcW w:w="3668" w:type="dxa"/>
            <w:vAlign w:val="center"/>
          </w:tcPr>
          <w:p w14:paraId="1CBEEF69">
            <w:pPr>
              <w:jc w:val="center"/>
              <w:rPr>
                <w:rFonts w:ascii="宋体" w:hAnsi="宋体" w:cs="宋体"/>
                <w:color w:val="auto"/>
                <w:highlight w:val="none"/>
              </w:rPr>
            </w:pPr>
            <w:r>
              <w:rPr>
                <w:rFonts w:hint="eastAsia" w:ascii="宋体"/>
                <w:b/>
                <w:color w:val="auto"/>
                <w:szCs w:val="21"/>
                <w:highlight w:val="none"/>
              </w:rPr>
              <w:t>项目</w:t>
            </w:r>
          </w:p>
        </w:tc>
        <w:tc>
          <w:tcPr>
            <w:tcW w:w="1285" w:type="dxa"/>
            <w:vAlign w:val="center"/>
          </w:tcPr>
          <w:p w14:paraId="63F345EA">
            <w:pPr>
              <w:jc w:val="center"/>
              <w:rPr>
                <w:rFonts w:ascii="宋体" w:hAnsi="宋体" w:cs="宋体"/>
                <w:color w:val="auto"/>
                <w:highlight w:val="none"/>
              </w:rPr>
            </w:pPr>
            <w:r>
              <w:rPr>
                <w:rFonts w:hint="eastAsia" w:ascii="宋体"/>
                <w:b/>
                <w:color w:val="auto"/>
                <w:szCs w:val="21"/>
                <w:highlight w:val="none"/>
              </w:rPr>
              <w:t>单位</w:t>
            </w:r>
          </w:p>
        </w:tc>
        <w:tc>
          <w:tcPr>
            <w:tcW w:w="850" w:type="dxa"/>
            <w:vAlign w:val="center"/>
          </w:tcPr>
          <w:p w14:paraId="06CE19BF">
            <w:pPr>
              <w:jc w:val="center"/>
              <w:rPr>
                <w:rFonts w:ascii="宋体" w:hAnsi="宋体" w:cs="宋体"/>
                <w:color w:val="auto"/>
                <w:highlight w:val="none"/>
              </w:rPr>
            </w:pPr>
            <w:r>
              <w:rPr>
                <w:rFonts w:hint="eastAsia" w:ascii="宋体"/>
                <w:b/>
                <w:color w:val="auto"/>
                <w:szCs w:val="21"/>
                <w:highlight w:val="none"/>
              </w:rPr>
              <w:t>数量</w:t>
            </w:r>
          </w:p>
        </w:tc>
        <w:tc>
          <w:tcPr>
            <w:tcW w:w="2284" w:type="dxa"/>
            <w:vAlign w:val="center"/>
          </w:tcPr>
          <w:p w14:paraId="2BBE71E8">
            <w:pPr>
              <w:jc w:val="center"/>
              <w:rPr>
                <w:rFonts w:ascii="宋体" w:hAnsi="宋体" w:cs="宋体"/>
                <w:b/>
                <w:color w:val="auto"/>
                <w:sz w:val="22"/>
                <w:szCs w:val="21"/>
                <w:highlight w:val="none"/>
                <w:lang w:val="zh-CN" w:bidi="zh-CN"/>
              </w:rPr>
            </w:pPr>
            <w:r>
              <w:rPr>
                <w:rFonts w:hint="eastAsia" w:ascii="宋体"/>
                <w:b/>
                <w:color w:val="auto"/>
                <w:szCs w:val="21"/>
                <w:highlight w:val="none"/>
              </w:rPr>
              <w:t>投标报价（含税，元）</w:t>
            </w:r>
          </w:p>
        </w:tc>
      </w:tr>
      <w:tr w14:paraId="7C2B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5"/>
            <w:vAlign w:val="center"/>
          </w:tcPr>
          <w:p w14:paraId="3CB6DD2E">
            <w:pPr>
              <w:jc w:val="center"/>
              <w:rPr>
                <w:rFonts w:hint="eastAsia" w:ascii="宋体"/>
                <w:b/>
                <w:color w:val="auto"/>
                <w:szCs w:val="21"/>
                <w:highlight w:val="none"/>
              </w:rPr>
            </w:pPr>
            <w:r>
              <w:rPr>
                <w:rFonts w:hint="eastAsia" w:ascii="宋体" w:hAnsi="宋体" w:cs="宋体"/>
                <w:b/>
                <w:bCs/>
                <w:color w:val="auto"/>
                <w:kern w:val="0"/>
                <w:sz w:val="22"/>
                <w:szCs w:val="22"/>
                <w:highlight w:val="none"/>
                <w:lang w:bidi="ar"/>
              </w:rPr>
              <w:t>应急保障</w:t>
            </w:r>
          </w:p>
        </w:tc>
      </w:tr>
      <w:tr w14:paraId="0D70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6D09CA77">
            <w:pPr>
              <w:jc w:val="center"/>
              <w:rPr>
                <w:rFonts w:hint="eastAsia" w:ascii="宋体"/>
                <w:b/>
                <w:color w:val="auto"/>
                <w:szCs w:val="21"/>
                <w:highlight w:val="none"/>
              </w:rPr>
            </w:pPr>
            <w:r>
              <w:rPr>
                <w:rFonts w:hint="eastAsia" w:ascii="宋体" w:hAnsi="宋体" w:cs="宋体"/>
                <w:color w:val="auto"/>
                <w:highlight w:val="none"/>
              </w:rPr>
              <w:t>1</w:t>
            </w:r>
          </w:p>
        </w:tc>
        <w:tc>
          <w:tcPr>
            <w:tcW w:w="3668" w:type="dxa"/>
            <w:vAlign w:val="center"/>
          </w:tcPr>
          <w:p w14:paraId="1DEDFB46">
            <w:pPr>
              <w:widowControl/>
              <w:spacing w:line="400" w:lineRule="exact"/>
              <w:jc w:val="center"/>
              <w:textAlignment w:val="center"/>
              <w:rPr>
                <w:rFonts w:hint="eastAsia" w:ascii="宋体"/>
                <w:b/>
                <w:color w:val="auto"/>
                <w:szCs w:val="21"/>
                <w:highlight w:val="none"/>
              </w:rPr>
            </w:pPr>
            <w:r>
              <w:rPr>
                <w:rFonts w:hint="eastAsia" w:ascii="宋体" w:hAnsi="宋体" w:cs="宋体"/>
                <w:color w:val="auto"/>
                <w:highlight w:val="none"/>
              </w:rPr>
              <w:t>应急处理</w:t>
            </w:r>
          </w:p>
        </w:tc>
        <w:tc>
          <w:tcPr>
            <w:tcW w:w="1285" w:type="dxa"/>
            <w:vAlign w:val="center"/>
          </w:tcPr>
          <w:p w14:paraId="3D0BD254">
            <w:pPr>
              <w:jc w:val="center"/>
              <w:rPr>
                <w:rFonts w:hint="eastAsia" w:ascii="宋体"/>
                <w:b/>
                <w:color w:val="auto"/>
                <w:szCs w:val="21"/>
                <w:highlight w:val="none"/>
              </w:rPr>
            </w:pPr>
            <w:r>
              <w:rPr>
                <w:rFonts w:hint="eastAsia" w:ascii="宋体" w:hAnsi="宋体" w:cs="宋体"/>
                <w:color w:val="auto"/>
                <w:highlight w:val="none"/>
              </w:rPr>
              <w:t>项</w:t>
            </w:r>
          </w:p>
        </w:tc>
        <w:tc>
          <w:tcPr>
            <w:tcW w:w="850" w:type="dxa"/>
            <w:vAlign w:val="center"/>
          </w:tcPr>
          <w:p w14:paraId="030F8597">
            <w:pPr>
              <w:jc w:val="center"/>
              <w:rPr>
                <w:rFonts w:hint="eastAsia" w:ascii="宋体"/>
                <w:b/>
                <w:color w:val="auto"/>
                <w:szCs w:val="21"/>
                <w:highlight w:val="none"/>
              </w:rPr>
            </w:pPr>
            <w:r>
              <w:rPr>
                <w:rFonts w:hint="eastAsia" w:ascii="宋体" w:hAnsi="宋体" w:cs="宋体"/>
                <w:color w:val="auto"/>
                <w:highlight w:val="none"/>
              </w:rPr>
              <w:t>1</w:t>
            </w:r>
          </w:p>
        </w:tc>
        <w:tc>
          <w:tcPr>
            <w:tcW w:w="2284" w:type="dxa"/>
            <w:vAlign w:val="top"/>
          </w:tcPr>
          <w:p w14:paraId="33927973">
            <w:pPr>
              <w:jc w:val="center"/>
              <w:rPr>
                <w:rFonts w:hint="eastAsia" w:ascii="宋体"/>
                <w:b/>
                <w:color w:val="auto"/>
                <w:szCs w:val="21"/>
                <w:highlight w:val="none"/>
              </w:rPr>
            </w:pPr>
          </w:p>
        </w:tc>
      </w:tr>
      <w:tr w14:paraId="0DC1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1671A7CF">
            <w:pPr>
              <w:jc w:val="center"/>
              <w:rPr>
                <w:rFonts w:hint="eastAsia" w:ascii="宋体"/>
                <w:b/>
                <w:color w:val="auto"/>
                <w:szCs w:val="21"/>
                <w:highlight w:val="none"/>
              </w:rPr>
            </w:pPr>
            <w:r>
              <w:rPr>
                <w:rFonts w:hint="eastAsia" w:ascii="宋体" w:hAnsi="宋体" w:cs="宋体"/>
                <w:color w:val="auto"/>
                <w:highlight w:val="none"/>
              </w:rPr>
              <w:t>2</w:t>
            </w:r>
          </w:p>
        </w:tc>
        <w:tc>
          <w:tcPr>
            <w:tcW w:w="3668" w:type="dxa"/>
            <w:vAlign w:val="center"/>
          </w:tcPr>
          <w:p w14:paraId="6221B70D">
            <w:pPr>
              <w:widowControl/>
              <w:spacing w:line="400" w:lineRule="exact"/>
              <w:jc w:val="center"/>
              <w:textAlignment w:val="center"/>
              <w:rPr>
                <w:rFonts w:hint="eastAsia" w:ascii="宋体"/>
                <w:b/>
                <w:color w:val="auto"/>
                <w:szCs w:val="21"/>
                <w:highlight w:val="none"/>
              </w:rPr>
            </w:pPr>
            <w:r>
              <w:rPr>
                <w:rFonts w:hint="eastAsia" w:ascii="宋体" w:hAnsi="宋体" w:cs="宋体"/>
                <w:color w:val="auto"/>
                <w:highlight w:val="none"/>
              </w:rPr>
              <w:t>节点保障</w:t>
            </w:r>
          </w:p>
        </w:tc>
        <w:tc>
          <w:tcPr>
            <w:tcW w:w="1285" w:type="dxa"/>
            <w:vAlign w:val="center"/>
          </w:tcPr>
          <w:p w14:paraId="1F702389">
            <w:pPr>
              <w:jc w:val="center"/>
              <w:rPr>
                <w:rFonts w:hint="eastAsia" w:ascii="宋体"/>
                <w:b/>
                <w:color w:val="auto"/>
                <w:szCs w:val="21"/>
                <w:highlight w:val="none"/>
              </w:rPr>
            </w:pPr>
            <w:r>
              <w:rPr>
                <w:rFonts w:hint="eastAsia" w:ascii="宋体" w:hAnsi="宋体" w:cs="宋体"/>
                <w:color w:val="auto"/>
                <w:highlight w:val="none"/>
              </w:rPr>
              <w:t>项</w:t>
            </w:r>
          </w:p>
        </w:tc>
        <w:tc>
          <w:tcPr>
            <w:tcW w:w="850" w:type="dxa"/>
            <w:vAlign w:val="center"/>
          </w:tcPr>
          <w:p w14:paraId="1014CB08">
            <w:pPr>
              <w:jc w:val="center"/>
              <w:rPr>
                <w:rFonts w:hint="eastAsia" w:ascii="宋体"/>
                <w:b/>
                <w:color w:val="auto"/>
                <w:szCs w:val="21"/>
                <w:highlight w:val="none"/>
              </w:rPr>
            </w:pPr>
            <w:r>
              <w:rPr>
                <w:rFonts w:hint="eastAsia" w:ascii="宋体" w:hAnsi="宋体" w:cs="宋体"/>
                <w:color w:val="auto"/>
                <w:highlight w:val="none"/>
              </w:rPr>
              <w:t>1</w:t>
            </w:r>
          </w:p>
        </w:tc>
        <w:tc>
          <w:tcPr>
            <w:tcW w:w="2284" w:type="dxa"/>
            <w:vAlign w:val="top"/>
          </w:tcPr>
          <w:p w14:paraId="0786E2DF">
            <w:pPr>
              <w:jc w:val="center"/>
              <w:rPr>
                <w:rFonts w:hint="eastAsia" w:ascii="宋体"/>
                <w:b/>
                <w:color w:val="auto"/>
                <w:szCs w:val="21"/>
                <w:highlight w:val="none"/>
              </w:rPr>
            </w:pPr>
          </w:p>
        </w:tc>
      </w:tr>
      <w:tr w14:paraId="3C5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3A4EEE5">
            <w:pPr>
              <w:jc w:val="center"/>
              <w:rPr>
                <w:rFonts w:hint="eastAsia" w:ascii="宋体"/>
                <w:b/>
                <w:color w:val="auto"/>
                <w:szCs w:val="21"/>
                <w:highlight w:val="none"/>
              </w:rPr>
            </w:pPr>
            <w:r>
              <w:rPr>
                <w:rFonts w:hint="eastAsia" w:ascii="宋体" w:hAnsi="宋体" w:cs="宋体"/>
                <w:color w:val="auto"/>
                <w:highlight w:val="none"/>
              </w:rPr>
              <w:t>3</w:t>
            </w:r>
          </w:p>
        </w:tc>
        <w:tc>
          <w:tcPr>
            <w:tcW w:w="3668" w:type="dxa"/>
            <w:vAlign w:val="center"/>
          </w:tcPr>
          <w:p w14:paraId="47C1B426">
            <w:pPr>
              <w:widowControl/>
              <w:spacing w:line="400" w:lineRule="exact"/>
              <w:jc w:val="center"/>
              <w:textAlignment w:val="center"/>
              <w:rPr>
                <w:rFonts w:hint="eastAsia" w:ascii="宋体"/>
                <w:b/>
                <w:color w:val="auto"/>
                <w:szCs w:val="21"/>
                <w:highlight w:val="none"/>
              </w:rPr>
            </w:pPr>
            <w:r>
              <w:rPr>
                <w:rFonts w:hint="eastAsia" w:ascii="宋体" w:hAnsi="宋体" w:cs="宋体"/>
                <w:color w:val="auto"/>
                <w:highlight w:val="none"/>
              </w:rPr>
              <w:t>应急管理</w:t>
            </w:r>
          </w:p>
        </w:tc>
        <w:tc>
          <w:tcPr>
            <w:tcW w:w="1285" w:type="dxa"/>
            <w:vAlign w:val="center"/>
          </w:tcPr>
          <w:p w14:paraId="688C7513">
            <w:pPr>
              <w:jc w:val="center"/>
              <w:rPr>
                <w:rFonts w:hint="eastAsia" w:ascii="宋体"/>
                <w:b/>
                <w:color w:val="auto"/>
                <w:szCs w:val="21"/>
                <w:highlight w:val="none"/>
              </w:rPr>
            </w:pPr>
            <w:r>
              <w:rPr>
                <w:rFonts w:hint="eastAsia" w:ascii="宋体" w:hAnsi="宋体" w:cs="宋体"/>
                <w:color w:val="auto"/>
                <w:highlight w:val="none"/>
              </w:rPr>
              <w:t>项</w:t>
            </w:r>
          </w:p>
        </w:tc>
        <w:tc>
          <w:tcPr>
            <w:tcW w:w="850" w:type="dxa"/>
            <w:vAlign w:val="center"/>
          </w:tcPr>
          <w:p w14:paraId="080730FD">
            <w:pPr>
              <w:jc w:val="center"/>
              <w:rPr>
                <w:rFonts w:hint="eastAsia" w:ascii="宋体"/>
                <w:b/>
                <w:color w:val="auto"/>
                <w:szCs w:val="21"/>
                <w:highlight w:val="none"/>
              </w:rPr>
            </w:pPr>
            <w:r>
              <w:rPr>
                <w:rFonts w:hint="eastAsia" w:ascii="宋体" w:hAnsi="宋体" w:cs="宋体"/>
                <w:color w:val="auto"/>
                <w:highlight w:val="none"/>
              </w:rPr>
              <w:t>1</w:t>
            </w:r>
          </w:p>
        </w:tc>
        <w:tc>
          <w:tcPr>
            <w:tcW w:w="2284" w:type="dxa"/>
            <w:vAlign w:val="top"/>
          </w:tcPr>
          <w:p w14:paraId="0AD5CDF1">
            <w:pPr>
              <w:jc w:val="center"/>
              <w:rPr>
                <w:rFonts w:hint="eastAsia" w:ascii="宋体"/>
                <w:b/>
                <w:color w:val="auto"/>
                <w:szCs w:val="21"/>
                <w:highlight w:val="none"/>
              </w:rPr>
            </w:pPr>
          </w:p>
        </w:tc>
      </w:tr>
      <w:tr w14:paraId="2C93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7" w:type="dxa"/>
            <w:gridSpan w:val="4"/>
            <w:vAlign w:val="center"/>
          </w:tcPr>
          <w:p w14:paraId="3983D70E">
            <w:pPr>
              <w:jc w:val="center"/>
              <w:rPr>
                <w:rFonts w:hint="eastAsia" w:ascii="宋体"/>
                <w:b w:val="0"/>
                <w:bCs/>
                <w:color w:val="auto"/>
                <w:szCs w:val="21"/>
                <w:highlight w:val="none"/>
              </w:rPr>
            </w:pPr>
            <w:r>
              <w:rPr>
                <w:rFonts w:hint="eastAsia" w:ascii="宋体" w:hAnsi="宋体" w:cs="宋体"/>
                <w:color w:val="auto"/>
                <w:highlight w:val="none"/>
              </w:rPr>
              <w:t>小计总价（含税，元）</w:t>
            </w:r>
          </w:p>
        </w:tc>
        <w:tc>
          <w:tcPr>
            <w:tcW w:w="2284" w:type="dxa"/>
            <w:vAlign w:val="center"/>
          </w:tcPr>
          <w:p w14:paraId="72BF119F">
            <w:pPr>
              <w:jc w:val="center"/>
              <w:rPr>
                <w:rFonts w:hint="eastAsia" w:ascii="宋体"/>
                <w:b/>
                <w:color w:val="auto"/>
                <w:szCs w:val="21"/>
                <w:highlight w:val="none"/>
              </w:rPr>
            </w:pPr>
          </w:p>
        </w:tc>
      </w:tr>
      <w:tr w14:paraId="232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5"/>
            <w:vAlign w:val="center"/>
          </w:tcPr>
          <w:p w14:paraId="48C0AFBE">
            <w:pPr>
              <w:jc w:val="center"/>
              <w:rPr>
                <w:rFonts w:ascii="宋体" w:hAnsi="宋体" w:cs="宋体"/>
                <w:color w:val="auto"/>
                <w:highlight w:val="none"/>
              </w:rPr>
            </w:pPr>
            <w:r>
              <w:rPr>
                <w:rFonts w:hint="eastAsia" w:ascii="宋体" w:hAnsi="宋体" w:cs="宋体"/>
                <w:b/>
                <w:bCs/>
                <w:color w:val="auto"/>
                <w:kern w:val="0"/>
                <w:sz w:val="22"/>
                <w:szCs w:val="22"/>
                <w:highlight w:val="none"/>
                <w:lang w:bidi="ar"/>
              </w:rPr>
              <w:t>安全管理</w:t>
            </w:r>
          </w:p>
        </w:tc>
      </w:tr>
      <w:tr w14:paraId="6E0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0CE1C093">
            <w:pPr>
              <w:jc w:val="center"/>
              <w:rPr>
                <w:rFonts w:ascii="宋体" w:hAnsi="宋体" w:cs="宋体"/>
                <w:color w:val="auto"/>
                <w:highlight w:val="none"/>
              </w:rPr>
            </w:pPr>
            <w:r>
              <w:rPr>
                <w:rFonts w:hint="eastAsia" w:ascii="宋体" w:hAnsi="宋体" w:cs="宋体"/>
                <w:color w:val="auto"/>
                <w:highlight w:val="none"/>
              </w:rPr>
              <w:t>1</w:t>
            </w:r>
          </w:p>
        </w:tc>
        <w:tc>
          <w:tcPr>
            <w:tcW w:w="3668" w:type="dxa"/>
            <w:vAlign w:val="center"/>
          </w:tcPr>
          <w:p w14:paraId="4BA56E11">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资产维护</w:t>
            </w:r>
          </w:p>
        </w:tc>
        <w:tc>
          <w:tcPr>
            <w:tcW w:w="1285" w:type="dxa"/>
            <w:vAlign w:val="center"/>
          </w:tcPr>
          <w:p w14:paraId="247C5187">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5050693B">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37E1D753">
            <w:pPr>
              <w:jc w:val="center"/>
              <w:rPr>
                <w:rFonts w:ascii="宋体" w:hAnsi="宋体" w:cs="宋体"/>
                <w:color w:val="auto"/>
                <w:highlight w:val="none"/>
              </w:rPr>
            </w:pPr>
          </w:p>
        </w:tc>
      </w:tr>
      <w:tr w14:paraId="77A2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56B424E">
            <w:pPr>
              <w:jc w:val="center"/>
              <w:rPr>
                <w:rFonts w:ascii="宋体" w:hAnsi="宋体" w:cs="宋体"/>
                <w:color w:val="auto"/>
                <w:highlight w:val="none"/>
              </w:rPr>
            </w:pPr>
            <w:r>
              <w:rPr>
                <w:rFonts w:hint="eastAsia" w:ascii="宋体" w:hAnsi="宋体" w:cs="宋体"/>
                <w:color w:val="auto"/>
                <w:highlight w:val="none"/>
              </w:rPr>
              <w:t>2</w:t>
            </w:r>
          </w:p>
        </w:tc>
        <w:tc>
          <w:tcPr>
            <w:tcW w:w="3668" w:type="dxa"/>
            <w:vAlign w:val="center"/>
          </w:tcPr>
          <w:p w14:paraId="6EDB7DE1">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风险跟踪</w:t>
            </w:r>
          </w:p>
        </w:tc>
        <w:tc>
          <w:tcPr>
            <w:tcW w:w="1285" w:type="dxa"/>
            <w:vAlign w:val="center"/>
          </w:tcPr>
          <w:p w14:paraId="75790EE1">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403CCE8A">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77CC6743">
            <w:pPr>
              <w:jc w:val="center"/>
              <w:rPr>
                <w:rFonts w:ascii="宋体" w:hAnsi="宋体" w:cs="宋体"/>
                <w:color w:val="auto"/>
                <w:highlight w:val="none"/>
              </w:rPr>
            </w:pPr>
          </w:p>
        </w:tc>
      </w:tr>
      <w:tr w14:paraId="0F3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2A8D74F9">
            <w:pPr>
              <w:jc w:val="center"/>
              <w:rPr>
                <w:rFonts w:ascii="宋体" w:hAnsi="宋体" w:cs="宋体"/>
                <w:color w:val="auto"/>
                <w:highlight w:val="none"/>
              </w:rPr>
            </w:pPr>
            <w:r>
              <w:rPr>
                <w:rFonts w:hint="eastAsia" w:ascii="宋体" w:hAnsi="宋体" w:cs="宋体"/>
                <w:color w:val="auto"/>
                <w:highlight w:val="none"/>
              </w:rPr>
              <w:t>3</w:t>
            </w:r>
          </w:p>
        </w:tc>
        <w:tc>
          <w:tcPr>
            <w:tcW w:w="3668" w:type="dxa"/>
            <w:vAlign w:val="center"/>
          </w:tcPr>
          <w:p w14:paraId="0FCD326D">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运维报告</w:t>
            </w:r>
          </w:p>
        </w:tc>
        <w:tc>
          <w:tcPr>
            <w:tcW w:w="1285" w:type="dxa"/>
            <w:vAlign w:val="center"/>
          </w:tcPr>
          <w:p w14:paraId="4E143B64">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79374337">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581A97A7">
            <w:pPr>
              <w:jc w:val="center"/>
              <w:rPr>
                <w:rFonts w:ascii="宋体" w:hAnsi="宋体" w:cs="宋体"/>
                <w:color w:val="auto"/>
                <w:highlight w:val="none"/>
              </w:rPr>
            </w:pPr>
          </w:p>
        </w:tc>
      </w:tr>
      <w:tr w14:paraId="4029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7" w:type="dxa"/>
            <w:gridSpan w:val="4"/>
            <w:vAlign w:val="center"/>
          </w:tcPr>
          <w:p w14:paraId="12FC082C">
            <w:pPr>
              <w:jc w:val="center"/>
              <w:rPr>
                <w:rFonts w:ascii="宋体" w:hAnsi="宋体" w:cs="宋体"/>
                <w:color w:val="auto"/>
                <w:highlight w:val="none"/>
              </w:rPr>
            </w:pPr>
            <w:r>
              <w:rPr>
                <w:rFonts w:hint="eastAsia" w:ascii="宋体" w:hAnsi="宋体" w:cs="宋体"/>
                <w:color w:val="auto"/>
                <w:highlight w:val="none"/>
              </w:rPr>
              <w:t>小计总价（含税，元）</w:t>
            </w:r>
          </w:p>
        </w:tc>
        <w:tc>
          <w:tcPr>
            <w:tcW w:w="2284" w:type="dxa"/>
            <w:vAlign w:val="center"/>
          </w:tcPr>
          <w:p w14:paraId="69D23435">
            <w:pPr>
              <w:jc w:val="center"/>
              <w:rPr>
                <w:rFonts w:ascii="宋体" w:hAnsi="宋体" w:cs="宋体"/>
                <w:color w:val="auto"/>
                <w:highlight w:val="none"/>
              </w:rPr>
            </w:pPr>
          </w:p>
        </w:tc>
      </w:tr>
      <w:tr w14:paraId="32B9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5"/>
            <w:vAlign w:val="center"/>
          </w:tcPr>
          <w:p w14:paraId="1DA7356E">
            <w:pPr>
              <w:jc w:val="center"/>
              <w:rPr>
                <w:rFonts w:ascii="宋体" w:hAnsi="宋体" w:cs="宋体"/>
                <w:color w:val="auto"/>
                <w:highlight w:val="none"/>
              </w:rPr>
            </w:pPr>
            <w:r>
              <w:rPr>
                <w:rFonts w:hint="eastAsia" w:ascii="宋体" w:hAnsi="宋体" w:cs="宋体"/>
                <w:b/>
                <w:bCs/>
                <w:color w:val="auto"/>
                <w:kern w:val="0"/>
                <w:sz w:val="22"/>
                <w:szCs w:val="22"/>
                <w:highlight w:val="none"/>
                <w:lang w:bidi="ar"/>
              </w:rPr>
              <w:t>安全检测</w:t>
            </w:r>
          </w:p>
        </w:tc>
      </w:tr>
      <w:tr w14:paraId="11BD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13AD35BA">
            <w:pPr>
              <w:jc w:val="center"/>
              <w:rPr>
                <w:rFonts w:ascii="宋体" w:hAnsi="宋体" w:cs="宋体"/>
                <w:color w:val="auto"/>
                <w:highlight w:val="none"/>
              </w:rPr>
            </w:pPr>
            <w:r>
              <w:rPr>
                <w:rFonts w:hint="eastAsia" w:ascii="宋体" w:hAnsi="宋体" w:cs="宋体"/>
                <w:color w:val="auto"/>
                <w:highlight w:val="none"/>
              </w:rPr>
              <w:t>1</w:t>
            </w:r>
          </w:p>
        </w:tc>
        <w:tc>
          <w:tcPr>
            <w:tcW w:w="3668" w:type="dxa"/>
            <w:vAlign w:val="center"/>
          </w:tcPr>
          <w:p w14:paraId="76F2DE4F">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技术评估</w:t>
            </w:r>
          </w:p>
        </w:tc>
        <w:tc>
          <w:tcPr>
            <w:tcW w:w="1285" w:type="dxa"/>
            <w:vAlign w:val="center"/>
          </w:tcPr>
          <w:p w14:paraId="5E477050">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75AC9163">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78528B7B">
            <w:pPr>
              <w:jc w:val="center"/>
              <w:rPr>
                <w:rFonts w:ascii="宋体" w:hAnsi="宋体" w:cs="宋体"/>
                <w:color w:val="auto"/>
                <w:highlight w:val="none"/>
              </w:rPr>
            </w:pPr>
          </w:p>
        </w:tc>
      </w:tr>
      <w:tr w14:paraId="720A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E16F251">
            <w:pPr>
              <w:jc w:val="center"/>
              <w:rPr>
                <w:rFonts w:ascii="宋体" w:hAnsi="宋体" w:cs="宋体"/>
                <w:color w:val="auto"/>
                <w:highlight w:val="none"/>
              </w:rPr>
            </w:pPr>
            <w:r>
              <w:rPr>
                <w:rFonts w:hint="eastAsia" w:ascii="宋体" w:hAnsi="宋体" w:cs="宋体"/>
                <w:color w:val="auto"/>
                <w:highlight w:val="none"/>
              </w:rPr>
              <w:t>2</w:t>
            </w:r>
          </w:p>
        </w:tc>
        <w:tc>
          <w:tcPr>
            <w:tcW w:w="3668" w:type="dxa"/>
            <w:vAlign w:val="center"/>
          </w:tcPr>
          <w:p w14:paraId="115ADD9A">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安全巡检</w:t>
            </w:r>
          </w:p>
        </w:tc>
        <w:tc>
          <w:tcPr>
            <w:tcW w:w="1285" w:type="dxa"/>
            <w:vAlign w:val="center"/>
          </w:tcPr>
          <w:p w14:paraId="65F41E0E">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6131F95E">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553875C5">
            <w:pPr>
              <w:jc w:val="center"/>
              <w:rPr>
                <w:rFonts w:ascii="宋体" w:hAnsi="宋体" w:cs="宋体"/>
                <w:color w:val="auto"/>
                <w:highlight w:val="none"/>
              </w:rPr>
            </w:pPr>
          </w:p>
        </w:tc>
      </w:tr>
      <w:tr w14:paraId="7692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290A4807">
            <w:pPr>
              <w:jc w:val="center"/>
              <w:rPr>
                <w:rFonts w:ascii="宋体" w:hAnsi="宋体" w:cs="宋体"/>
                <w:color w:val="auto"/>
                <w:highlight w:val="none"/>
              </w:rPr>
            </w:pPr>
            <w:r>
              <w:rPr>
                <w:rFonts w:hint="eastAsia" w:ascii="宋体" w:hAnsi="宋体" w:cs="宋体"/>
                <w:color w:val="auto"/>
                <w:highlight w:val="none"/>
              </w:rPr>
              <w:t>3</w:t>
            </w:r>
          </w:p>
        </w:tc>
        <w:tc>
          <w:tcPr>
            <w:tcW w:w="3668" w:type="dxa"/>
            <w:vAlign w:val="center"/>
          </w:tcPr>
          <w:p w14:paraId="0A7A0A0A">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漏洞检测</w:t>
            </w:r>
          </w:p>
        </w:tc>
        <w:tc>
          <w:tcPr>
            <w:tcW w:w="1285" w:type="dxa"/>
            <w:vAlign w:val="center"/>
          </w:tcPr>
          <w:p w14:paraId="06DFDEC7">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55723429">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1947E7C2">
            <w:pPr>
              <w:jc w:val="center"/>
              <w:rPr>
                <w:rFonts w:ascii="宋体" w:hAnsi="宋体" w:cs="宋体"/>
                <w:color w:val="auto"/>
                <w:highlight w:val="none"/>
              </w:rPr>
            </w:pPr>
          </w:p>
        </w:tc>
      </w:tr>
      <w:tr w14:paraId="3E34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745C1528">
            <w:pPr>
              <w:jc w:val="center"/>
              <w:rPr>
                <w:rFonts w:ascii="宋体" w:hAnsi="宋体" w:cs="宋体"/>
                <w:color w:val="auto"/>
                <w:highlight w:val="none"/>
              </w:rPr>
            </w:pPr>
            <w:r>
              <w:rPr>
                <w:rFonts w:hint="eastAsia" w:ascii="宋体" w:hAnsi="宋体" w:cs="宋体"/>
                <w:color w:val="auto"/>
                <w:highlight w:val="none"/>
              </w:rPr>
              <w:t>4</w:t>
            </w:r>
          </w:p>
        </w:tc>
        <w:tc>
          <w:tcPr>
            <w:tcW w:w="3668" w:type="dxa"/>
            <w:vAlign w:val="center"/>
          </w:tcPr>
          <w:p w14:paraId="0BA486DC">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渗透检测</w:t>
            </w:r>
          </w:p>
        </w:tc>
        <w:tc>
          <w:tcPr>
            <w:tcW w:w="1285" w:type="dxa"/>
            <w:vAlign w:val="center"/>
          </w:tcPr>
          <w:p w14:paraId="41D66BFB">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59F94FA7">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4C71A0D8">
            <w:pPr>
              <w:jc w:val="center"/>
              <w:rPr>
                <w:rFonts w:ascii="宋体" w:hAnsi="宋体" w:cs="宋体"/>
                <w:color w:val="auto"/>
                <w:highlight w:val="none"/>
              </w:rPr>
            </w:pPr>
          </w:p>
        </w:tc>
      </w:tr>
      <w:tr w14:paraId="7645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79DBF87B">
            <w:pPr>
              <w:jc w:val="center"/>
              <w:rPr>
                <w:rFonts w:ascii="宋体" w:hAnsi="宋体" w:cs="宋体"/>
                <w:color w:val="auto"/>
                <w:highlight w:val="none"/>
              </w:rPr>
            </w:pPr>
            <w:r>
              <w:rPr>
                <w:rFonts w:hint="eastAsia" w:ascii="宋体" w:hAnsi="宋体" w:cs="宋体"/>
                <w:color w:val="auto"/>
                <w:highlight w:val="none"/>
              </w:rPr>
              <w:t>5</w:t>
            </w:r>
          </w:p>
        </w:tc>
        <w:tc>
          <w:tcPr>
            <w:tcW w:w="3668" w:type="dxa"/>
            <w:vAlign w:val="center"/>
          </w:tcPr>
          <w:p w14:paraId="06D8713C">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网站安全</w:t>
            </w:r>
          </w:p>
        </w:tc>
        <w:tc>
          <w:tcPr>
            <w:tcW w:w="1285" w:type="dxa"/>
            <w:vAlign w:val="center"/>
          </w:tcPr>
          <w:p w14:paraId="387CC9AA">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26514172">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16487F38">
            <w:pPr>
              <w:jc w:val="center"/>
              <w:rPr>
                <w:rFonts w:ascii="宋体" w:hAnsi="宋体" w:cs="宋体"/>
                <w:color w:val="auto"/>
                <w:highlight w:val="none"/>
              </w:rPr>
            </w:pPr>
          </w:p>
        </w:tc>
      </w:tr>
      <w:tr w14:paraId="414D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7" w:type="dxa"/>
            <w:gridSpan w:val="4"/>
            <w:vAlign w:val="center"/>
          </w:tcPr>
          <w:p w14:paraId="59F9AFEF">
            <w:pPr>
              <w:jc w:val="center"/>
              <w:rPr>
                <w:rFonts w:ascii="宋体" w:hAnsi="宋体" w:cs="宋体"/>
                <w:color w:val="auto"/>
                <w:highlight w:val="none"/>
              </w:rPr>
            </w:pPr>
            <w:r>
              <w:rPr>
                <w:rFonts w:hint="eastAsia" w:ascii="宋体" w:hAnsi="宋体" w:cs="宋体"/>
                <w:color w:val="auto"/>
                <w:highlight w:val="none"/>
              </w:rPr>
              <w:t>小计总价（含税，元）</w:t>
            </w:r>
          </w:p>
        </w:tc>
        <w:tc>
          <w:tcPr>
            <w:tcW w:w="2284" w:type="dxa"/>
            <w:vAlign w:val="center"/>
          </w:tcPr>
          <w:p w14:paraId="5ADF3DA9">
            <w:pPr>
              <w:jc w:val="center"/>
              <w:rPr>
                <w:rFonts w:ascii="宋体" w:hAnsi="宋体" w:cs="宋体"/>
                <w:color w:val="auto"/>
                <w:highlight w:val="none"/>
              </w:rPr>
            </w:pPr>
          </w:p>
        </w:tc>
      </w:tr>
      <w:tr w14:paraId="4FD4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5"/>
            <w:vAlign w:val="center"/>
          </w:tcPr>
          <w:p w14:paraId="53787959">
            <w:pPr>
              <w:jc w:val="center"/>
              <w:rPr>
                <w:rFonts w:ascii="宋体" w:hAnsi="宋体" w:cs="宋体"/>
                <w:color w:val="auto"/>
                <w:highlight w:val="none"/>
              </w:rPr>
            </w:pPr>
            <w:r>
              <w:rPr>
                <w:rFonts w:hint="eastAsia" w:ascii="宋体" w:hAnsi="宋体" w:cs="宋体"/>
                <w:b/>
                <w:bCs/>
                <w:color w:val="auto"/>
                <w:kern w:val="0"/>
                <w:sz w:val="22"/>
                <w:szCs w:val="22"/>
                <w:highlight w:val="none"/>
                <w:lang w:bidi="ar"/>
              </w:rPr>
              <w:t>优化改善</w:t>
            </w:r>
          </w:p>
        </w:tc>
      </w:tr>
      <w:tr w14:paraId="5CFF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1CA50C7D">
            <w:pPr>
              <w:jc w:val="center"/>
              <w:rPr>
                <w:rFonts w:ascii="宋体" w:hAnsi="宋体" w:cs="宋体"/>
                <w:color w:val="auto"/>
                <w:highlight w:val="none"/>
              </w:rPr>
            </w:pPr>
            <w:r>
              <w:rPr>
                <w:rFonts w:hint="eastAsia" w:ascii="宋体" w:hAnsi="宋体" w:cs="宋体"/>
                <w:color w:val="auto"/>
                <w:highlight w:val="none"/>
              </w:rPr>
              <w:t>1</w:t>
            </w:r>
          </w:p>
        </w:tc>
        <w:tc>
          <w:tcPr>
            <w:tcW w:w="3668" w:type="dxa"/>
            <w:vAlign w:val="center"/>
          </w:tcPr>
          <w:p w14:paraId="02DCE364">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基线加固</w:t>
            </w:r>
          </w:p>
        </w:tc>
        <w:tc>
          <w:tcPr>
            <w:tcW w:w="1285" w:type="dxa"/>
            <w:vAlign w:val="center"/>
          </w:tcPr>
          <w:p w14:paraId="6F0C2DD8">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4147B25B">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7692136A">
            <w:pPr>
              <w:jc w:val="center"/>
              <w:rPr>
                <w:rFonts w:ascii="宋体" w:hAnsi="宋体" w:cs="宋体"/>
                <w:color w:val="auto"/>
                <w:highlight w:val="none"/>
              </w:rPr>
            </w:pPr>
          </w:p>
        </w:tc>
      </w:tr>
      <w:tr w14:paraId="4BCF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59635A09">
            <w:pPr>
              <w:jc w:val="center"/>
              <w:rPr>
                <w:rFonts w:ascii="宋体" w:hAnsi="宋体" w:cs="宋体"/>
                <w:color w:val="auto"/>
                <w:highlight w:val="none"/>
              </w:rPr>
            </w:pPr>
            <w:r>
              <w:rPr>
                <w:rFonts w:hint="eastAsia" w:ascii="宋体" w:hAnsi="宋体" w:cs="宋体"/>
                <w:color w:val="auto"/>
                <w:highlight w:val="none"/>
              </w:rPr>
              <w:t>2</w:t>
            </w:r>
          </w:p>
        </w:tc>
        <w:tc>
          <w:tcPr>
            <w:tcW w:w="3668" w:type="dxa"/>
            <w:vAlign w:val="center"/>
          </w:tcPr>
          <w:p w14:paraId="5381F91D">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策略优化</w:t>
            </w:r>
          </w:p>
        </w:tc>
        <w:tc>
          <w:tcPr>
            <w:tcW w:w="1285" w:type="dxa"/>
            <w:vAlign w:val="center"/>
          </w:tcPr>
          <w:p w14:paraId="3C3EB250">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4C4B8CAA">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09603B4A">
            <w:pPr>
              <w:jc w:val="center"/>
              <w:rPr>
                <w:rFonts w:ascii="宋体" w:hAnsi="宋体" w:cs="宋体"/>
                <w:color w:val="auto"/>
                <w:highlight w:val="none"/>
              </w:rPr>
            </w:pPr>
          </w:p>
        </w:tc>
      </w:tr>
      <w:tr w14:paraId="5891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688D67F2">
            <w:pPr>
              <w:jc w:val="center"/>
              <w:rPr>
                <w:rFonts w:ascii="宋体" w:hAnsi="宋体" w:cs="宋体"/>
                <w:color w:val="auto"/>
                <w:highlight w:val="none"/>
              </w:rPr>
            </w:pPr>
            <w:r>
              <w:rPr>
                <w:rFonts w:hint="eastAsia" w:ascii="宋体" w:hAnsi="宋体" w:cs="宋体"/>
                <w:color w:val="auto"/>
                <w:highlight w:val="none"/>
              </w:rPr>
              <w:t>3</w:t>
            </w:r>
          </w:p>
        </w:tc>
        <w:tc>
          <w:tcPr>
            <w:tcW w:w="3668" w:type="dxa"/>
            <w:vAlign w:val="center"/>
          </w:tcPr>
          <w:p w14:paraId="13D99139">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安全培训</w:t>
            </w:r>
          </w:p>
        </w:tc>
        <w:tc>
          <w:tcPr>
            <w:tcW w:w="1285" w:type="dxa"/>
            <w:vAlign w:val="center"/>
          </w:tcPr>
          <w:p w14:paraId="1CA4F72C">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7FAB270D">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64061648">
            <w:pPr>
              <w:jc w:val="center"/>
              <w:rPr>
                <w:rFonts w:ascii="宋体" w:hAnsi="宋体" w:cs="宋体"/>
                <w:color w:val="auto"/>
                <w:highlight w:val="none"/>
              </w:rPr>
            </w:pPr>
          </w:p>
        </w:tc>
      </w:tr>
      <w:tr w14:paraId="0AB3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7" w:type="dxa"/>
            <w:gridSpan w:val="4"/>
            <w:vAlign w:val="center"/>
          </w:tcPr>
          <w:p w14:paraId="6781B3FA">
            <w:pPr>
              <w:jc w:val="center"/>
              <w:rPr>
                <w:rFonts w:ascii="宋体" w:hAnsi="宋体" w:cs="宋体"/>
                <w:b/>
                <w:bCs/>
                <w:color w:val="auto"/>
                <w:kern w:val="0"/>
                <w:sz w:val="22"/>
                <w:szCs w:val="22"/>
                <w:highlight w:val="none"/>
                <w:lang w:bidi="ar"/>
              </w:rPr>
            </w:pPr>
            <w:r>
              <w:rPr>
                <w:rFonts w:hint="eastAsia" w:ascii="宋体" w:hAnsi="宋体" w:cs="宋体"/>
                <w:color w:val="auto"/>
                <w:highlight w:val="none"/>
              </w:rPr>
              <w:t>小计总价（含税，元）</w:t>
            </w:r>
          </w:p>
        </w:tc>
        <w:tc>
          <w:tcPr>
            <w:tcW w:w="2284" w:type="dxa"/>
            <w:vAlign w:val="center"/>
          </w:tcPr>
          <w:p w14:paraId="75E26E6F">
            <w:pPr>
              <w:jc w:val="center"/>
              <w:rPr>
                <w:rFonts w:ascii="宋体" w:hAnsi="宋体" w:cs="宋体"/>
                <w:b/>
                <w:bCs/>
                <w:color w:val="auto"/>
                <w:kern w:val="0"/>
                <w:sz w:val="22"/>
                <w:szCs w:val="22"/>
                <w:highlight w:val="none"/>
                <w:lang w:bidi="ar"/>
              </w:rPr>
            </w:pPr>
          </w:p>
        </w:tc>
      </w:tr>
      <w:tr w14:paraId="45C6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5"/>
            <w:vAlign w:val="center"/>
          </w:tcPr>
          <w:p w14:paraId="57E6A147">
            <w:pPr>
              <w:jc w:val="center"/>
              <w:rPr>
                <w:rFonts w:ascii="宋体" w:hAnsi="宋体" w:cs="宋体"/>
                <w:color w:val="auto"/>
                <w:highlight w:val="none"/>
              </w:rPr>
            </w:pPr>
            <w:r>
              <w:rPr>
                <w:rFonts w:hint="eastAsia" w:ascii="宋体" w:hAnsi="宋体" w:cs="宋体"/>
                <w:b/>
                <w:bCs/>
                <w:color w:val="auto"/>
                <w:kern w:val="0"/>
                <w:sz w:val="22"/>
                <w:szCs w:val="22"/>
                <w:highlight w:val="none"/>
                <w:lang w:bidi="ar"/>
              </w:rPr>
              <w:t>其他服务</w:t>
            </w:r>
          </w:p>
        </w:tc>
      </w:tr>
      <w:tr w14:paraId="2A6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588B9ABF">
            <w:pPr>
              <w:jc w:val="center"/>
              <w:rPr>
                <w:rFonts w:ascii="宋体" w:hAnsi="宋体" w:cs="宋体"/>
                <w:color w:val="auto"/>
                <w:highlight w:val="none"/>
              </w:rPr>
            </w:pPr>
            <w:r>
              <w:rPr>
                <w:rFonts w:hint="eastAsia" w:ascii="宋体" w:hAnsi="宋体" w:cs="宋体"/>
                <w:color w:val="auto"/>
                <w:highlight w:val="none"/>
              </w:rPr>
              <w:t>1</w:t>
            </w:r>
          </w:p>
        </w:tc>
        <w:tc>
          <w:tcPr>
            <w:tcW w:w="3668" w:type="dxa"/>
            <w:vAlign w:val="center"/>
          </w:tcPr>
          <w:p w14:paraId="7EBC66BA">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检测服务</w:t>
            </w:r>
          </w:p>
        </w:tc>
        <w:tc>
          <w:tcPr>
            <w:tcW w:w="1285" w:type="dxa"/>
            <w:vAlign w:val="center"/>
          </w:tcPr>
          <w:p w14:paraId="1CBDE981">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3CB3BE20">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5691974F">
            <w:pPr>
              <w:jc w:val="center"/>
              <w:rPr>
                <w:rFonts w:ascii="宋体" w:hAnsi="宋体" w:cs="宋体"/>
                <w:color w:val="auto"/>
                <w:highlight w:val="none"/>
              </w:rPr>
            </w:pPr>
          </w:p>
        </w:tc>
      </w:tr>
      <w:tr w14:paraId="52D4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A96C3B8">
            <w:pPr>
              <w:jc w:val="center"/>
              <w:rPr>
                <w:rFonts w:ascii="宋体" w:hAnsi="宋体" w:cs="宋体"/>
                <w:color w:val="auto"/>
                <w:highlight w:val="none"/>
              </w:rPr>
            </w:pPr>
            <w:r>
              <w:rPr>
                <w:rFonts w:hint="eastAsia" w:ascii="宋体" w:hAnsi="宋体" w:cs="宋体"/>
                <w:color w:val="auto"/>
                <w:highlight w:val="none"/>
              </w:rPr>
              <w:t>2</w:t>
            </w:r>
          </w:p>
        </w:tc>
        <w:tc>
          <w:tcPr>
            <w:tcW w:w="3668" w:type="dxa"/>
            <w:vAlign w:val="center"/>
          </w:tcPr>
          <w:p w14:paraId="44DF4661">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上线检测</w:t>
            </w:r>
          </w:p>
        </w:tc>
        <w:tc>
          <w:tcPr>
            <w:tcW w:w="1285" w:type="dxa"/>
            <w:vAlign w:val="center"/>
          </w:tcPr>
          <w:p w14:paraId="449BDD97">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2A90C857">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0F628D52">
            <w:pPr>
              <w:jc w:val="center"/>
              <w:rPr>
                <w:rFonts w:ascii="宋体" w:hAnsi="宋体" w:cs="宋体"/>
                <w:color w:val="auto"/>
                <w:highlight w:val="none"/>
              </w:rPr>
            </w:pPr>
          </w:p>
        </w:tc>
      </w:tr>
      <w:tr w14:paraId="559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 w:type="dxa"/>
            <w:vAlign w:val="center"/>
          </w:tcPr>
          <w:p w14:paraId="34158AA6">
            <w:pPr>
              <w:jc w:val="center"/>
              <w:rPr>
                <w:rFonts w:ascii="宋体" w:hAnsi="宋体" w:cs="宋体"/>
                <w:color w:val="auto"/>
                <w:highlight w:val="none"/>
              </w:rPr>
            </w:pPr>
            <w:r>
              <w:rPr>
                <w:rFonts w:hint="eastAsia" w:ascii="宋体" w:hAnsi="宋体" w:cs="宋体"/>
                <w:color w:val="auto"/>
                <w:highlight w:val="none"/>
              </w:rPr>
              <w:t>3</w:t>
            </w:r>
          </w:p>
        </w:tc>
        <w:tc>
          <w:tcPr>
            <w:tcW w:w="3668" w:type="dxa"/>
            <w:vAlign w:val="center"/>
          </w:tcPr>
          <w:p w14:paraId="3974D9E6">
            <w:pPr>
              <w:widowControl/>
              <w:spacing w:line="400" w:lineRule="exact"/>
              <w:jc w:val="center"/>
              <w:textAlignment w:val="center"/>
              <w:rPr>
                <w:rFonts w:ascii="宋体" w:hAnsi="宋体" w:cs="宋体"/>
                <w:color w:val="auto"/>
                <w:highlight w:val="none"/>
              </w:rPr>
            </w:pPr>
            <w:r>
              <w:rPr>
                <w:rFonts w:hint="eastAsia" w:ascii="宋体" w:hAnsi="宋体" w:cs="宋体"/>
                <w:color w:val="auto"/>
                <w:highlight w:val="none"/>
              </w:rPr>
              <w:t>等保测评协助</w:t>
            </w:r>
          </w:p>
        </w:tc>
        <w:tc>
          <w:tcPr>
            <w:tcW w:w="1285" w:type="dxa"/>
            <w:vAlign w:val="center"/>
          </w:tcPr>
          <w:p w14:paraId="52D80CFE">
            <w:pPr>
              <w:jc w:val="center"/>
              <w:rPr>
                <w:rFonts w:ascii="宋体" w:hAnsi="宋体" w:cs="宋体"/>
                <w:color w:val="auto"/>
                <w:highlight w:val="none"/>
              </w:rPr>
            </w:pPr>
            <w:r>
              <w:rPr>
                <w:rFonts w:hint="eastAsia" w:ascii="宋体" w:hAnsi="宋体" w:cs="宋体"/>
                <w:color w:val="auto"/>
                <w:highlight w:val="none"/>
              </w:rPr>
              <w:t>项</w:t>
            </w:r>
          </w:p>
        </w:tc>
        <w:tc>
          <w:tcPr>
            <w:tcW w:w="850" w:type="dxa"/>
            <w:vAlign w:val="center"/>
          </w:tcPr>
          <w:p w14:paraId="45774E34">
            <w:pPr>
              <w:jc w:val="center"/>
              <w:rPr>
                <w:rFonts w:ascii="宋体" w:hAnsi="宋体" w:cs="宋体"/>
                <w:color w:val="auto"/>
                <w:highlight w:val="none"/>
              </w:rPr>
            </w:pPr>
            <w:r>
              <w:rPr>
                <w:rFonts w:hint="eastAsia" w:ascii="宋体" w:hAnsi="宋体" w:cs="宋体"/>
                <w:color w:val="auto"/>
                <w:highlight w:val="none"/>
              </w:rPr>
              <w:t>1</w:t>
            </w:r>
          </w:p>
        </w:tc>
        <w:tc>
          <w:tcPr>
            <w:tcW w:w="2284" w:type="dxa"/>
          </w:tcPr>
          <w:p w14:paraId="0D000A3E">
            <w:pPr>
              <w:jc w:val="center"/>
              <w:rPr>
                <w:rFonts w:ascii="宋体" w:hAnsi="宋体" w:cs="宋体"/>
                <w:color w:val="auto"/>
                <w:highlight w:val="none"/>
              </w:rPr>
            </w:pPr>
          </w:p>
        </w:tc>
      </w:tr>
      <w:tr w14:paraId="541F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7" w:type="dxa"/>
            <w:gridSpan w:val="4"/>
            <w:vAlign w:val="center"/>
          </w:tcPr>
          <w:p w14:paraId="6A611810">
            <w:pPr>
              <w:jc w:val="center"/>
              <w:rPr>
                <w:rFonts w:ascii="宋体" w:hAnsi="宋体" w:cs="宋体"/>
                <w:color w:val="auto"/>
                <w:highlight w:val="none"/>
              </w:rPr>
            </w:pPr>
            <w:r>
              <w:rPr>
                <w:rFonts w:hint="eastAsia" w:ascii="宋体" w:hAnsi="宋体" w:cs="宋体"/>
                <w:color w:val="auto"/>
                <w:highlight w:val="none"/>
              </w:rPr>
              <w:t>小计总价（含税，元）</w:t>
            </w:r>
          </w:p>
        </w:tc>
        <w:tc>
          <w:tcPr>
            <w:tcW w:w="2284" w:type="dxa"/>
            <w:vAlign w:val="center"/>
          </w:tcPr>
          <w:p w14:paraId="29E5133A">
            <w:pPr>
              <w:jc w:val="center"/>
              <w:rPr>
                <w:rFonts w:ascii="宋体" w:hAnsi="宋体" w:cs="宋体"/>
                <w:color w:val="auto"/>
                <w:highlight w:val="none"/>
              </w:rPr>
            </w:pPr>
          </w:p>
        </w:tc>
      </w:tr>
      <w:tr w14:paraId="6B7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7" w:type="dxa"/>
            <w:gridSpan w:val="4"/>
            <w:vAlign w:val="center"/>
          </w:tcPr>
          <w:p w14:paraId="534281C2">
            <w:pPr>
              <w:jc w:val="center"/>
              <w:rPr>
                <w:rFonts w:ascii="宋体" w:hAnsi="宋体" w:cs="宋体"/>
                <w:color w:val="auto"/>
                <w:highlight w:val="none"/>
              </w:rPr>
            </w:pPr>
            <w:r>
              <w:rPr>
                <w:rFonts w:hint="eastAsia" w:ascii="宋体" w:hAnsi="宋体" w:cs="宋体"/>
                <w:color w:val="auto"/>
                <w:highlight w:val="none"/>
              </w:rPr>
              <w:t>合计总价（含税，元）</w:t>
            </w:r>
          </w:p>
        </w:tc>
        <w:tc>
          <w:tcPr>
            <w:tcW w:w="2284" w:type="dxa"/>
          </w:tcPr>
          <w:p w14:paraId="3978D47B">
            <w:pPr>
              <w:jc w:val="center"/>
              <w:rPr>
                <w:rFonts w:ascii="宋体" w:hAnsi="宋体" w:cs="宋体"/>
                <w:color w:val="auto"/>
                <w:highlight w:val="none"/>
              </w:rPr>
            </w:pPr>
          </w:p>
        </w:tc>
      </w:tr>
    </w:tbl>
    <w:p w14:paraId="19B60C2F">
      <w:pPr>
        <w:tabs>
          <w:tab w:val="left" w:pos="425"/>
          <w:tab w:val="left" w:pos="84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注：</w:t>
      </w:r>
      <w:r>
        <w:rPr>
          <w:rFonts w:hint="eastAsia" w:ascii="宋体" w:hAnsi="宋体" w:cs="宋体"/>
          <w:color w:val="auto"/>
          <w:szCs w:val="21"/>
          <w:highlight w:val="none"/>
        </w:rPr>
        <w:t>1、以上具体参数等内容详见第二章“招标需求”。</w:t>
      </w:r>
    </w:p>
    <w:p w14:paraId="77FE208B">
      <w:pPr>
        <w:tabs>
          <w:tab w:val="left" w:pos="425"/>
          <w:tab w:val="left" w:pos="845"/>
        </w:tabs>
        <w:spacing w:line="400" w:lineRule="exact"/>
        <w:ind w:firstLine="420" w:firstLineChars="200"/>
        <w:rPr>
          <w:rFonts w:ascii="宋体"/>
          <w:color w:val="auto"/>
          <w:szCs w:val="21"/>
          <w:highlight w:val="none"/>
          <w:lang w:val="zh-CN"/>
        </w:rPr>
      </w:pPr>
      <w:r>
        <w:rPr>
          <w:rFonts w:hint="eastAsia" w:ascii="宋体"/>
          <w:color w:val="auto"/>
          <w:szCs w:val="21"/>
          <w:highlight w:val="none"/>
        </w:rPr>
        <w:t>2</w:t>
      </w:r>
      <w:r>
        <w:rPr>
          <w:rFonts w:hint="eastAsia" w:ascii="宋体"/>
          <w:color w:val="auto"/>
          <w:szCs w:val="21"/>
          <w:highlight w:val="none"/>
          <w:lang w:val="zh-CN"/>
        </w:rPr>
        <w:t>、本项目最高限价为</w:t>
      </w:r>
      <w:r>
        <w:rPr>
          <w:rFonts w:hint="eastAsia" w:ascii="宋体"/>
          <w:color w:val="auto"/>
          <w:szCs w:val="21"/>
          <w:highlight w:val="none"/>
        </w:rPr>
        <w:t>130000元/年，390000元/三年，</w:t>
      </w:r>
      <w:r>
        <w:rPr>
          <w:rFonts w:hint="eastAsia" w:ascii="宋体"/>
          <w:color w:val="auto"/>
          <w:szCs w:val="21"/>
          <w:highlight w:val="none"/>
          <w:lang w:val="zh-CN"/>
        </w:rPr>
        <w:t>投标</w:t>
      </w:r>
      <w:r>
        <w:rPr>
          <w:rFonts w:hint="eastAsia" w:ascii="宋体"/>
          <w:color w:val="auto"/>
          <w:szCs w:val="21"/>
          <w:highlight w:val="none"/>
        </w:rPr>
        <w:t>总</w:t>
      </w:r>
      <w:r>
        <w:rPr>
          <w:rFonts w:hint="eastAsia" w:ascii="宋体"/>
          <w:color w:val="auto"/>
          <w:szCs w:val="21"/>
          <w:highlight w:val="none"/>
          <w:lang w:val="zh-CN"/>
        </w:rPr>
        <w:t>报价高于最高限价的，作无效标处理。</w:t>
      </w:r>
    </w:p>
    <w:p w14:paraId="6B335A8C">
      <w:pPr>
        <w:tabs>
          <w:tab w:val="left" w:pos="425"/>
          <w:tab w:val="left" w:pos="845"/>
        </w:tabs>
        <w:spacing w:line="400" w:lineRule="exact"/>
        <w:ind w:firstLine="420" w:firstLineChars="200"/>
        <w:rPr>
          <w:rFonts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zh-CN"/>
        </w:rPr>
        <w:t>、供应商认为应当说明而本表中无相应栏目的，请在自行增加栏目加以说明。</w:t>
      </w:r>
    </w:p>
    <w:p w14:paraId="2C2595FC">
      <w:pPr>
        <w:pStyle w:val="18"/>
        <w:ind w:firstLine="1010" w:firstLineChars="500"/>
        <w:jc w:val="left"/>
        <w:rPr>
          <w:rFonts w:hAnsi="宋体"/>
          <w:color w:val="auto"/>
          <w:sz w:val="21"/>
          <w:szCs w:val="21"/>
          <w:highlight w:val="none"/>
        </w:rPr>
      </w:pPr>
    </w:p>
    <w:p w14:paraId="38F7B864">
      <w:pPr>
        <w:spacing w:line="360" w:lineRule="auto"/>
        <w:ind w:left="3360" w:leftChars="1600" w:firstLine="420" w:firstLineChars="200"/>
        <w:rPr>
          <w:rFonts w:ascii="宋体" w:hAnsi="宋体" w:cs="宋体"/>
          <w:color w:val="auto"/>
          <w:highlight w:val="none"/>
        </w:rPr>
      </w:pPr>
    </w:p>
    <w:p w14:paraId="1269B7FC">
      <w:pPr>
        <w:spacing w:line="360" w:lineRule="auto"/>
        <w:ind w:left="3360" w:leftChars="1600" w:firstLine="420" w:firstLineChars="200"/>
        <w:rPr>
          <w:rFonts w:ascii="宋体" w:hAnsi="宋体" w:cs="宋体"/>
          <w:color w:val="auto"/>
          <w:highlight w:val="none"/>
        </w:rPr>
      </w:pPr>
      <w:r>
        <w:rPr>
          <w:rFonts w:hint="eastAsia" w:ascii="宋体" w:hAnsi="宋体" w:cs="宋体"/>
          <w:color w:val="auto"/>
          <w:highlight w:val="none"/>
        </w:rPr>
        <w:t>供应商盖章：</w:t>
      </w:r>
      <w:r>
        <w:rPr>
          <w:rFonts w:hint="eastAsia" w:ascii="宋体" w:hAnsi="宋体" w:cs="宋体"/>
          <w:color w:val="auto"/>
          <w:highlight w:val="none"/>
          <w:u w:val="single"/>
        </w:rPr>
        <w:t xml:space="preserve">                         （公章）</w:t>
      </w:r>
    </w:p>
    <w:p w14:paraId="7CC40859">
      <w:pPr>
        <w:snapToGrid w:val="0"/>
        <w:spacing w:line="360" w:lineRule="auto"/>
        <w:ind w:left="3360" w:leftChars="1600" w:firstLine="420" w:firstLineChars="200"/>
        <w:rPr>
          <w:rFonts w:ascii="宋体" w:hAnsi="宋体" w:cs="宋体"/>
          <w:color w:val="auto"/>
          <w:highlight w:val="none"/>
        </w:rPr>
      </w:pPr>
      <w:r>
        <w:rPr>
          <w:rFonts w:hint="eastAsia" w:ascii="宋体" w:hAnsi="宋体" w:cs="宋体"/>
          <w:color w:val="auto"/>
          <w:highlight w:val="none"/>
        </w:rPr>
        <w:t>法定代表人或授权代表（签字或盖章）：</w:t>
      </w:r>
      <w:r>
        <w:rPr>
          <w:rFonts w:hint="eastAsia" w:ascii="宋体" w:hAnsi="宋体" w:cs="宋体"/>
          <w:color w:val="auto"/>
          <w:highlight w:val="none"/>
          <w:u w:val="single"/>
        </w:rPr>
        <w:t xml:space="preserve">                    </w:t>
      </w:r>
    </w:p>
    <w:p w14:paraId="07813B51">
      <w:pPr>
        <w:spacing w:line="360" w:lineRule="auto"/>
        <w:ind w:left="3360" w:leftChars="1600"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3CD4502">
      <w:pPr>
        <w:rPr>
          <w:rFonts w:ascii="宋体" w:hAnsi="宋体" w:cs="宋体"/>
          <w:color w:val="auto"/>
          <w:highlight w:val="none"/>
        </w:rPr>
      </w:pPr>
      <w:r>
        <w:rPr>
          <w:rFonts w:hint="eastAsia" w:ascii="宋体" w:hAnsi="宋体" w:cs="宋体"/>
          <w:color w:val="auto"/>
          <w:highlight w:val="none"/>
        </w:rPr>
        <w:br w:type="page"/>
      </w:r>
    </w:p>
    <w:p w14:paraId="74DD0224">
      <w:pPr>
        <w:jc w:val="center"/>
        <w:outlineLvl w:val="2"/>
        <w:rPr>
          <w:rStyle w:val="90"/>
          <w:rFonts w:ascii="宋体" w:hAnsi="宋体" w:cs="宋体"/>
          <w:color w:val="auto"/>
          <w:kern w:val="44"/>
          <w:szCs w:val="28"/>
          <w:highlight w:val="none"/>
        </w:rPr>
      </w:pPr>
      <w:r>
        <w:rPr>
          <w:rStyle w:val="90"/>
          <w:rFonts w:hint="eastAsia" w:ascii="宋体" w:hAnsi="宋体" w:cs="宋体"/>
          <w:color w:val="auto"/>
          <w:kern w:val="44"/>
          <w:szCs w:val="28"/>
          <w:highlight w:val="none"/>
        </w:rPr>
        <w:t>供应商认为有必要说明的其他资料</w:t>
      </w:r>
    </w:p>
    <w:p w14:paraId="5DA8038E">
      <w:pPr>
        <w:ind w:firstLine="3360" w:firstLineChars="1600"/>
        <w:jc w:val="right"/>
        <w:rPr>
          <w:rFonts w:ascii="宋体" w:hAnsi="宋体" w:cs="宋体"/>
          <w:color w:val="auto"/>
          <w:highlight w:val="none"/>
        </w:rPr>
      </w:pPr>
    </w:p>
    <w:p w14:paraId="119D4EC2">
      <w:pPr>
        <w:outlineLvl w:val="2"/>
        <w:rPr>
          <w:rStyle w:val="90"/>
          <w:rFonts w:ascii="宋体" w:hAnsi="宋体" w:cs="宋体"/>
          <w:color w:val="auto"/>
          <w:kern w:val="44"/>
          <w:szCs w:val="28"/>
          <w:highlight w:val="none"/>
        </w:rPr>
      </w:pPr>
    </w:p>
    <w:sectPr>
      <w:headerReference r:id="rId9" w:type="default"/>
      <w:pgSz w:w="11922" w:h="16849"/>
      <w:pgMar w:top="1179" w:right="1417" w:bottom="1179" w:left="1417" w:header="0" w:footer="56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73B9">
    <w:pPr>
      <w:pStyle w:val="27"/>
    </w:pPr>
  </w:p>
  <w:p w14:paraId="1E4F73F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A86C">
    <w:pPr>
      <w:pStyle w:val="1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48DC">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2755900</wp:posOffset>
              </wp:positionH>
              <wp:positionV relativeFrom="paragraph">
                <wp:posOffset>-228600</wp:posOffset>
              </wp:positionV>
              <wp:extent cx="1828800" cy="2393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7891B">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pt;margin-top:-18pt;height:18.85pt;width:144pt;mso-position-horizontal-relative:margin;mso-wrap-style:none;z-index:251660288;mso-width-relative:page;mso-height-relative:page;" filled="f" stroked="f" coordsize="21600,21600" o:gfxdata="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rpuX2AAAAAkBAAAPAAAAAAAAAAEAIAAAACIAAABkcnMvZG93bnJldi54bWxQ&#10;SwECFAAUAAAACACHTuJAnAg80TACAABUBAAADgAAAAAAAAABACAAAAAnAQAAZHJzL2Uyb0RvYy54&#10;bWxQSwUGAAAAAAYABgBZAQAAyQUAAAAA&#10;">
              <v:fill on="f" focussize="0,0"/>
              <v:stroke on="f" weight="0.5pt"/>
              <v:imagedata o:title=""/>
              <o:lock v:ext="edit" aspectratio="f"/>
              <v:textbox inset="0mm,0mm,0mm,0mm">
                <w:txbxContent>
                  <w:p w14:paraId="11F7891B">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1C0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CE7E8">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D7CE7E8">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22EAC90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D279B">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3A77">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62DC">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DC240"/>
    <w:multiLevelType w:val="multilevel"/>
    <w:tmpl w:val="84CDC240"/>
    <w:lvl w:ilvl="0" w:tentative="0">
      <w:start w:val="2"/>
      <w:numFmt w:val="decimal"/>
      <w:suff w:val="nothing"/>
      <w:lvlText w:val="第%1章 "/>
      <w:lvlJc w:val="left"/>
      <w:pPr>
        <w:tabs>
          <w:tab w:val="left" w:pos="0"/>
        </w:tabs>
        <w:ind w:left="432" w:hanging="432"/>
      </w:pPr>
      <w:rPr>
        <w:rFonts w:hint="default" w:ascii="宋体" w:hAnsi="宋体" w:eastAsia="宋体" w:cs="宋体"/>
        <w:b/>
        <w:sz w:val="36"/>
      </w:rPr>
    </w:lvl>
    <w:lvl w:ilvl="1" w:tentative="0">
      <w:start w:val="1"/>
      <w:numFmt w:val="decimal"/>
      <w:isLgl/>
      <w:lvlText w:val="%1.%2 "/>
      <w:lvlJc w:val="left"/>
      <w:pPr>
        <w:tabs>
          <w:tab w:val="left" w:pos="420"/>
        </w:tabs>
        <w:ind w:left="575" w:hanging="575"/>
      </w:pPr>
      <w:rPr>
        <w:rFonts w:hint="default" w:ascii="宋体" w:hAnsi="宋体" w:eastAsia="宋体" w:cs="宋体"/>
        <w:b/>
        <w:sz w:val="32"/>
      </w:rPr>
    </w:lvl>
    <w:lvl w:ilvl="2" w:tentative="0">
      <w:start w:val="1"/>
      <w:numFmt w:val="decimal"/>
      <w:isLgl/>
      <w:lvlText w:val="%1.%2.%3 "/>
      <w:lvlJc w:val="left"/>
      <w:pPr>
        <w:tabs>
          <w:tab w:val="left" w:pos="420"/>
        </w:tabs>
        <w:ind w:left="720" w:hanging="720"/>
      </w:pPr>
      <w:rPr>
        <w:rFonts w:hint="default" w:ascii="宋体" w:hAnsi="宋体" w:eastAsia="宋体" w:cs="宋体"/>
        <w:b/>
        <w:sz w:val="30"/>
      </w:rPr>
    </w:lvl>
    <w:lvl w:ilvl="3" w:tentative="0">
      <w:start w:val="1"/>
      <w:numFmt w:val="decimal"/>
      <w:isLgl/>
      <w:lvlText w:val="%1.%2.%3.%4 "/>
      <w:lvlJc w:val="left"/>
      <w:pPr>
        <w:ind w:left="864" w:hanging="864"/>
      </w:pPr>
      <w:rPr>
        <w:rFonts w:hint="default" w:ascii="宋体" w:hAnsi="宋体" w:eastAsia="宋体" w:cs="宋体"/>
        <w:b/>
        <w:sz w:val="22"/>
        <w:szCs w:val="22"/>
      </w:rPr>
    </w:lvl>
    <w:lvl w:ilvl="4" w:tentative="0">
      <w:start w:val="1"/>
      <w:numFmt w:val="decimal"/>
      <w:pStyle w:val="10"/>
      <w:isLgl/>
      <w:lvlText w:val="%1.%2.%3.%4.%5 "/>
      <w:lvlJc w:val="left"/>
      <w:pPr>
        <w:ind w:left="1008" w:hanging="1008"/>
      </w:pPr>
      <w:rPr>
        <w:rFonts w:hint="default" w:ascii="宋体" w:hAnsi="宋体" w:eastAsia="宋体" w:cs="宋体"/>
        <w:b/>
        <w:sz w:val="24"/>
      </w:rPr>
    </w:lvl>
    <w:lvl w:ilvl="5" w:tentative="0">
      <w:start w:val="1"/>
      <w:numFmt w:val="decimal"/>
      <w:pStyle w:val="11"/>
      <w:isLgl/>
      <w:lvlText w:val="%1.%2.%3.%4.%5.%6 "/>
      <w:lvlJc w:val="left"/>
      <w:pPr>
        <w:ind w:left="1151" w:hanging="1151"/>
      </w:pPr>
      <w:rPr>
        <w:rFonts w:hint="default" w:ascii="宋体" w:hAnsi="宋体" w:eastAsia="宋体" w:cs="宋体"/>
        <w:b/>
        <w:sz w:val="21"/>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00000020"/>
    <w:multiLevelType w:val="singleLevel"/>
    <w:tmpl w:val="00000020"/>
    <w:lvl w:ilvl="0" w:tentative="0">
      <w:start w:val="1"/>
      <w:numFmt w:val="chineseCounting"/>
      <w:suff w:val="nothing"/>
      <w:lvlText w:val="（%1）"/>
      <w:lvlJc w:val="left"/>
    </w:lvl>
  </w:abstractNum>
  <w:abstractNum w:abstractNumId="3">
    <w:nsid w:val="02D42E74"/>
    <w:multiLevelType w:val="multilevel"/>
    <w:tmpl w:val="02D42E74"/>
    <w:lvl w:ilvl="0" w:tentative="0">
      <w:start w:val="1"/>
      <w:numFmt w:val="decimal"/>
      <w:suff w:val="space"/>
      <w:lvlText w:val="第%1章"/>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ascii="黑体" w:hAnsi="黑体" w:eastAsia="黑体"/>
      </w:rPr>
    </w:lvl>
    <w:lvl w:ilvl="2" w:tentative="0">
      <w:start w:val="1"/>
      <w:numFmt w:val="decimal"/>
      <w:isLgl/>
      <w:suff w:val="space"/>
      <w:lvlText w:val="%1.%2.%3"/>
      <w:lvlJc w:val="left"/>
      <w:pPr>
        <w:ind w:left="0" w:firstLine="0"/>
      </w:pPr>
      <w:rPr>
        <w:rFonts w:hint="eastAsia" w:ascii="黑体" w:hAnsi="黑体" w:eastAsia="黑体"/>
        <w:b/>
        <w:sz w:val="30"/>
        <w:szCs w:val="30"/>
      </w:rPr>
    </w:lvl>
    <w:lvl w:ilvl="3" w:tentative="0">
      <w:start w:val="1"/>
      <w:numFmt w:val="decimal"/>
      <w:isLgl/>
      <w:suff w:val="space"/>
      <w:lvlText w:val="%1.%2.%3.%4"/>
      <w:lvlJc w:val="left"/>
      <w:pPr>
        <w:ind w:left="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4">
    <w:nsid w:val="09890BCC"/>
    <w:multiLevelType w:val="multilevel"/>
    <w:tmpl w:val="09890BCC"/>
    <w:lvl w:ilvl="0" w:tentative="0">
      <w:start w:val="1"/>
      <w:numFmt w:val="decimal"/>
      <w:pStyle w:val="13"/>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1FB509F3"/>
    <w:multiLevelType w:val="multilevel"/>
    <w:tmpl w:val="1FB509F3"/>
    <w:lvl w:ilvl="0" w:tentative="0">
      <w:start w:val="1"/>
      <w:numFmt w:val="decimal"/>
      <w:pStyle w:val="59"/>
      <w:lvlText w:val="%1、"/>
      <w:lvlJc w:val="left"/>
      <w:pPr>
        <w:tabs>
          <w:tab w:val="left" w:pos="306"/>
        </w:tabs>
        <w:ind w:left="306" w:hanging="360"/>
      </w:pPr>
      <w:rPr>
        <w:rFonts w:hint="eastAsia"/>
      </w:rPr>
    </w:lvl>
    <w:lvl w:ilvl="1" w:tentative="0">
      <w:start w:val="1"/>
      <w:numFmt w:val="lowerLetter"/>
      <w:lvlText w:val="%2)"/>
      <w:lvlJc w:val="left"/>
      <w:pPr>
        <w:tabs>
          <w:tab w:val="left" w:pos="366"/>
        </w:tabs>
        <w:ind w:left="366" w:hanging="420"/>
      </w:pPr>
    </w:lvl>
    <w:lvl w:ilvl="2" w:tentative="0">
      <w:start w:val="1"/>
      <w:numFmt w:val="lowerRoman"/>
      <w:lvlText w:val="%3."/>
      <w:lvlJc w:val="right"/>
      <w:pPr>
        <w:tabs>
          <w:tab w:val="left" w:pos="786"/>
        </w:tabs>
        <w:ind w:left="786" w:hanging="420"/>
      </w:pPr>
    </w:lvl>
    <w:lvl w:ilvl="3" w:tentative="0">
      <w:start w:val="1"/>
      <w:numFmt w:val="decimal"/>
      <w:lvlText w:val="%4."/>
      <w:lvlJc w:val="left"/>
      <w:pPr>
        <w:tabs>
          <w:tab w:val="left" w:pos="1206"/>
        </w:tabs>
        <w:ind w:left="1206" w:hanging="420"/>
      </w:pPr>
    </w:lvl>
    <w:lvl w:ilvl="4" w:tentative="0">
      <w:start w:val="1"/>
      <w:numFmt w:val="lowerLetter"/>
      <w:lvlText w:val="%5)"/>
      <w:lvlJc w:val="left"/>
      <w:pPr>
        <w:tabs>
          <w:tab w:val="left" w:pos="1626"/>
        </w:tabs>
        <w:ind w:left="1626" w:hanging="420"/>
      </w:pPr>
    </w:lvl>
    <w:lvl w:ilvl="5" w:tentative="0">
      <w:start w:val="1"/>
      <w:numFmt w:val="lowerRoman"/>
      <w:lvlText w:val="%6."/>
      <w:lvlJc w:val="right"/>
      <w:pPr>
        <w:tabs>
          <w:tab w:val="left" w:pos="2046"/>
        </w:tabs>
        <w:ind w:left="2046" w:hanging="420"/>
      </w:pPr>
    </w:lvl>
    <w:lvl w:ilvl="6" w:tentative="0">
      <w:start w:val="1"/>
      <w:numFmt w:val="decimal"/>
      <w:lvlText w:val="%7."/>
      <w:lvlJc w:val="left"/>
      <w:pPr>
        <w:tabs>
          <w:tab w:val="left" w:pos="2466"/>
        </w:tabs>
        <w:ind w:left="2466" w:hanging="420"/>
      </w:pPr>
    </w:lvl>
    <w:lvl w:ilvl="7" w:tentative="0">
      <w:start w:val="1"/>
      <w:numFmt w:val="lowerLetter"/>
      <w:lvlText w:val="%8)"/>
      <w:lvlJc w:val="left"/>
      <w:pPr>
        <w:tabs>
          <w:tab w:val="left" w:pos="2886"/>
        </w:tabs>
        <w:ind w:left="2886" w:hanging="420"/>
      </w:pPr>
    </w:lvl>
    <w:lvl w:ilvl="8" w:tentative="0">
      <w:start w:val="1"/>
      <w:numFmt w:val="lowerRoman"/>
      <w:lvlText w:val="%9."/>
      <w:lvlJc w:val="right"/>
      <w:pPr>
        <w:tabs>
          <w:tab w:val="left" w:pos="3306"/>
        </w:tabs>
        <w:ind w:left="3306" w:hanging="420"/>
      </w:pPr>
    </w:lvl>
  </w:abstractNum>
  <w:abstractNum w:abstractNumId="6">
    <w:nsid w:val="4E9807E4"/>
    <w:multiLevelType w:val="multilevel"/>
    <w:tmpl w:val="4E9807E4"/>
    <w:lvl w:ilvl="0" w:tentative="0">
      <w:start w:val="1"/>
      <w:numFmt w:val="chineseCounting"/>
      <w:suff w:val="nothing"/>
      <w:lvlText w:val="第%1部分、 "/>
      <w:lvlJc w:val="left"/>
      <w:pPr>
        <w:tabs>
          <w:tab w:val="left" w:pos="0"/>
        </w:tabs>
        <w:ind w:left="432" w:hanging="432"/>
      </w:pPr>
      <w:rPr>
        <w:rFonts w:hint="eastAsia" w:ascii="宋体" w:hAnsi="宋体" w:eastAsia="微软雅黑" w:cs="微软雅黑"/>
        <w:sz w:val="44"/>
        <w:szCs w:val="44"/>
      </w:rPr>
    </w:lvl>
    <w:lvl w:ilvl="1" w:tentative="0">
      <w:start w:val="1"/>
      <w:numFmt w:val="decimal"/>
      <w:isLgl/>
      <w:suff w:val="space"/>
      <w:lvlText w:val="%1.%2."/>
      <w:lvlJc w:val="left"/>
      <w:pPr>
        <w:tabs>
          <w:tab w:val="left" w:pos="0"/>
        </w:tabs>
        <w:ind w:left="575" w:hanging="575"/>
      </w:pPr>
      <w:rPr>
        <w:rFonts w:hint="eastAsia" w:ascii="Arial" w:hAnsi="Arial" w:eastAsia="微软雅黑" w:cs="微软雅黑"/>
        <w:sz w:val="32"/>
        <w:szCs w:val="32"/>
      </w:rPr>
    </w:lvl>
    <w:lvl w:ilvl="2" w:tentative="0">
      <w:start w:val="1"/>
      <w:numFmt w:val="decimal"/>
      <w:isLgl/>
      <w:suff w:val="space"/>
      <w:lvlText w:val="%1.%2.%3."/>
      <w:lvlJc w:val="left"/>
      <w:pPr>
        <w:tabs>
          <w:tab w:val="left" w:pos="0"/>
        </w:tabs>
        <w:ind w:left="720" w:hanging="720"/>
      </w:pPr>
      <w:rPr>
        <w:rFonts w:hint="eastAsia" w:ascii="Arial" w:hAnsi="Arial" w:eastAsia="宋体" w:cs="宋体"/>
        <w:sz w:val="30"/>
        <w:szCs w:val="30"/>
      </w:rPr>
    </w:lvl>
    <w:lvl w:ilvl="3" w:tentative="0">
      <w:start w:val="1"/>
      <w:numFmt w:val="decimal"/>
      <w:isLgl/>
      <w:suff w:val="space"/>
      <w:lvlText w:val="%1.%2.%3.%4."/>
      <w:lvlJc w:val="left"/>
      <w:pPr>
        <w:tabs>
          <w:tab w:val="left" w:pos="0"/>
        </w:tabs>
        <w:ind w:left="864" w:hanging="864"/>
      </w:pPr>
      <w:rPr>
        <w:rFonts w:hint="eastAsia" w:ascii="Arial" w:hAnsi="Arial" w:eastAsia="宋体" w:cs="Arial"/>
        <w:sz w:val="28"/>
        <w:szCs w:val="28"/>
      </w:rPr>
    </w:lvl>
    <w:lvl w:ilvl="4" w:tentative="0">
      <w:start w:val="1"/>
      <w:numFmt w:val="decimal"/>
      <w:isLgl/>
      <w:suff w:val="space"/>
      <w:lvlText w:val="%1.%2.%3.%4.%5."/>
      <w:lvlJc w:val="left"/>
      <w:pPr>
        <w:tabs>
          <w:tab w:val="left" w:pos="0"/>
        </w:tabs>
        <w:ind w:left="1008" w:hanging="1008"/>
      </w:pPr>
      <w:rPr>
        <w:rFonts w:hint="eastAsia" w:ascii="Arial" w:hAnsi="Arial" w:eastAsia="黑体" w:cs="Arial"/>
        <w:sz w:val="28"/>
        <w:szCs w:val="28"/>
      </w:rPr>
    </w:lvl>
    <w:lvl w:ilvl="5" w:tentative="0">
      <w:start w:val="1"/>
      <w:numFmt w:val="decimal"/>
      <w:isLgl/>
      <w:suff w:val="space"/>
      <w:lvlText w:val="%1.%2.%3.%4.%5.%6."/>
      <w:lvlJc w:val="left"/>
      <w:pPr>
        <w:tabs>
          <w:tab w:val="left" w:pos="0"/>
        </w:tabs>
        <w:ind w:left="1151" w:hanging="1151"/>
      </w:pPr>
      <w:rPr>
        <w:rFonts w:hint="eastAsia" w:ascii="Arial" w:hAnsi="Arial" w:eastAsia="黑体" w:cs="Arial"/>
      </w:rPr>
    </w:lvl>
    <w:lvl w:ilvl="6" w:tentative="0">
      <w:start w:val="1"/>
      <w:numFmt w:val="decimal"/>
      <w:pStyle w:val="12"/>
      <w:isLgl/>
      <w:suff w:val="space"/>
      <w:lvlText w:val="%1.%2.%3.%4.%5.%6.%7."/>
      <w:lvlJc w:val="left"/>
      <w:pPr>
        <w:tabs>
          <w:tab w:val="left" w:pos="0"/>
        </w:tabs>
        <w:ind w:left="1296" w:hanging="1296"/>
      </w:pPr>
      <w:rPr>
        <w:rFonts w:hint="eastAsia" w:ascii="Arial" w:hAnsi="Arial" w:eastAsia="黑体" w:cs="Arial"/>
        <w:sz w:val="24"/>
        <w:szCs w:val="24"/>
      </w:rPr>
    </w:lvl>
    <w:lvl w:ilvl="7" w:tentative="0">
      <w:start w:val="1"/>
      <w:numFmt w:val="decimal"/>
      <w:isLgl/>
      <w:suff w:val="space"/>
      <w:lvlText w:val="%1.%2.%3.%4.%5.%6.%7.%8."/>
      <w:lvlJc w:val="left"/>
      <w:pPr>
        <w:tabs>
          <w:tab w:val="left" w:pos="0"/>
        </w:tabs>
        <w:ind w:left="1440" w:hanging="1440"/>
      </w:pPr>
      <w:rPr>
        <w:rFonts w:hint="eastAsia" w:ascii="Arial" w:hAnsi="Arial" w:eastAsia="黑体" w:cs="Arial"/>
        <w:sz w:val="24"/>
        <w:szCs w:val="24"/>
      </w:rPr>
    </w:lvl>
    <w:lvl w:ilvl="8" w:tentative="0">
      <w:start w:val="1"/>
      <w:numFmt w:val="decimal"/>
      <w:isLgl/>
      <w:suff w:val="space"/>
      <w:lvlText w:val="%1.%2.%3.%4.%5.%6.%7.%8.%9."/>
      <w:lvlJc w:val="left"/>
      <w:pPr>
        <w:tabs>
          <w:tab w:val="left" w:pos="0"/>
        </w:tabs>
        <w:ind w:left="1583" w:hanging="1583"/>
      </w:pPr>
      <w:rPr>
        <w:rFonts w:hint="eastAsia" w:ascii="Arial" w:hAnsi="Arial" w:eastAsia="黑体" w:cs="Arial"/>
        <w:sz w:val="24"/>
        <w:szCs w:val="24"/>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okNames" w:val="year1_2;filetype1_2"/>
    <w:docVar w:name="commondata" w:val="eyJoZGlkIjoiZjViNWNmYTljNDAwNjIyNDMwNzRiM2M4YjBmZWY4ZDU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172A27"/>
    <w:rsid w:val="00002A75"/>
    <w:rsid w:val="0001213D"/>
    <w:rsid w:val="00015D6F"/>
    <w:rsid w:val="00016536"/>
    <w:rsid w:val="00017174"/>
    <w:rsid w:val="00026535"/>
    <w:rsid w:val="00027550"/>
    <w:rsid w:val="00032F0B"/>
    <w:rsid w:val="000427CB"/>
    <w:rsid w:val="0004475A"/>
    <w:rsid w:val="00045AF8"/>
    <w:rsid w:val="00045C7D"/>
    <w:rsid w:val="000516F5"/>
    <w:rsid w:val="0005243F"/>
    <w:rsid w:val="0005273D"/>
    <w:rsid w:val="00053EAA"/>
    <w:rsid w:val="000559EA"/>
    <w:rsid w:val="0005642F"/>
    <w:rsid w:val="00057E77"/>
    <w:rsid w:val="00060D40"/>
    <w:rsid w:val="00061F3D"/>
    <w:rsid w:val="00065DCE"/>
    <w:rsid w:val="00070640"/>
    <w:rsid w:val="000729D4"/>
    <w:rsid w:val="000769F0"/>
    <w:rsid w:val="0007792D"/>
    <w:rsid w:val="00081E4D"/>
    <w:rsid w:val="000821FC"/>
    <w:rsid w:val="00085C2E"/>
    <w:rsid w:val="00087A5B"/>
    <w:rsid w:val="00090242"/>
    <w:rsid w:val="00091A93"/>
    <w:rsid w:val="000A4BF3"/>
    <w:rsid w:val="000A7324"/>
    <w:rsid w:val="000B4ACE"/>
    <w:rsid w:val="000B5568"/>
    <w:rsid w:val="000C0F59"/>
    <w:rsid w:val="000E06D3"/>
    <w:rsid w:val="000E170A"/>
    <w:rsid w:val="000E3059"/>
    <w:rsid w:val="000E6BCA"/>
    <w:rsid w:val="00102F72"/>
    <w:rsid w:val="001031AE"/>
    <w:rsid w:val="001108AB"/>
    <w:rsid w:val="00110B3F"/>
    <w:rsid w:val="001128CF"/>
    <w:rsid w:val="0011387D"/>
    <w:rsid w:val="00113C99"/>
    <w:rsid w:val="00115FC6"/>
    <w:rsid w:val="00127228"/>
    <w:rsid w:val="001272DF"/>
    <w:rsid w:val="00130233"/>
    <w:rsid w:val="0013468D"/>
    <w:rsid w:val="00137512"/>
    <w:rsid w:val="00140C50"/>
    <w:rsid w:val="00142B9F"/>
    <w:rsid w:val="00143F87"/>
    <w:rsid w:val="00161306"/>
    <w:rsid w:val="00161B2F"/>
    <w:rsid w:val="00165BEB"/>
    <w:rsid w:val="001679E6"/>
    <w:rsid w:val="00171889"/>
    <w:rsid w:val="00172A27"/>
    <w:rsid w:val="00176187"/>
    <w:rsid w:val="00181A3F"/>
    <w:rsid w:val="001871A0"/>
    <w:rsid w:val="00191C5C"/>
    <w:rsid w:val="00192075"/>
    <w:rsid w:val="00197367"/>
    <w:rsid w:val="001A1395"/>
    <w:rsid w:val="001A2B9B"/>
    <w:rsid w:val="001B0D16"/>
    <w:rsid w:val="001B1653"/>
    <w:rsid w:val="001B1A4D"/>
    <w:rsid w:val="001B1BFC"/>
    <w:rsid w:val="001B27D2"/>
    <w:rsid w:val="001B3777"/>
    <w:rsid w:val="001C115A"/>
    <w:rsid w:val="001D0930"/>
    <w:rsid w:val="001D490F"/>
    <w:rsid w:val="001E0851"/>
    <w:rsid w:val="001E1065"/>
    <w:rsid w:val="001E6511"/>
    <w:rsid w:val="001F3141"/>
    <w:rsid w:val="0020466E"/>
    <w:rsid w:val="00211279"/>
    <w:rsid w:val="0021594F"/>
    <w:rsid w:val="00223548"/>
    <w:rsid w:val="00223C07"/>
    <w:rsid w:val="00226070"/>
    <w:rsid w:val="00230301"/>
    <w:rsid w:val="00236970"/>
    <w:rsid w:val="00237FFA"/>
    <w:rsid w:val="00242FD2"/>
    <w:rsid w:val="00243EC8"/>
    <w:rsid w:val="002539EC"/>
    <w:rsid w:val="00254C39"/>
    <w:rsid w:val="00257880"/>
    <w:rsid w:val="002600B8"/>
    <w:rsid w:val="00266342"/>
    <w:rsid w:val="0026774C"/>
    <w:rsid w:val="00273286"/>
    <w:rsid w:val="00274E01"/>
    <w:rsid w:val="0027703F"/>
    <w:rsid w:val="00280CDF"/>
    <w:rsid w:val="00280D59"/>
    <w:rsid w:val="00285181"/>
    <w:rsid w:val="00290165"/>
    <w:rsid w:val="002927FE"/>
    <w:rsid w:val="00295E09"/>
    <w:rsid w:val="002A5570"/>
    <w:rsid w:val="002C00FD"/>
    <w:rsid w:val="002C11B0"/>
    <w:rsid w:val="002C4FA9"/>
    <w:rsid w:val="002C6877"/>
    <w:rsid w:val="002C7F46"/>
    <w:rsid w:val="002E030B"/>
    <w:rsid w:val="002E2A7B"/>
    <w:rsid w:val="002E50A8"/>
    <w:rsid w:val="002F1CC9"/>
    <w:rsid w:val="002F4560"/>
    <w:rsid w:val="002F4CA4"/>
    <w:rsid w:val="003060D0"/>
    <w:rsid w:val="00312055"/>
    <w:rsid w:val="00312DB4"/>
    <w:rsid w:val="00320773"/>
    <w:rsid w:val="003362E7"/>
    <w:rsid w:val="00337827"/>
    <w:rsid w:val="0034365C"/>
    <w:rsid w:val="003441E2"/>
    <w:rsid w:val="003575FF"/>
    <w:rsid w:val="00361A35"/>
    <w:rsid w:val="003647A3"/>
    <w:rsid w:val="003756CB"/>
    <w:rsid w:val="00375AF7"/>
    <w:rsid w:val="00382066"/>
    <w:rsid w:val="00382D58"/>
    <w:rsid w:val="00382DEE"/>
    <w:rsid w:val="00390912"/>
    <w:rsid w:val="00391872"/>
    <w:rsid w:val="00392D45"/>
    <w:rsid w:val="0039433A"/>
    <w:rsid w:val="003963AC"/>
    <w:rsid w:val="003A1739"/>
    <w:rsid w:val="003A20CC"/>
    <w:rsid w:val="003A4D32"/>
    <w:rsid w:val="003A4F29"/>
    <w:rsid w:val="003B0C87"/>
    <w:rsid w:val="003B6500"/>
    <w:rsid w:val="003C2C17"/>
    <w:rsid w:val="003C6172"/>
    <w:rsid w:val="003C6E52"/>
    <w:rsid w:val="003D42EE"/>
    <w:rsid w:val="003D43C1"/>
    <w:rsid w:val="003D61C8"/>
    <w:rsid w:val="003D6537"/>
    <w:rsid w:val="003E09B7"/>
    <w:rsid w:val="003E733C"/>
    <w:rsid w:val="003F1EF9"/>
    <w:rsid w:val="003F2BEB"/>
    <w:rsid w:val="004039A2"/>
    <w:rsid w:val="004045AE"/>
    <w:rsid w:val="00405CA9"/>
    <w:rsid w:val="004134F3"/>
    <w:rsid w:val="00415CE0"/>
    <w:rsid w:val="00417105"/>
    <w:rsid w:val="0043008F"/>
    <w:rsid w:val="00433AEE"/>
    <w:rsid w:val="0043455C"/>
    <w:rsid w:val="00436104"/>
    <w:rsid w:val="00455AED"/>
    <w:rsid w:val="00456AAA"/>
    <w:rsid w:val="00460D84"/>
    <w:rsid w:val="00473E27"/>
    <w:rsid w:val="00475B27"/>
    <w:rsid w:val="00484D22"/>
    <w:rsid w:val="00492A1C"/>
    <w:rsid w:val="00496BE3"/>
    <w:rsid w:val="00497A43"/>
    <w:rsid w:val="004A2C9F"/>
    <w:rsid w:val="004A5703"/>
    <w:rsid w:val="004A5E46"/>
    <w:rsid w:val="004B6092"/>
    <w:rsid w:val="004B721F"/>
    <w:rsid w:val="004C2D0D"/>
    <w:rsid w:val="004C36A0"/>
    <w:rsid w:val="004D2961"/>
    <w:rsid w:val="004D47CC"/>
    <w:rsid w:val="004E2FF1"/>
    <w:rsid w:val="004E6152"/>
    <w:rsid w:val="004E70FF"/>
    <w:rsid w:val="004F24A9"/>
    <w:rsid w:val="004F26F8"/>
    <w:rsid w:val="004F3830"/>
    <w:rsid w:val="004F4142"/>
    <w:rsid w:val="004F709E"/>
    <w:rsid w:val="00504B0A"/>
    <w:rsid w:val="005100FC"/>
    <w:rsid w:val="0051626B"/>
    <w:rsid w:val="00520216"/>
    <w:rsid w:val="005204F0"/>
    <w:rsid w:val="00521130"/>
    <w:rsid w:val="00523305"/>
    <w:rsid w:val="00531D69"/>
    <w:rsid w:val="00535EC3"/>
    <w:rsid w:val="00543929"/>
    <w:rsid w:val="00551D3B"/>
    <w:rsid w:val="0055730C"/>
    <w:rsid w:val="00560D0B"/>
    <w:rsid w:val="0056160B"/>
    <w:rsid w:val="00561C19"/>
    <w:rsid w:val="00564AB2"/>
    <w:rsid w:val="00567897"/>
    <w:rsid w:val="005703C0"/>
    <w:rsid w:val="0057178A"/>
    <w:rsid w:val="005772FE"/>
    <w:rsid w:val="00577C3D"/>
    <w:rsid w:val="00580896"/>
    <w:rsid w:val="00586410"/>
    <w:rsid w:val="00586F50"/>
    <w:rsid w:val="0059411E"/>
    <w:rsid w:val="005C1084"/>
    <w:rsid w:val="005C790E"/>
    <w:rsid w:val="005D29E6"/>
    <w:rsid w:val="005D36CB"/>
    <w:rsid w:val="005D4A93"/>
    <w:rsid w:val="005D4D11"/>
    <w:rsid w:val="005E0417"/>
    <w:rsid w:val="005F1DB8"/>
    <w:rsid w:val="005F3A90"/>
    <w:rsid w:val="00600668"/>
    <w:rsid w:val="00605959"/>
    <w:rsid w:val="00606B81"/>
    <w:rsid w:val="00607701"/>
    <w:rsid w:val="00610717"/>
    <w:rsid w:val="00612345"/>
    <w:rsid w:val="00613FE6"/>
    <w:rsid w:val="00625415"/>
    <w:rsid w:val="00635BD3"/>
    <w:rsid w:val="00636043"/>
    <w:rsid w:val="00641E35"/>
    <w:rsid w:val="00642770"/>
    <w:rsid w:val="006458F3"/>
    <w:rsid w:val="00647F8A"/>
    <w:rsid w:val="006516A3"/>
    <w:rsid w:val="00651E67"/>
    <w:rsid w:val="00652CC9"/>
    <w:rsid w:val="006539D9"/>
    <w:rsid w:val="00654BE1"/>
    <w:rsid w:val="006664FD"/>
    <w:rsid w:val="0066795B"/>
    <w:rsid w:val="00670B62"/>
    <w:rsid w:val="00670F28"/>
    <w:rsid w:val="00692E58"/>
    <w:rsid w:val="006932C6"/>
    <w:rsid w:val="00693A77"/>
    <w:rsid w:val="00693E26"/>
    <w:rsid w:val="00694D99"/>
    <w:rsid w:val="0069744B"/>
    <w:rsid w:val="006A4D5F"/>
    <w:rsid w:val="006B0740"/>
    <w:rsid w:val="006B4EA6"/>
    <w:rsid w:val="006B7C11"/>
    <w:rsid w:val="006C464E"/>
    <w:rsid w:val="006D36CA"/>
    <w:rsid w:val="006D64E4"/>
    <w:rsid w:val="006D730F"/>
    <w:rsid w:val="006E2822"/>
    <w:rsid w:val="006E6A58"/>
    <w:rsid w:val="0070447F"/>
    <w:rsid w:val="007139B5"/>
    <w:rsid w:val="00717522"/>
    <w:rsid w:val="00717810"/>
    <w:rsid w:val="00724BCA"/>
    <w:rsid w:val="0072545A"/>
    <w:rsid w:val="00727A2A"/>
    <w:rsid w:val="00727F06"/>
    <w:rsid w:val="00733FD6"/>
    <w:rsid w:val="00747501"/>
    <w:rsid w:val="007512A0"/>
    <w:rsid w:val="0076048F"/>
    <w:rsid w:val="007615FC"/>
    <w:rsid w:val="00770B05"/>
    <w:rsid w:val="007718EB"/>
    <w:rsid w:val="0077336C"/>
    <w:rsid w:val="00773755"/>
    <w:rsid w:val="00773916"/>
    <w:rsid w:val="007757D2"/>
    <w:rsid w:val="00776358"/>
    <w:rsid w:val="007839DD"/>
    <w:rsid w:val="00784064"/>
    <w:rsid w:val="00786731"/>
    <w:rsid w:val="0079453A"/>
    <w:rsid w:val="00794FBB"/>
    <w:rsid w:val="007A3E2B"/>
    <w:rsid w:val="007A3EE9"/>
    <w:rsid w:val="007A5572"/>
    <w:rsid w:val="007B62C8"/>
    <w:rsid w:val="007B756A"/>
    <w:rsid w:val="007C18F4"/>
    <w:rsid w:val="007C3B23"/>
    <w:rsid w:val="007D0AD7"/>
    <w:rsid w:val="007F0A1D"/>
    <w:rsid w:val="007F3B9D"/>
    <w:rsid w:val="007F4228"/>
    <w:rsid w:val="008004CF"/>
    <w:rsid w:val="00810D87"/>
    <w:rsid w:val="008174C3"/>
    <w:rsid w:val="00817BB2"/>
    <w:rsid w:val="008222CB"/>
    <w:rsid w:val="008265E1"/>
    <w:rsid w:val="008274DF"/>
    <w:rsid w:val="00830507"/>
    <w:rsid w:val="00835D59"/>
    <w:rsid w:val="00837D90"/>
    <w:rsid w:val="00841FCA"/>
    <w:rsid w:val="00845389"/>
    <w:rsid w:val="00856713"/>
    <w:rsid w:val="00860DC7"/>
    <w:rsid w:val="0086605E"/>
    <w:rsid w:val="0087206F"/>
    <w:rsid w:val="0087470E"/>
    <w:rsid w:val="00876C5C"/>
    <w:rsid w:val="00877AF2"/>
    <w:rsid w:val="00883AB2"/>
    <w:rsid w:val="00885F4F"/>
    <w:rsid w:val="00887051"/>
    <w:rsid w:val="00892AF1"/>
    <w:rsid w:val="008A7B99"/>
    <w:rsid w:val="008B4566"/>
    <w:rsid w:val="008C1AB8"/>
    <w:rsid w:val="008C35B6"/>
    <w:rsid w:val="008C3DFA"/>
    <w:rsid w:val="008C6004"/>
    <w:rsid w:val="008D313A"/>
    <w:rsid w:val="008D3BD0"/>
    <w:rsid w:val="008D5360"/>
    <w:rsid w:val="008E5E78"/>
    <w:rsid w:val="008E68E4"/>
    <w:rsid w:val="008F546A"/>
    <w:rsid w:val="008F6548"/>
    <w:rsid w:val="008F671A"/>
    <w:rsid w:val="008F78B7"/>
    <w:rsid w:val="00907050"/>
    <w:rsid w:val="00907B93"/>
    <w:rsid w:val="0091190A"/>
    <w:rsid w:val="00913001"/>
    <w:rsid w:val="00921540"/>
    <w:rsid w:val="00922575"/>
    <w:rsid w:val="00940AA8"/>
    <w:rsid w:val="0094160F"/>
    <w:rsid w:val="00955ABC"/>
    <w:rsid w:val="00961796"/>
    <w:rsid w:val="0097152A"/>
    <w:rsid w:val="00972C9B"/>
    <w:rsid w:val="00972FEB"/>
    <w:rsid w:val="00974EC0"/>
    <w:rsid w:val="0098144C"/>
    <w:rsid w:val="0098301B"/>
    <w:rsid w:val="00993A69"/>
    <w:rsid w:val="00995B59"/>
    <w:rsid w:val="0099656D"/>
    <w:rsid w:val="009A5577"/>
    <w:rsid w:val="009C3AD1"/>
    <w:rsid w:val="009D32B9"/>
    <w:rsid w:val="009D476B"/>
    <w:rsid w:val="009E1E76"/>
    <w:rsid w:val="009E255E"/>
    <w:rsid w:val="009E38BC"/>
    <w:rsid w:val="009E7DDF"/>
    <w:rsid w:val="00A01F58"/>
    <w:rsid w:val="00A143EC"/>
    <w:rsid w:val="00A161D5"/>
    <w:rsid w:val="00A22614"/>
    <w:rsid w:val="00A2312D"/>
    <w:rsid w:val="00A24404"/>
    <w:rsid w:val="00A3040F"/>
    <w:rsid w:val="00A32932"/>
    <w:rsid w:val="00A3425A"/>
    <w:rsid w:val="00A4243B"/>
    <w:rsid w:val="00A45C58"/>
    <w:rsid w:val="00A463A4"/>
    <w:rsid w:val="00A47704"/>
    <w:rsid w:val="00A51252"/>
    <w:rsid w:val="00A53AAD"/>
    <w:rsid w:val="00A5499A"/>
    <w:rsid w:val="00A62837"/>
    <w:rsid w:val="00A62FF9"/>
    <w:rsid w:val="00A658F9"/>
    <w:rsid w:val="00A71E10"/>
    <w:rsid w:val="00A72471"/>
    <w:rsid w:val="00A7381E"/>
    <w:rsid w:val="00A83602"/>
    <w:rsid w:val="00A842F4"/>
    <w:rsid w:val="00A84A6A"/>
    <w:rsid w:val="00A857DE"/>
    <w:rsid w:val="00A85A64"/>
    <w:rsid w:val="00A8777D"/>
    <w:rsid w:val="00A90EA0"/>
    <w:rsid w:val="00A96944"/>
    <w:rsid w:val="00A9699F"/>
    <w:rsid w:val="00AA5B75"/>
    <w:rsid w:val="00AB0A5D"/>
    <w:rsid w:val="00AB40E5"/>
    <w:rsid w:val="00AB6C51"/>
    <w:rsid w:val="00AB6FD9"/>
    <w:rsid w:val="00AB7EAF"/>
    <w:rsid w:val="00AC5692"/>
    <w:rsid w:val="00AC69DB"/>
    <w:rsid w:val="00AC757B"/>
    <w:rsid w:val="00AD3BB8"/>
    <w:rsid w:val="00AE3BEA"/>
    <w:rsid w:val="00AE7127"/>
    <w:rsid w:val="00AF2E9F"/>
    <w:rsid w:val="00AF3E7A"/>
    <w:rsid w:val="00B052F0"/>
    <w:rsid w:val="00B070C1"/>
    <w:rsid w:val="00B1053A"/>
    <w:rsid w:val="00B226EB"/>
    <w:rsid w:val="00B23F15"/>
    <w:rsid w:val="00B27A68"/>
    <w:rsid w:val="00B31AC9"/>
    <w:rsid w:val="00B331EB"/>
    <w:rsid w:val="00B36C27"/>
    <w:rsid w:val="00B370F2"/>
    <w:rsid w:val="00B40D17"/>
    <w:rsid w:val="00B414A6"/>
    <w:rsid w:val="00B4181B"/>
    <w:rsid w:val="00B47726"/>
    <w:rsid w:val="00B64BEE"/>
    <w:rsid w:val="00B800B5"/>
    <w:rsid w:val="00B80A48"/>
    <w:rsid w:val="00B85549"/>
    <w:rsid w:val="00B930F7"/>
    <w:rsid w:val="00BA03C2"/>
    <w:rsid w:val="00BA3A47"/>
    <w:rsid w:val="00BA5738"/>
    <w:rsid w:val="00BB1874"/>
    <w:rsid w:val="00BB2E7F"/>
    <w:rsid w:val="00BB53D3"/>
    <w:rsid w:val="00BB7C95"/>
    <w:rsid w:val="00BC18C9"/>
    <w:rsid w:val="00BC1DCC"/>
    <w:rsid w:val="00BC2A13"/>
    <w:rsid w:val="00BC4D27"/>
    <w:rsid w:val="00BC57CD"/>
    <w:rsid w:val="00BC61E4"/>
    <w:rsid w:val="00BD04E5"/>
    <w:rsid w:val="00BD7EEA"/>
    <w:rsid w:val="00BE3E3E"/>
    <w:rsid w:val="00BE5F2D"/>
    <w:rsid w:val="00BE5F9B"/>
    <w:rsid w:val="00C04A98"/>
    <w:rsid w:val="00C05BEB"/>
    <w:rsid w:val="00C06CD4"/>
    <w:rsid w:val="00C1257E"/>
    <w:rsid w:val="00C13599"/>
    <w:rsid w:val="00C1359F"/>
    <w:rsid w:val="00C14DF6"/>
    <w:rsid w:val="00C16630"/>
    <w:rsid w:val="00C2106C"/>
    <w:rsid w:val="00C269E2"/>
    <w:rsid w:val="00C26EBE"/>
    <w:rsid w:val="00C31B60"/>
    <w:rsid w:val="00C335D3"/>
    <w:rsid w:val="00C43069"/>
    <w:rsid w:val="00C44DB8"/>
    <w:rsid w:val="00C46BDA"/>
    <w:rsid w:val="00C47FF9"/>
    <w:rsid w:val="00C55036"/>
    <w:rsid w:val="00C57E01"/>
    <w:rsid w:val="00C76BA2"/>
    <w:rsid w:val="00C90938"/>
    <w:rsid w:val="00C90BE0"/>
    <w:rsid w:val="00C92DBC"/>
    <w:rsid w:val="00C956CF"/>
    <w:rsid w:val="00C96EF6"/>
    <w:rsid w:val="00CB0A70"/>
    <w:rsid w:val="00CB2E57"/>
    <w:rsid w:val="00CB369F"/>
    <w:rsid w:val="00CB77BE"/>
    <w:rsid w:val="00CC47FA"/>
    <w:rsid w:val="00CD1788"/>
    <w:rsid w:val="00CD3FD7"/>
    <w:rsid w:val="00CD6FE8"/>
    <w:rsid w:val="00CE0D72"/>
    <w:rsid w:val="00CE3418"/>
    <w:rsid w:val="00CE4D75"/>
    <w:rsid w:val="00CE5E88"/>
    <w:rsid w:val="00CF7F31"/>
    <w:rsid w:val="00D0196A"/>
    <w:rsid w:val="00D04C87"/>
    <w:rsid w:val="00D07172"/>
    <w:rsid w:val="00D121B5"/>
    <w:rsid w:val="00D13251"/>
    <w:rsid w:val="00D16CB5"/>
    <w:rsid w:val="00D1715B"/>
    <w:rsid w:val="00D20872"/>
    <w:rsid w:val="00D25E8B"/>
    <w:rsid w:val="00D26B42"/>
    <w:rsid w:val="00D31DD6"/>
    <w:rsid w:val="00D32BDB"/>
    <w:rsid w:val="00D3301A"/>
    <w:rsid w:val="00D33789"/>
    <w:rsid w:val="00D34070"/>
    <w:rsid w:val="00D342C4"/>
    <w:rsid w:val="00D34778"/>
    <w:rsid w:val="00D36A69"/>
    <w:rsid w:val="00D42B22"/>
    <w:rsid w:val="00D44F8F"/>
    <w:rsid w:val="00D45381"/>
    <w:rsid w:val="00D609CE"/>
    <w:rsid w:val="00D60C52"/>
    <w:rsid w:val="00D646DA"/>
    <w:rsid w:val="00D66D77"/>
    <w:rsid w:val="00D70B10"/>
    <w:rsid w:val="00D72607"/>
    <w:rsid w:val="00D83344"/>
    <w:rsid w:val="00D83A83"/>
    <w:rsid w:val="00D869BF"/>
    <w:rsid w:val="00D91013"/>
    <w:rsid w:val="00D971EC"/>
    <w:rsid w:val="00DA1683"/>
    <w:rsid w:val="00DA2962"/>
    <w:rsid w:val="00DA3F5A"/>
    <w:rsid w:val="00DB0291"/>
    <w:rsid w:val="00DB3156"/>
    <w:rsid w:val="00DB397B"/>
    <w:rsid w:val="00DC19C2"/>
    <w:rsid w:val="00DC3B10"/>
    <w:rsid w:val="00DC5CB9"/>
    <w:rsid w:val="00DC6255"/>
    <w:rsid w:val="00DD7636"/>
    <w:rsid w:val="00DD78D3"/>
    <w:rsid w:val="00DF268D"/>
    <w:rsid w:val="00DF39A9"/>
    <w:rsid w:val="00E06D6C"/>
    <w:rsid w:val="00E130A3"/>
    <w:rsid w:val="00E1469F"/>
    <w:rsid w:val="00E23A97"/>
    <w:rsid w:val="00E32629"/>
    <w:rsid w:val="00E4188C"/>
    <w:rsid w:val="00E44ADD"/>
    <w:rsid w:val="00E53338"/>
    <w:rsid w:val="00E56593"/>
    <w:rsid w:val="00E731B4"/>
    <w:rsid w:val="00E8415F"/>
    <w:rsid w:val="00E8424E"/>
    <w:rsid w:val="00E920CA"/>
    <w:rsid w:val="00EA054D"/>
    <w:rsid w:val="00EA6856"/>
    <w:rsid w:val="00EB20E2"/>
    <w:rsid w:val="00EB28E8"/>
    <w:rsid w:val="00EB2B1C"/>
    <w:rsid w:val="00EB446A"/>
    <w:rsid w:val="00EB516B"/>
    <w:rsid w:val="00EC0103"/>
    <w:rsid w:val="00EC26BE"/>
    <w:rsid w:val="00EC2893"/>
    <w:rsid w:val="00EC6E06"/>
    <w:rsid w:val="00ED0977"/>
    <w:rsid w:val="00ED3097"/>
    <w:rsid w:val="00ED4AE3"/>
    <w:rsid w:val="00ED4B57"/>
    <w:rsid w:val="00EE1E58"/>
    <w:rsid w:val="00EE4CB8"/>
    <w:rsid w:val="00EE55CF"/>
    <w:rsid w:val="00EE688A"/>
    <w:rsid w:val="00EE7774"/>
    <w:rsid w:val="00EE7D90"/>
    <w:rsid w:val="00EF3707"/>
    <w:rsid w:val="00EF5881"/>
    <w:rsid w:val="00EF765B"/>
    <w:rsid w:val="00EF7E1C"/>
    <w:rsid w:val="00F119CA"/>
    <w:rsid w:val="00F14EF8"/>
    <w:rsid w:val="00F162B8"/>
    <w:rsid w:val="00F22899"/>
    <w:rsid w:val="00F22951"/>
    <w:rsid w:val="00F22F74"/>
    <w:rsid w:val="00F25635"/>
    <w:rsid w:val="00F27B7E"/>
    <w:rsid w:val="00F37EF6"/>
    <w:rsid w:val="00F4181C"/>
    <w:rsid w:val="00F50B31"/>
    <w:rsid w:val="00F54BDB"/>
    <w:rsid w:val="00F61EB3"/>
    <w:rsid w:val="00F67869"/>
    <w:rsid w:val="00F737AF"/>
    <w:rsid w:val="00F74A57"/>
    <w:rsid w:val="00F76115"/>
    <w:rsid w:val="00F7687D"/>
    <w:rsid w:val="00F7705E"/>
    <w:rsid w:val="00F774AF"/>
    <w:rsid w:val="00F914FF"/>
    <w:rsid w:val="00F972EC"/>
    <w:rsid w:val="00FA150E"/>
    <w:rsid w:val="00FA3AA3"/>
    <w:rsid w:val="00FA3CCA"/>
    <w:rsid w:val="00FA43AC"/>
    <w:rsid w:val="00FB3B88"/>
    <w:rsid w:val="00FB41BE"/>
    <w:rsid w:val="00FC2C4E"/>
    <w:rsid w:val="00FC7AC5"/>
    <w:rsid w:val="00FD011A"/>
    <w:rsid w:val="00FD03CA"/>
    <w:rsid w:val="00FD4306"/>
    <w:rsid w:val="00FE3C3D"/>
    <w:rsid w:val="00FE5DE6"/>
    <w:rsid w:val="00FF0390"/>
    <w:rsid w:val="00FF265C"/>
    <w:rsid w:val="00FF5E44"/>
    <w:rsid w:val="01017688"/>
    <w:rsid w:val="01044093"/>
    <w:rsid w:val="01111FF0"/>
    <w:rsid w:val="01240571"/>
    <w:rsid w:val="012C2953"/>
    <w:rsid w:val="013A288B"/>
    <w:rsid w:val="01437C9C"/>
    <w:rsid w:val="01487061"/>
    <w:rsid w:val="016630EC"/>
    <w:rsid w:val="017240DE"/>
    <w:rsid w:val="0176597C"/>
    <w:rsid w:val="018E7169"/>
    <w:rsid w:val="018F4C37"/>
    <w:rsid w:val="01951881"/>
    <w:rsid w:val="01981D96"/>
    <w:rsid w:val="01A53744"/>
    <w:rsid w:val="01AA1AC9"/>
    <w:rsid w:val="01BB7833"/>
    <w:rsid w:val="01C761D7"/>
    <w:rsid w:val="01D4254C"/>
    <w:rsid w:val="01D9415D"/>
    <w:rsid w:val="01DA002D"/>
    <w:rsid w:val="01EE19B6"/>
    <w:rsid w:val="020967F0"/>
    <w:rsid w:val="02123F76"/>
    <w:rsid w:val="021A1E5F"/>
    <w:rsid w:val="02346DB8"/>
    <w:rsid w:val="023516F4"/>
    <w:rsid w:val="02355551"/>
    <w:rsid w:val="023F2F90"/>
    <w:rsid w:val="024E06A7"/>
    <w:rsid w:val="02536DEF"/>
    <w:rsid w:val="025C1016"/>
    <w:rsid w:val="02622558"/>
    <w:rsid w:val="026305F6"/>
    <w:rsid w:val="02720839"/>
    <w:rsid w:val="027469F5"/>
    <w:rsid w:val="02783976"/>
    <w:rsid w:val="0284386F"/>
    <w:rsid w:val="02854DA7"/>
    <w:rsid w:val="02A26A79"/>
    <w:rsid w:val="02A76009"/>
    <w:rsid w:val="02A92E1A"/>
    <w:rsid w:val="02AF47BD"/>
    <w:rsid w:val="02B17E70"/>
    <w:rsid w:val="02BA3F8E"/>
    <w:rsid w:val="02CE17E8"/>
    <w:rsid w:val="02DA63DE"/>
    <w:rsid w:val="02DF57A3"/>
    <w:rsid w:val="02F254D6"/>
    <w:rsid w:val="032B6C3A"/>
    <w:rsid w:val="032D2AD7"/>
    <w:rsid w:val="03391357"/>
    <w:rsid w:val="033B6E7D"/>
    <w:rsid w:val="033C2216"/>
    <w:rsid w:val="034848D2"/>
    <w:rsid w:val="034877EC"/>
    <w:rsid w:val="034A380E"/>
    <w:rsid w:val="035E0DBD"/>
    <w:rsid w:val="036068E4"/>
    <w:rsid w:val="0365640B"/>
    <w:rsid w:val="0366702F"/>
    <w:rsid w:val="036E22AD"/>
    <w:rsid w:val="036F2FCB"/>
    <w:rsid w:val="03780DFA"/>
    <w:rsid w:val="039667A9"/>
    <w:rsid w:val="039E565E"/>
    <w:rsid w:val="03A2514E"/>
    <w:rsid w:val="03A52453"/>
    <w:rsid w:val="03A8028B"/>
    <w:rsid w:val="03AE1808"/>
    <w:rsid w:val="03B46C2F"/>
    <w:rsid w:val="03B86720"/>
    <w:rsid w:val="03E12B9A"/>
    <w:rsid w:val="03E413E4"/>
    <w:rsid w:val="04090D29"/>
    <w:rsid w:val="040E6340"/>
    <w:rsid w:val="04114082"/>
    <w:rsid w:val="041651F4"/>
    <w:rsid w:val="041B0A5C"/>
    <w:rsid w:val="041F199E"/>
    <w:rsid w:val="042558A5"/>
    <w:rsid w:val="04293B45"/>
    <w:rsid w:val="044605DF"/>
    <w:rsid w:val="045521C0"/>
    <w:rsid w:val="045B1D8C"/>
    <w:rsid w:val="045E2E97"/>
    <w:rsid w:val="04610B65"/>
    <w:rsid w:val="046643CE"/>
    <w:rsid w:val="046F7B45"/>
    <w:rsid w:val="047563BF"/>
    <w:rsid w:val="04782241"/>
    <w:rsid w:val="04814712"/>
    <w:rsid w:val="048438E4"/>
    <w:rsid w:val="049D76C3"/>
    <w:rsid w:val="04B70785"/>
    <w:rsid w:val="04C82992"/>
    <w:rsid w:val="050E411D"/>
    <w:rsid w:val="052D4EEB"/>
    <w:rsid w:val="052F7869"/>
    <w:rsid w:val="05432019"/>
    <w:rsid w:val="054B506E"/>
    <w:rsid w:val="055B3F73"/>
    <w:rsid w:val="056831D8"/>
    <w:rsid w:val="05685F23"/>
    <w:rsid w:val="056D353A"/>
    <w:rsid w:val="056F52F7"/>
    <w:rsid w:val="05740424"/>
    <w:rsid w:val="05850883"/>
    <w:rsid w:val="058720A3"/>
    <w:rsid w:val="05880374"/>
    <w:rsid w:val="05883ED0"/>
    <w:rsid w:val="0593313A"/>
    <w:rsid w:val="059E6729"/>
    <w:rsid w:val="05B11678"/>
    <w:rsid w:val="05B2719F"/>
    <w:rsid w:val="05B31BD4"/>
    <w:rsid w:val="05B60EBD"/>
    <w:rsid w:val="05B7136E"/>
    <w:rsid w:val="05BD1B16"/>
    <w:rsid w:val="05CC3BFF"/>
    <w:rsid w:val="05E12078"/>
    <w:rsid w:val="05E27A84"/>
    <w:rsid w:val="05E41A4E"/>
    <w:rsid w:val="05EC0FC1"/>
    <w:rsid w:val="05F3756E"/>
    <w:rsid w:val="05F45A09"/>
    <w:rsid w:val="06023C82"/>
    <w:rsid w:val="06140A9A"/>
    <w:rsid w:val="06142069"/>
    <w:rsid w:val="062749A5"/>
    <w:rsid w:val="06331B90"/>
    <w:rsid w:val="06434059"/>
    <w:rsid w:val="065564A8"/>
    <w:rsid w:val="06563FCE"/>
    <w:rsid w:val="065B2A3E"/>
    <w:rsid w:val="06732DD2"/>
    <w:rsid w:val="067D3496"/>
    <w:rsid w:val="06874187"/>
    <w:rsid w:val="069A163E"/>
    <w:rsid w:val="069B5C91"/>
    <w:rsid w:val="06A7097A"/>
    <w:rsid w:val="06B531BD"/>
    <w:rsid w:val="06C156E1"/>
    <w:rsid w:val="06C260BB"/>
    <w:rsid w:val="06E361CF"/>
    <w:rsid w:val="06E45D27"/>
    <w:rsid w:val="06E71703"/>
    <w:rsid w:val="06F4271B"/>
    <w:rsid w:val="06FF4665"/>
    <w:rsid w:val="07041C7C"/>
    <w:rsid w:val="072A5159"/>
    <w:rsid w:val="072F4F4B"/>
    <w:rsid w:val="073D2C3C"/>
    <w:rsid w:val="073F4A62"/>
    <w:rsid w:val="07415074"/>
    <w:rsid w:val="07433EF7"/>
    <w:rsid w:val="07465DF0"/>
    <w:rsid w:val="0749768F"/>
    <w:rsid w:val="075224F7"/>
    <w:rsid w:val="07660241"/>
    <w:rsid w:val="07673CB7"/>
    <w:rsid w:val="0768220B"/>
    <w:rsid w:val="0769173E"/>
    <w:rsid w:val="0776134C"/>
    <w:rsid w:val="07802062"/>
    <w:rsid w:val="07832BA1"/>
    <w:rsid w:val="079506B6"/>
    <w:rsid w:val="07A15BEC"/>
    <w:rsid w:val="07AA2823"/>
    <w:rsid w:val="07AC64A5"/>
    <w:rsid w:val="07AD40C1"/>
    <w:rsid w:val="07CB4548"/>
    <w:rsid w:val="07D17DB0"/>
    <w:rsid w:val="07D21D7A"/>
    <w:rsid w:val="07D258D6"/>
    <w:rsid w:val="07DC193F"/>
    <w:rsid w:val="07DE7496"/>
    <w:rsid w:val="07EF0236"/>
    <w:rsid w:val="07F41CF0"/>
    <w:rsid w:val="07F7358F"/>
    <w:rsid w:val="07F83894"/>
    <w:rsid w:val="07F84B55"/>
    <w:rsid w:val="07FD5B7A"/>
    <w:rsid w:val="07FE2B6F"/>
    <w:rsid w:val="08145EEF"/>
    <w:rsid w:val="08167EB9"/>
    <w:rsid w:val="08187D50"/>
    <w:rsid w:val="081B4AD5"/>
    <w:rsid w:val="081E6D6D"/>
    <w:rsid w:val="08233A55"/>
    <w:rsid w:val="082779D0"/>
    <w:rsid w:val="082B1420"/>
    <w:rsid w:val="083077DB"/>
    <w:rsid w:val="084700AA"/>
    <w:rsid w:val="08491197"/>
    <w:rsid w:val="08493DEA"/>
    <w:rsid w:val="0854278F"/>
    <w:rsid w:val="08592B67"/>
    <w:rsid w:val="085A5FF7"/>
    <w:rsid w:val="085F360E"/>
    <w:rsid w:val="086A3D60"/>
    <w:rsid w:val="086F1377"/>
    <w:rsid w:val="087911A9"/>
    <w:rsid w:val="088212F2"/>
    <w:rsid w:val="088C6950"/>
    <w:rsid w:val="08943866"/>
    <w:rsid w:val="0898050D"/>
    <w:rsid w:val="0898134E"/>
    <w:rsid w:val="089836A2"/>
    <w:rsid w:val="08986B20"/>
    <w:rsid w:val="089A376F"/>
    <w:rsid w:val="089D4136"/>
    <w:rsid w:val="08B60D54"/>
    <w:rsid w:val="08C01BD2"/>
    <w:rsid w:val="08C76AD5"/>
    <w:rsid w:val="08CA7789"/>
    <w:rsid w:val="08CE42EF"/>
    <w:rsid w:val="08D538D0"/>
    <w:rsid w:val="08E92ED7"/>
    <w:rsid w:val="08FA1588"/>
    <w:rsid w:val="09072842"/>
    <w:rsid w:val="09105748"/>
    <w:rsid w:val="091268D2"/>
    <w:rsid w:val="09224B50"/>
    <w:rsid w:val="09283171"/>
    <w:rsid w:val="093079A7"/>
    <w:rsid w:val="09414834"/>
    <w:rsid w:val="095347F5"/>
    <w:rsid w:val="09763309"/>
    <w:rsid w:val="09774987"/>
    <w:rsid w:val="097D1872"/>
    <w:rsid w:val="09854CF1"/>
    <w:rsid w:val="098826F0"/>
    <w:rsid w:val="099F5C8C"/>
    <w:rsid w:val="09A338E8"/>
    <w:rsid w:val="09A3577C"/>
    <w:rsid w:val="09A432A2"/>
    <w:rsid w:val="09AB79F4"/>
    <w:rsid w:val="09BC4A90"/>
    <w:rsid w:val="09CB6A81"/>
    <w:rsid w:val="09D04097"/>
    <w:rsid w:val="09E22B34"/>
    <w:rsid w:val="09E518F1"/>
    <w:rsid w:val="09F61D50"/>
    <w:rsid w:val="09F71624"/>
    <w:rsid w:val="0A00497C"/>
    <w:rsid w:val="0A055F45"/>
    <w:rsid w:val="0A060DB0"/>
    <w:rsid w:val="0A0B3F98"/>
    <w:rsid w:val="0A124F9F"/>
    <w:rsid w:val="0A12645E"/>
    <w:rsid w:val="0A140428"/>
    <w:rsid w:val="0A36039E"/>
    <w:rsid w:val="0A4C1970"/>
    <w:rsid w:val="0A4C572D"/>
    <w:rsid w:val="0A4E0D9B"/>
    <w:rsid w:val="0A4E393A"/>
    <w:rsid w:val="0A6E1ECA"/>
    <w:rsid w:val="0A7333A0"/>
    <w:rsid w:val="0A7669ED"/>
    <w:rsid w:val="0A7809B7"/>
    <w:rsid w:val="0A9450C5"/>
    <w:rsid w:val="0AB04830"/>
    <w:rsid w:val="0AB539B9"/>
    <w:rsid w:val="0ABD461B"/>
    <w:rsid w:val="0ACA5492"/>
    <w:rsid w:val="0AD20566"/>
    <w:rsid w:val="0AD540FC"/>
    <w:rsid w:val="0ADF0A36"/>
    <w:rsid w:val="0AE10E84"/>
    <w:rsid w:val="0AE944BC"/>
    <w:rsid w:val="0AEB5152"/>
    <w:rsid w:val="0AEE5DB5"/>
    <w:rsid w:val="0AF049F1"/>
    <w:rsid w:val="0AF0679F"/>
    <w:rsid w:val="0AF23140"/>
    <w:rsid w:val="0AF73FD1"/>
    <w:rsid w:val="0B057D70"/>
    <w:rsid w:val="0B0C7351"/>
    <w:rsid w:val="0B156206"/>
    <w:rsid w:val="0B437BAA"/>
    <w:rsid w:val="0B4B40F9"/>
    <w:rsid w:val="0B523511"/>
    <w:rsid w:val="0B534EAD"/>
    <w:rsid w:val="0B54799E"/>
    <w:rsid w:val="0B5C5BE2"/>
    <w:rsid w:val="0B5F14BF"/>
    <w:rsid w:val="0B642CE9"/>
    <w:rsid w:val="0B651BC6"/>
    <w:rsid w:val="0B660046"/>
    <w:rsid w:val="0B6A1FF9"/>
    <w:rsid w:val="0B6C7E49"/>
    <w:rsid w:val="0B792C38"/>
    <w:rsid w:val="0B833835"/>
    <w:rsid w:val="0B854FF4"/>
    <w:rsid w:val="0B913E97"/>
    <w:rsid w:val="0B922D9C"/>
    <w:rsid w:val="0B9C25B5"/>
    <w:rsid w:val="0B9E269F"/>
    <w:rsid w:val="0BA741B0"/>
    <w:rsid w:val="0BB32AFE"/>
    <w:rsid w:val="0BBF6171"/>
    <w:rsid w:val="0BC04F97"/>
    <w:rsid w:val="0BC32105"/>
    <w:rsid w:val="0BCA4384"/>
    <w:rsid w:val="0BD0037E"/>
    <w:rsid w:val="0BD95485"/>
    <w:rsid w:val="0BF05EDC"/>
    <w:rsid w:val="0BF57DE5"/>
    <w:rsid w:val="0BF923A4"/>
    <w:rsid w:val="0C07070C"/>
    <w:rsid w:val="0C156ED0"/>
    <w:rsid w:val="0C261DCE"/>
    <w:rsid w:val="0C405504"/>
    <w:rsid w:val="0C450D6C"/>
    <w:rsid w:val="0C4843B9"/>
    <w:rsid w:val="0C4A6383"/>
    <w:rsid w:val="0C6D2071"/>
    <w:rsid w:val="0C7D22B4"/>
    <w:rsid w:val="0C85560D"/>
    <w:rsid w:val="0C871489"/>
    <w:rsid w:val="0C910915"/>
    <w:rsid w:val="0C9B098C"/>
    <w:rsid w:val="0C9B6BDE"/>
    <w:rsid w:val="0CAA4A42"/>
    <w:rsid w:val="0CAA6E21"/>
    <w:rsid w:val="0CAB4778"/>
    <w:rsid w:val="0CAD04B5"/>
    <w:rsid w:val="0CAF436C"/>
    <w:rsid w:val="0CB97065"/>
    <w:rsid w:val="0CC51EAD"/>
    <w:rsid w:val="0CD905D3"/>
    <w:rsid w:val="0CDA003C"/>
    <w:rsid w:val="0CE32E31"/>
    <w:rsid w:val="0CF0217F"/>
    <w:rsid w:val="0CF14A50"/>
    <w:rsid w:val="0CFE56F4"/>
    <w:rsid w:val="0D091841"/>
    <w:rsid w:val="0D0B1C8D"/>
    <w:rsid w:val="0D0C53E6"/>
    <w:rsid w:val="0D251794"/>
    <w:rsid w:val="0D2E57AB"/>
    <w:rsid w:val="0D3A05F9"/>
    <w:rsid w:val="0D3D41B1"/>
    <w:rsid w:val="0D3E38E6"/>
    <w:rsid w:val="0D3E4BF8"/>
    <w:rsid w:val="0D4E59FF"/>
    <w:rsid w:val="0D645222"/>
    <w:rsid w:val="0D657CAC"/>
    <w:rsid w:val="0D6C40D7"/>
    <w:rsid w:val="0D75737E"/>
    <w:rsid w:val="0D8E04F1"/>
    <w:rsid w:val="0D98311E"/>
    <w:rsid w:val="0D9E6986"/>
    <w:rsid w:val="0DA92511"/>
    <w:rsid w:val="0DB215D6"/>
    <w:rsid w:val="0DB31D06"/>
    <w:rsid w:val="0DB47B38"/>
    <w:rsid w:val="0DB63E28"/>
    <w:rsid w:val="0DBA3094"/>
    <w:rsid w:val="0DBE0BAF"/>
    <w:rsid w:val="0DC21DE7"/>
    <w:rsid w:val="0DD34156"/>
    <w:rsid w:val="0DD42148"/>
    <w:rsid w:val="0DDE3227"/>
    <w:rsid w:val="0DDE4FD5"/>
    <w:rsid w:val="0DE835F8"/>
    <w:rsid w:val="0DE93979"/>
    <w:rsid w:val="0DFB5702"/>
    <w:rsid w:val="0E146C48"/>
    <w:rsid w:val="0E1D5BBE"/>
    <w:rsid w:val="0E370B89"/>
    <w:rsid w:val="0E3A41D5"/>
    <w:rsid w:val="0E3E5A73"/>
    <w:rsid w:val="0E4B0190"/>
    <w:rsid w:val="0E5139F9"/>
    <w:rsid w:val="0E574D87"/>
    <w:rsid w:val="0E5E6115"/>
    <w:rsid w:val="0E6454B7"/>
    <w:rsid w:val="0E6F65A5"/>
    <w:rsid w:val="0E747F5A"/>
    <w:rsid w:val="0E7C659C"/>
    <w:rsid w:val="0E8F62CF"/>
    <w:rsid w:val="0E925DBF"/>
    <w:rsid w:val="0E930D80"/>
    <w:rsid w:val="0E9B4C74"/>
    <w:rsid w:val="0EA33B28"/>
    <w:rsid w:val="0EAA3109"/>
    <w:rsid w:val="0EAB5613"/>
    <w:rsid w:val="0EAC0C2F"/>
    <w:rsid w:val="0EB2020F"/>
    <w:rsid w:val="0EB577E3"/>
    <w:rsid w:val="0EC248F6"/>
    <w:rsid w:val="0ECA5559"/>
    <w:rsid w:val="0ED30FB2"/>
    <w:rsid w:val="0EF8323C"/>
    <w:rsid w:val="0F0616D9"/>
    <w:rsid w:val="0F136F00"/>
    <w:rsid w:val="0F1D5319"/>
    <w:rsid w:val="0F24110D"/>
    <w:rsid w:val="0F3375A2"/>
    <w:rsid w:val="0F35713A"/>
    <w:rsid w:val="0F3E7D4F"/>
    <w:rsid w:val="0F4B5F54"/>
    <w:rsid w:val="0F4C2412"/>
    <w:rsid w:val="0F6A54F4"/>
    <w:rsid w:val="0F7D7C20"/>
    <w:rsid w:val="0F803E6A"/>
    <w:rsid w:val="0F9A317D"/>
    <w:rsid w:val="0F9F7997"/>
    <w:rsid w:val="0FA93ED9"/>
    <w:rsid w:val="0FB00B75"/>
    <w:rsid w:val="0FB05B22"/>
    <w:rsid w:val="0FB07EA3"/>
    <w:rsid w:val="0FB3423F"/>
    <w:rsid w:val="0FB51D65"/>
    <w:rsid w:val="0FB73842"/>
    <w:rsid w:val="0FBE25DD"/>
    <w:rsid w:val="0FC1695C"/>
    <w:rsid w:val="0FFC3992"/>
    <w:rsid w:val="0FFF56D6"/>
    <w:rsid w:val="10087A61"/>
    <w:rsid w:val="10142F30"/>
    <w:rsid w:val="10260F59"/>
    <w:rsid w:val="10321248"/>
    <w:rsid w:val="10486BE3"/>
    <w:rsid w:val="105003CC"/>
    <w:rsid w:val="105243C6"/>
    <w:rsid w:val="10537DB7"/>
    <w:rsid w:val="105B0B5E"/>
    <w:rsid w:val="106D1F9F"/>
    <w:rsid w:val="10757746"/>
    <w:rsid w:val="108547E4"/>
    <w:rsid w:val="109127D2"/>
    <w:rsid w:val="1099098E"/>
    <w:rsid w:val="10AD6EE0"/>
    <w:rsid w:val="10AF1D60"/>
    <w:rsid w:val="10AF2C58"/>
    <w:rsid w:val="10C23D10"/>
    <w:rsid w:val="10D342BB"/>
    <w:rsid w:val="10D70037"/>
    <w:rsid w:val="10D8227B"/>
    <w:rsid w:val="10E30CB5"/>
    <w:rsid w:val="10E94AC2"/>
    <w:rsid w:val="11020FDA"/>
    <w:rsid w:val="110D76FE"/>
    <w:rsid w:val="110E01F4"/>
    <w:rsid w:val="111411BF"/>
    <w:rsid w:val="111927C8"/>
    <w:rsid w:val="111A0D4F"/>
    <w:rsid w:val="111C6E99"/>
    <w:rsid w:val="115B2DE0"/>
    <w:rsid w:val="116A0355"/>
    <w:rsid w:val="116C6D9B"/>
    <w:rsid w:val="11772E7B"/>
    <w:rsid w:val="117A5014"/>
    <w:rsid w:val="11845E93"/>
    <w:rsid w:val="11A21FA6"/>
    <w:rsid w:val="11A25AC2"/>
    <w:rsid w:val="11A55E09"/>
    <w:rsid w:val="11A7392F"/>
    <w:rsid w:val="11AA5D0A"/>
    <w:rsid w:val="11B85D37"/>
    <w:rsid w:val="11C6062D"/>
    <w:rsid w:val="11CB5870"/>
    <w:rsid w:val="11CE35B2"/>
    <w:rsid w:val="11DB182B"/>
    <w:rsid w:val="11DC7A7D"/>
    <w:rsid w:val="11DD45A8"/>
    <w:rsid w:val="11DE7468"/>
    <w:rsid w:val="11E66C21"/>
    <w:rsid w:val="11E701D0"/>
    <w:rsid w:val="12046FD4"/>
    <w:rsid w:val="120945EA"/>
    <w:rsid w:val="1213230A"/>
    <w:rsid w:val="12132DA9"/>
    <w:rsid w:val="1217099A"/>
    <w:rsid w:val="12270207"/>
    <w:rsid w:val="12282CC2"/>
    <w:rsid w:val="122E0087"/>
    <w:rsid w:val="12311C0F"/>
    <w:rsid w:val="123553DF"/>
    <w:rsid w:val="12423294"/>
    <w:rsid w:val="12481006"/>
    <w:rsid w:val="124E024F"/>
    <w:rsid w:val="12696E37"/>
    <w:rsid w:val="127012C4"/>
    <w:rsid w:val="12717356"/>
    <w:rsid w:val="12751C80"/>
    <w:rsid w:val="1283614B"/>
    <w:rsid w:val="129C545E"/>
    <w:rsid w:val="12AA1929"/>
    <w:rsid w:val="12B26A30"/>
    <w:rsid w:val="12BB577E"/>
    <w:rsid w:val="12C6767B"/>
    <w:rsid w:val="12C7072D"/>
    <w:rsid w:val="12E34E3B"/>
    <w:rsid w:val="12E50BB3"/>
    <w:rsid w:val="130E06F3"/>
    <w:rsid w:val="1323348A"/>
    <w:rsid w:val="13255042"/>
    <w:rsid w:val="13286CF2"/>
    <w:rsid w:val="13315BA7"/>
    <w:rsid w:val="134D7869"/>
    <w:rsid w:val="13561AB1"/>
    <w:rsid w:val="135875D7"/>
    <w:rsid w:val="135D699C"/>
    <w:rsid w:val="136E1DBE"/>
    <w:rsid w:val="13712447"/>
    <w:rsid w:val="137D2B9A"/>
    <w:rsid w:val="13806B2E"/>
    <w:rsid w:val="13822173"/>
    <w:rsid w:val="1391680E"/>
    <w:rsid w:val="13A77E82"/>
    <w:rsid w:val="13BE226B"/>
    <w:rsid w:val="13CD0607"/>
    <w:rsid w:val="13D12B18"/>
    <w:rsid w:val="13DA7FEC"/>
    <w:rsid w:val="13DE7BFE"/>
    <w:rsid w:val="13E16E57"/>
    <w:rsid w:val="13E47E36"/>
    <w:rsid w:val="13E66A37"/>
    <w:rsid w:val="14123C2A"/>
    <w:rsid w:val="14186D67"/>
    <w:rsid w:val="142851FC"/>
    <w:rsid w:val="143F754A"/>
    <w:rsid w:val="14424368"/>
    <w:rsid w:val="144458AA"/>
    <w:rsid w:val="144E04F6"/>
    <w:rsid w:val="14584ED1"/>
    <w:rsid w:val="145C6C53"/>
    <w:rsid w:val="145F228C"/>
    <w:rsid w:val="147026FF"/>
    <w:rsid w:val="14833200"/>
    <w:rsid w:val="148669D9"/>
    <w:rsid w:val="14881973"/>
    <w:rsid w:val="14887C62"/>
    <w:rsid w:val="148C54ED"/>
    <w:rsid w:val="149C4911"/>
    <w:rsid w:val="149C7998"/>
    <w:rsid w:val="149F3E82"/>
    <w:rsid w:val="14A06D59"/>
    <w:rsid w:val="14A07D67"/>
    <w:rsid w:val="14A168E7"/>
    <w:rsid w:val="14AE3227"/>
    <w:rsid w:val="14B95E54"/>
    <w:rsid w:val="14C84F70"/>
    <w:rsid w:val="14EB6229"/>
    <w:rsid w:val="14F275B8"/>
    <w:rsid w:val="14F638B6"/>
    <w:rsid w:val="15024ED0"/>
    <w:rsid w:val="15086BE0"/>
    <w:rsid w:val="15193BC1"/>
    <w:rsid w:val="151B6B0E"/>
    <w:rsid w:val="151C78AB"/>
    <w:rsid w:val="152033EC"/>
    <w:rsid w:val="15206016"/>
    <w:rsid w:val="152C0D1B"/>
    <w:rsid w:val="153674A4"/>
    <w:rsid w:val="153E5921"/>
    <w:rsid w:val="15403A93"/>
    <w:rsid w:val="15415E49"/>
    <w:rsid w:val="15437366"/>
    <w:rsid w:val="154D0C92"/>
    <w:rsid w:val="154D1F67"/>
    <w:rsid w:val="15512530"/>
    <w:rsid w:val="156262F2"/>
    <w:rsid w:val="15655FDB"/>
    <w:rsid w:val="15757273"/>
    <w:rsid w:val="157B135B"/>
    <w:rsid w:val="15826B8D"/>
    <w:rsid w:val="15836AF1"/>
    <w:rsid w:val="159D7523"/>
    <w:rsid w:val="15A308B2"/>
    <w:rsid w:val="15BB3382"/>
    <w:rsid w:val="15D24B8E"/>
    <w:rsid w:val="15DF0983"/>
    <w:rsid w:val="15EA028F"/>
    <w:rsid w:val="15F1285E"/>
    <w:rsid w:val="15F35395"/>
    <w:rsid w:val="16183D72"/>
    <w:rsid w:val="161C3A76"/>
    <w:rsid w:val="16290B59"/>
    <w:rsid w:val="16290E7A"/>
    <w:rsid w:val="162B4B2F"/>
    <w:rsid w:val="16330791"/>
    <w:rsid w:val="163B0AEA"/>
    <w:rsid w:val="164976AB"/>
    <w:rsid w:val="164D0F49"/>
    <w:rsid w:val="164E081E"/>
    <w:rsid w:val="165D1C38"/>
    <w:rsid w:val="16626EBF"/>
    <w:rsid w:val="166938A9"/>
    <w:rsid w:val="166E0EC0"/>
    <w:rsid w:val="1675334D"/>
    <w:rsid w:val="167F4E7B"/>
    <w:rsid w:val="1683496B"/>
    <w:rsid w:val="168A2EA6"/>
    <w:rsid w:val="168B191E"/>
    <w:rsid w:val="16922E00"/>
    <w:rsid w:val="169C5A2D"/>
    <w:rsid w:val="16A03C1B"/>
    <w:rsid w:val="16AD19E8"/>
    <w:rsid w:val="16AE5760"/>
    <w:rsid w:val="16B34B25"/>
    <w:rsid w:val="16D15F4F"/>
    <w:rsid w:val="16F02DD6"/>
    <w:rsid w:val="16F2701E"/>
    <w:rsid w:val="17062BBD"/>
    <w:rsid w:val="171B1048"/>
    <w:rsid w:val="171E4694"/>
    <w:rsid w:val="1724526B"/>
    <w:rsid w:val="17286CD0"/>
    <w:rsid w:val="172B529B"/>
    <w:rsid w:val="1735378C"/>
    <w:rsid w:val="17360F2A"/>
    <w:rsid w:val="173E0892"/>
    <w:rsid w:val="1743234C"/>
    <w:rsid w:val="17465999"/>
    <w:rsid w:val="17642F6B"/>
    <w:rsid w:val="176522C3"/>
    <w:rsid w:val="17670F32"/>
    <w:rsid w:val="1767141C"/>
    <w:rsid w:val="17713165"/>
    <w:rsid w:val="17752961"/>
    <w:rsid w:val="17793FC0"/>
    <w:rsid w:val="17815AC9"/>
    <w:rsid w:val="1785775D"/>
    <w:rsid w:val="178B07B6"/>
    <w:rsid w:val="179356AA"/>
    <w:rsid w:val="17946704"/>
    <w:rsid w:val="17946D94"/>
    <w:rsid w:val="179D1B21"/>
    <w:rsid w:val="17A10E21"/>
    <w:rsid w:val="17B40B54"/>
    <w:rsid w:val="17B43822"/>
    <w:rsid w:val="17C84600"/>
    <w:rsid w:val="17D35A86"/>
    <w:rsid w:val="17D47448"/>
    <w:rsid w:val="17DC5DB2"/>
    <w:rsid w:val="17E05DED"/>
    <w:rsid w:val="17E15995"/>
    <w:rsid w:val="17E42915"/>
    <w:rsid w:val="17F04282"/>
    <w:rsid w:val="18214D25"/>
    <w:rsid w:val="182273FD"/>
    <w:rsid w:val="18273A1C"/>
    <w:rsid w:val="183028D1"/>
    <w:rsid w:val="183A374F"/>
    <w:rsid w:val="183A72AB"/>
    <w:rsid w:val="183B21C3"/>
    <w:rsid w:val="183C74C7"/>
    <w:rsid w:val="18447328"/>
    <w:rsid w:val="18491BE4"/>
    <w:rsid w:val="184F35D9"/>
    <w:rsid w:val="18535FDC"/>
    <w:rsid w:val="1855083A"/>
    <w:rsid w:val="185A794E"/>
    <w:rsid w:val="186715DB"/>
    <w:rsid w:val="186C7681"/>
    <w:rsid w:val="186D5802"/>
    <w:rsid w:val="18784278"/>
    <w:rsid w:val="187D188E"/>
    <w:rsid w:val="18992975"/>
    <w:rsid w:val="18A1732B"/>
    <w:rsid w:val="18AE7C99"/>
    <w:rsid w:val="18B03A11"/>
    <w:rsid w:val="18BA03EC"/>
    <w:rsid w:val="18BC5F12"/>
    <w:rsid w:val="18D23988"/>
    <w:rsid w:val="18E13BCB"/>
    <w:rsid w:val="18EA45DC"/>
    <w:rsid w:val="18F002B2"/>
    <w:rsid w:val="18F90F15"/>
    <w:rsid w:val="190653E0"/>
    <w:rsid w:val="191B532F"/>
    <w:rsid w:val="192D2790"/>
    <w:rsid w:val="19362F06"/>
    <w:rsid w:val="193D3012"/>
    <w:rsid w:val="194F4FD8"/>
    <w:rsid w:val="19523F08"/>
    <w:rsid w:val="19550115"/>
    <w:rsid w:val="19706CFD"/>
    <w:rsid w:val="197949FD"/>
    <w:rsid w:val="19834EBA"/>
    <w:rsid w:val="19836A30"/>
    <w:rsid w:val="19890749"/>
    <w:rsid w:val="199E673F"/>
    <w:rsid w:val="19B27315"/>
    <w:rsid w:val="19B552EB"/>
    <w:rsid w:val="19BB441C"/>
    <w:rsid w:val="19BD0194"/>
    <w:rsid w:val="19C07C84"/>
    <w:rsid w:val="19C13A57"/>
    <w:rsid w:val="19C72DC1"/>
    <w:rsid w:val="19CC6629"/>
    <w:rsid w:val="19D92EA9"/>
    <w:rsid w:val="19DB5481"/>
    <w:rsid w:val="19DE594A"/>
    <w:rsid w:val="19F055CC"/>
    <w:rsid w:val="19F53DD2"/>
    <w:rsid w:val="19F8741E"/>
    <w:rsid w:val="19FC0F8C"/>
    <w:rsid w:val="1A0062D3"/>
    <w:rsid w:val="1A07140F"/>
    <w:rsid w:val="1A085187"/>
    <w:rsid w:val="1A0C0BCB"/>
    <w:rsid w:val="1A1A3838"/>
    <w:rsid w:val="1A230C82"/>
    <w:rsid w:val="1A231FC1"/>
    <w:rsid w:val="1A332204"/>
    <w:rsid w:val="1A3F504D"/>
    <w:rsid w:val="1A424B3D"/>
    <w:rsid w:val="1A484F3B"/>
    <w:rsid w:val="1A7D02C2"/>
    <w:rsid w:val="1A7D3DC7"/>
    <w:rsid w:val="1A926490"/>
    <w:rsid w:val="1A9F74F0"/>
    <w:rsid w:val="1AB71087"/>
    <w:rsid w:val="1AC15A62"/>
    <w:rsid w:val="1AC9725A"/>
    <w:rsid w:val="1ACE5433"/>
    <w:rsid w:val="1AD241EA"/>
    <w:rsid w:val="1AD90646"/>
    <w:rsid w:val="1ADF413A"/>
    <w:rsid w:val="1AE07F0D"/>
    <w:rsid w:val="1AE16104"/>
    <w:rsid w:val="1AE4734A"/>
    <w:rsid w:val="1AEE087C"/>
    <w:rsid w:val="1AF52C74"/>
    <w:rsid w:val="1AFB5BF4"/>
    <w:rsid w:val="1B040045"/>
    <w:rsid w:val="1B041DF3"/>
    <w:rsid w:val="1B060CDE"/>
    <w:rsid w:val="1B105362"/>
    <w:rsid w:val="1B22257E"/>
    <w:rsid w:val="1B4B639F"/>
    <w:rsid w:val="1B530684"/>
    <w:rsid w:val="1B5E59A7"/>
    <w:rsid w:val="1B5F527B"/>
    <w:rsid w:val="1B667996"/>
    <w:rsid w:val="1B6F1962"/>
    <w:rsid w:val="1B72073F"/>
    <w:rsid w:val="1B731380"/>
    <w:rsid w:val="1B7740B7"/>
    <w:rsid w:val="1B7A20B5"/>
    <w:rsid w:val="1B7F1479"/>
    <w:rsid w:val="1B856CC1"/>
    <w:rsid w:val="1B9E2247"/>
    <w:rsid w:val="1B9E3FF5"/>
    <w:rsid w:val="1BB51399"/>
    <w:rsid w:val="1BBA3BF3"/>
    <w:rsid w:val="1BD6378F"/>
    <w:rsid w:val="1BDA551F"/>
    <w:rsid w:val="1BFC2ACA"/>
    <w:rsid w:val="1C0227D6"/>
    <w:rsid w:val="1C224C26"/>
    <w:rsid w:val="1C2344FA"/>
    <w:rsid w:val="1C2564C4"/>
    <w:rsid w:val="1C35495A"/>
    <w:rsid w:val="1C384078"/>
    <w:rsid w:val="1C4306F9"/>
    <w:rsid w:val="1C47643B"/>
    <w:rsid w:val="1C4A5F2B"/>
    <w:rsid w:val="1C5E3000"/>
    <w:rsid w:val="1C607288"/>
    <w:rsid w:val="1C640594"/>
    <w:rsid w:val="1C6646A5"/>
    <w:rsid w:val="1C7237A6"/>
    <w:rsid w:val="1C7A0160"/>
    <w:rsid w:val="1C8C6544"/>
    <w:rsid w:val="1C8D5047"/>
    <w:rsid w:val="1CA60B91"/>
    <w:rsid w:val="1CA91D8C"/>
    <w:rsid w:val="1CA93208"/>
    <w:rsid w:val="1CAC6131"/>
    <w:rsid w:val="1CCE090A"/>
    <w:rsid w:val="1CD44D0C"/>
    <w:rsid w:val="1CD81789"/>
    <w:rsid w:val="1CD83537"/>
    <w:rsid w:val="1CD87093"/>
    <w:rsid w:val="1CFA16FF"/>
    <w:rsid w:val="1D0E0D07"/>
    <w:rsid w:val="1D0F1FED"/>
    <w:rsid w:val="1D13631D"/>
    <w:rsid w:val="1D1C3424"/>
    <w:rsid w:val="1D1E3640"/>
    <w:rsid w:val="1D1F3DB8"/>
    <w:rsid w:val="1D25583A"/>
    <w:rsid w:val="1D2B7B0B"/>
    <w:rsid w:val="1D316D67"/>
    <w:rsid w:val="1D3C3AC6"/>
    <w:rsid w:val="1D3D05D4"/>
    <w:rsid w:val="1D4A4435"/>
    <w:rsid w:val="1D501C9D"/>
    <w:rsid w:val="1D5112D0"/>
    <w:rsid w:val="1D582D34"/>
    <w:rsid w:val="1D6052C0"/>
    <w:rsid w:val="1D61177E"/>
    <w:rsid w:val="1D664516"/>
    <w:rsid w:val="1D792624"/>
    <w:rsid w:val="1D7E40DE"/>
    <w:rsid w:val="1D811669"/>
    <w:rsid w:val="1D86191F"/>
    <w:rsid w:val="1D864D41"/>
    <w:rsid w:val="1D905C1A"/>
    <w:rsid w:val="1D9303D6"/>
    <w:rsid w:val="1D9531D6"/>
    <w:rsid w:val="1DC85359"/>
    <w:rsid w:val="1DCF0496"/>
    <w:rsid w:val="1DD27F86"/>
    <w:rsid w:val="1DDC0E05"/>
    <w:rsid w:val="1DEC4BDB"/>
    <w:rsid w:val="1DEC729A"/>
    <w:rsid w:val="1DF554A1"/>
    <w:rsid w:val="1E060837"/>
    <w:rsid w:val="1E0956E4"/>
    <w:rsid w:val="1E29229C"/>
    <w:rsid w:val="1E3C4ED8"/>
    <w:rsid w:val="1E472722"/>
    <w:rsid w:val="1E526174"/>
    <w:rsid w:val="1E5866DD"/>
    <w:rsid w:val="1E8079E2"/>
    <w:rsid w:val="1E845724"/>
    <w:rsid w:val="1E88247B"/>
    <w:rsid w:val="1E9B0CC0"/>
    <w:rsid w:val="1E9D2342"/>
    <w:rsid w:val="1EBA012E"/>
    <w:rsid w:val="1EC60D44"/>
    <w:rsid w:val="1EDA3596"/>
    <w:rsid w:val="1EDD3086"/>
    <w:rsid w:val="1EE12B77"/>
    <w:rsid w:val="1EE3621D"/>
    <w:rsid w:val="1EE46D29"/>
    <w:rsid w:val="1EE87E68"/>
    <w:rsid w:val="1EEB6A82"/>
    <w:rsid w:val="1EFC62AD"/>
    <w:rsid w:val="1EFD1033"/>
    <w:rsid w:val="1F08738A"/>
    <w:rsid w:val="1F1162C2"/>
    <w:rsid w:val="1F1F6D70"/>
    <w:rsid w:val="1F2111C5"/>
    <w:rsid w:val="1F226CEB"/>
    <w:rsid w:val="1F244811"/>
    <w:rsid w:val="1F274302"/>
    <w:rsid w:val="1F316F2E"/>
    <w:rsid w:val="1F38650F"/>
    <w:rsid w:val="1F422EEA"/>
    <w:rsid w:val="1F50309A"/>
    <w:rsid w:val="1F572E39"/>
    <w:rsid w:val="1F690195"/>
    <w:rsid w:val="1F6B68E4"/>
    <w:rsid w:val="1F6E4CA1"/>
    <w:rsid w:val="1F7F2569"/>
    <w:rsid w:val="1F87425B"/>
    <w:rsid w:val="1F8B3BE5"/>
    <w:rsid w:val="1F8D0151"/>
    <w:rsid w:val="1F900A1F"/>
    <w:rsid w:val="1F916287"/>
    <w:rsid w:val="1F9F20EA"/>
    <w:rsid w:val="1FA94D17"/>
    <w:rsid w:val="1FAA3C51"/>
    <w:rsid w:val="1FAC5786"/>
    <w:rsid w:val="1FB72C7E"/>
    <w:rsid w:val="1FBB33C8"/>
    <w:rsid w:val="1FC00F3B"/>
    <w:rsid w:val="1FC03468"/>
    <w:rsid w:val="1FC61D6D"/>
    <w:rsid w:val="1FD74429"/>
    <w:rsid w:val="1FD9384E"/>
    <w:rsid w:val="1FD955FC"/>
    <w:rsid w:val="1FF03F57"/>
    <w:rsid w:val="1FF561AE"/>
    <w:rsid w:val="1FFE1506"/>
    <w:rsid w:val="20043C82"/>
    <w:rsid w:val="200A3A07"/>
    <w:rsid w:val="2011123A"/>
    <w:rsid w:val="20181924"/>
    <w:rsid w:val="20280331"/>
    <w:rsid w:val="20352367"/>
    <w:rsid w:val="20370574"/>
    <w:rsid w:val="2039253E"/>
    <w:rsid w:val="204056B9"/>
    <w:rsid w:val="20482782"/>
    <w:rsid w:val="206A61F8"/>
    <w:rsid w:val="20700CA8"/>
    <w:rsid w:val="20766FDC"/>
    <w:rsid w:val="207A707D"/>
    <w:rsid w:val="207B66B3"/>
    <w:rsid w:val="207D679F"/>
    <w:rsid w:val="20827A42"/>
    <w:rsid w:val="20847C5E"/>
    <w:rsid w:val="208941FA"/>
    <w:rsid w:val="208B7E32"/>
    <w:rsid w:val="20947C82"/>
    <w:rsid w:val="209B6D55"/>
    <w:rsid w:val="20A43E5C"/>
    <w:rsid w:val="20A756FA"/>
    <w:rsid w:val="20AC58E4"/>
    <w:rsid w:val="20C04A0E"/>
    <w:rsid w:val="20C52ED3"/>
    <w:rsid w:val="20E27A6B"/>
    <w:rsid w:val="20E706AF"/>
    <w:rsid w:val="20EB098B"/>
    <w:rsid w:val="20F450A1"/>
    <w:rsid w:val="20FA4556"/>
    <w:rsid w:val="20FF72E4"/>
    <w:rsid w:val="210713DF"/>
    <w:rsid w:val="210D73EA"/>
    <w:rsid w:val="21102D42"/>
    <w:rsid w:val="21130FE1"/>
    <w:rsid w:val="21325E28"/>
    <w:rsid w:val="213A47C0"/>
    <w:rsid w:val="21431F0B"/>
    <w:rsid w:val="21463165"/>
    <w:rsid w:val="215018EE"/>
    <w:rsid w:val="216B2906"/>
    <w:rsid w:val="21761BDC"/>
    <w:rsid w:val="21772E68"/>
    <w:rsid w:val="218617B3"/>
    <w:rsid w:val="21941D90"/>
    <w:rsid w:val="219F2875"/>
    <w:rsid w:val="21A12149"/>
    <w:rsid w:val="21A63C04"/>
    <w:rsid w:val="21AB2FC8"/>
    <w:rsid w:val="21AD04D0"/>
    <w:rsid w:val="21B93937"/>
    <w:rsid w:val="21C244AB"/>
    <w:rsid w:val="21CB5418"/>
    <w:rsid w:val="21D30048"/>
    <w:rsid w:val="21E142D4"/>
    <w:rsid w:val="21E45E44"/>
    <w:rsid w:val="21E745AD"/>
    <w:rsid w:val="21EC7459"/>
    <w:rsid w:val="21FD7810"/>
    <w:rsid w:val="22041631"/>
    <w:rsid w:val="22044ED4"/>
    <w:rsid w:val="221471AB"/>
    <w:rsid w:val="221A57A8"/>
    <w:rsid w:val="222D340C"/>
    <w:rsid w:val="22367CE0"/>
    <w:rsid w:val="223C1E72"/>
    <w:rsid w:val="225076E1"/>
    <w:rsid w:val="2254540E"/>
    <w:rsid w:val="22631AF5"/>
    <w:rsid w:val="22761828"/>
    <w:rsid w:val="227F44DD"/>
    <w:rsid w:val="228644BC"/>
    <w:rsid w:val="228F49FE"/>
    <w:rsid w:val="229677D4"/>
    <w:rsid w:val="22A75E85"/>
    <w:rsid w:val="22AD4B1E"/>
    <w:rsid w:val="22B365D8"/>
    <w:rsid w:val="22D56F29"/>
    <w:rsid w:val="22D87DED"/>
    <w:rsid w:val="22DB78DD"/>
    <w:rsid w:val="22DD016E"/>
    <w:rsid w:val="22EF1848"/>
    <w:rsid w:val="23160915"/>
    <w:rsid w:val="2322550C"/>
    <w:rsid w:val="232B7A73"/>
    <w:rsid w:val="232C0139"/>
    <w:rsid w:val="233012E3"/>
    <w:rsid w:val="233139A1"/>
    <w:rsid w:val="23376212"/>
    <w:rsid w:val="233F60BE"/>
    <w:rsid w:val="23403C5F"/>
    <w:rsid w:val="234150EB"/>
    <w:rsid w:val="2347012A"/>
    <w:rsid w:val="23854D4F"/>
    <w:rsid w:val="23A2083A"/>
    <w:rsid w:val="23A94CE1"/>
    <w:rsid w:val="23AD1279"/>
    <w:rsid w:val="23AD74E7"/>
    <w:rsid w:val="23B600CB"/>
    <w:rsid w:val="23B84547"/>
    <w:rsid w:val="23C44815"/>
    <w:rsid w:val="23CB47A3"/>
    <w:rsid w:val="23DA0BCF"/>
    <w:rsid w:val="23DB2D6E"/>
    <w:rsid w:val="23EB1712"/>
    <w:rsid w:val="23F8626D"/>
    <w:rsid w:val="23FA4DA5"/>
    <w:rsid w:val="24003A9F"/>
    <w:rsid w:val="240370EB"/>
    <w:rsid w:val="24194B00"/>
    <w:rsid w:val="242D4168"/>
    <w:rsid w:val="24575689"/>
    <w:rsid w:val="246102B6"/>
    <w:rsid w:val="24612064"/>
    <w:rsid w:val="24645760"/>
    <w:rsid w:val="24687E03"/>
    <w:rsid w:val="246E37B7"/>
    <w:rsid w:val="247671AB"/>
    <w:rsid w:val="247E78C9"/>
    <w:rsid w:val="24863878"/>
    <w:rsid w:val="2492221D"/>
    <w:rsid w:val="24A3267C"/>
    <w:rsid w:val="24B86128"/>
    <w:rsid w:val="24BD3555"/>
    <w:rsid w:val="24C21074"/>
    <w:rsid w:val="24CC79D7"/>
    <w:rsid w:val="24E34796"/>
    <w:rsid w:val="24EA770F"/>
    <w:rsid w:val="24FD5935"/>
    <w:rsid w:val="250112B2"/>
    <w:rsid w:val="25154D3D"/>
    <w:rsid w:val="251A48F4"/>
    <w:rsid w:val="251F7F55"/>
    <w:rsid w:val="252A06A8"/>
    <w:rsid w:val="25354F1A"/>
    <w:rsid w:val="25435DF4"/>
    <w:rsid w:val="254F366A"/>
    <w:rsid w:val="25574504"/>
    <w:rsid w:val="25650E37"/>
    <w:rsid w:val="256E67E6"/>
    <w:rsid w:val="2572277A"/>
    <w:rsid w:val="257D05D9"/>
    <w:rsid w:val="25897528"/>
    <w:rsid w:val="258E422F"/>
    <w:rsid w:val="259A75DB"/>
    <w:rsid w:val="259E03A7"/>
    <w:rsid w:val="25A863B1"/>
    <w:rsid w:val="25CB59E7"/>
    <w:rsid w:val="25D23BE2"/>
    <w:rsid w:val="25D45AED"/>
    <w:rsid w:val="25E116AE"/>
    <w:rsid w:val="25EF0DD5"/>
    <w:rsid w:val="25EF7CCF"/>
    <w:rsid w:val="26061115"/>
    <w:rsid w:val="26183390"/>
    <w:rsid w:val="261B2F3C"/>
    <w:rsid w:val="2629095F"/>
    <w:rsid w:val="26296C0C"/>
    <w:rsid w:val="26441D7A"/>
    <w:rsid w:val="267D10C1"/>
    <w:rsid w:val="26865A63"/>
    <w:rsid w:val="26A06E73"/>
    <w:rsid w:val="26A36964"/>
    <w:rsid w:val="26A5092E"/>
    <w:rsid w:val="26AE675C"/>
    <w:rsid w:val="26B172D2"/>
    <w:rsid w:val="26C3475E"/>
    <w:rsid w:val="26C65CAC"/>
    <w:rsid w:val="26C72687"/>
    <w:rsid w:val="26DF12C1"/>
    <w:rsid w:val="26E31456"/>
    <w:rsid w:val="26F64328"/>
    <w:rsid w:val="27037402"/>
    <w:rsid w:val="2709780E"/>
    <w:rsid w:val="270C7755"/>
    <w:rsid w:val="27135897"/>
    <w:rsid w:val="271433BD"/>
    <w:rsid w:val="27231852"/>
    <w:rsid w:val="27280C17"/>
    <w:rsid w:val="272E79DF"/>
    <w:rsid w:val="272F01F7"/>
    <w:rsid w:val="27363334"/>
    <w:rsid w:val="273B6E85"/>
    <w:rsid w:val="27452B08"/>
    <w:rsid w:val="275D2F5E"/>
    <w:rsid w:val="27684773"/>
    <w:rsid w:val="27747D20"/>
    <w:rsid w:val="27814EF7"/>
    <w:rsid w:val="27895B59"/>
    <w:rsid w:val="27897907"/>
    <w:rsid w:val="278C3184"/>
    <w:rsid w:val="27943C3D"/>
    <w:rsid w:val="279938C3"/>
    <w:rsid w:val="279D1AB4"/>
    <w:rsid w:val="27A50D40"/>
    <w:rsid w:val="27A55E44"/>
    <w:rsid w:val="27A91D58"/>
    <w:rsid w:val="27B54BA0"/>
    <w:rsid w:val="27D1006F"/>
    <w:rsid w:val="27D25752"/>
    <w:rsid w:val="27D327E3"/>
    <w:rsid w:val="27DF1C1D"/>
    <w:rsid w:val="27E85986"/>
    <w:rsid w:val="27EF34EB"/>
    <w:rsid w:val="27F60D15"/>
    <w:rsid w:val="27F61698"/>
    <w:rsid w:val="27F751B9"/>
    <w:rsid w:val="280B48A6"/>
    <w:rsid w:val="280C003E"/>
    <w:rsid w:val="280C22E7"/>
    <w:rsid w:val="280D6AC8"/>
    <w:rsid w:val="28171F83"/>
    <w:rsid w:val="281C48D0"/>
    <w:rsid w:val="282E2388"/>
    <w:rsid w:val="28377363"/>
    <w:rsid w:val="284677F2"/>
    <w:rsid w:val="285F6BAC"/>
    <w:rsid w:val="28730BB3"/>
    <w:rsid w:val="287F0D0A"/>
    <w:rsid w:val="28893E66"/>
    <w:rsid w:val="28953C4C"/>
    <w:rsid w:val="28971705"/>
    <w:rsid w:val="289F7245"/>
    <w:rsid w:val="28AD1D1C"/>
    <w:rsid w:val="28AD43F2"/>
    <w:rsid w:val="28BC0230"/>
    <w:rsid w:val="28C41A24"/>
    <w:rsid w:val="28C97329"/>
    <w:rsid w:val="28D60D9B"/>
    <w:rsid w:val="28D64DCE"/>
    <w:rsid w:val="28DC62BB"/>
    <w:rsid w:val="28E16DD3"/>
    <w:rsid w:val="28E219C5"/>
    <w:rsid w:val="28EA1DB1"/>
    <w:rsid w:val="28EA2628"/>
    <w:rsid w:val="28FB1250"/>
    <w:rsid w:val="2900009D"/>
    <w:rsid w:val="290F6532"/>
    <w:rsid w:val="2916341D"/>
    <w:rsid w:val="291B77AC"/>
    <w:rsid w:val="293C491D"/>
    <w:rsid w:val="293F6AC5"/>
    <w:rsid w:val="2965154C"/>
    <w:rsid w:val="296E14AB"/>
    <w:rsid w:val="297156A6"/>
    <w:rsid w:val="29740166"/>
    <w:rsid w:val="29743BDA"/>
    <w:rsid w:val="297C6975"/>
    <w:rsid w:val="29946A38"/>
    <w:rsid w:val="29A0362E"/>
    <w:rsid w:val="29A31513"/>
    <w:rsid w:val="29AB625B"/>
    <w:rsid w:val="29B03871"/>
    <w:rsid w:val="29B9526D"/>
    <w:rsid w:val="29BD5F8E"/>
    <w:rsid w:val="29E46F06"/>
    <w:rsid w:val="29EA7B8B"/>
    <w:rsid w:val="2A04596B"/>
    <w:rsid w:val="2A0C2A72"/>
    <w:rsid w:val="2A0F428E"/>
    <w:rsid w:val="2A1B5431"/>
    <w:rsid w:val="2A2D1D34"/>
    <w:rsid w:val="2A3F0006"/>
    <w:rsid w:val="2A4144C9"/>
    <w:rsid w:val="2A4163FA"/>
    <w:rsid w:val="2A4B17EC"/>
    <w:rsid w:val="2A5316B2"/>
    <w:rsid w:val="2A602C2F"/>
    <w:rsid w:val="2A62494D"/>
    <w:rsid w:val="2A72199D"/>
    <w:rsid w:val="2A742553"/>
    <w:rsid w:val="2A8628EC"/>
    <w:rsid w:val="2A9040AE"/>
    <w:rsid w:val="2AC96F4D"/>
    <w:rsid w:val="2ACA07CB"/>
    <w:rsid w:val="2ACD2201"/>
    <w:rsid w:val="2ACD3FAF"/>
    <w:rsid w:val="2AD4533E"/>
    <w:rsid w:val="2AD510B6"/>
    <w:rsid w:val="2ADA7622"/>
    <w:rsid w:val="2AE5558D"/>
    <w:rsid w:val="2AED28A3"/>
    <w:rsid w:val="2AF2532C"/>
    <w:rsid w:val="2AF54300"/>
    <w:rsid w:val="2AF91248"/>
    <w:rsid w:val="2AFA07A4"/>
    <w:rsid w:val="2AFB2BC0"/>
    <w:rsid w:val="2B0472C1"/>
    <w:rsid w:val="2B0D0D6C"/>
    <w:rsid w:val="2B0D3447"/>
    <w:rsid w:val="2B2C07C2"/>
    <w:rsid w:val="2B2F4905"/>
    <w:rsid w:val="2B34402E"/>
    <w:rsid w:val="2B404781"/>
    <w:rsid w:val="2B4A7790"/>
    <w:rsid w:val="2B4C581C"/>
    <w:rsid w:val="2B560448"/>
    <w:rsid w:val="2B585F6F"/>
    <w:rsid w:val="2B7247F2"/>
    <w:rsid w:val="2B740304"/>
    <w:rsid w:val="2B7A2B6D"/>
    <w:rsid w:val="2B7B18A0"/>
    <w:rsid w:val="2B853F79"/>
    <w:rsid w:val="2B985F30"/>
    <w:rsid w:val="2B9B40AD"/>
    <w:rsid w:val="2B9F3B9D"/>
    <w:rsid w:val="2BA43C0E"/>
    <w:rsid w:val="2BB34AE2"/>
    <w:rsid w:val="2BB37649"/>
    <w:rsid w:val="2BB46F1D"/>
    <w:rsid w:val="2BB87458"/>
    <w:rsid w:val="2BBF5FEE"/>
    <w:rsid w:val="2BC52ED8"/>
    <w:rsid w:val="2BCE6231"/>
    <w:rsid w:val="2BD80E5D"/>
    <w:rsid w:val="2BD83B63"/>
    <w:rsid w:val="2BE772F2"/>
    <w:rsid w:val="2BFD6B16"/>
    <w:rsid w:val="2C035304"/>
    <w:rsid w:val="2C0559CB"/>
    <w:rsid w:val="2C0F23A5"/>
    <w:rsid w:val="2C1623CB"/>
    <w:rsid w:val="2C1E62D4"/>
    <w:rsid w:val="2C2440A3"/>
    <w:rsid w:val="2C2A6E1C"/>
    <w:rsid w:val="2C2E6944"/>
    <w:rsid w:val="2C314381"/>
    <w:rsid w:val="2C3342E6"/>
    <w:rsid w:val="2C3A38C6"/>
    <w:rsid w:val="2C3F0685"/>
    <w:rsid w:val="2C4207F1"/>
    <w:rsid w:val="2C483F8B"/>
    <w:rsid w:val="2C511B35"/>
    <w:rsid w:val="2C5129BE"/>
    <w:rsid w:val="2C5830D1"/>
    <w:rsid w:val="2C6941A5"/>
    <w:rsid w:val="2C7F4A6F"/>
    <w:rsid w:val="2C844B41"/>
    <w:rsid w:val="2C8B5ED0"/>
    <w:rsid w:val="2C901738"/>
    <w:rsid w:val="2C9546B2"/>
    <w:rsid w:val="2C974875"/>
    <w:rsid w:val="2C982242"/>
    <w:rsid w:val="2C9D3A89"/>
    <w:rsid w:val="2C9F3729"/>
    <w:rsid w:val="2C9F5E1F"/>
    <w:rsid w:val="2CB1666A"/>
    <w:rsid w:val="2CB27900"/>
    <w:rsid w:val="2CB438B5"/>
    <w:rsid w:val="2CB86FE1"/>
    <w:rsid w:val="2CBE44F7"/>
    <w:rsid w:val="2CC94C4A"/>
    <w:rsid w:val="2CD47877"/>
    <w:rsid w:val="2CD71115"/>
    <w:rsid w:val="2CD860D9"/>
    <w:rsid w:val="2CE101E6"/>
    <w:rsid w:val="2D0363AE"/>
    <w:rsid w:val="2D0447D1"/>
    <w:rsid w:val="2D104D7E"/>
    <w:rsid w:val="2D155BB1"/>
    <w:rsid w:val="2D270ECE"/>
    <w:rsid w:val="2D272F64"/>
    <w:rsid w:val="2D2A2BE8"/>
    <w:rsid w:val="2D376FAF"/>
    <w:rsid w:val="2D382AA4"/>
    <w:rsid w:val="2D455B89"/>
    <w:rsid w:val="2D4B38B1"/>
    <w:rsid w:val="2D5A4F80"/>
    <w:rsid w:val="2D5C5ABE"/>
    <w:rsid w:val="2D5F05BB"/>
    <w:rsid w:val="2D64406A"/>
    <w:rsid w:val="2D71156A"/>
    <w:rsid w:val="2D76092E"/>
    <w:rsid w:val="2D780254"/>
    <w:rsid w:val="2D7C4BB3"/>
    <w:rsid w:val="2D8249D0"/>
    <w:rsid w:val="2D832A39"/>
    <w:rsid w:val="2D857478"/>
    <w:rsid w:val="2D88252C"/>
    <w:rsid w:val="2D8F5402"/>
    <w:rsid w:val="2D996BDB"/>
    <w:rsid w:val="2D9B65E7"/>
    <w:rsid w:val="2D9D410D"/>
    <w:rsid w:val="2DC84F02"/>
    <w:rsid w:val="2DCF6290"/>
    <w:rsid w:val="2DE509F2"/>
    <w:rsid w:val="2DE57862"/>
    <w:rsid w:val="2DF030A2"/>
    <w:rsid w:val="2DFB52D7"/>
    <w:rsid w:val="2DFD4BAB"/>
    <w:rsid w:val="2E136236"/>
    <w:rsid w:val="2E1873BB"/>
    <w:rsid w:val="2E444588"/>
    <w:rsid w:val="2E4C739F"/>
    <w:rsid w:val="2E562568"/>
    <w:rsid w:val="2E5844D8"/>
    <w:rsid w:val="2E610E5F"/>
    <w:rsid w:val="2E695045"/>
    <w:rsid w:val="2E697EFD"/>
    <w:rsid w:val="2E755089"/>
    <w:rsid w:val="2E7B3D22"/>
    <w:rsid w:val="2E8250B1"/>
    <w:rsid w:val="2E8E1CA7"/>
    <w:rsid w:val="2E902470"/>
    <w:rsid w:val="2EA15273"/>
    <w:rsid w:val="2EA94D33"/>
    <w:rsid w:val="2EB060C2"/>
    <w:rsid w:val="2EBA0CEE"/>
    <w:rsid w:val="2EBD5D77"/>
    <w:rsid w:val="2EC601E3"/>
    <w:rsid w:val="2EC70009"/>
    <w:rsid w:val="2EC942E7"/>
    <w:rsid w:val="2EC97109"/>
    <w:rsid w:val="2ED55B28"/>
    <w:rsid w:val="2EDA1029"/>
    <w:rsid w:val="2EEB70FA"/>
    <w:rsid w:val="2F1321AD"/>
    <w:rsid w:val="2F171200"/>
    <w:rsid w:val="2F1C3BAE"/>
    <w:rsid w:val="2F245CEA"/>
    <w:rsid w:val="2F433427"/>
    <w:rsid w:val="2F4800A8"/>
    <w:rsid w:val="2F62384B"/>
    <w:rsid w:val="2F645756"/>
    <w:rsid w:val="2F664C07"/>
    <w:rsid w:val="2F6A44C2"/>
    <w:rsid w:val="2F7B047E"/>
    <w:rsid w:val="2F7B4FA2"/>
    <w:rsid w:val="2F8C5C40"/>
    <w:rsid w:val="2F9103AC"/>
    <w:rsid w:val="2FA16C6A"/>
    <w:rsid w:val="2FA33530"/>
    <w:rsid w:val="2FB219C5"/>
    <w:rsid w:val="2FB2501E"/>
    <w:rsid w:val="2FCD296C"/>
    <w:rsid w:val="2FD64715"/>
    <w:rsid w:val="2FD858D0"/>
    <w:rsid w:val="2FE03055"/>
    <w:rsid w:val="2FE556D1"/>
    <w:rsid w:val="2FE73D65"/>
    <w:rsid w:val="2FE83639"/>
    <w:rsid w:val="2FF40230"/>
    <w:rsid w:val="2FF6655B"/>
    <w:rsid w:val="2FFC5945"/>
    <w:rsid w:val="30072D5C"/>
    <w:rsid w:val="300809E8"/>
    <w:rsid w:val="30143A85"/>
    <w:rsid w:val="3016447C"/>
    <w:rsid w:val="301B5B78"/>
    <w:rsid w:val="303C0684"/>
    <w:rsid w:val="303D5733"/>
    <w:rsid w:val="30433499"/>
    <w:rsid w:val="30437782"/>
    <w:rsid w:val="304B1C2B"/>
    <w:rsid w:val="305331A8"/>
    <w:rsid w:val="305F38FB"/>
    <w:rsid w:val="30607673"/>
    <w:rsid w:val="30972047"/>
    <w:rsid w:val="309D2676"/>
    <w:rsid w:val="30AD79DC"/>
    <w:rsid w:val="30AE6631"/>
    <w:rsid w:val="30B17ECF"/>
    <w:rsid w:val="30B33C47"/>
    <w:rsid w:val="30B8300C"/>
    <w:rsid w:val="30C145B6"/>
    <w:rsid w:val="30C6397A"/>
    <w:rsid w:val="30C714A1"/>
    <w:rsid w:val="30C804B7"/>
    <w:rsid w:val="30CE282F"/>
    <w:rsid w:val="30CF65AE"/>
    <w:rsid w:val="30D81900"/>
    <w:rsid w:val="30E51DE3"/>
    <w:rsid w:val="30EE1123"/>
    <w:rsid w:val="30FA4287"/>
    <w:rsid w:val="310B3A83"/>
    <w:rsid w:val="311E5564"/>
    <w:rsid w:val="31456F95"/>
    <w:rsid w:val="31480833"/>
    <w:rsid w:val="314B0324"/>
    <w:rsid w:val="3159659D"/>
    <w:rsid w:val="315A40C3"/>
    <w:rsid w:val="315E2A29"/>
    <w:rsid w:val="31604145"/>
    <w:rsid w:val="316815C7"/>
    <w:rsid w:val="316A3574"/>
    <w:rsid w:val="31741628"/>
    <w:rsid w:val="31757605"/>
    <w:rsid w:val="319770C5"/>
    <w:rsid w:val="31B20D38"/>
    <w:rsid w:val="31BB1005"/>
    <w:rsid w:val="31BC680D"/>
    <w:rsid w:val="31D75713"/>
    <w:rsid w:val="31D84BD1"/>
    <w:rsid w:val="31E56FE8"/>
    <w:rsid w:val="31E87EAA"/>
    <w:rsid w:val="31EB7EBE"/>
    <w:rsid w:val="31F91B2E"/>
    <w:rsid w:val="32075FF9"/>
    <w:rsid w:val="3211678F"/>
    <w:rsid w:val="321E1594"/>
    <w:rsid w:val="32230959"/>
    <w:rsid w:val="323442E5"/>
    <w:rsid w:val="32355877"/>
    <w:rsid w:val="32356A97"/>
    <w:rsid w:val="32384404"/>
    <w:rsid w:val="323979C5"/>
    <w:rsid w:val="324C702E"/>
    <w:rsid w:val="327F64D7"/>
    <w:rsid w:val="32851613"/>
    <w:rsid w:val="328624A5"/>
    <w:rsid w:val="328C7E14"/>
    <w:rsid w:val="329477FB"/>
    <w:rsid w:val="32A001FB"/>
    <w:rsid w:val="32A14542"/>
    <w:rsid w:val="32A25A58"/>
    <w:rsid w:val="32A57A2D"/>
    <w:rsid w:val="32AE0B6A"/>
    <w:rsid w:val="32AE46C6"/>
    <w:rsid w:val="32DC1FC6"/>
    <w:rsid w:val="32DD31FD"/>
    <w:rsid w:val="32DE5591"/>
    <w:rsid w:val="32EC744F"/>
    <w:rsid w:val="32ED294E"/>
    <w:rsid w:val="330F10BA"/>
    <w:rsid w:val="33134E71"/>
    <w:rsid w:val="331F7372"/>
    <w:rsid w:val="3334158F"/>
    <w:rsid w:val="333472C1"/>
    <w:rsid w:val="333C7F24"/>
    <w:rsid w:val="335334BF"/>
    <w:rsid w:val="33550FE6"/>
    <w:rsid w:val="335A3E0F"/>
    <w:rsid w:val="335E60EC"/>
    <w:rsid w:val="33686F6B"/>
    <w:rsid w:val="3372459F"/>
    <w:rsid w:val="337C33E4"/>
    <w:rsid w:val="33812DC7"/>
    <w:rsid w:val="33926F45"/>
    <w:rsid w:val="3393163E"/>
    <w:rsid w:val="33AB50A9"/>
    <w:rsid w:val="33B645E2"/>
    <w:rsid w:val="33B74F23"/>
    <w:rsid w:val="33B822E0"/>
    <w:rsid w:val="33C27583"/>
    <w:rsid w:val="33C53CCA"/>
    <w:rsid w:val="33C7669B"/>
    <w:rsid w:val="33E51301"/>
    <w:rsid w:val="33EC194A"/>
    <w:rsid w:val="33EF31E8"/>
    <w:rsid w:val="33F20F2A"/>
    <w:rsid w:val="33F7209D"/>
    <w:rsid w:val="33F73712"/>
    <w:rsid w:val="33FB1B8D"/>
    <w:rsid w:val="33FD3B57"/>
    <w:rsid w:val="34194333"/>
    <w:rsid w:val="341B3FDD"/>
    <w:rsid w:val="341B4996"/>
    <w:rsid w:val="341B5D8B"/>
    <w:rsid w:val="34324847"/>
    <w:rsid w:val="3433110D"/>
    <w:rsid w:val="344F012B"/>
    <w:rsid w:val="34594B05"/>
    <w:rsid w:val="34630EB8"/>
    <w:rsid w:val="34692F9B"/>
    <w:rsid w:val="34806536"/>
    <w:rsid w:val="3491429F"/>
    <w:rsid w:val="34941845"/>
    <w:rsid w:val="349D2C44"/>
    <w:rsid w:val="34A31E6E"/>
    <w:rsid w:val="34AA5361"/>
    <w:rsid w:val="34AC2E87"/>
    <w:rsid w:val="34B12D27"/>
    <w:rsid w:val="34B27505"/>
    <w:rsid w:val="34B41D3C"/>
    <w:rsid w:val="34B8751A"/>
    <w:rsid w:val="34C12DD7"/>
    <w:rsid w:val="34C5219B"/>
    <w:rsid w:val="34CA36DC"/>
    <w:rsid w:val="34CE2DFE"/>
    <w:rsid w:val="34D56EDB"/>
    <w:rsid w:val="34FD1935"/>
    <w:rsid w:val="351A6043"/>
    <w:rsid w:val="35213875"/>
    <w:rsid w:val="352A22F8"/>
    <w:rsid w:val="352D27C8"/>
    <w:rsid w:val="352F4A11"/>
    <w:rsid w:val="35305E12"/>
    <w:rsid w:val="353973A5"/>
    <w:rsid w:val="354B444E"/>
    <w:rsid w:val="35553C88"/>
    <w:rsid w:val="35657AA9"/>
    <w:rsid w:val="357716E7"/>
    <w:rsid w:val="35775243"/>
    <w:rsid w:val="357A5700"/>
    <w:rsid w:val="35845BB2"/>
    <w:rsid w:val="359A3628"/>
    <w:rsid w:val="359B2431"/>
    <w:rsid w:val="359C1E05"/>
    <w:rsid w:val="35AD6DBF"/>
    <w:rsid w:val="35B8653B"/>
    <w:rsid w:val="35BE7316"/>
    <w:rsid w:val="35C506A4"/>
    <w:rsid w:val="35D07049"/>
    <w:rsid w:val="35E536A3"/>
    <w:rsid w:val="35F141A5"/>
    <w:rsid w:val="35F44FFF"/>
    <w:rsid w:val="36162CAE"/>
    <w:rsid w:val="361707D4"/>
    <w:rsid w:val="362C25ED"/>
    <w:rsid w:val="362C691A"/>
    <w:rsid w:val="362F3D70"/>
    <w:rsid w:val="363910AB"/>
    <w:rsid w:val="363B44C3"/>
    <w:rsid w:val="36744066"/>
    <w:rsid w:val="36806379"/>
    <w:rsid w:val="36A27513"/>
    <w:rsid w:val="36A54032"/>
    <w:rsid w:val="36A57D5B"/>
    <w:rsid w:val="36CA1CEB"/>
    <w:rsid w:val="36CE3589"/>
    <w:rsid w:val="36D41AA6"/>
    <w:rsid w:val="36D80D4A"/>
    <w:rsid w:val="36D93CDC"/>
    <w:rsid w:val="36F823B4"/>
    <w:rsid w:val="36FC587A"/>
    <w:rsid w:val="37013A49"/>
    <w:rsid w:val="37070849"/>
    <w:rsid w:val="370F05FE"/>
    <w:rsid w:val="371C28F8"/>
    <w:rsid w:val="371F2036"/>
    <w:rsid w:val="3723640B"/>
    <w:rsid w:val="37427AD3"/>
    <w:rsid w:val="374F4D09"/>
    <w:rsid w:val="37503F9E"/>
    <w:rsid w:val="37531DBB"/>
    <w:rsid w:val="376C3598"/>
    <w:rsid w:val="37712166"/>
    <w:rsid w:val="37755477"/>
    <w:rsid w:val="377A101B"/>
    <w:rsid w:val="377C7C53"/>
    <w:rsid w:val="378105FB"/>
    <w:rsid w:val="378B1654"/>
    <w:rsid w:val="378F705B"/>
    <w:rsid w:val="379540A7"/>
    <w:rsid w:val="37976071"/>
    <w:rsid w:val="37AB37BE"/>
    <w:rsid w:val="37C46AA9"/>
    <w:rsid w:val="37D31982"/>
    <w:rsid w:val="37D41585"/>
    <w:rsid w:val="37E368BA"/>
    <w:rsid w:val="37E868CC"/>
    <w:rsid w:val="37EB016A"/>
    <w:rsid w:val="37F86716"/>
    <w:rsid w:val="3800568F"/>
    <w:rsid w:val="3806772A"/>
    <w:rsid w:val="380F1CC5"/>
    <w:rsid w:val="38181A8D"/>
    <w:rsid w:val="382316B2"/>
    <w:rsid w:val="382673F4"/>
    <w:rsid w:val="382A2A41"/>
    <w:rsid w:val="382F44FB"/>
    <w:rsid w:val="38381B08"/>
    <w:rsid w:val="383C3143"/>
    <w:rsid w:val="38415A62"/>
    <w:rsid w:val="3848736B"/>
    <w:rsid w:val="386816F3"/>
    <w:rsid w:val="387147F7"/>
    <w:rsid w:val="38736CF1"/>
    <w:rsid w:val="3875032D"/>
    <w:rsid w:val="387A7861"/>
    <w:rsid w:val="387B504A"/>
    <w:rsid w:val="387F6B5F"/>
    <w:rsid w:val="38912D27"/>
    <w:rsid w:val="389600D6"/>
    <w:rsid w:val="389B56ED"/>
    <w:rsid w:val="38AA1DD4"/>
    <w:rsid w:val="38B30C88"/>
    <w:rsid w:val="38B443E7"/>
    <w:rsid w:val="38B77D41"/>
    <w:rsid w:val="38D33529"/>
    <w:rsid w:val="38E250CA"/>
    <w:rsid w:val="38ED03A5"/>
    <w:rsid w:val="38FC32E0"/>
    <w:rsid w:val="390C0398"/>
    <w:rsid w:val="391858B6"/>
    <w:rsid w:val="39237490"/>
    <w:rsid w:val="392A081F"/>
    <w:rsid w:val="3930052B"/>
    <w:rsid w:val="393A3157"/>
    <w:rsid w:val="393D67A4"/>
    <w:rsid w:val="394704B1"/>
    <w:rsid w:val="39526F3E"/>
    <w:rsid w:val="395543E0"/>
    <w:rsid w:val="395646FA"/>
    <w:rsid w:val="395E072D"/>
    <w:rsid w:val="395F1B47"/>
    <w:rsid w:val="396219DB"/>
    <w:rsid w:val="39643D30"/>
    <w:rsid w:val="396F7321"/>
    <w:rsid w:val="399968A7"/>
    <w:rsid w:val="39A053F0"/>
    <w:rsid w:val="39A86313"/>
    <w:rsid w:val="39AA419C"/>
    <w:rsid w:val="39AC0D89"/>
    <w:rsid w:val="39B32F0A"/>
    <w:rsid w:val="39B64351"/>
    <w:rsid w:val="39C62C3D"/>
    <w:rsid w:val="39DF785B"/>
    <w:rsid w:val="39E9692C"/>
    <w:rsid w:val="39EE5CF0"/>
    <w:rsid w:val="39EE7A9E"/>
    <w:rsid w:val="39F7273B"/>
    <w:rsid w:val="39F72DF7"/>
    <w:rsid w:val="3A1A6AE5"/>
    <w:rsid w:val="3A206941"/>
    <w:rsid w:val="3A271638"/>
    <w:rsid w:val="3A287454"/>
    <w:rsid w:val="3A2E433E"/>
    <w:rsid w:val="3A2F043D"/>
    <w:rsid w:val="3A3556CD"/>
    <w:rsid w:val="3A3758E9"/>
    <w:rsid w:val="3A3A0F35"/>
    <w:rsid w:val="3A6C3136"/>
    <w:rsid w:val="3A732423"/>
    <w:rsid w:val="3A824754"/>
    <w:rsid w:val="3A885806"/>
    <w:rsid w:val="3A891719"/>
    <w:rsid w:val="3A8A6BF4"/>
    <w:rsid w:val="3A8B353F"/>
    <w:rsid w:val="3AA00A5D"/>
    <w:rsid w:val="3AA0348E"/>
    <w:rsid w:val="3AA7481D"/>
    <w:rsid w:val="3AA75B80"/>
    <w:rsid w:val="3AC802EF"/>
    <w:rsid w:val="3ACA6D8E"/>
    <w:rsid w:val="3AD35612"/>
    <w:rsid w:val="3AD44EE6"/>
    <w:rsid w:val="3AF61F20"/>
    <w:rsid w:val="3AF86E26"/>
    <w:rsid w:val="3AF92B9E"/>
    <w:rsid w:val="3AFB06C4"/>
    <w:rsid w:val="3AFE3509"/>
    <w:rsid w:val="3B00239C"/>
    <w:rsid w:val="3B102C73"/>
    <w:rsid w:val="3B223EA3"/>
    <w:rsid w:val="3B262DBC"/>
    <w:rsid w:val="3B292616"/>
    <w:rsid w:val="3B337E5E"/>
    <w:rsid w:val="3B345984"/>
    <w:rsid w:val="3B385475"/>
    <w:rsid w:val="3B3E536A"/>
    <w:rsid w:val="3B5575D1"/>
    <w:rsid w:val="3B5878C5"/>
    <w:rsid w:val="3B5B5422"/>
    <w:rsid w:val="3B660234"/>
    <w:rsid w:val="3B701F79"/>
    <w:rsid w:val="3B716BD9"/>
    <w:rsid w:val="3B7B77D4"/>
    <w:rsid w:val="3B7D00A5"/>
    <w:rsid w:val="3B7D732B"/>
    <w:rsid w:val="3B862684"/>
    <w:rsid w:val="3B8B091E"/>
    <w:rsid w:val="3B8B7C9A"/>
    <w:rsid w:val="3B9F54F4"/>
    <w:rsid w:val="3BBA0580"/>
    <w:rsid w:val="3BC046A9"/>
    <w:rsid w:val="3BC366D5"/>
    <w:rsid w:val="3BC431AC"/>
    <w:rsid w:val="3BE178BA"/>
    <w:rsid w:val="3BEE0DEE"/>
    <w:rsid w:val="3BF075C1"/>
    <w:rsid w:val="3C0E2ECF"/>
    <w:rsid w:val="3C1201E9"/>
    <w:rsid w:val="3C221C81"/>
    <w:rsid w:val="3C2F1A09"/>
    <w:rsid w:val="3C4B184D"/>
    <w:rsid w:val="3C522566"/>
    <w:rsid w:val="3C686779"/>
    <w:rsid w:val="3C6B187A"/>
    <w:rsid w:val="3C6C73FA"/>
    <w:rsid w:val="3C8C68CD"/>
    <w:rsid w:val="3C991071"/>
    <w:rsid w:val="3C9A5CBB"/>
    <w:rsid w:val="3C9B215F"/>
    <w:rsid w:val="3CAD556F"/>
    <w:rsid w:val="3CB04BBF"/>
    <w:rsid w:val="3CBA4C68"/>
    <w:rsid w:val="3CBE5B25"/>
    <w:rsid w:val="3CBF1A4F"/>
    <w:rsid w:val="3CC05722"/>
    <w:rsid w:val="3CCA034E"/>
    <w:rsid w:val="3CD63E8A"/>
    <w:rsid w:val="3CDA1F8F"/>
    <w:rsid w:val="3CDC5A84"/>
    <w:rsid w:val="3CE82ECA"/>
    <w:rsid w:val="3D023F8C"/>
    <w:rsid w:val="3D033860"/>
    <w:rsid w:val="3D1B504E"/>
    <w:rsid w:val="3D1E0EB7"/>
    <w:rsid w:val="3D1E73F6"/>
    <w:rsid w:val="3D242FF9"/>
    <w:rsid w:val="3D2A7F67"/>
    <w:rsid w:val="3D3167D7"/>
    <w:rsid w:val="3D600CB3"/>
    <w:rsid w:val="3D6A1B31"/>
    <w:rsid w:val="3D741058"/>
    <w:rsid w:val="3D7B789B"/>
    <w:rsid w:val="3D8F3346"/>
    <w:rsid w:val="3D950BAB"/>
    <w:rsid w:val="3DA03DE1"/>
    <w:rsid w:val="3DA23079"/>
    <w:rsid w:val="3DA70690"/>
    <w:rsid w:val="3DA738D0"/>
    <w:rsid w:val="3DB57C8F"/>
    <w:rsid w:val="3DBA03C3"/>
    <w:rsid w:val="3DBC5B6F"/>
    <w:rsid w:val="3DBF59D9"/>
    <w:rsid w:val="3DC21380"/>
    <w:rsid w:val="3DC254CA"/>
    <w:rsid w:val="3DC46860"/>
    <w:rsid w:val="3DC7000C"/>
    <w:rsid w:val="3DC941D4"/>
    <w:rsid w:val="3DD77D4E"/>
    <w:rsid w:val="3DE93DA4"/>
    <w:rsid w:val="3DED69EA"/>
    <w:rsid w:val="3DF12619"/>
    <w:rsid w:val="3DF74C3E"/>
    <w:rsid w:val="3DF8538F"/>
    <w:rsid w:val="3DFB09DB"/>
    <w:rsid w:val="3DFE6F9C"/>
    <w:rsid w:val="3E082407"/>
    <w:rsid w:val="3E0D0E3B"/>
    <w:rsid w:val="3E0D39B6"/>
    <w:rsid w:val="3E105A20"/>
    <w:rsid w:val="3E157830"/>
    <w:rsid w:val="3E1D6BA4"/>
    <w:rsid w:val="3E3143FD"/>
    <w:rsid w:val="3E32791C"/>
    <w:rsid w:val="3E3D3671"/>
    <w:rsid w:val="3E485474"/>
    <w:rsid w:val="3E5573E7"/>
    <w:rsid w:val="3E594080"/>
    <w:rsid w:val="3E5B0997"/>
    <w:rsid w:val="3E5B0D39"/>
    <w:rsid w:val="3E5C147A"/>
    <w:rsid w:val="3E5F71BC"/>
    <w:rsid w:val="3E6E1261"/>
    <w:rsid w:val="3E7B668B"/>
    <w:rsid w:val="3E7E7642"/>
    <w:rsid w:val="3E8346A9"/>
    <w:rsid w:val="3E8C44CC"/>
    <w:rsid w:val="3EA01CAF"/>
    <w:rsid w:val="3EA60AF7"/>
    <w:rsid w:val="3EAF2B09"/>
    <w:rsid w:val="3EBC460F"/>
    <w:rsid w:val="3EC027B3"/>
    <w:rsid w:val="3ECC2361"/>
    <w:rsid w:val="3ED01E68"/>
    <w:rsid w:val="3ED553D0"/>
    <w:rsid w:val="3ED600F7"/>
    <w:rsid w:val="3ED96F6F"/>
    <w:rsid w:val="3EEF0540"/>
    <w:rsid w:val="3F0F62AB"/>
    <w:rsid w:val="3F185CE9"/>
    <w:rsid w:val="3F2521B4"/>
    <w:rsid w:val="3F2C3542"/>
    <w:rsid w:val="3F375A43"/>
    <w:rsid w:val="3F516B05"/>
    <w:rsid w:val="3F544847"/>
    <w:rsid w:val="3F751CD1"/>
    <w:rsid w:val="3F84512C"/>
    <w:rsid w:val="3F8A2017"/>
    <w:rsid w:val="3F934685"/>
    <w:rsid w:val="3F9A112C"/>
    <w:rsid w:val="3FAA4467"/>
    <w:rsid w:val="3FB452E6"/>
    <w:rsid w:val="3FB62E0C"/>
    <w:rsid w:val="3FB94994"/>
    <w:rsid w:val="3FC25C55"/>
    <w:rsid w:val="3FC337D5"/>
    <w:rsid w:val="3FCA4C58"/>
    <w:rsid w:val="3FCA68B7"/>
    <w:rsid w:val="3FD00372"/>
    <w:rsid w:val="3FD11808"/>
    <w:rsid w:val="3FDF05B5"/>
    <w:rsid w:val="3FE03D4A"/>
    <w:rsid w:val="3FE84D35"/>
    <w:rsid w:val="3FEA0D08"/>
    <w:rsid w:val="3FED270E"/>
    <w:rsid w:val="3FF81676"/>
    <w:rsid w:val="3FF878C8"/>
    <w:rsid w:val="3FFB2F15"/>
    <w:rsid w:val="3FFC248D"/>
    <w:rsid w:val="400145BA"/>
    <w:rsid w:val="401D7573"/>
    <w:rsid w:val="40283D80"/>
    <w:rsid w:val="403A1C8F"/>
    <w:rsid w:val="404D19C2"/>
    <w:rsid w:val="405E3BCF"/>
    <w:rsid w:val="406D3E12"/>
    <w:rsid w:val="40737539"/>
    <w:rsid w:val="407C039C"/>
    <w:rsid w:val="4080519A"/>
    <w:rsid w:val="408328D9"/>
    <w:rsid w:val="4093314D"/>
    <w:rsid w:val="40AD06B3"/>
    <w:rsid w:val="40B80E60"/>
    <w:rsid w:val="40BF3F42"/>
    <w:rsid w:val="40CB0B39"/>
    <w:rsid w:val="40D75E7A"/>
    <w:rsid w:val="40E73B83"/>
    <w:rsid w:val="40F6213F"/>
    <w:rsid w:val="410021EA"/>
    <w:rsid w:val="4110479E"/>
    <w:rsid w:val="41401527"/>
    <w:rsid w:val="414F0FC2"/>
    <w:rsid w:val="41735459"/>
    <w:rsid w:val="41791C6B"/>
    <w:rsid w:val="417D62D7"/>
    <w:rsid w:val="41A5138A"/>
    <w:rsid w:val="41AB1B6F"/>
    <w:rsid w:val="41B63597"/>
    <w:rsid w:val="41B8730F"/>
    <w:rsid w:val="41BB1B14"/>
    <w:rsid w:val="41BD4926"/>
    <w:rsid w:val="41BD778A"/>
    <w:rsid w:val="41BF0187"/>
    <w:rsid w:val="41CF6407"/>
    <w:rsid w:val="41D824B6"/>
    <w:rsid w:val="41DE2D97"/>
    <w:rsid w:val="41E41EB2"/>
    <w:rsid w:val="41EA2C66"/>
    <w:rsid w:val="41EF2D61"/>
    <w:rsid w:val="41F4133B"/>
    <w:rsid w:val="41F51C40"/>
    <w:rsid w:val="41FB52C9"/>
    <w:rsid w:val="420844F7"/>
    <w:rsid w:val="42092D57"/>
    <w:rsid w:val="42095D44"/>
    <w:rsid w:val="421264ED"/>
    <w:rsid w:val="42213106"/>
    <w:rsid w:val="42291FBB"/>
    <w:rsid w:val="422E0C4A"/>
    <w:rsid w:val="424010B3"/>
    <w:rsid w:val="424E58F9"/>
    <w:rsid w:val="42556937"/>
    <w:rsid w:val="425F778B"/>
    <w:rsid w:val="427B33ED"/>
    <w:rsid w:val="428E4722"/>
    <w:rsid w:val="42901BBB"/>
    <w:rsid w:val="42927B60"/>
    <w:rsid w:val="42975177"/>
    <w:rsid w:val="429F227D"/>
    <w:rsid w:val="42A94EAA"/>
    <w:rsid w:val="42BC4BDD"/>
    <w:rsid w:val="42C81561"/>
    <w:rsid w:val="42CB12BB"/>
    <w:rsid w:val="42D07E62"/>
    <w:rsid w:val="42D812EB"/>
    <w:rsid w:val="42DC0DDB"/>
    <w:rsid w:val="42DF47D5"/>
    <w:rsid w:val="42E858D7"/>
    <w:rsid w:val="42EE49BD"/>
    <w:rsid w:val="42EF0B9D"/>
    <w:rsid w:val="430D5439"/>
    <w:rsid w:val="431123A3"/>
    <w:rsid w:val="43156959"/>
    <w:rsid w:val="431810BA"/>
    <w:rsid w:val="43193DDE"/>
    <w:rsid w:val="431C17E8"/>
    <w:rsid w:val="43217136"/>
    <w:rsid w:val="432C22FD"/>
    <w:rsid w:val="43454BD3"/>
    <w:rsid w:val="434A3F97"/>
    <w:rsid w:val="435B2648"/>
    <w:rsid w:val="435B7EFD"/>
    <w:rsid w:val="435C4F2C"/>
    <w:rsid w:val="435E0C71"/>
    <w:rsid w:val="436037BB"/>
    <w:rsid w:val="4365731F"/>
    <w:rsid w:val="436A6098"/>
    <w:rsid w:val="437259B2"/>
    <w:rsid w:val="43853221"/>
    <w:rsid w:val="43887CF3"/>
    <w:rsid w:val="438F40A0"/>
    <w:rsid w:val="43942491"/>
    <w:rsid w:val="43B14016"/>
    <w:rsid w:val="43BD0C0D"/>
    <w:rsid w:val="43C206B4"/>
    <w:rsid w:val="43C819FD"/>
    <w:rsid w:val="43D44696"/>
    <w:rsid w:val="43D45F57"/>
    <w:rsid w:val="43E01789"/>
    <w:rsid w:val="43E61029"/>
    <w:rsid w:val="440004EA"/>
    <w:rsid w:val="44006D4C"/>
    <w:rsid w:val="44202F4A"/>
    <w:rsid w:val="442C18EF"/>
    <w:rsid w:val="44315157"/>
    <w:rsid w:val="446430EE"/>
    <w:rsid w:val="447B63D2"/>
    <w:rsid w:val="447F4128"/>
    <w:rsid w:val="448873A7"/>
    <w:rsid w:val="44890AEF"/>
    <w:rsid w:val="448B0D0B"/>
    <w:rsid w:val="44913E48"/>
    <w:rsid w:val="44A75419"/>
    <w:rsid w:val="44B042CE"/>
    <w:rsid w:val="44BA7652"/>
    <w:rsid w:val="44BC3997"/>
    <w:rsid w:val="44C61D43"/>
    <w:rsid w:val="44C669F9"/>
    <w:rsid w:val="44CA4516"/>
    <w:rsid w:val="44D111F7"/>
    <w:rsid w:val="44D16CA0"/>
    <w:rsid w:val="44E977E0"/>
    <w:rsid w:val="44F05BAE"/>
    <w:rsid w:val="44F763A1"/>
    <w:rsid w:val="44F858ED"/>
    <w:rsid w:val="450308A1"/>
    <w:rsid w:val="450B3BFA"/>
    <w:rsid w:val="45126D36"/>
    <w:rsid w:val="451A208F"/>
    <w:rsid w:val="45216F7A"/>
    <w:rsid w:val="45244CBC"/>
    <w:rsid w:val="452A0524"/>
    <w:rsid w:val="45390767"/>
    <w:rsid w:val="45394D2B"/>
    <w:rsid w:val="45442C68"/>
    <w:rsid w:val="454F4039"/>
    <w:rsid w:val="45594965"/>
    <w:rsid w:val="455C6204"/>
    <w:rsid w:val="45637592"/>
    <w:rsid w:val="456B6447"/>
    <w:rsid w:val="45800144"/>
    <w:rsid w:val="45857508"/>
    <w:rsid w:val="4588349D"/>
    <w:rsid w:val="45977F0C"/>
    <w:rsid w:val="459E5B5E"/>
    <w:rsid w:val="45AC08C1"/>
    <w:rsid w:val="45AE2F45"/>
    <w:rsid w:val="45AF1601"/>
    <w:rsid w:val="45B24076"/>
    <w:rsid w:val="45B52B31"/>
    <w:rsid w:val="45CC42D2"/>
    <w:rsid w:val="45E544B2"/>
    <w:rsid w:val="45F462C4"/>
    <w:rsid w:val="45F65156"/>
    <w:rsid w:val="460014D0"/>
    <w:rsid w:val="46130FB8"/>
    <w:rsid w:val="461F4288"/>
    <w:rsid w:val="46317690"/>
    <w:rsid w:val="463A4797"/>
    <w:rsid w:val="463D7DE3"/>
    <w:rsid w:val="46492C2C"/>
    <w:rsid w:val="46530052"/>
    <w:rsid w:val="46562811"/>
    <w:rsid w:val="46582E6F"/>
    <w:rsid w:val="465C22A7"/>
    <w:rsid w:val="46651182"/>
    <w:rsid w:val="466923BB"/>
    <w:rsid w:val="466C5897"/>
    <w:rsid w:val="466C691A"/>
    <w:rsid w:val="46715CDF"/>
    <w:rsid w:val="467B6B5D"/>
    <w:rsid w:val="467E1FD6"/>
    <w:rsid w:val="468E4EA4"/>
    <w:rsid w:val="4694586B"/>
    <w:rsid w:val="46981E9F"/>
    <w:rsid w:val="46A56867"/>
    <w:rsid w:val="46B32B4E"/>
    <w:rsid w:val="46B81B60"/>
    <w:rsid w:val="46BB51AC"/>
    <w:rsid w:val="46C26BF4"/>
    <w:rsid w:val="46C6427C"/>
    <w:rsid w:val="46C8570E"/>
    <w:rsid w:val="46CA5BDD"/>
    <w:rsid w:val="46CC1167"/>
    <w:rsid w:val="46D41B1D"/>
    <w:rsid w:val="46D85D5E"/>
    <w:rsid w:val="46DD00CE"/>
    <w:rsid w:val="46DE24D0"/>
    <w:rsid w:val="46E97F6B"/>
    <w:rsid w:val="46F25071"/>
    <w:rsid w:val="470F2A19"/>
    <w:rsid w:val="47243D88"/>
    <w:rsid w:val="473C009B"/>
    <w:rsid w:val="474927B8"/>
    <w:rsid w:val="474A6C5C"/>
    <w:rsid w:val="47535845"/>
    <w:rsid w:val="47563181"/>
    <w:rsid w:val="475E25CD"/>
    <w:rsid w:val="476615BC"/>
    <w:rsid w:val="476F0470"/>
    <w:rsid w:val="47741342"/>
    <w:rsid w:val="477C09FB"/>
    <w:rsid w:val="478A52AA"/>
    <w:rsid w:val="47947ED7"/>
    <w:rsid w:val="47A81BD4"/>
    <w:rsid w:val="47A91DF7"/>
    <w:rsid w:val="47AF3A1D"/>
    <w:rsid w:val="47BC1C27"/>
    <w:rsid w:val="47C702AC"/>
    <w:rsid w:val="47C85DD2"/>
    <w:rsid w:val="47D21F5C"/>
    <w:rsid w:val="47EF15B1"/>
    <w:rsid w:val="47F70466"/>
    <w:rsid w:val="47F90F1F"/>
    <w:rsid w:val="47FE17F4"/>
    <w:rsid w:val="48074B4D"/>
    <w:rsid w:val="480F3A01"/>
    <w:rsid w:val="48140818"/>
    <w:rsid w:val="48164D90"/>
    <w:rsid w:val="481728B6"/>
    <w:rsid w:val="482215FF"/>
    <w:rsid w:val="482E0768"/>
    <w:rsid w:val="482F7BFF"/>
    <w:rsid w:val="48401E0D"/>
    <w:rsid w:val="48424213"/>
    <w:rsid w:val="48482A6F"/>
    <w:rsid w:val="484C07B1"/>
    <w:rsid w:val="48500230"/>
    <w:rsid w:val="485B6C46"/>
    <w:rsid w:val="486851E4"/>
    <w:rsid w:val="48786833"/>
    <w:rsid w:val="487B2E45"/>
    <w:rsid w:val="488005FA"/>
    <w:rsid w:val="48802209"/>
    <w:rsid w:val="48825005"/>
    <w:rsid w:val="4884419E"/>
    <w:rsid w:val="488E2B78"/>
    <w:rsid w:val="48934632"/>
    <w:rsid w:val="489348DF"/>
    <w:rsid w:val="48AD5029"/>
    <w:rsid w:val="48C77E38"/>
    <w:rsid w:val="48EA1132"/>
    <w:rsid w:val="48EC789E"/>
    <w:rsid w:val="48EE1869"/>
    <w:rsid w:val="490436BC"/>
    <w:rsid w:val="491D469D"/>
    <w:rsid w:val="492B247D"/>
    <w:rsid w:val="49395702"/>
    <w:rsid w:val="49455803"/>
    <w:rsid w:val="494809D9"/>
    <w:rsid w:val="495715E5"/>
    <w:rsid w:val="49691D6D"/>
    <w:rsid w:val="497955D6"/>
    <w:rsid w:val="497A7AFB"/>
    <w:rsid w:val="49953FD0"/>
    <w:rsid w:val="49973CAE"/>
    <w:rsid w:val="499B315F"/>
    <w:rsid w:val="49A675F2"/>
    <w:rsid w:val="49A85EBB"/>
    <w:rsid w:val="49B26D3A"/>
    <w:rsid w:val="49DC7913"/>
    <w:rsid w:val="49E8450A"/>
    <w:rsid w:val="49ED1B20"/>
    <w:rsid w:val="49F21972"/>
    <w:rsid w:val="49F85BF1"/>
    <w:rsid w:val="4A121587"/>
    <w:rsid w:val="4A203CA4"/>
    <w:rsid w:val="4A274A30"/>
    <w:rsid w:val="4A311421"/>
    <w:rsid w:val="4A3C4D48"/>
    <w:rsid w:val="4A477482"/>
    <w:rsid w:val="4A5327D1"/>
    <w:rsid w:val="4A546DA4"/>
    <w:rsid w:val="4A566406"/>
    <w:rsid w:val="4A5A544B"/>
    <w:rsid w:val="4A707511"/>
    <w:rsid w:val="4A783D80"/>
    <w:rsid w:val="4A7933B4"/>
    <w:rsid w:val="4A7A18F2"/>
    <w:rsid w:val="4A7B1B0E"/>
    <w:rsid w:val="4A8C3321"/>
    <w:rsid w:val="4A913B64"/>
    <w:rsid w:val="4AA04DE4"/>
    <w:rsid w:val="4AB810A7"/>
    <w:rsid w:val="4AC549CB"/>
    <w:rsid w:val="4ACB4AB7"/>
    <w:rsid w:val="4ACE54AE"/>
    <w:rsid w:val="4ACF216A"/>
    <w:rsid w:val="4AD9313F"/>
    <w:rsid w:val="4AE172D6"/>
    <w:rsid w:val="4AE32897"/>
    <w:rsid w:val="4AE44CD1"/>
    <w:rsid w:val="4AEC002A"/>
    <w:rsid w:val="4AF34F14"/>
    <w:rsid w:val="4AF70619"/>
    <w:rsid w:val="4AFB4085"/>
    <w:rsid w:val="4B051129"/>
    <w:rsid w:val="4B123D09"/>
    <w:rsid w:val="4B257098"/>
    <w:rsid w:val="4B2E23F0"/>
    <w:rsid w:val="4B2F57AE"/>
    <w:rsid w:val="4B455E16"/>
    <w:rsid w:val="4B536797"/>
    <w:rsid w:val="4B555BCF"/>
    <w:rsid w:val="4B562D57"/>
    <w:rsid w:val="4B5D2CD5"/>
    <w:rsid w:val="4B5D667D"/>
    <w:rsid w:val="4B5D6832"/>
    <w:rsid w:val="4B63653E"/>
    <w:rsid w:val="4B6978CC"/>
    <w:rsid w:val="4B7324F9"/>
    <w:rsid w:val="4B76003F"/>
    <w:rsid w:val="4B813CEC"/>
    <w:rsid w:val="4B840262"/>
    <w:rsid w:val="4B8464B4"/>
    <w:rsid w:val="4B94266B"/>
    <w:rsid w:val="4B9D30D2"/>
    <w:rsid w:val="4BAE4439"/>
    <w:rsid w:val="4BAE695A"/>
    <w:rsid w:val="4BB040B9"/>
    <w:rsid w:val="4BB5666E"/>
    <w:rsid w:val="4BB74194"/>
    <w:rsid w:val="4BC505EE"/>
    <w:rsid w:val="4BC561BE"/>
    <w:rsid w:val="4BDD56CD"/>
    <w:rsid w:val="4BE667F0"/>
    <w:rsid w:val="4BEB208F"/>
    <w:rsid w:val="4BF97C21"/>
    <w:rsid w:val="4C0D0258"/>
    <w:rsid w:val="4C15710C"/>
    <w:rsid w:val="4C1B2975"/>
    <w:rsid w:val="4C1E560B"/>
    <w:rsid w:val="4C2537F3"/>
    <w:rsid w:val="4C2630C7"/>
    <w:rsid w:val="4C2A705C"/>
    <w:rsid w:val="4C2D26A8"/>
    <w:rsid w:val="4C3457E4"/>
    <w:rsid w:val="4C352230"/>
    <w:rsid w:val="4C355414"/>
    <w:rsid w:val="4C4348C9"/>
    <w:rsid w:val="4C452A6C"/>
    <w:rsid w:val="4C510D1C"/>
    <w:rsid w:val="4C583FEF"/>
    <w:rsid w:val="4C5E2F58"/>
    <w:rsid w:val="4C721EEB"/>
    <w:rsid w:val="4C72630D"/>
    <w:rsid w:val="4C7B33A5"/>
    <w:rsid w:val="4C7D362F"/>
    <w:rsid w:val="4C96649F"/>
    <w:rsid w:val="4C98004F"/>
    <w:rsid w:val="4C995F8F"/>
    <w:rsid w:val="4C9C7888"/>
    <w:rsid w:val="4CA26BF2"/>
    <w:rsid w:val="4CA77B53"/>
    <w:rsid w:val="4CA96AA9"/>
    <w:rsid w:val="4CAD39C5"/>
    <w:rsid w:val="4CB919EE"/>
    <w:rsid w:val="4CB96FCA"/>
    <w:rsid w:val="4CBD438B"/>
    <w:rsid w:val="4CBE77A4"/>
    <w:rsid w:val="4CC150AC"/>
    <w:rsid w:val="4CCD0598"/>
    <w:rsid w:val="4CD34FFD"/>
    <w:rsid w:val="4CDA673D"/>
    <w:rsid w:val="4CEC4311"/>
    <w:rsid w:val="4CEC43BC"/>
    <w:rsid w:val="4CF338F1"/>
    <w:rsid w:val="4D031E6D"/>
    <w:rsid w:val="4D090E8D"/>
    <w:rsid w:val="4D0975DD"/>
    <w:rsid w:val="4D0C050F"/>
    <w:rsid w:val="4D0C49B3"/>
    <w:rsid w:val="4D0F0ADB"/>
    <w:rsid w:val="4D0F7FFF"/>
    <w:rsid w:val="4D331F40"/>
    <w:rsid w:val="4D524342"/>
    <w:rsid w:val="4D573E80"/>
    <w:rsid w:val="4D730317"/>
    <w:rsid w:val="4D821300"/>
    <w:rsid w:val="4D875DE8"/>
    <w:rsid w:val="4D96756F"/>
    <w:rsid w:val="4DAC584E"/>
    <w:rsid w:val="4DAE4192"/>
    <w:rsid w:val="4DBB1D84"/>
    <w:rsid w:val="4DC808DA"/>
    <w:rsid w:val="4DD30391"/>
    <w:rsid w:val="4DDC4386"/>
    <w:rsid w:val="4DEB7053"/>
    <w:rsid w:val="4DF74D1B"/>
    <w:rsid w:val="4DFC7501"/>
    <w:rsid w:val="4E0700DD"/>
    <w:rsid w:val="4E361CE8"/>
    <w:rsid w:val="4E3F014B"/>
    <w:rsid w:val="4E4B32B9"/>
    <w:rsid w:val="4E4F4B57"/>
    <w:rsid w:val="4E516B22"/>
    <w:rsid w:val="4E61488B"/>
    <w:rsid w:val="4E676345"/>
    <w:rsid w:val="4E7C3473"/>
    <w:rsid w:val="4E7D7917"/>
    <w:rsid w:val="4E815148"/>
    <w:rsid w:val="4E865BB7"/>
    <w:rsid w:val="4E8974AF"/>
    <w:rsid w:val="4E8A2A5E"/>
    <w:rsid w:val="4E8B1908"/>
    <w:rsid w:val="4E9A6717"/>
    <w:rsid w:val="4EC469A0"/>
    <w:rsid w:val="4EC72940"/>
    <w:rsid w:val="4EDE5EDB"/>
    <w:rsid w:val="4EE419FD"/>
    <w:rsid w:val="4EEC23E8"/>
    <w:rsid w:val="4EF64E9F"/>
    <w:rsid w:val="4F010023"/>
    <w:rsid w:val="4F027F87"/>
    <w:rsid w:val="4F293FC3"/>
    <w:rsid w:val="4F2A6F7E"/>
    <w:rsid w:val="4F411D97"/>
    <w:rsid w:val="4F4E3061"/>
    <w:rsid w:val="4F5A6050"/>
    <w:rsid w:val="4F5F56C0"/>
    <w:rsid w:val="4F6F2E86"/>
    <w:rsid w:val="4F716D4F"/>
    <w:rsid w:val="4F8627FB"/>
    <w:rsid w:val="4F864E97"/>
    <w:rsid w:val="4F894099"/>
    <w:rsid w:val="4F9547EC"/>
    <w:rsid w:val="4F9A1FFA"/>
    <w:rsid w:val="4F9F566B"/>
    <w:rsid w:val="4FA31367"/>
    <w:rsid w:val="4FC43323"/>
    <w:rsid w:val="4FD277EE"/>
    <w:rsid w:val="501871CB"/>
    <w:rsid w:val="501B1FFA"/>
    <w:rsid w:val="50200077"/>
    <w:rsid w:val="50250266"/>
    <w:rsid w:val="502A587C"/>
    <w:rsid w:val="502B02F9"/>
    <w:rsid w:val="502B1851"/>
    <w:rsid w:val="50371D47"/>
    <w:rsid w:val="504862C3"/>
    <w:rsid w:val="506D7517"/>
    <w:rsid w:val="508B532C"/>
    <w:rsid w:val="50950CB1"/>
    <w:rsid w:val="50A642E7"/>
    <w:rsid w:val="50AA2519"/>
    <w:rsid w:val="50B05655"/>
    <w:rsid w:val="50B71384"/>
    <w:rsid w:val="50BE3824"/>
    <w:rsid w:val="50C01A30"/>
    <w:rsid w:val="50C25AB5"/>
    <w:rsid w:val="50D82239"/>
    <w:rsid w:val="50DD469C"/>
    <w:rsid w:val="50E75ADA"/>
    <w:rsid w:val="510C27EC"/>
    <w:rsid w:val="511A5325"/>
    <w:rsid w:val="51215975"/>
    <w:rsid w:val="51266A33"/>
    <w:rsid w:val="51316796"/>
    <w:rsid w:val="513444D8"/>
    <w:rsid w:val="514069D9"/>
    <w:rsid w:val="5141363B"/>
    <w:rsid w:val="51494DD6"/>
    <w:rsid w:val="514B362B"/>
    <w:rsid w:val="516A1C29"/>
    <w:rsid w:val="51713037"/>
    <w:rsid w:val="51735001"/>
    <w:rsid w:val="51773F69"/>
    <w:rsid w:val="51807680"/>
    <w:rsid w:val="518F170F"/>
    <w:rsid w:val="51960CEF"/>
    <w:rsid w:val="519D2F0D"/>
    <w:rsid w:val="51A06F9F"/>
    <w:rsid w:val="51A740FA"/>
    <w:rsid w:val="51AA5638"/>
    <w:rsid w:val="51BD627C"/>
    <w:rsid w:val="51C62614"/>
    <w:rsid w:val="51D6733E"/>
    <w:rsid w:val="51EE72E7"/>
    <w:rsid w:val="51FA302C"/>
    <w:rsid w:val="51FA5F62"/>
    <w:rsid w:val="51FA73C8"/>
    <w:rsid w:val="5209326F"/>
    <w:rsid w:val="52170DC8"/>
    <w:rsid w:val="52212D2C"/>
    <w:rsid w:val="52235AA1"/>
    <w:rsid w:val="52275940"/>
    <w:rsid w:val="52302732"/>
    <w:rsid w:val="523744EF"/>
    <w:rsid w:val="523E1F05"/>
    <w:rsid w:val="524B1ADA"/>
    <w:rsid w:val="524C0496"/>
    <w:rsid w:val="524F15CA"/>
    <w:rsid w:val="525B6370"/>
    <w:rsid w:val="525E35BB"/>
    <w:rsid w:val="52636E23"/>
    <w:rsid w:val="526A01B2"/>
    <w:rsid w:val="52992845"/>
    <w:rsid w:val="52B40258"/>
    <w:rsid w:val="52BB2B9E"/>
    <w:rsid w:val="52BB5FE7"/>
    <w:rsid w:val="52C31CFF"/>
    <w:rsid w:val="52C5188C"/>
    <w:rsid w:val="52CD0741"/>
    <w:rsid w:val="52D01FDF"/>
    <w:rsid w:val="52D03009"/>
    <w:rsid w:val="52DC2732"/>
    <w:rsid w:val="52ED26BB"/>
    <w:rsid w:val="5312649D"/>
    <w:rsid w:val="531427A3"/>
    <w:rsid w:val="53234805"/>
    <w:rsid w:val="53294293"/>
    <w:rsid w:val="53300CDA"/>
    <w:rsid w:val="53316F22"/>
    <w:rsid w:val="53513120"/>
    <w:rsid w:val="5361780D"/>
    <w:rsid w:val="536A15F0"/>
    <w:rsid w:val="537D3F15"/>
    <w:rsid w:val="538057B3"/>
    <w:rsid w:val="5388504E"/>
    <w:rsid w:val="538C5F06"/>
    <w:rsid w:val="538D7DE7"/>
    <w:rsid w:val="539506E2"/>
    <w:rsid w:val="53BA6F17"/>
    <w:rsid w:val="53BB4A3D"/>
    <w:rsid w:val="53BF0A7B"/>
    <w:rsid w:val="53C64B22"/>
    <w:rsid w:val="53DB2E1F"/>
    <w:rsid w:val="53E01270"/>
    <w:rsid w:val="53E73A84"/>
    <w:rsid w:val="53E915AA"/>
    <w:rsid w:val="53F80508"/>
    <w:rsid w:val="53FF622B"/>
    <w:rsid w:val="540264B2"/>
    <w:rsid w:val="540F102A"/>
    <w:rsid w:val="541859EC"/>
    <w:rsid w:val="541A26C8"/>
    <w:rsid w:val="541A79B6"/>
    <w:rsid w:val="541E020E"/>
    <w:rsid w:val="542563B5"/>
    <w:rsid w:val="542A3A4D"/>
    <w:rsid w:val="543F11CA"/>
    <w:rsid w:val="544A5A6D"/>
    <w:rsid w:val="544B78E9"/>
    <w:rsid w:val="54501629"/>
    <w:rsid w:val="545F2D48"/>
    <w:rsid w:val="546450D5"/>
    <w:rsid w:val="546649A9"/>
    <w:rsid w:val="54680E5E"/>
    <w:rsid w:val="547536BA"/>
    <w:rsid w:val="5486329B"/>
    <w:rsid w:val="548E5CAE"/>
    <w:rsid w:val="5499458D"/>
    <w:rsid w:val="549D778F"/>
    <w:rsid w:val="549F443D"/>
    <w:rsid w:val="54BA37A9"/>
    <w:rsid w:val="54BF43A0"/>
    <w:rsid w:val="54C47921"/>
    <w:rsid w:val="54C955DC"/>
    <w:rsid w:val="54CE24A4"/>
    <w:rsid w:val="54D22178"/>
    <w:rsid w:val="54E01FAD"/>
    <w:rsid w:val="54E46ECB"/>
    <w:rsid w:val="54EB4EAE"/>
    <w:rsid w:val="54F46459"/>
    <w:rsid w:val="550A5BAF"/>
    <w:rsid w:val="550E4EF6"/>
    <w:rsid w:val="551663CF"/>
    <w:rsid w:val="55191F8A"/>
    <w:rsid w:val="55200FFC"/>
    <w:rsid w:val="5539030F"/>
    <w:rsid w:val="55456CB4"/>
    <w:rsid w:val="554720AA"/>
    <w:rsid w:val="554F4DF6"/>
    <w:rsid w:val="554F56F0"/>
    <w:rsid w:val="55511CDF"/>
    <w:rsid w:val="55674E7D"/>
    <w:rsid w:val="556C0634"/>
    <w:rsid w:val="55782BE6"/>
    <w:rsid w:val="55811655"/>
    <w:rsid w:val="558A69E0"/>
    <w:rsid w:val="558B54E2"/>
    <w:rsid w:val="55936248"/>
    <w:rsid w:val="559B7099"/>
    <w:rsid w:val="559D43FA"/>
    <w:rsid w:val="55A51501"/>
    <w:rsid w:val="55A82D9F"/>
    <w:rsid w:val="55AE6D15"/>
    <w:rsid w:val="55AF2380"/>
    <w:rsid w:val="55B55BE8"/>
    <w:rsid w:val="55C048FE"/>
    <w:rsid w:val="55D122F6"/>
    <w:rsid w:val="55D40011"/>
    <w:rsid w:val="55D842DC"/>
    <w:rsid w:val="55DF7A29"/>
    <w:rsid w:val="55E02539"/>
    <w:rsid w:val="55E756C6"/>
    <w:rsid w:val="55F52488"/>
    <w:rsid w:val="56026953"/>
    <w:rsid w:val="560A4E39"/>
    <w:rsid w:val="561C04BF"/>
    <w:rsid w:val="562142DF"/>
    <w:rsid w:val="562A5DD6"/>
    <w:rsid w:val="562C3A2B"/>
    <w:rsid w:val="563C00B7"/>
    <w:rsid w:val="563D201C"/>
    <w:rsid w:val="56486A5C"/>
    <w:rsid w:val="564A5FFB"/>
    <w:rsid w:val="56536444"/>
    <w:rsid w:val="56552F27"/>
    <w:rsid w:val="565651C9"/>
    <w:rsid w:val="567315FF"/>
    <w:rsid w:val="568935FE"/>
    <w:rsid w:val="568B4803"/>
    <w:rsid w:val="568E1BDA"/>
    <w:rsid w:val="56907D46"/>
    <w:rsid w:val="569246E8"/>
    <w:rsid w:val="569C2904"/>
    <w:rsid w:val="569F0646"/>
    <w:rsid w:val="569F41A2"/>
    <w:rsid w:val="56AF53D5"/>
    <w:rsid w:val="56C25558"/>
    <w:rsid w:val="56D0725B"/>
    <w:rsid w:val="56D66910"/>
    <w:rsid w:val="56D8300B"/>
    <w:rsid w:val="56E16A9F"/>
    <w:rsid w:val="56E8525E"/>
    <w:rsid w:val="56EB355D"/>
    <w:rsid w:val="57067286"/>
    <w:rsid w:val="570D3802"/>
    <w:rsid w:val="5719243C"/>
    <w:rsid w:val="571966E8"/>
    <w:rsid w:val="572F4C08"/>
    <w:rsid w:val="57313AF9"/>
    <w:rsid w:val="573C336A"/>
    <w:rsid w:val="574048AE"/>
    <w:rsid w:val="575146BB"/>
    <w:rsid w:val="575B456D"/>
    <w:rsid w:val="57672B37"/>
    <w:rsid w:val="576D7157"/>
    <w:rsid w:val="57795048"/>
    <w:rsid w:val="57850B03"/>
    <w:rsid w:val="57A3761F"/>
    <w:rsid w:val="57A777B2"/>
    <w:rsid w:val="57A8672B"/>
    <w:rsid w:val="57A9177C"/>
    <w:rsid w:val="57B343A9"/>
    <w:rsid w:val="57B43C7D"/>
    <w:rsid w:val="57B45A75"/>
    <w:rsid w:val="57BB4CEC"/>
    <w:rsid w:val="57BD5228"/>
    <w:rsid w:val="57BD6FD6"/>
    <w:rsid w:val="57C6216D"/>
    <w:rsid w:val="57D305A7"/>
    <w:rsid w:val="57DE6F4C"/>
    <w:rsid w:val="57E502DB"/>
    <w:rsid w:val="57E560C9"/>
    <w:rsid w:val="57E92847"/>
    <w:rsid w:val="57EC3417"/>
    <w:rsid w:val="57F86260"/>
    <w:rsid w:val="5806097D"/>
    <w:rsid w:val="5806477C"/>
    <w:rsid w:val="581A0385"/>
    <w:rsid w:val="581B0D08"/>
    <w:rsid w:val="583B6126"/>
    <w:rsid w:val="583C6FC5"/>
    <w:rsid w:val="583F3E8F"/>
    <w:rsid w:val="58405511"/>
    <w:rsid w:val="5843585C"/>
    <w:rsid w:val="58535244"/>
    <w:rsid w:val="585D4315"/>
    <w:rsid w:val="58674B1B"/>
    <w:rsid w:val="586B3E16"/>
    <w:rsid w:val="586E1E1E"/>
    <w:rsid w:val="58922210"/>
    <w:rsid w:val="58A14202"/>
    <w:rsid w:val="58B008E9"/>
    <w:rsid w:val="58B959EF"/>
    <w:rsid w:val="58BA3B31"/>
    <w:rsid w:val="58BF445B"/>
    <w:rsid w:val="58D639F1"/>
    <w:rsid w:val="58DF4D2A"/>
    <w:rsid w:val="58EB7B73"/>
    <w:rsid w:val="58EF71DC"/>
    <w:rsid w:val="58F35FC2"/>
    <w:rsid w:val="58F46A27"/>
    <w:rsid w:val="58FA0640"/>
    <w:rsid w:val="58FC706B"/>
    <w:rsid w:val="58FF1963"/>
    <w:rsid w:val="5903310E"/>
    <w:rsid w:val="590429E2"/>
    <w:rsid w:val="590F1AB3"/>
    <w:rsid w:val="59153B14"/>
    <w:rsid w:val="591A1016"/>
    <w:rsid w:val="591A2206"/>
    <w:rsid w:val="592117E6"/>
    <w:rsid w:val="592C090B"/>
    <w:rsid w:val="593B33D3"/>
    <w:rsid w:val="593D6F6C"/>
    <w:rsid w:val="59484FC5"/>
    <w:rsid w:val="594B0C78"/>
    <w:rsid w:val="596100A0"/>
    <w:rsid w:val="59613991"/>
    <w:rsid w:val="598A3BCE"/>
    <w:rsid w:val="598D4786"/>
    <w:rsid w:val="599975CF"/>
    <w:rsid w:val="59AA17DC"/>
    <w:rsid w:val="59AF6DF2"/>
    <w:rsid w:val="59BE4013"/>
    <w:rsid w:val="59BE7035"/>
    <w:rsid w:val="59C414B7"/>
    <w:rsid w:val="59E00D5A"/>
    <w:rsid w:val="59E16D42"/>
    <w:rsid w:val="59E25C79"/>
    <w:rsid w:val="59E41F31"/>
    <w:rsid w:val="59E56370"/>
    <w:rsid w:val="59F37B22"/>
    <w:rsid w:val="59F5045E"/>
    <w:rsid w:val="5A082D42"/>
    <w:rsid w:val="5A1A1CBA"/>
    <w:rsid w:val="5A2151EA"/>
    <w:rsid w:val="5A2275C4"/>
    <w:rsid w:val="5A2523BF"/>
    <w:rsid w:val="5A2D029A"/>
    <w:rsid w:val="5A3410A5"/>
    <w:rsid w:val="5A386516"/>
    <w:rsid w:val="5A3D7F5A"/>
    <w:rsid w:val="5A44753A"/>
    <w:rsid w:val="5A4A2677"/>
    <w:rsid w:val="5A564294"/>
    <w:rsid w:val="5A581238"/>
    <w:rsid w:val="5A6C1F97"/>
    <w:rsid w:val="5A8913F1"/>
    <w:rsid w:val="5A955FE8"/>
    <w:rsid w:val="5AA97E5E"/>
    <w:rsid w:val="5AB126F6"/>
    <w:rsid w:val="5AB741B0"/>
    <w:rsid w:val="5ABA72E7"/>
    <w:rsid w:val="5AD76600"/>
    <w:rsid w:val="5ADB3EAD"/>
    <w:rsid w:val="5ADF196A"/>
    <w:rsid w:val="5AE73CA4"/>
    <w:rsid w:val="5AEA6795"/>
    <w:rsid w:val="5AFF16B3"/>
    <w:rsid w:val="5B004A2B"/>
    <w:rsid w:val="5B06378D"/>
    <w:rsid w:val="5B0B44FC"/>
    <w:rsid w:val="5B0E18F6"/>
    <w:rsid w:val="5B294982"/>
    <w:rsid w:val="5B3B0F6B"/>
    <w:rsid w:val="5B3E042E"/>
    <w:rsid w:val="5B4517BC"/>
    <w:rsid w:val="5B464CF2"/>
    <w:rsid w:val="5B4F74CF"/>
    <w:rsid w:val="5B626A08"/>
    <w:rsid w:val="5B647768"/>
    <w:rsid w:val="5B690889"/>
    <w:rsid w:val="5B6E7F11"/>
    <w:rsid w:val="5B743E4F"/>
    <w:rsid w:val="5B767BC7"/>
    <w:rsid w:val="5B7E082A"/>
    <w:rsid w:val="5B8147BE"/>
    <w:rsid w:val="5B8404C5"/>
    <w:rsid w:val="5B896EA8"/>
    <w:rsid w:val="5B982E74"/>
    <w:rsid w:val="5B991B08"/>
    <w:rsid w:val="5B9D54A6"/>
    <w:rsid w:val="5BA67D81"/>
    <w:rsid w:val="5BAA361A"/>
    <w:rsid w:val="5BB46942"/>
    <w:rsid w:val="5BBB382C"/>
    <w:rsid w:val="5BC07095"/>
    <w:rsid w:val="5BD163EC"/>
    <w:rsid w:val="5BD6505C"/>
    <w:rsid w:val="5BDB3ECE"/>
    <w:rsid w:val="5BEA0B9D"/>
    <w:rsid w:val="5BEC1EFF"/>
    <w:rsid w:val="5BEF797A"/>
    <w:rsid w:val="5BF55BBE"/>
    <w:rsid w:val="5BFA65AC"/>
    <w:rsid w:val="5C0E6052"/>
    <w:rsid w:val="5C0F3C24"/>
    <w:rsid w:val="5C164A62"/>
    <w:rsid w:val="5C1D44E7"/>
    <w:rsid w:val="5C2E409B"/>
    <w:rsid w:val="5C2E72C9"/>
    <w:rsid w:val="5C33650D"/>
    <w:rsid w:val="5C37035E"/>
    <w:rsid w:val="5C3929A3"/>
    <w:rsid w:val="5C3E168D"/>
    <w:rsid w:val="5C4750C0"/>
    <w:rsid w:val="5C4E644E"/>
    <w:rsid w:val="5C4F225B"/>
    <w:rsid w:val="5C595646"/>
    <w:rsid w:val="5C617E1E"/>
    <w:rsid w:val="5C6744A2"/>
    <w:rsid w:val="5C675762"/>
    <w:rsid w:val="5C862B79"/>
    <w:rsid w:val="5C875E04"/>
    <w:rsid w:val="5C8A1451"/>
    <w:rsid w:val="5C8F6A67"/>
    <w:rsid w:val="5CA2679A"/>
    <w:rsid w:val="5CA6076A"/>
    <w:rsid w:val="5CAE553B"/>
    <w:rsid w:val="5CB04857"/>
    <w:rsid w:val="5CBC2B81"/>
    <w:rsid w:val="5CD1707F"/>
    <w:rsid w:val="5CD61213"/>
    <w:rsid w:val="5CD8040E"/>
    <w:rsid w:val="5CDC6150"/>
    <w:rsid w:val="5CE2303B"/>
    <w:rsid w:val="5CE35A86"/>
    <w:rsid w:val="5CFA0384"/>
    <w:rsid w:val="5CFB20F8"/>
    <w:rsid w:val="5CFB5EAA"/>
    <w:rsid w:val="5CFD0A8D"/>
    <w:rsid w:val="5CFD1C22"/>
    <w:rsid w:val="5CFF1E3E"/>
    <w:rsid w:val="5D0865FC"/>
    <w:rsid w:val="5D1A27D4"/>
    <w:rsid w:val="5D1D7DB8"/>
    <w:rsid w:val="5D1F428F"/>
    <w:rsid w:val="5D26561D"/>
    <w:rsid w:val="5D2672A9"/>
    <w:rsid w:val="5D2769AC"/>
    <w:rsid w:val="5D290CC4"/>
    <w:rsid w:val="5D295570"/>
    <w:rsid w:val="5D305C71"/>
    <w:rsid w:val="5D3802F2"/>
    <w:rsid w:val="5D3F6F19"/>
    <w:rsid w:val="5D447851"/>
    <w:rsid w:val="5D480AC5"/>
    <w:rsid w:val="5D4D2BAA"/>
    <w:rsid w:val="5D6E14C5"/>
    <w:rsid w:val="5D745029"/>
    <w:rsid w:val="5D752101"/>
    <w:rsid w:val="5D761C1C"/>
    <w:rsid w:val="5D775A04"/>
    <w:rsid w:val="5D7A01D9"/>
    <w:rsid w:val="5D867E6A"/>
    <w:rsid w:val="5D9241E2"/>
    <w:rsid w:val="5D9A3915"/>
    <w:rsid w:val="5DA16A52"/>
    <w:rsid w:val="5DA314C9"/>
    <w:rsid w:val="5DA35A78"/>
    <w:rsid w:val="5DA97143"/>
    <w:rsid w:val="5DBE7604"/>
    <w:rsid w:val="5DD010E5"/>
    <w:rsid w:val="5DD6154C"/>
    <w:rsid w:val="5DD74D03"/>
    <w:rsid w:val="5DDB1F64"/>
    <w:rsid w:val="5DF23751"/>
    <w:rsid w:val="5DF665F0"/>
    <w:rsid w:val="5DF72B16"/>
    <w:rsid w:val="5DFF3671"/>
    <w:rsid w:val="5E007107"/>
    <w:rsid w:val="5E04316A"/>
    <w:rsid w:val="5E0A1143"/>
    <w:rsid w:val="5E0B036F"/>
    <w:rsid w:val="5E1167BE"/>
    <w:rsid w:val="5E144F43"/>
    <w:rsid w:val="5E1F28F8"/>
    <w:rsid w:val="5E20206C"/>
    <w:rsid w:val="5E230800"/>
    <w:rsid w:val="5E361890"/>
    <w:rsid w:val="5E3767E4"/>
    <w:rsid w:val="5E3F0563"/>
    <w:rsid w:val="5E4129DB"/>
    <w:rsid w:val="5E4D3C99"/>
    <w:rsid w:val="5E5139AF"/>
    <w:rsid w:val="5E5166CA"/>
    <w:rsid w:val="5E5A37D0"/>
    <w:rsid w:val="5E5D69E4"/>
    <w:rsid w:val="5E5D6E1D"/>
    <w:rsid w:val="5E60690D"/>
    <w:rsid w:val="5E622F17"/>
    <w:rsid w:val="5E6C3474"/>
    <w:rsid w:val="5E714676"/>
    <w:rsid w:val="5E772090"/>
    <w:rsid w:val="5E79177D"/>
    <w:rsid w:val="5E8120E4"/>
    <w:rsid w:val="5E832E1A"/>
    <w:rsid w:val="5E954808"/>
    <w:rsid w:val="5E9640DD"/>
    <w:rsid w:val="5EA07AA3"/>
    <w:rsid w:val="5EA92062"/>
    <w:rsid w:val="5EAC5B0F"/>
    <w:rsid w:val="5EB2675B"/>
    <w:rsid w:val="5EB81C22"/>
    <w:rsid w:val="5ECA7FF3"/>
    <w:rsid w:val="5ECB59C8"/>
    <w:rsid w:val="5ED846F5"/>
    <w:rsid w:val="5EDE6EBE"/>
    <w:rsid w:val="5EE1296D"/>
    <w:rsid w:val="5EEE5CC7"/>
    <w:rsid w:val="5EFD23AE"/>
    <w:rsid w:val="5EFF7ED4"/>
    <w:rsid w:val="5F033BED"/>
    <w:rsid w:val="5F133591"/>
    <w:rsid w:val="5F1A6ABC"/>
    <w:rsid w:val="5F1D0F43"/>
    <w:rsid w:val="5F205F75"/>
    <w:rsid w:val="5F2711D9"/>
    <w:rsid w:val="5F294F35"/>
    <w:rsid w:val="5F2C4FC2"/>
    <w:rsid w:val="5F4C495A"/>
    <w:rsid w:val="5F4E6098"/>
    <w:rsid w:val="5F5473DD"/>
    <w:rsid w:val="5F6077C6"/>
    <w:rsid w:val="5F6146EB"/>
    <w:rsid w:val="5F816B3B"/>
    <w:rsid w:val="5F8513F4"/>
    <w:rsid w:val="5F9525E6"/>
    <w:rsid w:val="5FA33AC8"/>
    <w:rsid w:val="5FAF36A8"/>
    <w:rsid w:val="5FB44474"/>
    <w:rsid w:val="5FBF31B3"/>
    <w:rsid w:val="5FC12A9B"/>
    <w:rsid w:val="5FC90F45"/>
    <w:rsid w:val="5FD17AC2"/>
    <w:rsid w:val="5FD500A2"/>
    <w:rsid w:val="5FE002E0"/>
    <w:rsid w:val="5FE1565F"/>
    <w:rsid w:val="5FE86BBA"/>
    <w:rsid w:val="5FEA20BE"/>
    <w:rsid w:val="5FF217E7"/>
    <w:rsid w:val="5FF604D1"/>
    <w:rsid w:val="5FFB68ED"/>
    <w:rsid w:val="5FFE63DD"/>
    <w:rsid w:val="6002662D"/>
    <w:rsid w:val="60045E06"/>
    <w:rsid w:val="60065292"/>
    <w:rsid w:val="60120AD5"/>
    <w:rsid w:val="601650C1"/>
    <w:rsid w:val="601B0D3D"/>
    <w:rsid w:val="60247422"/>
    <w:rsid w:val="602A71D2"/>
    <w:rsid w:val="603F1F5F"/>
    <w:rsid w:val="60432042"/>
    <w:rsid w:val="60441F9E"/>
    <w:rsid w:val="604C7149"/>
    <w:rsid w:val="604F273A"/>
    <w:rsid w:val="6051430D"/>
    <w:rsid w:val="6057789C"/>
    <w:rsid w:val="605B35FC"/>
    <w:rsid w:val="60600F82"/>
    <w:rsid w:val="606F595D"/>
    <w:rsid w:val="60737710"/>
    <w:rsid w:val="60813C60"/>
    <w:rsid w:val="608B0DC0"/>
    <w:rsid w:val="60A17939"/>
    <w:rsid w:val="60A24FBB"/>
    <w:rsid w:val="60A32FA2"/>
    <w:rsid w:val="60A74BA1"/>
    <w:rsid w:val="60BE0804"/>
    <w:rsid w:val="60BF5B6D"/>
    <w:rsid w:val="60D1764E"/>
    <w:rsid w:val="60D3786A"/>
    <w:rsid w:val="60DF403B"/>
    <w:rsid w:val="60E54FE5"/>
    <w:rsid w:val="60E94998"/>
    <w:rsid w:val="60FF41BB"/>
    <w:rsid w:val="610922EC"/>
    <w:rsid w:val="610B61FC"/>
    <w:rsid w:val="61137C66"/>
    <w:rsid w:val="6114304B"/>
    <w:rsid w:val="611E570F"/>
    <w:rsid w:val="615D0EE2"/>
    <w:rsid w:val="61646714"/>
    <w:rsid w:val="617A7CE6"/>
    <w:rsid w:val="619146C6"/>
    <w:rsid w:val="61954B1F"/>
    <w:rsid w:val="61995E86"/>
    <w:rsid w:val="619B5E52"/>
    <w:rsid w:val="61E013AF"/>
    <w:rsid w:val="61E41603"/>
    <w:rsid w:val="61E46E6B"/>
    <w:rsid w:val="61EA6C19"/>
    <w:rsid w:val="61EB2991"/>
    <w:rsid w:val="61FE4473"/>
    <w:rsid w:val="620E66DA"/>
    <w:rsid w:val="6210017A"/>
    <w:rsid w:val="62157A0E"/>
    <w:rsid w:val="62202566"/>
    <w:rsid w:val="6220263B"/>
    <w:rsid w:val="62287742"/>
    <w:rsid w:val="62345D6C"/>
    <w:rsid w:val="626252ED"/>
    <w:rsid w:val="626B0651"/>
    <w:rsid w:val="626D15F8"/>
    <w:rsid w:val="62724E61"/>
    <w:rsid w:val="6275017D"/>
    <w:rsid w:val="62775FD3"/>
    <w:rsid w:val="6279034B"/>
    <w:rsid w:val="627D37D3"/>
    <w:rsid w:val="627D5CDF"/>
    <w:rsid w:val="627F6C32"/>
    <w:rsid w:val="62810211"/>
    <w:rsid w:val="628C001D"/>
    <w:rsid w:val="62B66F33"/>
    <w:rsid w:val="62B8607D"/>
    <w:rsid w:val="62C05BCC"/>
    <w:rsid w:val="62C64ADC"/>
    <w:rsid w:val="62CF16B4"/>
    <w:rsid w:val="62E14A77"/>
    <w:rsid w:val="62F81F17"/>
    <w:rsid w:val="62F963C2"/>
    <w:rsid w:val="62FA6A22"/>
    <w:rsid w:val="63185A08"/>
    <w:rsid w:val="631A1BE1"/>
    <w:rsid w:val="6330635A"/>
    <w:rsid w:val="63436F39"/>
    <w:rsid w:val="6343756D"/>
    <w:rsid w:val="63640C4D"/>
    <w:rsid w:val="6367429A"/>
    <w:rsid w:val="636855BD"/>
    <w:rsid w:val="637075F2"/>
    <w:rsid w:val="638210D3"/>
    <w:rsid w:val="63970CD1"/>
    <w:rsid w:val="63A948B2"/>
    <w:rsid w:val="63B3128D"/>
    <w:rsid w:val="63BA77AE"/>
    <w:rsid w:val="63D86748"/>
    <w:rsid w:val="64063AB3"/>
    <w:rsid w:val="640E2967"/>
    <w:rsid w:val="64144421"/>
    <w:rsid w:val="64177A6E"/>
    <w:rsid w:val="641F4B74"/>
    <w:rsid w:val="642B19C7"/>
    <w:rsid w:val="642B3519"/>
    <w:rsid w:val="642E206A"/>
    <w:rsid w:val="642F0A76"/>
    <w:rsid w:val="643028DD"/>
    <w:rsid w:val="64466131"/>
    <w:rsid w:val="64590086"/>
    <w:rsid w:val="6459604C"/>
    <w:rsid w:val="647759D6"/>
    <w:rsid w:val="647924D6"/>
    <w:rsid w:val="64805D05"/>
    <w:rsid w:val="648A46E4"/>
    <w:rsid w:val="648D1571"/>
    <w:rsid w:val="64A86A67"/>
    <w:rsid w:val="64B02308"/>
    <w:rsid w:val="64B654D9"/>
    <w:rsid w:val="64BC3328"/>
    <w:rsid w:val="64BE7A39"/>
    <w:rsid w:val="64C42DBE"/>
    <w:rsid w:val="64DD319A"/>
    <w:rsid w:val="64E51EBB"/>
    <w:rsid w:val="64EC2CA8"/>
    <w:rsid w:val="64FA495A"/>
    <w:rsid w:val="65076E5F"/>
    <w:rsid w:val="650C6EA7"/>
    <w:rsid w:val="6525305D"/>
    <w:rsid w:val="6530163A"/>
    <w:rsid w:val="65412A48"/>
    <w:rsid w:val="655A6D9E"/>
    <w:rsid w:val="655B398A"/>
    <w:rsid w:val="656071F2"/>
    <w:rsid w:val="657D7DA4"/>
    <w:rsid w:val="65847385"/>
    <w:rsid w:val="658E7B9D"/>
    <w:rsid w:val="659B022A"/>
    <w:rsid w:val="659E6530"/>
    <w:rsid w:val="659F5268"/>
    <w:rsid w:val="65A91526"/>
    <w:rsid w:val="65BB51E9"/>
    <w:rsid w:val="65C336DE"/>
    <w:rsid w:val="65D3277C"/>
    <w:rsid w:val="65D34501"/>
    <w:rsid w:val="65DC2D1D"/>
    <w:rsid w:val="65F60782"/>
    <w:rsid w:val="65FD2C93"/>
    <w:rsid w:val="660C76FF"/>
    <w:rsid w:val="66185FC9"/>
    <w:rsid w:val="6623094C"/>
    <w:rsid w:val="66326DE1"/>
    <w:rsid w:val="663568D1"/>
    <w:rsid w:val="66391F1D"/>
    <w:rsid w:val="663B3B23"/>
    <w:rsid w:val="663F257E"/>
    <w:rsid w:val="664812A9"/>
    <w:rsid w:val="664B1C51"/>
    <w:rsid w:val="664D1292"/>
    <w:rsid w:val="66507267"/>
    <w:rsid w:val="665E2666"/>
    <w:rsid w:val="66695436"/>
    <w:rsid w:val="666B5E4F"/>
    <w:rsid w:val="667C1E0A"/>
    <w:rsid w:val="667C790E"/>
    <w:rsid w:val="66811B16"/>
    <w:rsid w:val="6684274A"/>
    <w:rsid w:val="66860EDB"/>
    <w:rsid w:val="66976C44"/>
    <w:rsid w:val="669A57B6"/>
    <w:rsid w:val="66A17AC3"/>
    <w:rsid w:val="66B27F22"/>
    <w:rsid w:val="66B6151E"/>
    <w:rsid w:val="66C57C55"/>
    <w:rsid w:val="66CF3AA7"/>
    <w:rsid w:val="66D37C0F"/>
    <w:rsid w:val="66D9725C"/>
    <w:rsid w:val="66DD2D79"/>
    <w:rsid w:val="66E3632D"/>
    <w:rsid w:val="66EF6A80"/>
    <w:rsid w:val="66F450F2"/>
    <w:rsid w:val="67010561"/>
    <w:rsid w:val="67040982"/>
    <w:rsid w:val="67117FE8"/>
    <w:rsid w:val="671368B5"/>
    <w:rsid w:val="67173256"/>
    <w:rsid w:val="67207C76"/>
    <w:rsid w:val="672F3320"/>
    <w:rsid w:val="67310E46"/>
    <w:rsid w:val="673D3C8F"/>
    <w:rsid w:val="673E6147"/>
    <w:rsid w:val="67500023"/>
    <w:rsid w:val="675D6494"/>
    <w:rsid w:val="677F7E04"/>
    <w:rsid w:val="6791604A"/>
    <w:rsid w:val="679413D5"/>
    <w:rsid w:val="67A21D44"/>
    <w:rsid w:val="67AB6E4B"/>
    <w:rsid w:val="67AF7FBD"/>
    <w:rsid w:val="67B11FE2"/>
    <w:rsid w:val="67BA0AD6"/>
    <w:rsid w:val="67BD092C"/>
    <w:rsid w:val="67CB10EF"/>
    <w:rsid w:val="67CE0D8B"/>
    <w:rsid w:val="67E1461B"/>
    <w:rsid w:val="67E74A15"/>
    <w:rsid w:val="67E9731E"/>
    <w:rsid w:val="67EC7D88"/>
    <w:rsid w:val="67ED415C"/>
    <w:rsid w:val="67F2059C"/>
    <w:rsid w:val="67F307F2"/>
    <w:rsid w:val="681A18DB"/>
    <w:rsid w:val="68232E85"/>
    <w:rsid w:val="68295FC1"/>
    <w:rsid w:val="68336E40"/>
    <w:rsid w:val="68395EBA"/>
    <w:rsid w:val="683D4047"/>
    <w:rsid w:val="683E1CE7"/>
    <w:rsid w:val="6844104D"/>
    <w:rsid w:val="6853514A"/>
    <w:rsid w:val="68636DE0"/>
    <w:rsid w:val="68790CF7"/>
    <w:rsid w:val="687E2602"/>
    <w:rsid w:val="6881195A"/>
    <w:rsid w:val="68817BAC"/>
    <w:rsid w:val="688E4077"/>
    <w:rsid w:val="68994715"/>
    <w:rsid w:val="689E69AF"/>
    <w:rsid w:val="68AD274F"/>
    <w:rsid w:val="68B12AB5"/>
    <w:rsid w:val="68BC6E36"/>
    <w:rsid w:val="68BF2482"/>
    <w:rsid w:val="68C14AFC"/>
    <w:rsid w:val="68C54AB6"/>
    <w:rsid w:val="68DD1731"/>
    <w:rsid w:val="68DD3282"/>
    <w:rsid w:val="68F11668"/>
    <w:rsid w:val="68F465CF"/>
    <w:rsid w:val="69080CFB"/>
    <w:rsid w:val="691602F4"/>
    <w:rsid w:val="69256789"/>
    <w:rsid w:val="692D4B0D"/>
    <w:rsid w:val="69324C8C"/>
    <w:rsid w:val="69336452"/>
    <w:rsid w:val="693D7F76"/>
    <w:rsid w:val="69520996"/>
    <w:rsid w:val="695232F6"/>
    <w:rsid w:val="697512A5"/>
    <w:rsid w:val="697B3D4F"/>
    <w:rsid w:val="6985249E"/>
    <w:rsid w:val="69861434"/>
    <w:rsid w:val="698A2CFF"/>
    <w:rsid w:val="698F62F8"/>
    <w:rsid w:val="69934DBD"/>
    <w:rsid w:val="699C0F47"/>
    <w:rsid w:val="699C269A"/>
    <w:rsid w:val="699D5FD4"/>
    <w:rsid w:val="69A418B5"/>
    <w:rsid w:val="69B0613D"/>
    <w:rsid w:val="69B1626F"/>
    <w:rsid w:val="69B813AB"/>
    <w:rsid w:val="69C32933"/>
    <w:rsid w:val="69C935B8"/>
    <w:rsid w:val="69CA4D9F"/>
    <w:rsid w:val="69D102D0"/>
    <w:rsid w:val="69D550CD"/>
    <w:rsid w:val="69E95A08"/>
    <w:rsid w:val="69EC0CD7"/>
    <w:rsid w:val="69F65ECC"/>
    <w:rsid w:val="69F8471F"/>
    <w:rsid w:val="69FD3262"/>
    <w:rsid w:val="69FE1C72"/>
    <w:rsid w:val="6A042842"/>
    <w:rsid w:val="6A0936F4"/>
    <w:rsid w:val="6A154A4F"/>
    <w:rsid w:val="6A2014CC"/>
    <w:rsid w:val="6A285C3C"/>
    <w:rsid w:val="6A2E3D63"/>
    <w:rsid w:val="6A3F7D1E"/>
    <w:rsid w:val="6A4B3A5F"/>
    <w:rsid w:val="6A5729A7"/>
    <w:rsid w:val="6A702E61"/>
    <w:rsid w:val="6A843983"/>
    <w:rsid w:val="6A91596E"/>
    <w:rsid w:val="6A9B1971"/>
    <w:rsid w:val="6AA638F9"/>
    <w:rsid w:val="6AAC1A4A"/>
    <w:rsid w:val="6AAE165A"/>
    <w:rsid w:val="6ABC5F4B"/>
    <w:rsid w:val="6ABF6948"/>
    <w:rsid w:val="6AC326FD"/>
    <w:rsid w:val="6AC81AC2"/>
    <w:rsid w:val="6AC963A7"/>
    <w:rsid w:val="6AD044B3"/>
    <w:rsid w:val="6AD27A6A"/>
    <w:rsid w:val="6AD522CF"/>
    <w:rsid w:val="6ADE12E5"/>
    <w:rsid w:val="6AEA5EDC"/>
    <w:rsid w:val="6AF40199"/>
    <w:rsid w:val="6AFC79BD"/>
    <w:rsid w:val="6B0074AE"/>
    <w:rsid w:val="6B0F149F"/>
    <w:rsid w:val="6B122264"/>
    <w:rsid w:val="6B2313EE"/>
    <w:rsid w:val="6B26541A"/>
    <w:rsid w:val="6B2F1B41"/>
    <w:rsid w:val="6B324A1E"/>
    <w:rsid w:val="6B364C7D"/>
    <w:rsid w:val="6B6537B4"/>
    <w:rsid w:val="6B6C68F1"/>
    <w:rsid w:val="6B792DBC"/>
    <w:rsid w:val="6B7D0AFE"/>
    <w:rsid w:val="6B9C233F"/>
    <w:rsid w:val="6BBE4C73"/>
    <w:rsid w:val="6C061F17"/>
    <w:rsid w:val="6C0762B5"/>
    <w:rsid w:val="6C086909"/>
    <w:rsid w:val="6C0905E4"/>
    <w:rsid w:val="6C1D5E3D"/>
    <w:rsid w:val="6C1F5711"/>
    <w:rsid w:val="6C2D0AE3"/>
    <w:rsid w:val="6C360528"/>
    <w:rsid w:val="6C382C77"/>
    <w:rsid w:val="6C417D7E"/>
    <w:rsid w:val="6C4D0456"/>
    <w:rsid w:val="6C511FF3"/>
    <w:rsid w:val="6C5D5536"/>
    <w:rsid w:val="6C602316"/>
    <w:rsid w:val="6C6B6028"/>
    <w:rsid w:val="6C731F01"/>
    <w:rsid w:val="6C796FC3"/>
    <w:rsid w:val="6CA125CA"/>
    <w:rsid w:val="6CA16A6E"/>
    <w:rsid w:val="6CAD0F6F"/>
    <w:rsid w:val="6CAF118B"/>
    <w:rsid w:val="6CB325A3"/>
    <w:rsid w:val="6CB43AA9"/>
    <w:rsid w:val="6CB64E50"/>
    <w:rsid w:val="6CBF0CA2"/>
    <w:rsid w:val="6CCE7137"/>
    <w:rsid w:val="6CDA1364"/>
    <w:rsid w:val="6CDA1993"/>
    <w:rsid w:val="6CE34737"/>
    <w:rsid w:val="6CFA617E"/>
    <w:rsid w:val="6D0019E7"/>
    <w:rsid w:val="6D082649"/>
    <w:rsid w:val="6D19440C"/>
    <w:rsid w:val="6D2E1052"/>
    <w:rsid w:val="6D2E5A27"/>
    <w:rsid w:val="6D3045CA"/>
    <w:rsid w:val="6D3671B7"/>
    <w:rsid w:val="6D374CDD"/>
    <w:rsid w:val="6D3B2A1F"/>
    <w:rsid w:val="6D3E250F"/>
    <w:rsid w:val="6D3F1E3E"/>
    <w:rsid w:val="6D6655C2"/>
    <w:rsid w:val="6D6708F4"/>
    <w:rsid w:val="6D7D5A70"/>
    <w:rsid w:val="6D800432"/>
    <w:rsid w:val="6D8819DC"/>
    <w:rsid w:val="6D8B3CB9"/>
    <w:rsid w:val="6D8C327A"/>
    <w:rsid w:val="6D9143ED"/>
    <w:rsid w:val="6D9712CB"/>
    <w:rsid w:val="6D99260C"/>
    <w:rsid w:val="6DA14C71"/>
    <w:rsid w:val="6DB41B7F"/>
    <w:rsid w:val="6DBD1C9D"/>
    <w:rsid w:val="6DC04CD2"/>
    <w:rsid w:val="6DD426B1"/>
    <w:rsid w:val="6DD51FCE"/>
    <w:rsid w:val="6DD865FD"/>
    <w:rsid w:val="6DE07122"/>
    <w:rsid w:val="6DF130DE"/>
    <w:rsid w:val="6DF332FA"/>
    <w:rsid w:val="6DF53038"/>
    <w:rsid w:val="6DF7587E"/>
    <w:rsid w:val="6DFA6436"/>
    <w:rsid w:val="6E17150D"/>
    <w:rsid w:val="6E1F5493"/>
    <w:rsid w:val="6E2C2368"/>
    <w:rsid w:val="6E337B9A"/>
    <w:rsid w:val="6E3851B0"/>
    <w:rsid w:val="6E4476B1"/>
    <w:rsid w:val="6E4737D7"/>
    <w:rsid w:val="6E4E22DE"/>
    <w:rsid w:val="6E5F5B86"/>
    <w:rsid w:val="6E897151"/>
    <w:rsid w:val="6E8977BA"/>
    <w:rsid w:val="6E8A639D"/>
    <w:rsid w:val="6E8C2E06"/>
    <w:rsid w:val="6E911D4D"/>
    <w:rsid w:val="6E985C4F"/>
    <w:rsid w:val="6E9A12BD"/>
    <w:rsid w:val="6EA97E5C"/>
    <w:rsid w:val="6EBC7574"/>
    <w:rsid w:val="6EC30F1E"/>
    <w:rsid w:val="6EC66318"/>
    <w:rsid w:val="6EC90EAE"/>
    <w:rsid w:val="6EDA214C"/>
    <w:rsid w:val="6EE42C42"/>
    <w:rsid w:val="6EE751E2"/>
    <w:rsid w:val="6EF4027C"/>
    <w:rsid w:val="6EFE3D04"/>
    <w:rsid w:val="6F0C10BB"/>
    <w:rsid w:val="6F101C89"/>
    <w:rsid w:val="6F171FE1"/>
    <w:rsid w:val="6F1C5463"/>
    <w:rsid w:val="6F232CD0"/>
    <w:rsid w:val="6F414F54"/>
    <w:rsid w:val="6F415726"/>
    <w:rsid w:val="6F444811"/>
    <w:rsid w:val="6F5525A6"/>
    <w:rsid w:val="6F563B40"/>
    <w:rsid w:val="6F6F0114"/>
    <w:rsid w:val="6F881820"/>
    <w:rsid w:val="6F8821AB"/>
    <w:rsid w:val="6F950F55"/>
    <w:rsid w:val="6F965193"/>
    <w:rsid w:val="6F9E1043"/>
    <w:rsid w:val="6FA06B69"/>
    <w:rsid w:val="6FA56875"/>
    <w:rsid w:val="6FBA17E0"/>
    <w:rsid w:val="6FC43175"/>
    <w:rsid w:val="6FC565D0"/>
    <w:rsid w:val="6FCE03D8"/>
    <w:rsid w:val="6FEB0785"/>
    <w:rsid w:val="6FEE6E12"/>
    <w:rsid w:val="6FFB6495"/>
    <w:rsid w:val="700510C2"/>
    <w:rsid w:val="700C2451"/>
    <w:rsid w:val="70136A8B"/>
    <w:rsid w:val="701657B8"/>
    <w:rsid w:val="70333E81"/>
    <w:rsid w:val="70482EA2"/>
    <w:rsid w:val="70587444"/>
    <w:rsid w:val="705F6A24"/>
    <w:rsid w:val="706A53C9"/>
    <w:rsid w:val="70700C31"/>
    <w:rsid w:val="70787AE6"/>
    <w:rsid w:val="707F2C23"/>
    <w:rsid w:val="707F70C6"/>
    <w:rsid w:val="70891CF3"/>
    <w:rsid w:val="70904E30"/>
    <w:rsid w:val="70A408DB"/>
    <w:rsid w:val="70C920F0"/>
    <w:rsid w:val="70CF3BD5"/>
    <w:rsid w:val="70E909E4"/>
    <w:rsid w:val="70E97D78"/>
    <w:rsid w:val="70F353BF"/>
    <w:rsid w:val="70FF3D63"/>
    <w:rsid w:val="71017024"/>
    <w:rsid w:val="710209D6"/>
    <w:rsid w:val="7104137A"/>
    <w:rsid w:val="71053FB9"/>
    <w:rsid w:val="710D10C8"/>
    <w:rsid w:val="71245578"/>
    <w:rsid w:val="712B2DAA"/>
    <w:rsid w:val="713E0058"/>
    <w:rsid w:val="71416653"/>
    <w:rsid w:val="7148570A"/>
    <w:rsid w:val="715E3A26"/>
    <w:rsid w:val="717E2EDA"/>
    <w:rsid w:val="71840F82"/>
    <w:rsid w:val="718879BC"/>
    <w:rsid w:val="718A5AF2"/>
    <w:rsid w:val="718C4420"/>
    <w:rsid w:val="71AA1F21"/>
    <w:rsid w:val="71AD3EB0"/>
    <w:rsid w:val="71C01745"/>
    <w:rsid w:val="71CD751C"/>
    <w:rsid w:val="71D23226"/>
    <w:rsid w:val="71DB032D"/>
    <w:rsid w:val="71E41366"/>
    <w:rsid w:val="71E73175"/>
    <w:rsid w:val="71F03D90"/>
    <w:rsid w:val="71FE401B"/>
    <w:rsid w:val="72012485"/>
    <w:rsid w:val="72077373"/>
    <w:rsid w:val="72211285"/>
    <w:rsid w:val="72281098"/>
    <w:rsid w:val="72397A6F"/>
    <w:rsid w:val="725104E0"/>
    <w:rsid w:val="72516841"/>
    <w:rsid w:val="72596015"/>
    <w:rsid w:val="72806980"/>
    <w:rsid w:val="72816BB4"/>
    <w:rsid w:val="72A251AF"/>
    <w:rsid w:val="72A66B8C"/>
    <w:rsid w:val="72BA0B6E"/>
    <w:rsid w:val="72BB3CBA"/>
    <w:rsid w:val="72BE0FB4"/>
    <w:rsid w:val="72C62D8B"/>
    <w:rsid w:val="72CC7825"/>
    <w:rsid w:val="72D91BF9"/>
    <w:rsid w:val="72E41463"/>
    <w:rsid w:val="72E74AAF"/>
    <w:rsid w:val="72EE22E1"/>
    <w:rsid w:val="72F0605A"/>
    <w:rsid w:val="730C2768"/>
    <w:rsid w:val="731967B5"/>
    <w:rsid w:val="732142EA"/>
    <w:rsid w:val="73244795"/>
    <w:rsid w:val="733046A8"/>
    <w:rsid w:val="73353A6C"/>
    <w:rsid w:val="733F291E"/>
    <w:rsid w:val="733F3564"/>
    <w:rsid w:val="7346211D"/>
    <w:rsid w:val="73497518"/>
    <w:rsid w:val="734A153C"/>
    <w:rsid w:val="734E5D79"/>
    <w:rsid w:val="734F0FD2"/>
    <w:rsid w:val="73532145"/>
    <w:rsid w:val="735465E8"/>
    <w:rsid w:val="735E1215"/>
    <w:rsid w:val="73816CB2"/>
    <w:rsid w:val="73844AB9"/>
    <w:rsid w:val="738B6B08"/>
    <w:rsid w:val="73944C37"/>
    <w:rsid w:val="73974727"/>
    <w:rsid w:val="73A3131E"/>
    <w:rsid w:val="73B2330F"/>
    <w:rsid w:val="73B61051"/>
    <w:rsid w:val="73B70925"/>
    <w:rsid w:val="73C24908"/>
    <w:rsid w:val="73C4297D"/>
    <w:rsid w:val="73D7567E"/>
    <w:rsid w:val="73DB0AB8"/>
    <w:rsid w:val="73E21E46"/>
    <w:rsid w:val="73E87175"/>
    <w:rsid w:val="73E92976"/>
    <w:rsid w:val="73F92CEC"/>
    <w:rsid w:val="7400407A"/>
    <w:rsid w:val="740A5F00"/>
    <w:rsid w:val="740F4C52"/>
    <w:rsid w:val="741242F3"/>
    <w:rsid w:val="742B35E4"/>
    <w:rsid w:val="7431692A"/>
    <w:rsid w:val="74367A9C"/>
    <w:rsid w:val="74424693"/>
    <w:rsid w:val="74490D4F"/>
    <w:rsid w:val="744A1CCE"/>
    <w:rsid w:val="744C3764"/>
    <w:rsid w:val="746565D3"/>
    <w:rsid w:val="746F547D"/>
    <w:rsid w:val="747A2B57"/>
    <w:rsid w:val="748D373D"/>
    <w:rsid w:val="748D6BB5"/>
    <w:rsid w:val="749B3DA3"/>
    <w:rsid w:val="74A07F37"/>
    <w:rsid w:val="74A16D28"/>
    <w:rsid w:val="74C406E1"/>
    <w:rsid w:val="74C4779E"/>
    <w:rsid w:val="74C70898"/>
    <w:rsid w:val="74D84FF7"/>
    <w:rsid w:val="74DC4AE7"/>
    <w:rsid w:val="74ED4486"/>
    <w:rsid w:val="74FB3235"/>
    <w:rsid w:val="75071439"/>
    <w:rsid w:val="750877C1"/>
    <w:rsid w:val="751708E9"/>
    <w:rsid w:val="752571D4"/>
    <w:rsid w:val="75273889"/>
    <w:rsid w:val="752A2DE7"/>
    <w:rsid w:val="752B4336"/>
    <w:rsid w:val="75365022"/>
    <w:rsid w:val="75397D96"/>
    <w:rsid w:val="753B48E1"/>
    <w:rsid w:val="753D151B"/>
    <w:rsid w:val="753E5A4B"/>
    <w:rsid w:val="754937FF"/>
    <w:rsid w:val="754C1C05"/>
    <w:rsid w:val="75585F01"/>
    <w:rsid w:val="755D54FC"/>
    <w:rsid w:val="755F74C6"/>
    <w:rsid w:val="75671015"/>
    <w:rsid w:val="756E3266"/>
    <w:rsid w:val="756E770A"/>
    <w:rsid w:val="75720FA8"/>
    <w:rsid w:val="757627A5"/>
    <w:rsid w:val="75775325"/>
    <w:rsid w:val="757C5983"/>
    <w:rsid w:val="758A5138"/>
    <w:rsid w:val="758C69CA"/>
    <w:rsid w:val="7597439E"/>
    <w:rsid w:val="75A1291B"/>
    <w:rsid w:val="75BA64AB"/>
    <w:rsid w:val="75BF7F65"/>
    <w:rsid w:val="75C33C40"/>
    <w:rsid w:val="75D42830"/>
    <w:rsid w:val="75D457BF"/>
    <w:rsid w:val="75DE3E98"/>
    <w:rsid w:val="75DF5F11"/>
    <w:rsid w:val="75E63744"/>
    <w:rsid w:val="75EA6D90"/>
    <w:rsid w:val="75FE45EA"/>
    <w:rsid w:val="76054E3F"/>
    <w:rsid w:val="760836BA"/>
    <w:rsid w:val="760F3F8C"/>
    <w:rsid w:val="761402B1"/>
    <w:rsid w:val="761E6A3A"/>
    <w:rsid w:val="76206C56"/>
    <w:rsid w:val="76286F0E"/>
    <w:rsid w:val="765C65EC"/>
    <w:rsid w:val="765F1837"/>
    <w:rsid w:val="76650B0D"/>
    <w:rsid w:val="766A3904"/>
    <w:rsid w:val="7693567A"/>
    <w:rsid w:val="76940C38"/>
    <w:rsid w:val="769D32B2"/>
    <w:rsid w:val="76B86E8E"/>
    <w:rsid w:val="76C0123F"/>
    <w:rsid w:val="76C84BF7"/>
    <w:rsid w:val="76CA5FB0"/>
    <w:rsid w:val="76D57A40"/>
    <w:rsid w:val="76D91E95"/>
    <w:rsid w:val="76DA5057"/>
    <w:rsid w:val="76E73F0A"/>
    <w:rsid w:val="770245AD"/>
    <w:rsid w:val="770F0FEE"/>
    <w:rsid w:val="77147E3D"/>
    <w:rsid w:val="772A6B81"/>
    <w:rsid w:val="773106E6"/>
    <w:rsid w:val="77422BFC"/>
    <w:rsid w:val="775363F5"/>
    <w:rsid w:val="775B2FC4"/>
    <w:rsid w:val="775C3CBE"/>
    <w:rsid w:val="7761433B"/>
    <w:rsid w:val="77712EE5"/>
    <w:rsid w:val="77732816"/>
    <w:rsid w:val="777621BF"/>
    <w:rsid w:val="77777C80"/>
    <w:rsid w:val="777D59E2"/>
    <w:rsid w:val="779302A5"/>
    <w:rsid w:val="77950BC3"/>
    <w:rsid w:val="77976AA4"/>
    <w:rsid w:val="7798281C"/>
    <w:rsid w:val="779C67B0"/>
    <w:rsid w:val="77AF6556"/>
    <w:rsid w:val="77BA6C36"/>
    <w:rsid w:val="77BE5534"/>
    <w:rsid w:val="77C35AEB"/>
    <w:rsid w:val="77C4430A"/>
    <w:rsid w:val="77CB4881"/>
    <w:rsid w:val="77CD0717"/>
    <w:rsid w:val="77D51EB4"/>
    <w:rsid w:val="77D903EB"/>
    <w:rsid w:val="77DB72D8"/>
    <w:rsid w:val="77E12415"/>
    <w:rsid w:val="77E51F05"/>
    <w:rsid w:val="77F019DE"/>
    <w:rsid w:val="781D1D8F"/>
    <w:rsid w:val="78347A3A"/>
    <w:rsid w:val="784C1F84"/>
    <w:rsid w:val="784D1858"/>
    <w:rsid w:val="785250C1"/>
    <w:rsid w:val="78591FAB"/>
    <w:rsid w:val="786077DD"/>
    <w:rsid w:val="786A7B1F"/>
    <w:rsid w:val="78727511"/>
    <w:rsid w:val="7883019C"/>
    <w:rsid w:val="78870772"/>
    <w:rsid w:val="78A36AB3"/>
    <w:rsid w:val="78A376CA"/>
    <w:rsid w:val="78AF42C1"/>
    <w:rsid w:val="78B557C7"/>
    <w:rsid w:val="78BE4504"/>
    <w:rsid w:val="78CF226D"/>
    <w:rsid w:val="78D45AD6"/>
    <w:rsid w:val="78E4477C"/>
    <w:rsid w:val="78EA52F9"/>
    <w:rsid w:val="78EF46BD"/>
    <w:rsid w:val="79020895"/>
    <w:rsid w:val="790A5126"/>
    <w:rsid w:val="790E0FE8"/>
    <w:rsid w:val="79114305"/>
    <w:rsid w:val="79262DCB"/>
    <w:rsid w:val="7931117A"/>
    <w:rsid w:val="793306AE"/>
    <w:rsid w:val="79385763"/>
    <w:rsid w:val="79400FBF"/>
    <w:rsid w:val="7942210C"/>
    <w:rsid w:val="795F1843"/>
    <w:rsid w:val="79607369"/>
    <w:rsid w:val="79667794"/>
    <w:rsid w:val="796926C2"/>
    <w:rsid w:val="797177C8"/>
    <w:rsid w:val="797B119D"/>
    <w:rsid w:val="797C741D"/>
    <w:rsid w:val="79834D39"/>
    <w:rsid w:val="79960FDD"/>
    <w:rsid w:val="79967AD0"/>
    <w:rsid w:val="799E3EBF"/>
    <w:rsid w:val="79F04B91"/>
    <w:rsid w:val="7A1818FD"/>
    <w:rsid w:val="7A1E16FE"/>
    <w:rsid w:val="7A252A8D"/>
    <w:rsid w:val="7A2B3E1B"/>
    <w:rsid w:val="7A3D7DFA"/>
    <w:rsid w:val="7A536AC8"/>
    <w:rsid w:val="7A6D7F90"/>
    <w:rsid w:val="7A7A602B"/>
    <w:rsid w:val="7A7B4D00"/>
    <w:rsid w:val="7AAC0AB8"/>
    <w:rsid w:val="7AAC4F5C"/>
    <w:rsid w:val="7AAF3F63"/>
    <w:rsid w:val="7AB67B89"/>
    <w:rsid w:val="7AB756AF"/>
    <w:rsid w:val="7ABB519F"/>
    <w:rsid w:val="7ACA3634"/>
    <w:rsid w:val="7AF84501"/>
    <w:rsid w:val="7B095F0A"/>
    <w:rsid w:val="7B097FEC"/>
    <w:rsid w:val="7B0F1047"/>
    <w:rsid w:val="7B334D35"/>
    <w:rsid w:val="7B42141C"/>
    <w:rsid w:val="7B580B1A"/>
    <w:rsid w:val="7B5E1F98"/>
    <w:rsid w:val="7B6969A9"/>
    <w:rsid w:val="7B6D0B74"/>
    <w:rsid w:val="7B782ABB"/>
    <w:rsid w:val="7B783090"/>
    <w:rsid w:val="7B7875FC"/>
    <w:rsid w:val="7B876124"/>
    <w:rsid w:val="7B945F39"/>
    <w:rsid w:val="7B9B28DB"/>
    <w:rsid w:val="7BB06386"/>
    <w:rsid w:val="7BCD518A"/>
    <w:rsid w:val="7BF31B8F"/>
    <w:rsid w:val="7C077F70"/>
    <w:rsid w:val="7C160C3D"/>
    <w:rsid w:val="7C2D79D7"/>
    <w:rsid w:val="7C2F79B7"/>
    <w:rsid w:val="7C3C2310"/>
    <w:rsid w:val="7C3E7E36"/>
    <w:rsid w:val="7C417926"/>
    <w:rsid w:val="7C442F72"/>
    <w:rsid w:val="7C472DF1"/>
    <w:rsid w:val="7C4C73EE"/>
    <w:rsid w:val="7C4F12E3"/>
    <w:rsid w:val="7C572CA5"/>
    <w:rsid w:val="7C62561D"/>
    <w:rsid w:val="7C7970C0"/>
    <w:rsid w:val="7CA103C5"/>
    <w:rsid w:val="7CA3413D"/>
    <w:rsid w:val="7CAF27A1"/>
    <w:rsid w:val="7CCB4B55"/>
    <w:rsid w:val="7CD15A69"/>
    <w:rsid w:val="7CD51E1C"/>
    <w:rsid w:val="7CD6006E"/>
    <w:rsid w:val="7CDB5685"/>
    <w:rsid w:val="7CEC1640"/>
    <w:rsid w:val="7CF5799B"/>
    <w:rsid w:val="7CF97EF8"/>
    <w:rsid w:val="7D060228"/>
    <w:rsid w:val="7D1172F8"/>
    <w:rsid w:val="7D3D1E9B"/>
    <w:rsid w:val="7D4C3BAE"/>
    <w:rsid w:val="7D580A83"/>
    <w:rsid w:val="7D6A6721"/>
    <w:rsid w:val="7D72647E"/>
    <w:rsid w:val="7D7E58A0"/>
    <w:rsid w:val="7D876E8A"/>
    <w:rsid w:val="7D8B70AB"/>
    <w:rsid w:val="7D8F021D"/>
    <w:rsid w:val="7D9D6541"/>
    <w:rsid w:val="7D9E1404"/>
    <w:rsid w:val="7D9E518D"/>
    <w:rsid w:val="7DA86A53"/>
    <w:rsid w:val="7DAC0DCF"/>
    <w:rsid w:val="7DBF0B02"/>
    <w:rsid w:val="7DDA2B39"/>
    <w:rsid w:val="7DE1316F"/>
    <w:rsid w:val="7DE22A43"/>
    <w:rsid w:val="7DE247F1"/>
    <w:rsid w:val="7DE47DC2"/>
    <w:rsid w:val="7E0230E5"/>
    <w:rsid w:val="7E0829F9"/>
    <w:rsid w:val="7E0F16F7"/>
    <w:rsid w:val="7E1D4414"/>
    <w:rsid w:val="7E2412AD"/>
    <w:rsid w:val="7E3238D0"/>
    <w:rsid w:val="7E386E7B"/>
    <w:rsid w:val="7E3E236F"/>
    <w:rsid w:val="7E410D87"/>
    <w:rsid w:val="7E4E5551"/>
    <w:rsid w:val="7E5E6AAE"/>
    <w:rsid w:val="7E615A57"/>
    <w:rsid w:val="7E6C6CF7"/>
    <w:rsid w:val="7E6E42D6"/>
    <w:rsid w:val="7E724F89"/>
    <w:rsid w:val="7E814868"/>
    <w:rsid w:val="7E826BA3"/>
    <w:rsid w:val="7E8663BC"/>
    <w:rsid w:val="7E927FC5"/>
    <w:rsid w:val="7E93223C"/>
    <w:rsid w:val="7E9B3FDE"/>
    <w:rsid w:val="7EA146AC"/>
    <w:rsid w:val="7EAB5400"/>
    <w:rsid w:val="7EAF501B"/>
    <w:rsid w:val="7EB10D93"/>
    <w:rsid w:val="7EBE07AF"/>
    <w:rsid w:val="7EC16AFC"/>
    <w:rsid w:val="7EC47587"/>
    <w:rsid w:val="7EC81C39"/>
    <w:rsid w:val="7ECC0E1F"/>
    <w:rsid w:val="7ECE45AC"/>
    <w:rsid w:val="7ED76320"/>
    <w:rsid w:val="7EDC3936"/>
    <w:rsid w:val="7EE42125"/>
    <w:rsid w:val="7EE527EB"/>
    <w:rsid w:val="7EED78F1"/>
    <w:rsid w:val="7EEE0CFF"/>
    <w:rsid w:val="7EF02F3D"/>
    <w:rsid w:val="7EF13E8F"/>
    <w:rsid w:val="7EF944E8"/>
    <w:rsid w:val="7F0A046A"/>
    <w:rsid w:val="7F0D7F93"/>
    <w:rsid w:val="7F136DA3"/>
    <w:rsid w:val="7F1E3F4E"/>
    <w:rsid w:val="7F203823"/>
    <w:rsid w:val="7F4D213E"/>
    <w:rsid w:val="7F5171C0"/>
    <w:rsid w:val="7F7B314F"/>
    <w:rsid w:val="7F8F09A8"/>
    <w:rsid w:val="7F935412"/>
    <w:rsid w:val="7F9D092E"/>
    <w:rsid w:val="7F9E0BEB"/>
    <w:rsid w:val="7FA078F7"/>
    <w:rsid w:val="7FA11B62"/>
    <w:rsid w:val="7FA352CF"/>
    <w:rsid w:val="7FAB25A6"/>
    <w:rsid w:val="7FAD3976"/>
    <w:rsid w:val="7FBB179D"/>
    <w:rsid w:val="7FBD5515"/>
    <w:rsid w:val="7FC21739"/>
    <w:rsid w:val="7FC248DA"/>
    <w:rsid w:val="7FD34D39"/>
    <w:rsid w:val="7FDA18B1"/>
    <w:rsid w:val="7FF046F5"/>
    <w:rsid w:val="7FF13411"/>
    <w:rsid w:val="7FF91F8B"/>
    <w:rsid w:val="7FFC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autoRedefine/>
    <w:qFormat/>
    <w:uiPriority w:val="0"/>
    <w:pPr>
      <w:keepNext/>
      <w:keepLines/>
      <w:spacing w:before="260" w:after="260"/>
      <w:jc w:val="center"/>
      <w:outlineLvl w:val="0"/>
    </w:pPr>
    <w:rPr>
      <w:rFonts w:eastAsia="微软雅黑"/>
      <w:b/>
      <w:bCs/>
      <w:kern w:val="44"/>
      <w:sz w:val="30"/>
      <w:szCs w:val="44"/>
    </w:rPr>
  </w:style>
  <w:style w:type="paragraph" w:styleId="5">
    <w:name w:val="heading 2"/>
    <w:basedOn w:val="1"/>
    <w:next w:val="6"/>
    <w:link w:val="57"/>
    <w:autoRedefine/>
    <w:qFormat/>
    <w:uiPriority w:val="0"/>
    <w:pPr>
      <w:keepNext/>
      <w:keepLines/>
      <w:spacing w:before="60" w:after="60" w:line="360" w:lineRule="auto"/>
      <w:outlineLvl w:val="1"/>
    </w:pPr>
    <w:rPr>
      <w:rFonts w:ascii="Arial" w:hAnsi="Arial"/>
      <w:b/>
      <w:bCs/>
      <w:szCs w:val="32"/>
    </w:rPr>
  </w:style>
  <w:style w:type="paragraph" w:styleId="7">
    <w:name w:val="heading 3"/>
    <w:basedOn w:val="1"/>
    <w:next w:val="1"/>
    <w:link w:val="90"/>
    <w:autoRedefine/>
    <w:qFormat/>
    <w:uiPriority w:val="0"/>
    <w:pPr>
      <w:keepNext/>
      <w:keepLines/>
      <w:spacing w:before="260" w:after="260" w:line="360" w:lineRule="auto"/>
      <w:outlineLvl w:val="2"/>
    </w:pPr>
    <w:rPr>
      <w:b/>
      <w:bCs/>
      <w:sz w:val="28"/>
      <w:szCs w:val="32"/>
    </w:rPr>
  </w:style>
  <w:style w:type="paragraph" w:styleId="8">
    <w:name w:val="heading 4"/>
    <w:basedOn w:val="9"/>
    <w:next w:val="1"/>
    <w:autoRedefine/>
    <w:qFormat/>
    <w:uiPriority w:val="0"/>
    <w:pPr>
      <w:keepNext/>
      <w:keepLines/>
      <w:tabs>
        <w:tab w:val="left" w:pos="0"/>
      </w:tabs>
      <w:adjustRightInd w:val="0"/>
      <w:spacing w:before="280" w:after="290" w:line="376" w:lineRule="atLeast"/>
      <w:outlineLvl w:val="3"/>
    </w:pPr>
    <w:rPr>
      <w:rFonts w:ascii="Arial" w:hAnsi="Arial" w:eastAsia="黑体"/>
      <w:sz w:val="28"/>
      <w:szCs w:val="28"/>
    </w:rPr>
  </w:style>
  <w:style w:type="paragraph" w:styleId="10">
    <w:name w:val="heading 5"/>
    <w:basedOn w:val="9"/>
    <w:next w:val="1"/>
    <w:autoRedefine/>
    <w:qFormat/>
    <w:uiPriority w:val="0"/>
    <w:pPr>
      <w:keepNext/>
      <w:keepLines/>
      <w:numPr>
        <w:ilvl w:val="4"/>
        <w:numId w:val="1"/>
      </w:numPr>
      <w:spacing w:before="50" w:beforeLines="50" w:after="50" w:afterLines="50" w:line="360" w:lineRule="auto"/>
      <w:outlineLvl w:val="4"/>
    </w:pPr>
    <w:rPr>
      <w:rFonts w:ascii="Calibri" w:hAnsi="Calibri" w:eastAsia="黑体"/>
      <w:sz w:val="24"/>
      <w:szCs w:val="24"/>
    </w:rPr>
  </w:style>
  <w:style w:type="paragraph" w:styleId="11">
    <w:name w:val="heading 6"/>
    <w:basedOn w:val="9"/>
    <w:next w:val="2"/>
    <w:autoRedefine/>
    <w:qFormat/>
    <w:uiPriority w:val="0"/>
    <w:pPr>
      <w:keepNext/>
      <w:keepLines/>
      <w:numPr>
        <w:ilvl w:val="5"/>
        <w:numId w:val="1"/>
      </w:numPr>
      <w:tabs>
        <w:tab w:val="left" w:pos="0"/>
      </w:tabs>
      <w:spacing w:after="64" w:line="317" w:lineRule="auto"/>
      <w:outlineLvl w:val="5"/>
    </w:pPr>
    <w:rPr>
      <w:rFonts w:eastAsia="黑体"/>
      <w:sz w:val="21"/>
      <w:szCs w:val="24"/>
    </w:rPr>
  </w:style>
  <w:style w:type="paragraph" w:styleId="12">
    <w:name w:val="heading 7"/>
    <w:basedOn w:val="9"/>
    <w:next w:val="2"/>
    <w:unhideWhenUsed/>
    <w:qFormat/>
    <w:uiPriority w:val="0"/>
    <w:pPr>
      <w:keepNext/>
      <w:keepLines/>
      <w:numPr>
        <w:ilvl w:val="6"/>
        <w:numId w:val="2"/>
      </w:numPr>
      <w:spacing w:after="50" w:afterLines="50" w:line="360" w:lineRule="auto"/>
      <w:jc w:val="left"/>
      <w:outlineLvl w:val="6"/>
    </w:pPr>
    <w:rPr>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macro"/>
    <w:autoRedefine/>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right="240" w:firstLine="480" w:firstLineChars="200"/>
    </w:pPr>
    <w:rPr>
      <w:rFonts w:ascii="Courier New" w:hAnsi="Courier New" w:eastAsia="宋体" w:cs="Courier New"/>
      <w:kern w:val="2"/>
      <w:sz w:val="24"/>
      <w:szCs w:val="24"/>
      <w:lang w:val="en-US" w:eastAsia="zh-CN" w:bidi="ar-SA"/>
    </w:rPr>
  </w:style>
  <w:style w:type="paragraph" w:customStyle="1" w:styleId="6">
    <w:name w:val="段落文字"/>
    <w:basedOn w:val="1"/>
    <w:autoRedefine/>
    <w:qFormat/>
    <w:uiPriority w:val="0"/>
    <w:pPr>
      <w:ind w:firstLine="200"/>
    </w:pPr>
    <w:rPr>
      <w:sz w:val="22"/>
    </w:rPr>
  </w:style>
  <w:style w:type="paragraph" w:styleId="9">
    <w:name w:val="Title"/>
    <w:basedOn w:val="1"/>
    <w:next w:val="2"/>
    <w:qFormat/>
    <w:uiPriority w:val="0"/>
    <w:pPr>
      <w:spacing w:before="240" w:after="60"/>
      <w:jc w:val="center"/>
      <w:outlineLvl w:val="0"/>
    </w:pPr>
    <w:rPr>
      <w:rFonts w:ascii="Calibri Light" w:hAnsi="Calibri Light"/>
      <w:b/>
      <w:bCs/>
      <w:sz w:val="32"/>
      <w:szCs w:val="32"/>
    </w:rPr>
  </w:style>
  <w:style w:type="paragraph" w:styleId="13">
    <w:name w:val="List Number"/>
    <w:basedOn w:val="1"/>
    <w:autoRedefine/>
    <w:qFormat/>
    <w:uiPriority w:val="0"/>
    <w:pPr>
      <w:widowControl/>
      <w:numPr>
        <w:ilvl w:val="0"/>
        <w:numId w:val="3"/>
      </w:numPr>
      <w:tabs>
        <w:tab w:val="left" w:pos="454"/>
        <w:tab w:val="left" w:pos="720"/>
        <w:tab w:val="clear" w:pos="900"/>
      </w:tabs>
      <w:spacing w:after="50"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annotation text"/>
    <w:basedOn w:val="1"/>
    <w:link w:val="65"/>
    <w:autoRedefine/>
    <w:qFormat/>
    <w:uiPriority w:val="0"/>
    <w:pPr>
      <w:jc w:val="left"/>
    </w:pPr>
  </w:style>
  <w:style w:type="paragraph" w:styleId="16">
    <w:name w:val="Body Text 3"/>
    <w:basedOn w:val="1"/>
    <w:autoRedefine/>
    <w:qFormat/>
    <w:uiPriority w:val="0"/>
    <w:pPr>
      <w:snapToGrid w:val="0"/>
      <w:spacing w:before="50" w:after="50"/>
    </w:pPr>
    <w:rPr>
      <w:rFonts w:hAnsi="宋体" w:eastAsia="仿宋_GB2312"/>
      <w:b/>
      <w:bCs/>
      <w:sz w:val="24"/>
      <w:szCs w:val="20"/>
    </w:rPr>
  </w:style>
  <w:style w:type="paragraph" w:styleId="17">
    <w:name w:val="Body Text"/>
    <w:basedOn w:val="1"/>
    <w:autoRedefine/>
    <w:qFormat/>
    <w:uiPriority w:val="0"/>
    <w:pPr>
      <w:spacing w:after="120"/>
    </w:pPr>
    <w:rPr>
      <w:sz w:val="28"/>
    </w:rPr>
  </w:style>
  <w:style w:type="paragraph" w:styleId="18">
    <w:name w:val="Body Text Indent"/>
    <w:basedOn w:val="1"/>
    <w:link w:val="66"/>
    <w:autoRedefine/>
    <w:qFormat/>
    <w:uiPriority w:val="0"/>
    <w:pPr>
      <w:spacing w:line="200" w:lineRule="exact"/>
      <w:ind w:firstLine="301"/>
    </w:pPr>
    <w:rPr>
      <w:rFonts w:ascii="宋体" w:hAnsi="Courier New"/>
      <w:spacing w:val="-4"/>
      <w:sz w:val="18"/>
      <w:szCs w:val="20"/>
    </w:rPr>
  </w:style>
  <w:style w:type="paragraph" w:styleId="19">
    <w:name w:val="List Number 3"/>
    <w:basedOn w:val="1"/>
    <w:autoRedefine/>
    <w:qFormat/>
    <w:uiPriority w:val="0"/>
    <w:pPr>
      <w:numPr>
        <w:ilvl w:val="0"/>
        <w:numId w:val="4"/>
      </w:numPr>
    </w:pPr>
  </w:style>
  <w:style w:type="paragraph" w:styleId="20">
    <w:name w:val="List 2"/>
    <w:basedOn w:val="1"/>
    <w:autoRedefine/>
    <w:qFormat/>
    <w:uiPriority w:val="0"/>
    <w:pPr>
      <w:ind w:left="100" w:leftChars="200" w:hanging="200" w:hangingChars="200"/>
    </w:pPr>
    <w:rPr>
      <w:sz w:val="28"/>
    </w:rPr>
  </w:style>
  <w:style w:type="paragraph" w:styleId="21">
    <w:name w:val="Block Text"/>
    <w:basedOn w:val="1"/>
    <w:autoRedefine/>
    <w:unhideWhenUsed/>
    <w:qFormat/>
    <w:uiPriority w:val="99"/>
    <w:pPr>
      <w:spacing w:after="120"/>
      <w:ind w:left="1440" w:leftChars="700" w:right="1440" w:rightChars="700"/>
    </w:pPr>
  </w:style>
  <w:style w:type="paragraph" w:styleId="22">
    <w:name w:val="toc 3"/>
    <w:basedOn w:val="1"/>
    <w:next w:val="1"/>
    <w:qFormat/>
    <w:uiPriority w:val="0"/>
    <w:pPr>
      <w:ind w:left="840" w:leftChars="400"/>
    </w:pPr>
  </w:style>
  <w:style w:type="paragraph" w:styleId="23">
    <w:name w:val="Plain Text"/>
    <w:basedOn w:val="1"/>
    <w:autoRedefine/>
    <w:qFormat/>
    <w:uiPriority w:val="0"/>
    <w:pPr>
      <w:spacing w:before="156" w:beforeLines="50" w:after="156" w:afterLines="50" w:line="400" w:lineRule="exact"/>
    </w:pPr>
    <w:rPr>
      <w:rFonts w:ascii="宋体" w:hAnsi="Courier New"/>
      <w:sz w:val="24"/>
    </w:rPr>
  </w:style>
  <w:style w:type="paragraph" w:styleId="24">
    <w:name w:val="Date"/>
    <w:basedOn w:val="1"/>
    <w:next w:val="1"/>
    <w:autoRedefine/>
    <w:qFormat/>
    <w:uiPriority w:val="0"/>
    <w:pPr>
      <w:ind w:left="2500" w:leftChars="2500"/>
    </w:pPr>
    <w:rPr>
      <w:rFonts w:eastAsia="楷体_GB2312"/>
      <w:sz w:val="32"/>
      <w:szCs w:val="20"/>
    </w:rPr>
  </w:style>
  <w:style w:type="paragraph" w:styleId="25">
    <w:name w:val="Body Text Indent 2"/>
    <w:basedOn w:val="1"/>
    <w:autoRedefine/>
    <w:qFormat/>
    <w:uiPriority w:val="0"/>
    <w:pPr>
      <w:snapToGrid w:val="0"/>
      <w:ind w:firstLine="542" w:firstLineChars="225"/>
    </w:pPr>
    <w:rPr>
      <w:rFonts w:ascii="仿宋_GB2312" w:hAnsi="宋体" w:cs="Arial"/>
      <w:b/>
      <w:bCs/>
      <w:color w:val="000000"/>
      <w:sz w:val="24"/>
    </w:rPr>
  </w:style>
  <w:style w:type="paragraph" w:styleId="26">
    <w:name w:val="Balloon Text"/>
    <w:basedOn w:val="1"/>
    <w:autoRedefine/>
    <w:semiHidden/>
    <w:qFormat/>
    <w:uiPriority w:val="0"/>
    <w:rPr>
      <w:sz w:val="18"/>
      <w:szCs w:val="18"/>
    </w:rPr>
  </w:style>
  <w:style w:type="paragraph" w:styleId="27">
    <w:name w:val="footer"/>
    <w:basedOn w:val="1"/>
    <w:link w:val="67"/>
    <w:autoRedefine/>
    <w:qFormat/>
    <w:uiPriority w:val="99"/>
    <w:pPr>
      <w:tabs>
        <w:tab w:val="center" w:pos="4153"/>
        <w:tab w:val="right" w:pos="8306"/>
      </w:tabs>
      <w:snapToGrid w:val="0"/>
      <w:ind w:right="360" w:firstLine="360"/>
      <w:jc w:val="center"/>
    </w:pPr>
    <w:rPr>
      <w:rFonts w:eastAsia="黑体"/>
      <w:snapToGrid w:val="0"/>
      <w:kern w:val="0"/>
      <w:sz w:val="18"/>
      <w:szCs w:val="18"/>
    </w:rPr>
  </w:style>
  <w:style w:type="paragraph" w:styleId="28">
    <w:name w:val="header"/>
    <w:basedOn w:val="1"/>
    <w:link w:val="68"/>
    <w:autoRedefine/>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29">
    <w:name w:val="toc 1"/>
    <w:basedOn w:val="1"/>
    <w:next w:val="1"/>
    <w:autoRedefine/>
    <w:semiHidden/>
    <w:qFormat/>
    <w:uiPriority w:val="0"/>
  </w:style>
  <w:style w:type="paragraph" w:styleId="30">
    <w:name w:val="toc 4"/>
    <w:basedOn w:val="1"/>
    <w:next w:val="1"/>
    <w:qFormat/>
    <w:uiPriority w:val="0"/>
    <w:pPr>
      <w:ind w:left="1260" w:leftChars="600"/>
    </w:pPr>
  </w:style>
  <w:style w:type="paragraph" w:styleId="31">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autoRedefine/>
    <w:qFormat/>
    <w:uiPriority w:val="0"/>
    <w:pPr>
      <w:ind w:left="200" w:hanging="200" w:hangingChars="200"/>
    </w:pPr>
    <w:rPr>
      <w:sz w:val="28"/>
    </w:rPr>
  </w:style>
  <w:style w:type="paragraph" w:styleId="33">
    <w:name w:val="toc 6"/>
    <w:basedOn w:val="1"/>
    <w:next w:val="1"/>
    <w:autoRedefine/>
    <w:qFormat/>
    <w:uiPriority w:val="99"/>
    <w:pPr>
      <w:ind w:left="1050"/>
      <w:jc w:val="left"/>
    </w:pPr>
    <w:rPr>
      <w:kern w:val="0"/>
      <w:sz w:val="18"/>
      <w:szCs w:val="18"/>
    </w:rPr>
  </w:style>
  <w:style w:type="paragraph" w:styleId="34">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paragraph" w:styleId="35">
    <w:name w:val="toc 2"/>
    <w:basedOn w:val="1"/>
    <w:next w:val="1"/>
    <w:qFormat/>
    <w:uiPriority w:val="0"/>
    <w:pPr>
      <w:ind w:left="420" w:leftChars="200"/>
    </w:pPr>
  </w:style>
  <w:style w:type="paragraph" w:styleId="36">
    <w:name w:val="Body Text 2"/>
    <w:basedOn w:val="1"/>
    <w:autoRedefine/>
    <w:qFormat/>
    <w:uiPriority w:val="0"/>
    <w:pPr>
      <w:widowControl/>
      <w:snapToGrid w:val="0"/>
      <w:spacing w:before="50" w:after="156" w:afterLines="50" w:line="400" w:lineRule="exact"/>
      <w:jc w:val="left"/>
    </w:pPr>
    <w:rPr>
      <w:rFonts w:ascii="宋体" w:hAnsi="宋体"/>
      <w:color w:val="000000"/>
      <w:sz w:val="24"/>
    </w:rPr>
  </w:style>
  <w:style w:type="paragraph" w:styleId="3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5"/>
    <w:next w:val="15"/>
    <w:link w:val="69"/>
    <w:autoRedefine/>
    <w:qFormat/>
    <w:uiPriority w:val="0"/>
    <w:rPr>
      <w:b/>
      <w:bCs/>
    </w:rPr>
  </w:style>
  <w:style w:type="paragraph" w:styleId="40">
    <w:name w:val="Body Text First Indent"/>
    <w:basedOn w:val="17"/>
    <w:next w:val="1"/>
    <w:autoRedefine/>
    <w:qFormat/>
    <w:uiPriority w:val="0"/>
    <w:pPr>
      <w:ind w:firstLine="420" w:firstLineChars="100"/>
    </w:pPr>
  </w:style>
  <w:style w:type="paragraph" w:styleId="41">
    <w:name w:val="Body Text First Indent 2"/>
    <w:basedOn w:val="18"/>
    <w:next w:val="1"/>
    <w:autoRedefine/>
    <w:unhideWhenUsed/>
    <w:qFormat/>
    <w:uiPriority w:val="0"/>
    <w:pPr>
      <w:spacing w:after="120" w:line="240" w:lineRule="auto"/>
      <w:ind w:left="420" w:leftChars="200" w:firstLine="420" w:firstLineChars="200"/>
    </w:pPr>
    <w:rPr>
      <w:rFonts w:ascii="Times New Roman" w:hAnsi="Times New Roman"/>
      <w:spacing w:val="0"/>
      <w:sz w:val="21"/>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0"/>
    <w:rPr>
      <w:b/>
      <w:bCs/>
    </w:rPr>
  </w:style>
  <w:style w:type="character" w:styleId="46">
    <w:name w:val="page number"/>
    <w:autoRedefine/>
    <w:qFormat/>
    <w:uiPriority w:val="0"/>
  </w:style>
  <w:style w:type="character" w:styleId="47">
    <w:name w:val="FollowedHyperlink"/>
    <w:basedOn w:val="44"/>
    <w:autoRedefine/>
    <w:qFormat/>
    <w:uiPriority w:val="0"/>
    <w:rPr>
      <w:color w:val="666768"/>
      <w:u w:val="none"/>
    </w:rPr>
  </w:style>
  <w:style w:type="character" w:styleId="48">
    <w:name w:val="Emphasis"/>
    <w:basedOn w:val="44"/>
    <w:autoRedefine/>
    <w:qFormat/>
    <w:uiPriority w:val="0"/>
    <w:rPr>
      <w:b/>
      <w:bCs/>
    </w:rPr>
  </w:style>
  <w:style w:type="character" w:styleId="49">
    <w:name w:val="HTML Definition"/>
    <w:basedOn w:val="44"/>
    <w:autoRedefine/>
    <w:qFormat/>
    <w:uiPriority w:val="0"/>
    <w:rPr>
      <w:u w:val="none"/>
    </w:rPr>
  </w:style>
  <w:style w:type="character" w:styleId="50">
    <w:name w:val="HTML Variable"/>
    <w:basedOn w:val="44"/>
    <w:autoRedefine/>
    <w:qFormat/>
    <w:uiPriority w:val="0"/>
  </w:style>
  <w:style w:type="character" w:styleId="51">
    <w:name w:val="Hyperlink"/>
    <w:basedOn w:val="44"/>
    <w:autoRedefine/>
    <w:qFormat/>
    <w:uiPriority w:val="0"/>
    <w:rPr>
      <w:color w:val="0000FF"/>
      <w:u w:val="single"/>
    </w:rPr>
  </w:style>
  <w:style w:type="character" w:styleId="52">
    <w:name w:val="HTML Code"/>
    <w:basedOn w:val="44"/>
    <w:autoRedefine/>
    <w:qFormat/>
    <w:uiPriority w:val="0"/>
    <w:rPr>
      <w:rFonts w:ascii="Courier New" w:hAnsi="Courier New"/>
      <w:sz w:val="20"/>
    </w:rPr>
  </w:style>
  <w:style w:type="character" w:styleId="53">
    <w:name w:val="annotation reference"/>
    <w:autoRedefine/>
    <w:qFormat/>
    <w:uiPriority w:val="0"/>
    <w:rPr>
      <w:sz w:val="21"/>
      <w:szCs w:val="21"/>
    </w:rPr>
  </w:style>
  <w:style w:type="character" w:styleId="54">
    <w:name w:val="HTML Cite"/>
    <w:basedOn w:val="44"/>
    <w:autoRedefine/>
    <w:qFormat/>
    <w:uiPriority w:val="0"/>
  </w:style>
  <w:style w:type="character" w:styleId="55">
    <w:name w:val="HTML Keyboard"/>
    <w:basedOn w:val="44"/>
    <w:autoRedefine/>
    <w:qFormat/>
    <w:uiPriority w:val="0"/>
    <w:rPr>
      <w:rFonts w:ascii="Courier New" w:hAnsi="Courier New"/>
      <w:sz w:val="20"/>
    </w:rPr>
  </w:style>
  <w:style w:type="character" w:styleId="56">
    <w:name w:val="HTML Sample"/>
    <w:basedOn w:val="44"/>
    <w:autoRedefine/>
    <w:qFormat/>
    <w:uiPriority w:val="0"/>
    <w:rPr>
      <w:rFonts w:ascii="Courier New" w:hAnsi="Courier New"/>
    </w:rPr>
  </w:style>
  <w:style w:type="character" w:customStyle="1" w:styleId="57">
    <w:name w:val="标题 2 字符"/>
    <w:link w:val="5"/>
    <w:autoRedefine/>
    <w:qFormat/>
    <w:uiPriority w:val="0"/>
    <w:rPr>
      <w:rFonts w:ascii="Arial" w:hAnsi="Arial" w:eastAsia="宋体"/>
      <w:b/>
      <w:bCs/>
      <w:szCs w:val="32"/>
    </w:rPr>
  </w:style>
  <w:style w:type="character" w:customStyle="1" w:styleId="58">
    <w:name w:val="标题 1 字符"/>
    <w:link w:val="4"/>
    <w:autoRedefine/>
    <w:qFormat/>
    <w:uiPriority w:val="0"/>
    <w:rPr>
      <w:rFonts w:ascii="Times New Roman" w:hAnsi="Times New Roman" w:eastAsia="微软雅黑"/>
      <w:b/>
      <w:bCs/>
      <w:kern w:val="44"/>
      <w:sz w:val="30"/>
      <w:szCs w:val="44"/>
    </w:rPr>
  </w:style>
  <w:style w:type="paragraph" w:customStyle="1" w:styleId="59">
    <w:name w:val="正文1"/>
    <w:basedOn w:val="1"/>
    <w:autoRedefine/>
    <w:qFormat/>
    <w:uiPriority w:val="99"/>
    <w:pPr>
      <w:numPr>
        <w:ilvl w:val="0"/>
        <w:numId w:val="5"/>
      </w:numPr>
      <w:spacing w:line="360" w:lineRule="auto"/>
      <w:jc w:val="left"/>
    </w:pPr>
    <w:rPr>
      <w:rFonts w:ascii="宋体" w:hAnsi="宋体"/>
      <w:spacing w:val="4"/>
      <w:sz w:val="18"/>
      <w:szCs w:val="20"/>
    </w:rPr>
  </w:style>
  <w:style w:type="paragraph" w:customStyle="1" w:styleId="60">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缩进1"/>
    <w:basedOn w:val="1"/>
    <w:autoRedefine/>
    <w:qFormat/>
    <w:uiPriority w:val="0"/>
    <w:pPr>
      <w:ind w:firstLine="420"/>
    </w:pPr>
  </w:style>
  <w:style w:type="paragraph" w:styleId="62">
    <w:name w:val="List Paragraph"/>
    <w:basedOn w:val="1"/>
    <w:autoRedefine/>
    <w:qFormat/>
    <w:uiPriority w:val="34"/>
    <w:pPr>
      <w:ind w:firstLine="420" w:firstLineChars="200"/>
    </w:pPr>
  </w:style>
  <w:style w:type="paragraph" w:customStyle="1" w:styleId="63">
    <w:name w:val="列出段落1"/>
    <w:basedOn w:val="1"/>
    <w:autoRedefine/>
    <w:qFormat/>
    <w:uiPriority w:val="99"/>
    <w:pPr>
      <w:ind w:firstLine="200" w:firstLineChars="200"/>
    </w:pPr>
    <w:rPr>
      <w:rFonts w:ascii="Calibri" w:hAnsi="Calibri" w:cs="Arial"/>
    </w:rPr>
  </w:style>
  <w:style w:type="paragraph" w:customStyle="1" w:styleId="64">
    <w:name w:val="表格文字"/>
    <w:basedOn w:val="1"/>
    <w:next w:val="17"/>
    <w:autoRedefine/>
    <w:qFormat/>
    <w:uiPriority w:val="0"/>
    <w:pPr>
      <w:jc w:val="left"/>
    </w:pPr>
    <w:rPr>
      <w:szCs w:val="22"/>
    </w:rPr>
  </w:style>
  <w:style w:type="character" w:customStyle="1" w:styleId="65">
    <w:name w:val="批注文字 字符"/>
    <w:link w:val="15"/>
    <w:autoRedefine/>
    <w:qFormat/>
    <w:uiPriority w:val="0"/>
    <w:rPr>
      <w:kern w:val="2"/>
      <w:sz w:val="21"/>
      <w:szCs w:val="24"/>
    </w:rPr>
  </w:style>
  <w:style w:type="character" w:customStyle="1" w:styleId="66">
    <w:name w:val="正文文本缩进 字符"/>
    <w:link w:val="18"/>
    <w:autoRedefine/>
    <w:qFormat/>
    <w:uiPriority w:val="0"/>
    <w:rPr>
      <w:rFonts w:ascii="宋体" w:hAnsi="Courier New"/>
      <w:spacing w:val="-4"/>
      <w:kern w:val="2"/>
      <w:sz w:val="18"/>
    </w:rPr>
  </w:style>
  <w:style w:type="character" w:customStyle="1" w:styleId="67">
    <w:name w:val="页脚 字符"/>
    <w:link w:val="27"/>
    <w:autoRedefine/>
    <w:qFormat/>
    <w:uiPriority w:val="99"/>
    <w:rPr>
      <w:rFonts w:eastAsia="黑体"/>
      <w:snapToGrid w:val="0"/>
      <w:sz w:val="18"/>
      <w:szCs w:val="18"/>
    </w:rPr>
  </w:style>
  <w:style w:type="character" w:customStyle="1" w:styleId="68">
    <w:name w:val="页眉 字符"/>
    <w:link w:val="28"/>
    <w:autoRedefine/>
    <w:qFormat/>
    <w:uiPriority w:val="0"/>
    <w:rPr>
      <w:rFonts w:eastAsia="仿宋_GB2312"/>
      <w:kern w:val="2"/>
      <w:sz w:val="18"/>
    </w:rPr>
  </w:style>
  <w:style w:type="character" w:customStyle="1" w:styleId="69">
    <w:name w:val="批注主题 字符"/>
    <w:link w:val="39"/>
    <w:autoRedefine/>
    <w:qFormat/>
    <w:uiPriority w:val="0"/>
    <w:rPr>
      <w:b/>
      <w:bCs/>
      <w:kern w:val="2"/>
      <w:sz w:val="21"/>
      <w:szCs w:val="24"/>
    </w:rPr>
  </w:style>
  <w:style w:type="character" w:customStyle="1" w:styleId="70">
    <w:name w:val="标题 1 Char Char"/>
    <w:autoRedefine/>
    <w:qFormat/>
    <w:uiPriority w:val="0"/>
    <w:rPr>
      <w:rFonts w:eastAsia="宋体"/>
      <w:b/>
      <w:spacing w:val="-2"/>
      <w:sz w:val="24"/>
      <w:lang w:val="en-US" w:eastAsia="zh-CN" w:bidi="ar-SA"/>
    </w:rPr>
  </w:style>
  <w:style w:type="paragraph" w:customStyle="1" w:styleId="71">
    <w:name w:val="Char1"/>
    <w:basedOn w:val="1"/>
    <w:autoRedefine/>
    <w:qFormat/>
    <w:uiPriority w:val="0"/>
    <w:rPr>
      <w:rFonts w:ascii="Tahoma" w:hAnsi="Tahoma"/>
      <w:sz w:val="24"/>
      <w:szCs w:val="20"/>
    </w:rPr>
  </w:style>
  <w:style w:type="paragraph" w:customStyle="1" w:styleId="72">
    <w:name w:val="二级标题"/>
    <w:basedOn w:val="23"/>
    <w:autoRedefine/>
    <w:qFormat/>
    <w:uiPriority w:val="0"/>
    <w:pPr>
      <w:snapToGrid w:val="0"/>
      <w:spacing w:before="50" w:after="50" w:line="240" w:lineRule="auto"/>
      <w:ind w:firstLine="200" w:firstLineChars="200"/>
      <w:outlineLvl w:val="1"/>
    </w:pPr>
    <w:rPr>
      <w:rFonts w:hAnsi="宋体"/>
      <w:b/>
      <w:sz w:val="21"/>
      <w:szCs w:val="21"/>
    </w:rPr>
  </w:style>
  <w:style w:type="paragraph" w:customStyle="1" w:styleId="73">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74">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75">
    <w:name w:val="Char Char11 Char Char Char Char Char Char Char Char Char Char1"/>
    <w:basedOn w:val="1"/>
    <w:autoRedefine/>
    <w:qFormat/>
    <w:uiPriority w:val="0"/>
  </w:style>
  <w:style w:type="paragraph" w:customStyle="1" w:styleId="76">
    <w:name w:val="默认段落字体 Para Char Char Char Char Char Char Char Char Char1 Char Char Char Char"/>
    <w:basedOn w:val="1"/>
    <w:autoRedefine/>
    <w:qFormat/>
    <w:uiPriority w:val="0"/>
    <w:rPr>
      <w:rFonts w:ascii="Tahoma" w:hAnsi="Tahoma"/>
      <w:sz w:val="24"/>
      <w:szCs w:val="20"/>
    </w:rPr>
  </w:style>
  <w:style w:type="paragraph" w:customStyle="1" w:styleId="77">
    <w:name w:val="首行缩进"/>
    <w:basedOn w:val="1"/>
    <w:autoRedefine/>
    <w:qFormat/>
    <w:uiPriority w:val="0"/>
    <w:pPr>
      <w:spacing w:line="360" w:lineRule="auto"/>
      <w:ind w:firstLine="420"/>
    </w:pPr>
    <w:rPr>
      <w:rFonts w:cs="宋体"/>
      <w:szCs w:val="20"/>
    </w:rPr>
  </w:style>
  <w:style w:type="paragraph" w:customStyle="1" w:styleId="78">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79">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8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2">
    <w:name w:val="正文3"/>
    <w:basedOn w:val="1"/>
    <w:autoRedefine/>
    <w:qFormat/>
    <w:uiPriority w:val="0"/>
    <w:pPr>
      <w:adjustRightInd w:val="0"/>
      <w:spacing w:line="318" w:lineRule="atLeast"/>
      <w:ind w:left="369" w:firstLine="369"/>
      <w:textAlignment w:val="baseline"/>
    </w:pPr>
    <w:rPr>
      <w:rFonts w:ascii="宋体"/>
      <w:szCs w:val="20"/>
    </w:rPr>
  </w:style>
  <w:style w:type="character" w:customStyle="1" w:styleId="83">
    <w:name w:val="dxrpheader_metropolis2"/>
    <w:basedOn w:val="44"/>
    <w:autoRedefine/>
    <w:qFormat/>
    <w:uiPriority w:val="0"/>
    <w:rPr>
      <w:b/>
      <w:bCs/>
      <w:color w:val="C0C0C0"/>
    </w:rPr>
  </w:style>
  <w:style w:type="paragraph" w:customStyle="1" w:styleId="84">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86">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88">
    <w:name w:val="Body Text First Indent 21"/>
    <w:basedOn w:val="89"/>
    <w:autoRedefine/>
    <w:qFormat/>
    <w:uiPriority w:val="99"/>
    <w:pPr>
      <w:ind w:firstLine="420"/>
    </w:pPr>
  </w:style>
  <w:style w:type="paragraph" w:customStyle="1" w:styleId="89">
    <w:name w:val="Body Text Indent1"/>
    <w:basedOn w:val="1"/>
    <w:autoRedefine/>
    <w:qFormat/>
    <w:uiPriority w:val="99"/>
    <w:pPr>
      <w:ind w:left="420" w:leftChars="200"/>
    </w:pPr>
  </w:style>
  <w:style w:type="character" w:customStyle="1" w:styleId="90">
    <w:name w:val="标题 3 字符"/>
    <w:link w:val="7"/>
    <w:autoRedefine/>
    <w:qFormat/>
    <w:uiPriority w:val="0"/>
    <w:rPr>
      <w:rFonts w:ascii="Times New Roman" w:hAnsi="Times New Roman" w:eastAsia="宋体"/>
      <w:b/>
      <w:bCs/>
      <w:sz w:val="28"/>
      <w:szCs w:val="32"/>
    </w:rPr>
  </w:style>
  <w:style w:type="paragraph" w:customStyle="1" w:styleId="91">
    <w:name w:val="WPSOffice手动目录 1"/>
    <w:autoRedefine/>
    <w:qFormat/>
    <w:uiPriority w:val="0"/>
    <w:rPr>
      <w:rFonts w:ascii="Times New Roman" w:hAnsi="Times New Roman" w:eastAsia="宋体" w:cs="Times New Roman"/>
      <w:lang w:val="en-US" w:eastAsia="zh-CN" w:bidi="ar-SA"/>
    </w:rPr>
  </w:style>
  <w:style w:type="paragraph" w:customStyle="1" w:styleId="92">
    <w:name w:val="图表"/>
    <w:basedOn w:val="1"/>
    <w:autoRedefine/>
    <w:qFormat/>
    <w:uiPriority w:val="0"/>
    <w:pPr>
      <w:jc w:val="center"/>
    </w:pPr>
    <w:rPr>
      <w:rFonts w:hint="eastAsia"/>
    </w:rPr>
  </w:style>
  <w:style w:type="character" w:customStyle="1" w:styleId="93">
    <w:name w:val="font11"/>
    <w:basedOn w:val="44"/>
    <w:autoRedefine/>
    <w:qFormat/>
    <w:uiPriority w:val="0"/>
    <w:rPr>
      <w:rFonts w:hint="eastAsia" w:ascii="宋体" w:hAnsi="宋体" w:eastAsia="宋体" w:cs="宋体"/>
      <w:color w:val="000000"/>
      <w:sz w:val="21"/>
      <w:szCs w:val="21"/>
      <w:u w:val="none"/>
    </w:rPr>
  </w:style>
  <w:style w:type="paragraph" w:customStyle="1" w:styleId="94">
    <w:name w:val="无间隔1"/>
    <w:autoRedefine/>
    <w:qFormat/>
    <w:uiPriority w:val="0"/>
    <w:rPr>
      <w:rFonts w:ascii="Calibri" w:hAnsi="Calibri" w:eastAsia="宋体" w:cs="Times New Roman"/>
      <w:sz w:val="22"/>
      <w:szCs w:val="22"/>
      <w:lang w:val="en-US" w:eastAsia="en-US" w:bidi="ar-SA"/>
    </w:rPr>
  </w:style>
  <w:style w:type="paragraph" w:customStyle="1" w:styleId="95">
    <w:name w:val="正文空2格  1."/>
    <w:basedOn w:val="1"/>
    <w:autoRedefine/>
    <w:qFormat/>
    <w:uiPriority w:val="0"/>
    <w:pPr>
      <w:adjustRightInd w:val="0"/>
      <w:spacing w:line="360" w:lineRule="auto"/>
      <w:ind w:firstLine="480" w:firstLineChars="200"/>
      <w:textAlignment w:val="baseline"/>
    </w:pPr>
    <w:rPr>
      <w:rFonts w:eastAsia="仿宋"/>
      <w:sz w:val="28"/>
      <w:szCs w:val="20"/>
    </w:rPr>
  </w:style>
  <w:style w:type="table" w:customStyle="1" w:styleId="96">
    <w:name w:val="Table Normal"/>
    <w:autoRedefine/>
    <w:semiHidden/>
    <w:unhideWhenUsed/>
    <w:qFormat/>
    <w:uiPriority w:val="0"/>
    <w:tblPr>
      <w:tblCellMar>
        <w:top w:w="0" w:type="dxa"/>
        <w:left w:w="0" w:type="dxa"/>
        <w:bottom w:w="0" w:type="dxa"/>
        <w:right w:w="0" w:type="dxa"/>
      </w:tblCellMar>
    </w:tblPr>
  </w:style>
  <w:style w:type="paragraph" w:customStyle="1" w:styleId="97">
    <w:name w:val="Table Paragraph"/>
    <w:basedOn w:val="1"/>
    <w:autoRedefine/>
    <w:qFormat/>
    <w:uiPriority w:val="1"/>
    <w:rPr>
      <w:rFonts w:ascii="宋体" w:hAnsi="宋体" w:cs="宋体"/>
      <w:lang w:val="zh-CN" w:bidi="zh-CN"/>
    </w:rPr>
  </w:style>
  <w:style w:type="paragraph" w:customStyle="1" w:styleId="98">
    <w:name w:val="目录 32"/>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9">
    <w:name w:val="标准正文"/>
    <w:basedOn w:val="1"/>
    <w:autoRedefine/>
    <w:qFormat/>
    <w:uiPriority w:val="0"/>
    <w:pPr>
      <w:widowControl/>
      <w:ind w:firstLine="200"/>
    </w:pPr>
    <w:rPr>
      <w:kern w:val="0"/>
      <w:szCs w:val="20"/>
      <w:lang w:val="zh-CN"/>
    </w:rPr>
  </w:style>
  <w:style w:type="paragraph" w:customStyle="1" w:styleId="100">
    <w:name w:val="*正文"/>
    <w:basedOn w:val="1"/>
    <w:autoRedefine/>
    <w:qFormat/>
    <w:uiPriority w:val="0"/>
    <w:pPr>
      <w:widowControl/>
      <w:jc w:val="left"/>
    </w:pPr>
    <w:rPr>
      <w:rFonts w:ascii="宋体" w:hAnsi="宋体"/>
      <w:kern w:val="0"/>
    </w:rPr>
  </w:style>
  <w:style w:type="character" w:customStyle="1" w:styleId="101">
    <w:name w:val="题注 字符1"/>
    <w:autoRedefine/>
    <w:qFormat/>
    <w:uiPriority w:val="35"/>
    <w:rPr>
      <w:rFonts w:ascii="Times New Roman" w:hAnsi="Times New Roman" w:eastAsia="宋体"/>
      <w:kern w:val="2"/>
      <w:sz w:val="21"/>
      <w:szCs w:val="21"/>
    </w:rPr>
  </w:style>
  <w:style w:type="paragraph" w:customStyle="1" w:styleId="102">
    <w:name w:val="表格"/>
    <w:basedOn w:val="1"/>
    <w:next w:val="1"/>
    <w:autoRedefine/>
    <w:qFormat/>
    <w:uiPriority w:val="0"/>
    <w:pPr>
      <w:widowControl/>
      <w:jc w:val="center"/>
    </w:pPr>
    <w:rPr>
      <w:rFonts w:cs="宋体"/>
      <w:szCs w:val="30"/>
    </w:rPr>
  </w:style>
  <w:style w:type="paragraph" w:customStyle="1" w:styleId="103">
    <w:name w:val="无间距1"/>
    <w:qFormat/>
    <w:uiPriority w:val="1"/>
    <w:pPr>
      <w:widowControl w:val="0"/>
      <w:jc w:val="both"/>
    </w:pPr>
    <w:rPr>
      <w:rFonts w:ascii="Times New Roman" w:hAnsi="Times New Roman" w:eastAsia="微软雅黑 Light" w:cs="Times New Roman"/>
      <w:kern w:val="2"/>
      <w:sz w:val="24"/>
      <w:szCs w:val="22"/>
      <w:lang w:val="en-US" w:eastAsia="zh-CN" w:bidi="ar-SA"/>
    </w:rPr>
  </w:style>
  <w:style w:type="character" w:customStyle="1" w:styleId="104">
    <w:name w:val="font61"/>
    <w:basedOn w:val="44"/>
    <w:qFormat/>
    <w:uiPriority w:val="0"/>
    <w:rPr>
      <w:rFonts w:hint="eastAsia" w:ascii="宋体" w:hAnsi="宋体" w:eastAsia="宋体" w:cs="宋体"/>
      <w:color w:val="000000"/>
      <w:sz w:val="22"/>
      <w:szCs w:val="22"/>
      <w:u w:val="none"/>
    </w:rPr>
  </w:style>
  <w:style w:type="character" w:customStyle="1" w:styleId="105">
    <w:name w:val="font51"/>
    <w:basedOn w:val="44"/>
    <w:qFormat/>
    <w:uiPriority w:val="0"/>
    <w:rPr>
      <w:rFonts w:ascii="Arial" w:hAnsi="Arial" w:cs="Arial"/>
      <w:color w:val="000000"/>
      <w:sz w:val="18"/>
      <w:szCs w:val="18"/>
      <w:u w:val="none"/>
    </w:rPr>
  </w:style>
  <w:style w:type="character" w:customStyle="1" w:styleId="106">
    <w:name w:val="font21"/>
    <w:basedOn w:val="44"/>
    <w:qFormat/>
    <w:uiPriority w:val="0"/>
    <w:rPr>
      <w:rFonts w:hint="eastAsia" w:ascii="宋体" w:hAnsi="宋体" w:eastAsia="宋体" w:cs="宋体"/>
      <w:color w:val="000000"/>
      <w:sz w:val="18"/>
      <w:szCs w:val="18"/>
      <w:u w:val="none"/>
    </w:rPr>
  </w:style>
  <w:style w:type="character" w:customStyle="1" w:styleId="107">
    <w:name w:val="font71"/>
    <w:basedOn w:val="44"/>
    <w:qFormat/>
    <w:uiPriority w:val="0"/>
    <w:rPr>
      <w:rFonts w:ascii="Arial" w:hAnsi="Arial" w:cs="Arial"/>
      <w:color w:val="000000"/>
      <w:sz w:val="22"/>
      <w:szCs w:val="22"/>
      <w:u w:val="none"/>
    </w:rPr>
  </w:style>
  <w:style w:type="paragraph" w:customStyle="1" w:styleId="1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0">
    <w:name w:val="Table Text"/>
    <w:basedOn w:val="1"/>
    <w:semiHidden/>
    <w:qFormat/>
    <w:uiPriority w:val="0"/>
    <w:rPr>
      <w:rFonts w:ascii="宋体" w:hAnsi="宋体" w:cs="宋体"/>
      <w:sz w:val="20"/>
      <w:szCs w:val="20"/>
      <w:lang w:eastAsia="en-US"/>
    </w:rPr>
  </w:style>
  <w:style w:type="paragraph" w:customStyle="1" w:styleId="111">
    <w:name w:val="缩进_正文"/>
    <w:basedOn w:val="1"/>
    <w:qFormat/>
    <w:uiPriority w:val="0"/>
    <w:pPr>
      <w:ind w:firstLine="200"/>
    </w:pPr>
  </w:style>
  <w:style w:type="paragraph" w:customStyle="1" w:styleId="1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68</Pages>
  <Words>7528</Words>
  <Characters>8249</Characters>
  <Lines>327</Lines>
  <Paragraphs>92</Paragraphs>
  <TotalTime>3</TotalTime>
  <ScaleCrop>false</ScaleCrop>
  <LinksUpToDate>false</LinksUpToDate>
  <CharactersWithSpaces>8475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2026-04-28T02:34:00Z</dcterms:created>
  <dc:creator>Administrator</dc:creator>
  <cp:lastModifiedBy>在下姓需名耐心</cp:lastModifiedBy>
  <cp:lastPrinted>2025-07-18T08:56:00Z</cp:lastPrinted>
  <dcterms:modified xsi:type="dcterms:W3CDTF">2026-04-30T08:02:10Z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811A72584C914BA78882F51A9EC125B9_13</vt:lpwstr>
  </property>
  <property fmtid="{D5CDD505-2E9C-101B-9397-08002B2CF9AE}" pid="4" name="KSOTemplateDocerSaveRecord">
    <vt:lpwstr>eyJoZGlkIjoiYWQ3MDZlMmI5M2Q4N2YxZTcxODI3YTIxODFmOWYyNWMiLCJ1c2VySWQiOiI3MTk0NDMzMjEifQ==</vt:lpwstr>
  </property>
</Properties>
</file>