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F2E65">
      <w:pPr>
        <w:bidi w:val="0"/>
      </w:pPr>
    </w:p>
    <w:p w14:paraId="611D0BEF">
      <w:pPr>
        <w:pStyle w:val="12"/>
        <w:rPr>
          <w:highlight w:val="none"/>
        </w:rPr>
      </w:pPr>
    </w:p>
    <w:p w14:paraId="3803B8C1">
      <w:pPr>
        <w:pStyle w:val="12"/>
        <w:spacing w:line="245" w:lineRule="auto"/>
        <w:jc w:val="center"/>
        <w:rPr>
          <w:sz w:val="24"/>
          <w:szCs w:val="32"/>
        </w:rPr>
      </w:pPr>
      <w:r>
        <w:rPr>
          <w:rFonts w:hint="eastAsia" w:ascii="楷体" w:hAnsi="楷体" w:eastAsia="楷体" w:cs="楷体"/>
          <w:sz w:val="56"/>
          <w:szCs w:val="56"/>
          <w:lang w:eastAsia="zh-CN"/>
        </w:rPr>
        <w:t>孝义市2026年高素质农民培育</w:t>
      </w:r>
    </w:p>
    <w:p w14:paraId="656954BA">
      <w:pPr>
        <w:pStyle w:val="12"/>
        <w:spacing w:line="245" w:lineRule="auto"/>
      </w:pPr>
    </w:p>
    <w:p w14:paraId="6A397F2B">
      <w:pPr>
        <w:pStyle w:val="12"/>
        <w:spacing w:line="245" w:lineRule="auto"/>
      </w:pPr>
    </w:p>
    <w:p w14:paraId="1E58D670">
      <w:pPr>
        <w:pStyle w:val="12"/>
        <w:spacing w:line="246" w:lineRule="auto"/>
      </w:pPr>
    </w:p>
    <w:p w14:paraId="1EA16C97">
      <w:pPr>
        <w:spacing w:before="230" w:line="223" w:lineRule="auto"/>
        <w:ind w:left="1564"/>
        <w:rPr>
          <w:rFonts w:ascii="仿宋" w:hAnsi="仿宋" w:eastAsia="仿宋" w:cs="仿宋"/>
          <w:sz w:val="71"/>
          <w:szCs w:val="71"/>
        </w:rPr>
      </w:pPr>
      <w:r>
        <w:rPr>
          <w:rFonts w:ascii="仿宋" w:hAnsi="仿宋" w:eastAsia="仿宋" w:cs="仿宋"/>
          <w:b/>
          <w:bCs/>
          <w:spacing w:val="29"/>
          <w:sz w:val="71"/>
          <w:szCs w:val="71"/>
        </w:rPr>
        <w:t>竞争性磋商文件</w:t>
      </w:r>
    </w:p>
    <w:p w14:paraId="423CFBCF">
      <w:pPr>
        <w:pStyle w:val="12"/>
        <w:spacing w:line="324" w:lineRule="auto"/>
      </w:pPr>
    </w:p>
    <w:p w14:paraId="07032CB9">
      <w:pPr>
        <w:pStyle w:val="12"/>
        <w:spacing w:line="325" w:lineRule="auto"/>
      </w:pPr>
    </w:p>
    <w:p w14:paraId="1DDB0F7B">
      <w:pPr>
        <w:pStyle w:val="12"/>
        <w:spacing w:line="253" w:lineRule="auto"/>
        <w:jc w:val="center"/>
      </w:pPr>
      <w:r>
        <w:rPr>
          <w:rFonts w:ascii="仿宋" w:hAnsi="仿宋" w:eastAsia="仿宋" w:cs="仿宋"/>
          <w:b/>
          <w:bCs/>
          <w:spacing w:val="3"/>
          <w:position w:val="8"/>
          <w:sz w:val="31"/>
          <w:szCs w:val="31"/>
          <w:highlight w:val="none"/>
        </w:rPr>
        <w:t>项目编号：</w:t>
      </w:r>
      <w:r>
        <w:rPr>
          <w:rFonts w:hint="eastAsia" w:ascii="仿宋" w:hAnsi="仿宋" w:eastAsia="仿宋" w:cs="仿宋"/>
          <w:b/>
          <w:bCs/>
          <w:spacing w:val="3"/>
          <w:position w:val="8"/>
          <w:sz w:val="31"/>
          <w:szCs w:val="31"/>
          <w:highlight w:val="none"/>
        </w:rPr>
        <w:t>1411812026CCS00089</w:t>
      </w:r>
    </w:p>
    <w:p w14:paraId="6A6898C3">
      <w:pPr>
        <w:pStyle w:val="12"/>
        <w:spacing w:line="253" w:lineRule="auto"/>
      </w:pPr>
    </w:p>
    <w:p w14:paraId="5115FFB0">
      <w:pPr>
        <w:pStyle w:val="12"/>
        <w:spacing w:line="253" w:lineRule="auto"/>
      </w:pPr>
    </w:p>
    <w:p w14:paraId="6DE18361">
      <w:pPr>
        <w:pStyle w:val="12"/>
        <w:spacing w:line="254" w:lineRule="auto"/>
      </w:pPr>
    </w:p>
    <w:p w14:paraId="6D19B375">
      <w:pPr>
        <w:pStyle w:val="12"/>
        <w:spacing w:line="254" w:lineRule="auto"/>
      </w:pPr>
    </w:p>
    <w:p w14:paraId="3F91DA75">
      <w:pPr>
        <w:spacing w:before="101" w:line="371" w:lineRule="auto"/>
        <w:ind w:right="682"/>
        <w:jc w:val="center"/>
        <w:rPr>
          <w:rFonts w:hint="eastAsia" w:ascii="仿宋" w:hAnsi="仿宋" w:eastAsia="仿宋" w:cs="仿宋"/>
          <w:b/>
          <w:bCs/>
          <w:spacing w:val="1"/>
          <w:sz w:val="31"/>
          <w:szCs w:val="31"/>
          <w:lang w:eastAsia="zh-CN"/>
        </w:rPr>
      </w:pPr>
      <w:r>
        <w:rPr>
          <w:rFonts w:ascii="仿宋" w:hAnsi="仿宋" w:eastAsia="仿宋" w:cs="仿宋"/>
          <w:b/>
          <w:bCs/>
          <w:spacing w:val="1"/>
          <w:sz w:val="31"/>
          <w:szCs w:val="31"/>
        </w:rPr>
        <w:t>采</w:t>
      </w:r>
      <w:r>
        <w:rPr>
          <w:rFonts w:ascii="仿宋" w:hAnsi="仿宋" w:eastAsia="仿宋" w:cs="仿宋"/>
          <w:spacing w:val="1"/>
          <w:sz w:val="31"/>
          <w:szCs w:val="31"/>
        </w:rPr>
        <w:t xml:space="preserve"> </w:t>
      </w:r>
      <w:r>
        <w:rPr>
          <w:rFonts w:ascii="仿宋" w:hAnsi="仿宋" w:eastAsia="仿宋" w:cs="仿宋"/>
          <w:b/>
          <w:bCs/>
          <w:spacing w:val="1"/>
          <w:sz w:val="31"/>
          <w:szCs w:val="31"/>
        </w:rPr>
        <w:t>购</w:t>
      </w:r>
      <w:r>
        <w:rPr>
          <w:rFonts w:ascii="仿宋" w:hAnsi="仿宋" w:eastAsia="仿宋" w:cs="仿宋"/>
          <w:spacing w:val="19"/>
          <w:sz w:val="31"/>
          <w:szCs w:val="31"/>
        </w:rPr>
        <w:t xml:space="preserve"> </w:t>
      </w:r>
      <w:r>
        <w:rPr>
          <w:rFonts w:hint="eastAsia" w:ascii="仿宋" w:hAnsi="仿宋" w:eastAsia="仿宋" w:cs="仿宋"/>
          <w:b/>
          <w:bCs/>
          <w:spacing w:val="6"/>
          <w:sz w:val="31"/>
          <w:szCs w:val="31"/>
          <w:lang w:eastAsia="zh-CN"/>
        </w:rPr>
        <w:t>人： 孝义市农业农村局</w:t>
      </w:r>
    </w:p>
    <w:p w14:paraId="3A46D318">
      <w:pPr>
        <w:spacing w:before="101" w:line="371" w:lineRule="auto"/>
        <w:ind w:right="682"/>
        <w:jc w:val="center"/>
        <w:rPr>
          <w:rFonts w:hint="eastAsia" w:ascii="仿宋" w:hAnsi="仿宋" w:eastAsia="仿宋" w:cs="仿宋"/>
          <w:b/>
          <w:bCs/>
          <w:spacing w:val="6"/>
          <w:sz w:val="31"/>
          <w:szCs w:val="31"/>
          <w:lang w:eastAsia="zh-CN"/>
        </w:rPr>
      </w:pPr>
      <w:r>
        <w:rPr>
          <w:rFonts w:ascii="仿宋" w:hAnsi="仿宋" w:eastAsia="仿宋" w:cs="仿宋"/>
          <w:b/>
          <w:bCs/>
          <w:spacing w:val="6"/>
          <w:sz w:val="31"/>
          <w:szCs w:val="31"/>
        </w:rPr>
        <w:t>代理机构：</w:t>
      </w:r>
      <w:r>
        <w:rPr>
          <w:rFonts w:hint="eastAsia" w:ascii="仿宋" w:hAnsi="仿宋" w:eastAsia="仿宋" w:cs="仿宋"/>
          <w:b/>
          <w:bCs/>
          <w:spacing w:val="6"/>
          <w:sz w:val="31"/>
          <w:szCs w:val="31"/>
          <w:lang w:eastAsia="zh-CN"/>
        </w:rPr>
        <w:t>山西鸿源项目管理咨询服务有限公司</w:t>
      </w:r>
    </w:p>
    <w:p w14:paraId="62B26C87">
      <w:pPr>
        <w:spacing w:before="1" w:line="227" w:lineRule="auto"/>
        <w:jc w:val="both"/>
        <w:rPr>
          <w:rFonts w:ascii="仿宋" w:hAnsi="仿宋" w:eastAsia="仿宋" w:cs="仿宋"/>
          <w:b/>
          <w:bCs/>
          <w:spacing w:val="-4"/>
          <w:sz w:val="31"/>
          <w:szCs w:val="31"/>
        </w:rPr>
      </w:pPr>
    </w:p>
    <w:p w14:paraId="6A7C1CFA">
      <w:pPr>
        <w:spacing w:before="1" w:line="227" w:lineRule="auto"/>
        <w:jc w:val="center"/>
        <w:rPr>
          <w:rFonts w:ascii="仿宋" w:hAnsi="仿宋" w:eastAsia="仿宋" w:cs="仿宋"/>
          <w:sz w:val="31"/>
          <w:szCs w:val="31"/>
        </w:rPr>
      </w:pPr>
      <w:r>
        <w:rPr>
          <w:rFonts w:ascii="仿宋" w:hAnsi="仿宋" w:eastAsia="仿宋" w:cs="仿宋"/>
          <w:b/>
          <w:bCs/>
          <w:spacing w:val="-4"/>
          <w:sz w:val="31"/>
          <w:szCs w:val="31"/>
        </w:rPr>
        <w:t>日</w:t>
      </w: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期：二〇二</w:t>
      </w:r>
      <w:r>
        <w:rPr>
          <w:rFonts w:hint="eastAsia" w:ascii="仿宋" w:hAnsi="仿宋" w:eastAsia="仿宋" w:cs="仿宋"/>
          <w:b/>
          <w:bCs/>
          <w:spacing w:val="-4"/>
          <w:sz w:val="31"/>
          <w:szCs w:val="31"/>
          <w:lang w:eastAsia="zh-CN"/>
        </w:rPr>
        <w:t>六</w:t>
      </w:r>
      <w:r>
        <w:rPr>
          <w:rFonts w:ascii="仿宋" w:hAnsi="仿宋" w:eastAsia="仿宋" w:cs="仿宋"/>
          <w:b/>
          <w:bCs/>
          <w:spacing w:val="-4"/>
          <w:sz w:val="31"/>
          <w:szCs w:val="31"/>
        </w:rPr>
        <w:t>年</w:t>
      </w:r>
      <w:r>
        <w:rPr>
          <w:rFonts w:hint="eastAsia" w:ascii="仿宋" w:hAnsi="仿宋" w:eastAsia="仿宋" w:cs="仿宋"/>
          <w:b/>
          <w:bCs/>
          <w:spacing w:val="-4"/>
          <w:sz w:val="31"/>
          <w:szCs w:val="31"/>
          <w:lang w:val="en-US" w:eastAsia="zh-CN"/>
        </w:rPr>
        <w:t>五</w:t>
      </w:r>
      <w:r>
        <w:rPr>
          <w:rFonts w:ascii="仿宋" w:hAnsi="仿宋" w:eastAsia="仿宋" w:cs="仿宋"/>
          <w:b/>
          <w:bCs/>
          <w:spacing w:val="-4"/>
          <w:sz w:val="31"/>
          <w:szCs w:val="31"/>
        </w:rPr>
        <w:t>月</w:t>
      </w:r>
    </w:p>
    <w:p w14:paraId="4FE90ABC">
      <w:pPr>
        <w:spacing w:line="360" w:lineRule="auto"/>
        <w:jc w:val="center"/>
        <w:rPr>
          <w:rFonts w:ascii="仿宋" w:hAnsi="仿宋" w:eastAsia="仿宋" w:cs="仿宋"/>
          <w:b/>
          <w:bCs/>
          <w:sz w:val="44"/>
          <w:szCs w:val="44"/>
          <w:highlight w:val="none"/>
        </w:rPr>
        <w:sectPr>
          <w:footerReference r:id="rId3" w:type="default"/>
          <w:pgSz w:w="11906" w:h="16838"/>
          <w:pgMar w:top="1440" w:right="1800" w:bottom="1440" w:left="1800" w:header="851" w:footer="992" w:gutter="0"/>
          <w:cols w:space="425" w:num="1"/>
          <w:docGrid w:type="lines" w:linePitch="312" w:charSpace="0"/>
        </w:sectPr>
      </w:pPr>
    </w:p>
    <w:p w14:paraId="4C4E99E2">
      <w:pPr>
        <w:spacing w:line="36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目  录</w:t>
      </w:r>
    </w:p>
    <w:p w14:paraId="787E4DC8">
      <w:pPr>
        <w:pStyle w:val="12"/>
        <w:rPr>
          <w:rFonts w:ascii="仿宋" w:hAnsi="仿宋" w:eastAsia="仿宋" w:cs="仿宋"/>
          <w:b/>
          <w:bCs/>
          <w:sz w:val="44"/>
          <w:szCs w:val="44"/>
          <w:highlight w:val="none"/>
        </w:rPr>
      </w:pPr>
    </w:p>
    <w:p w14:paraId="3A2F7243">
      <w:pPr>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TOC \o "1-3" \h \z \u </w:instrText>
      </w:r>
      <w:r>
        <w:rPr>
          <w:rFonts w:hint="eastAsia" w:ascii="仿宋" w:hAnsi="仿宋" w:eastAsia="仿宋" w:cs="仿宋"/>
          <w:sz w:val="28"/>
          <w:szCs w:val="28"/>
          <w:highlight w:val="none"/>
        </w:rPr>
        <w:fldChar w:fldCharType="separate"/>
      </w:r>
    </w:p>
    <w:sdt>
      <w:sdtPr>
        <w:rPr>
          <w:rFonts w:ascii="宋体" w:hAnsi="宋体" w:eastAsia="宋体" w:cs="Times New Roman"/>
          <w:kern w:val="2"/>
          <w:sz w:val="21"/>
          <w:szCs w:val="24"/>
          <w:lang w:val="en-US" w:eastAsia="zh-CN" w:bidi="ar-SA"/>
        </w:rPr>
        <w:id w:val="147483240"/>
        <w15:color w:val="DBDBDB"/>
        <w:docPartObj>
          <w:docPartGallery w:val="Table of Contents"/>
          <w:docPartUnique/>
        </w:docPartObj>
      </w:sdtPr>
      <w:sdtEndPr>
        <w:rPr>
          <w:rFonts w:hint="eastAsia" w:ascii="仿宋" w:hAnsi="仿宋" w:eastAsia="仿宋" w:cs="仿宋"/>
          <w:kern w:val="2"/>
          <w:sz w:val="32"/>
          <w:szCs w:val="32"/>
          <w:highlight w:val="none"/>
          <w:lang w:val="en-US" w:eastAsia="zh-CN" w:bidi="ar-SA"/>
        </w:rPr>
      </w:sdtEndPr>
      <w:sdtContent>
        <w:p w14:paraId="01B48710">
          <w:pPr>
            <w:spacing w:before="0" w:beforeLines="0" w:after="0" w:afterLines="0" w:line="240" w:lineRule="auto"/>
            <w:ind w:left="0" w:leftChars="0" w:right="0" w:rightChars="0" w:firstLine="0" w:firstLineChars="0"/>
            <w:jc w:val="center"/>
          </w:pPr>
        </w:p>
        <w:p w14:paraId="25C89EF9">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TOC \o "1-1" \h \u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_Toc19421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第一</w:t>
          </w:r>
          <w:r>
            <w:rPr>
              <w:rFonts w:hint="eastAsia" w:ascii="仿宋" w:hAnsi="仿宋" w:eastAsia="仿宋" w:cs="仿宋"/>
              <w:sz w:val="32"/>
              <w:szCs w:val="32"/>
              <w:lang w:eastAsia="zh-CN"/>
            </w:rPr>
            <w:t>章</w:t>
          </w:r>
          <w:r>
            <w:rPr>
              <w:rFonts w:hint="eastAsia" w:ascii="仿宋" w:hAnsi="仿宋" w:eastAsia="仿宋" w:cs="仿宋"/>
              <w:sz w:val="32"/>
              <w:szCs w:val="32"/>
            </w:rPr>
            <w:t xml:space="preserve">  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_Toc19421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113B7D59">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_Toc25939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第二</w:t>
          </w:r>
          <w:r>
            <w:rPr>
              <w:rFonts w:hint="eastAsia" w:ascii="仿宋" w:hAnsi="仿宋" w:eastAsia="仿宋" w:cs="仿宋"/>
              <w:sz w:val="32"/>
              <w:szCs w:val="32"/>
              <w:lang w:eastAsia="zh-CN"/>
            </w:rPr>
            <w:t>章</w:t>
          </w:r>
          <w:r>
            <w:rPr>
              <w:rFonts w:hint="eastAsia" w:ascii="仿宋" w:hAnsi="仿宋" w:eastAsia="仿宋" w:cs="仿宋"/>
              <w:sz w:val="32"/>
              <w:szCs w:val="32"/>
            </w:rPr>
            <w:t xml:space="preserve">  供应商须知前附表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_Toc25939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27126172">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_Toc12671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三章</w:t>
          </w:r>
          <w:r>
            <w:rPr>
              <w:rFonts w:hint="eastAsia" w:ascii="仿宋" w:hAnsi="仿宋" w:eastAsia="仿宋" w:cs="仿宋"/>
              <w:sz w:val="32"/>
              <w:szCs w:val="32"/>
            </w:rPr>
            <w:t xml:space="preserve">  评审方法和标准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_Toc12671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60346856">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_Toc14528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bCs/>
              <w:spacing w:val="-11"/>
              <w:sz w:val="32"/>
              <w:szCs w:val="32"/>
            </w:rPr>
            <w:t>第四章</w:t>
          </w:r>
          <w:r>
            <w:rPr>
              <w:rFonts w:hint="eastAsia" w:ascii="仿宋" w:hAnsi="仿宋" w:eastAsia="仿宋" w:cs="仿宋"/>
              <w:spacing w:val="13"/>
              <w:sz w:val="32"/>
              <w:szCs w:val="32"/>
            </w:rPr>
            <w:t xml:space="preserve">  </w:t>
          </w:r>
          <w:r>
            <w:rPr>
              <w:rFonts w:hint="eastAsia" w:ascii="仿宋" w:hAnsi="仿宋" w:eastAsia="仿宋" w:cs="仿宋"/>
              <w:bCs/>
              <w:spacing w:val="-11"/>
              <w:sz w:val="32"/>
              <w:szCs w:val="32"/>
            </w:rPr>
            <w:t>采购需求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_Toc14528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32DE4D73">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_Toc32610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五章</w:t>
          </w:r>
          <w:r>
            <w:rPr>
              <w:rFonts w:hint="eastAsia" w:ascii="仿宋" w:hAnsi="仿宋" w:eastAsia="仿宋" w:cs="仿宋"/>
              <w:sz w:val="32"/>
              <w:szCs w:val="32"/>
            </w:rPr>
            <w:t xml:space="preserve">  合同文本（参考文本）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_Toc32610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7EC80918">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_Toc30529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六章</w:t>
          </w:r>
          <w:r>
            <w:rPr>
              <w:rFonts w:hint="eastAsia" w:ascii="仿宋" w:hAnsi="仿宋" w:eastAsia="仿宋" w:cs="仿宋"/>
              <w:sz w:val="32"/>
              <w:szCs w:val="32"/>
            </w:rPr>
            <w:t>　响应文件格式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_Toc30529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6113EE0E">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fldChar w:fldCharType="end"/>
          </w:r>
        </w:p>
      </w:sdtContent>
    </w:sdt>
    <w:p w14:paraId="378ACA98">
      <w:pPr>
        <w:rPr>
          <w:rFonts w:hint="eastAsia" w:ascii="仿宋" w:hAnsi="仿宋" w:eastAsia="仿宋" w:cs="仿宋"/>
          <w:kern w:val="2"/>
          <w:sz w:val="21"/>
          <w:szCs w:val="28"/>
          <w:highlight w:val="none"/>
          <w:lang w:val="en-US" w:eastAsia="zh-CN" w:bidi="ar-SA"/>
        </w:rPr>
      </w:pPr>
    </w:p>
    <w:p w14:paraId="33F3D362">
      <w:pPr>
        <w:pStyle w:val="19"/>
        <w:tabs>
          <w:tab w:val="right" w:leader="dot" w:pos="8947"/>
        </w:tabs>
        <w:spacing w:line="360" w:lineRule="auto"/>
        <w:rPr>
          <w:rFonts w:ascii="仿宋" w:hAnsi="仿宋" w:eastAsia="仿宋" w:cstheme="minorBidi"/>
          <w:sz w:val="28"/>
          <w:szCs w:val="28"/>
          <w:highlight w:val="none"/>
        </w:rPr>
      </w:pPr>
    </w:p>
    <w:p w14:paraId="1ABD58A6">
      <w:pPr>
        <w:spacing w:line="360" w:lineRule="auto"/>
        <w:jc w:val="center"/>
        <w:rPr>
          <w:rFonts w:ascii="仿宋" w:hAnsi="仿宋" w:eastAsia="仿宋" w:cs="仿宋"/>
          <w:szCs w:val="28"/>
          <w:highlight w:val="none"/>
        </w:rPr>
      </w:pPr>
      <w:r>
        <w:rPr>
          <w:rFonts w:hint="eastAsia" w:ascii="仿宋" w:hAnsi="仿宋" w:eastAsia="仿宋" w:cs="仿宋"/>
          <w:sz w:val="28"/>
          <w:szCs w:val="28"/>
          <w:highlight w:val="none"/>
        </w:rPr>
        <w:fldChar w:fldCharType="end"/>
      </w:r>
    </w:p>
    <w:p w14:paraId="69B4045C">
      <w:pPr>
        <w:pStyle w:val="3"/>
        <w:jc w:val="center"/>
        <w:rPr>
          <w:rFonts w:ascii="仿宋" w:hAnsi="仿宋" w:eastAsia="仿宋"/>
          <w:sz w:val="36"/>
          <w:szCs w:val="36"/>
          <w:highlight w:val="none"/>
        </w:rPr>
        <w:sectPr>
          <w:footerReference r:id="rId4" w:type="default"/>
          <w:pgSz w:w="11905" w:h="16838"/>
          <w:pgMar w:top="1735" w:right="1417" w:bottom="1863" w:left="1531" w:header="850" w:footer="992" w:gutter="0"/>
          <w:pgNumType w:fmt="decimal" w:start="1"/>
          <w:cols w:space="0" w:num="1"/>
          <w:docGrid w:linePitch="312" w:charSpace="0"/>
        </w:sectPr>
      </w:pPr>
      <w:bookmarkStart w:id="0" w:name="_Toc104232614"/>
    </w:p>
    <w:p w14:paraId="525B21EF">
      <w:pPr>
        <w:pStyle w:val="2"/>
        <w:numPr>
          <w:ilvl w:val="0"/>
          <w:numId w:val="0"/>
        </w:numPr>
        <w:tabs>
          <w:tab w:val="clear" w:pos="432"/>
        </w:tabs>
        <w:bidi w:val="0"/>
        <w:ind w:left="0" w:leftChars="0" w:firstLine="0" w:firstLineChars="0"/>
      </w:pPr>
      <w:bookmarkStart w:id="1" w:name="_Toc14832"/>
      <w:bookmarkStart w:id="2" w:name="_Toc19421"/>
      <w:r>
        <w:rPr>
          <w:rFonts w:hint="eastAsia"/>
        </w:rPr>
        <w:t>第一</w:t>
      </w:r>
      <w:r>
        <w:rPr>
          <w:rFonts w:hint="eastAsia"/>
          <w:lang w:eastAsia="zh-CN"/>
        </w:rPr>
        <w:t>章</w:t>
      </w:r>
      <w:r>
        <w:rPr>
          <w:rFonts w:hint="eastAsia"/>
        </w:rPr>
        <w:t xml:space="preserve">  磋商公告</w:t>
      </w:r>
      <w:bookmarkEnd w:id="0"/>
      <w:bookmarkEnd w:id="1"/>
      <w:bookmarkEnd w:id="2"/>
    </w:p>
    <w:tbl>
      <w:tblPr>
        <w:tblStyle w:val="78"/>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5860921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7" w:hRule="atLeast"/>
        </w:trPr>
        <w:tc>
          <w:tcPr>
            <w:tcW w:w="9246" w:type="dxa"/>
            <w:vAlign w:val="top"/>
          </w:tcPr>
          <w:p w14:paraId="688BC50F">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bookmarkStart w:id="3" w:name="_Toc28359012"/>
            <w:bookmarkStart w:id="4" w:name="_Toc28359089"/>
            <w:bookmarkStart w:id="5" w:name="_Toc35393629"/>
            <w:bookmarkStart w:id="6" w:name="_Toc35393798"/>
            <w:r>
              <w:rPr>
                <w:rFonts w:hint="eastAsia" w:ascii="仿宋" w:hAnsi="仿宋" w:eastAsia="仿宋" w:cs="仿宋"/>
                <w:b/>
                <w:bCs/>
                <w:sz w:val="24"/>
                <w:szCs w:val="24"/>
                <w:highlight w:val="none"/>
                <w:lang w:val="en-US" w:eastAsia="en-US"/>
              </w:rPr>
              <w:t>项目概况</w:t>
            </w:r>
          </w:p>
          <w:p w14:paraId="2297CE7C">
            <w:pPr>
              <w:pStyle w:val="77"/>
              <w:keepNext w:val="0"/>
              <w:keepLines w:val="0"/>
              <w:pageBreakBefore w:val="0"/>
              <w:wordWrap/>
              <w:overflowPunct/>
              <w:topLinePunct w:val="0"/>
              <w:bidi w:val="0"/>
              <w:spacing w:line="460" w:lineRule="exact"/>
              <w:ind w:left="0" w:leftChars="0" w:right="0" w:firstLine="468" w:firstLineChars="200"/>
              <w:rPr>
                <w:rFonts w:hint="eastAsia" w:ascii="仿宋" w:hAnsi="仿宋" w:eastAsia="仿宋" w:cs="仿宋"/>
                <w:sz w:val="24"/>
                <w:szCs w:val="24"/>
              </w:rPr>
            </w:pPr>
            <w:r>
              <w:rPr>
                <w:rFonts w:hint="eastAsia" w:cs="仿宋"/>
                <w:snapToGrid w:val="0"/>
                <w:color w:val="000000"/>
                <w:spacing w:val="-3"/>
                <w:kern w:val="0"/>
                <w:sz w:val="24"/>
                <w:szCs w:val="24"/>
                <w:highlight w:val="none"/>
                <w:u w:val="single"/>
                <w:lang w:val="en-US" w:eastAsia="zh-CN" w:bidi="ar-SA"/>
              </w:rPr>
              <w:t>孝义市</w:t>
            </w:r>
            <w:r>
              <w:rPr>
                <w:rFonts w:hint="eastAsia" w:ascii="仿宋" w:hAnsi="仿宋" w:eastAsia="仿宋" w:cs="仿宋"/>
                <w:snapToGrid w:val="0"/>
                <w:color w:val="000000"/>
                <w:spacing w:val="-3"/>
                <w:kern w:val="0"/>
                <w:sz w:val="24"/>
                <w:szCs w:val="24"/>
                <w:highlight w:val="none"/>
                <w:u w:val="single"/>
                <w:lang w:val="en-US" w:eastAsia="en-US" w:bidi="ar-SA"/>
              </w:rPr>
              <w:t>2026年高素质农民培育</w:t>
            </w:r>
            <w:r>
              <w:rPr>
                <w:rFonts w:hint="eastAsia" w:ascii="仿宋" w:hAnsi="仿宋" w:eastAsia="仿宋" w:cs="仿宋"/>
                <w:snapToGrid w:val="0"/>
                <w:color w:val="000000"/>
                <w:spacing w:val="-3"/>
                <w:kern w:val="0"/>
                <w:sz w:val="24"/>
                <w:szCs w:val="24"/>
                <w:highlight w:val="none"/>
                <w:lang w:val="en-US" w:eastAsia="en-US" w:bidi="ar-SA"/>
              </w:rPr>
              <w:t>的潜在供应商应通过山西省政府采购网-政府采购云平台获取电子文件，并于</w:t>
            </w:r>
            <w:r>
              <w:rPr>
                <w:rFonts w:hint="eastAsia" w:ascii="仿宋" w:hAnsi="仿宋" w:eastAsia="仿宋" w:cs="仿宋"/>
                <w:spacing w:val="-2"/>
                <w:sz w:val="24"/>
                <w:szCs w:val="24"/>
                <w:highlight w:val="none"/>
                <w:lang w:val="en-US" w:eastAsia="zh-CN"/>
              </w:rPr>
              <w:t>2026年</w:t>
            </w:r>
            <w:r>
              <w:rPr>
                <w:rFonts w:hint="eastAsia" w:cs="仿宋"/>
                <w:spacing w:val="-2"/>
                <w:sz w:val="24"/>
                <w:szCs w:val="24"/>
                <w:highlight w:val="none"/>
                <w:lang w:val="en-US" w:eastAsia="zh-CN"/>
              </w:rPr>
              <w:t>6月3</w:t>
            </w:r>
            <w:r>
              <w:rPr>
                <w:rFonts w:hint="eastAsia" w:ascii="仿宋" w:hAnsi="仿宋" w:eastAsia="仿宋" w:cs="仿宋"/>
                <w:spacing w:val="-2"/>
                <w:sz w:val="24"/>
                <w:szCs w:val="24"/>
                <w:highlight w:val="none"/>
                <w:lang w:val="en-US" w:eastAsia="zh-CN"/>
              </w:rPr>
              <w:t>日</w:t>
            </w:r>
            <w:r>
              <w:rPr>
                <w:rFonts w:hint="eastAsia" w:cs="仿宋"/>
                <w:spacing w:val="-2"/>
                <w:sz w:val="24"/>
                <w:szCs w:val="24"/>
                <w:highlight w:val="none"/>
                <w:lang w:val="en-US" w:eastAsia="zh-CN"/>
              </w:rPr>
              <w:t>下午15</w:t>
            </w:r>
            <w:r>
              <w:rPr>
                <w:rFonts w:hint="eastAsia" w:ascii="仿宋" w:hAnsi="仿宋" w:eastAsia="仿宋" w:cs="仿宋"/>
                <w:spacing w:val="-2"/>
                <w:sz w:val="24"/>
                <w:szCs w:val="24"/>
                <w:highlight w:val="none"/>
                <w:lang w:val="en-US" w:eastAsia="zh-CN"/>
              </w:rPr>
              <w:t>时</w:t>
            </w:r>
            <w:r>
              <w:rPr>
                <w:rFonts w:hint="eastAsia" w:cs="仿宋"/>
                <w:spacing w:val="-2"/>
                <w:sz w:val="24"/>
                <w:szCs w:val="24"/>
                <w:highlight w:val="none"/>
                <w:lang w:val="en-US" w:eastAsia="zh-CN"/>
              </w:rPr>
              <w:t>00</w:t>
            </w:r>
            <w:r>
              <w:rPr>
                <w:rFonts w:hint="eastAsia" w:ascii="仿宋" w:hAnsi="仿宋" w:eastAsia="仿宋" w:cs="仿宋"/>
                <w:spacing w:val="-2"/>
                <w:sz w:val="24"/>
                <w:szCs w:val="24"/>
                <w:highlight w:val="none"/>
                <w:lang w:val="en-US" w:eastAsia="zh-CN"/>
              </w:rPr>
              <w:t>分</w:t>
            </w:r>
            <w:r>
              <w:rPr>
                <w:rFonts w:hint="eastAsia" w:ascii="仿宋" w:hAnsi="仿宋" w:eastAsia="仿宋" w:cs="仿宋"/>
                <w:snapToGrid w:val="0"/>
                <w:color w:val="000000"/>
                <w:spacing w:val="-3"/>
                <w:kern w:val="0"/>
                <w:sz w:val="24"/>
                <w:szCs w:val="24"/>
                <w:highlight w:val="none"/>
                <w:lang w:val="en-US" w:eastAsia="en-US" w:bidi="ar-SA"/>
              </w:rPr>
              <w:t>（北京时间）前提交响应文件。</w:t>
            </w:r>
          </w:p>
        </w:tc>
      </w:tr>
    </w:tbl>
    <w:p w14:paraId="532974EA">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一、项目基本情况</w:t>
      </w:r>
      <w:bookmarkEnd w:id="3"/>
      <w:bookmarkEnd w:id="4"/>
      <w:bookmarkEnd w:id="5"/>
      <w:bookmarkEnd w:id="6"/>
    </w:p>
    <w:p w14:paraId="738728BA">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bookmarkStart w:id="7" w:name="_Toc28359013"/>
      <w:bookmarkStart w:id="8" w:name="_Toc28359090"/>
      <w:bookmarkStart w:id="9" w:name="_Toc35393799"/>
      <w:bookmarkStart w:id="10" w:name="_Toc35393630"/>
      <w:r>
        <w:rPr>
          <w:rFonts w:hint="eastAsia" w:ascii="仿宋" w:hAnsi="仿宋" w:eastAsia="仿宋" w:cs="仿宋"/>
          <w:kern w:val="0"/>
          <w:sz w:val="24"/>
          <w:szCs w:val="24"/>
          <w:highlight w:val="none"/>
        </w:rPr>
        <w:t>1.项目编号：</w:t>
      </w:r>
      <w:r>
        <w:rPr>
          <w:rFonts w:hint="eastAsia" w:ascii="仿宋" w:hAnsi="仿宋" w:eastAsia="仿宋" w:cs="仿宋"/>
          <w:kern w:val="0"/>
          <w:sz w:val="24"/>
          <w:szCs w:val="24"/>
          <w:highlight w:val="none"/>
          <w:lang w:val="en-US" w:eastAsia="zh-CN"/>
        </w:rPr>
        <w:t>1411812026CCS00089</w:t>
      </w:r>
    </w:p>
    <w:p w14:paraId="768B05CA">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2.项目名称：</w:t>
      </w:r>
      <w:r>
        <w:rPr>
          <w:rFonts w:hint="eastAsia" w:ascii="仿宋" w:hAnsi="仿宋" w:eastAsia="仿宋" w:cs="仿宋"/>
          <w:kern w:val="0"/>
          <w:sz w:val="24"/>
          <w:szCs w:val="24"/>
          <w:highlight w:val="none"/>
          <w:lang w:eastAsia="zh-CN"/>
        </w:rPr>
        <w:t>孝义市2026年高素质农民培育</w:t>
      </w:r>
    </w:p>
    <w:p w14:paraId="33017D15">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3.采购方式：竞争性磋商</w:t>
      </w:r>
    </w:p>
    <w:p w14:paraId="72B90CF9">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4.预算金额：510000.00元，本项目分三包，包一：170000元；包二：170000元；包三：170000元。</w:t>
      </w:r>
    </w:p>
    <w:p w14:paraId="03B61587">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最高限价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510000.00元，本项目分三包，包一：170000元；包二：170000元；包三：170000元。</w:t>
      </w:r>
    </w:p>
    <w:p w14:paraId="56828FB5">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.项目概况：</w:t>
      </w:r>
      <w:r>
        <w:rPr>
          <w:rFonts w:hint="eastAsia" w:ascii="仿宋" w:hAnsi="仿宋" w:eastAsia="仿宋" w:cs="仿宋"/>
          <w:kern w:val="0"/>
          <w:sz w:val="24"/>
          <w:szCs w:val="24"/>
          <w:highlight w:val="none"/>
          <w:lang w:val="en-US" w:eastAsia="zh-CN"/>
        </w:rPr>
        <w:t>根据《山西省农业农村厅关于提前下达2026年中央农业相关转移支付资金使用计划及任务清单的通知》(晋农函【2025】319号)、《吕梁市市农业农村局关于印发吕梁市2026年高素质农民培育工作(提前批次)实施方案的通知》(吕农发【2026】4号)要求，孝义市下达高素质农民培育，前半年开展粮油和重要农产品生产经营主体培育150人，要求6月底前完成培训。</w:t>
      </w:r>
    </w:p>
    <w:p w14:paraId="1969C60A">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注：所有采购服务内容各项标准应当符合国家强制性标准，具体响应范围、服务范围及所应达到的具体要求，以本</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文件中商务、技术和服务的相应规定为准。</w:t>
      </w:r>
    </w:p>
    <w:p w14:paraId="40953E18">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w:t>
      </w:r>
      <w:r>
        <w:rPr>
          <w:rFonts w:hint="eastAsia" w:ascii="仿宋" w:hAnsi="仿宋" w:eastAsia="仿宋" w:cs="仿宋"/>
          <w:spacing w:val="-3"/>
          <w:sz w:val="24"/>
          <w:szCs w:val="24"/>
          <w:highlight w:val="none"/>
        </w:rPr>
        <w:t>采购需求</w:t>
      </w:r>
      <w:r>
        <w:rPr>
          <w:rFonts w:hint="eastAsia" w:ascii="仿宋" w:hAnsi="仿宋" w:eastAsia="仿宋" w:cs="仿宋"/>
          <w:spacing w:val="-3"/>
          <w:sz w:val="24"/>
          <w:szCs w:val="24"/>
          <w:highlight w:val="none"/>
          <w:lang w:eastAsia="zh-CN"/>
        </w:rPr>
        <w:t>：</w:t>
      </w:r>
      <w:r>
        <w:rPr>
          <w:rFonts w:hint="eastAsia" w:ascii="仿宋" w:hAnsi="仿宋" w:eastAsia="仿宋" w:cs="仿宋"/>
          <w:kern w:val="0"/>
          <w:sz w:val="24"/>
          <w:szCs w:val="24"/>
          <w:highlight w:val="none"/>
          <w:lang w:val="en-US" w:eastAsia="zh-CN"/>
        </w:rPr>
        <w:t>本项目分两个包，包一：玉米种植：培育人数50人；包二：设施蔬菜种植：培育人数50人；包三：小麦种植：培育人数50人。具体采购范围及所达到的具体要求，以本磋商文件中第四章“采购需求 ”为准；</w:t>
      </w:r>
    </w:p>
    <w:p w14:paraId="0FFA8C57">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8.合同履约期限（服务期限）：签订合同后至2026年6月底完成培训任务及资料归档；</w:t>
      </w:r>
    </w:p>
    <w:p w14:paraId="2A37B64B">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9.服务地点：供应商提供的培育场地； </w:t>
      </w:r>
    </w:p>
    <w:p w14:paraId="7BAD3F73">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10.本项目（是/否）接受联合体：否。</w:t>
      </w:r>
    </w:p>
    <w:p w14:paraId="12C40B32">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7"/>
      <w:bookmarkEnd w:id="8"/>
      <w:bookmarkEnd w:id="9"/>
      <w:bookmarkEnd w:id="10"/>
    </w:p>
    <w:p w14:paraId="0D2DF19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bookmarkStart w:id="11" w:name="_Toc35393631"/>
      <w:bookmarkStart w:id="12" w:name="_Toc28359014"/>
      <w:bookmarkStart w:id="13" w:name="_Toc28359091"/>
      <w:bookmarkStart w:id="14" w:name="_Toc35393800"/>
      <w:r>
        <w:rPr>
          <w:rFonts w:hint="eastAsia" w:ascii="仿宋" w:hAnsi="仿宋" w:eastAsia="仿宋" w:cs="仿宋"/>
          <w:spacing w:val="-1"/>
          <w:sz w:val="24"/>
          <w:szCs w:val="24"/>
        </w:rPr>
        <w:t>1、满足《中华人民共和国政府采购法》第二十二条规定；</w:t>
      </w:r>
    </w:p>
    <w:p w14:paraId="6C6DA04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1.1具有独立承担民事责任的能力；</w:t>
      </w:r>
    </w:p>
    <w:p w14:paraId="099EC6D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1.2具有良好的商业信誉和健全的财务会计制度；</w:t>
      </w:r>
    </w:p>
    <w:p w14:paraId="119A7D7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1.3具有履行合同所必需的设备和专业技术能力；</w:t>
      </w:r>
    </w:p>
    <w:p w14:paraId="2EFBE72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1.4有依法缴纳税收和</w:t>
      </w:r>
      <w:r>
        <w:rPr>
          <w:rFonts w:hint="eastAsia" w:ascii="仿宋" w:hAnsi="仿宋" w:eastAsia="仿宋" w:cs="仿宋"/>
          <w:spacing w:val="-1"/>
          <w:sz w:val="24"/>
          <w:szCs w:val="24"/>
          <w:u w:val="none"/>
        </w:rPr>
        <w:t>社会保障资金</w:t>
      </w:r>
      <w:r>
        <w:rPr>
          <w:rFonts w:hint="eastAsia" w:ascii="仿宋" w:hAnsi="仿宋" w:eastAsia="仿宋" w:cs="仿宋"/>
          <w:spacing w:val="-1"/>
          <w:sz w:val="24"/>
          <w:szCs w:val="24"/>
        </w:rPr>
        <w:t>的良好记录；</w:t>
      </w:r>
    </w:p>
    <w:p w14:paraId="741E1A1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1.5参加本次政府采购活动</w:t>
      </w:r>
      <w:r>
        <w:rPr>
          <w:rFonts w:hint="eastAsia" w:ascii="仿宋" w:hAnsi="仿宋" w:eastAsia="仿宋" w:cs="仿宋"/>
          <w:spacing w:val="-1"/>
          <w:sz w:val="24"/>
          <w:szCs w:val="24"/>
          <w:lang w:eastAsia="zh-CN"/>
        </w:rPr>
        <w:t>近三年</w:t>
      </w:r>
      <w:r>
        <w:rPr>
          <w:rFonts w:hint="eastAsia" w:ascii="仿宋" w:hAnsi="仿宋" w:eastAsia="仿宋" w:cs="仿宋"/>
          <w:spacing w:val="-1"/>
          <w:sz w:val="24"/>
          <w:szCs w:val="24"/>
        </w:rPr>
        <w:t>内，在经营活动中没有重大违法记录；</w:t>
      </w:r>
    </w:p>
    <w:p w14:paraId="16D58B2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1.6法律、行政法规规定的其他条件。</w:t>
      </w:r>
    </w:p>
    <w:p w14:paraId="5547454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2、落实政府采购政策需满足的资格要求：本项目为专门面向中小企业采购的项目，供应商须为中小企业；</w:t>
      </w:r>
    </w:p>
    <w:p w14:paraId="5B529FAE">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3、单位负责人为同一人或者存在直接控股、管理关系的不同供应商，不得参加同一合同项下的政府采购活动；</w:t>
      </w:r>
    </w:p>
    <w:p w14:paraId="30A83F8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4、供应商未被“信用中国”网站（https://www.creditchina.gov.cn/）列入失信被执行人和重大税收违法案件当事人，未被“中国政府采购网”（http://www.ccgp.gov.cn/）列入政府采购严重违法失信⾏为记录名单。</w:t>
      </w:r>
    </w:p>
    <w:p w14:paraId="1B62928E">
      <w:pPr>
        <w:keepNext w:val="0"/>
        <w:keepLines w:val="0"/>
        <w:pageBreakBefore w:val="0"/>
        <w:widowControl/>
        <w:wordWrap/>
        <w:overflowPunct/>
        <w:topLinePunct w:val="0"/>
        <w:bidi w:val="0"/>
        <w:spacing w:line="460" w:lineRule="exact"/>
        <w:ind w:left="0" w:leftChars="0" w:right="0" w:firstLine="476" w:firstLineChars="200"/>
        <w:jc w:val="left"/>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5、本项目的特定资格要求：</w:t>
      </w:r>
      <w:r>
        <w:rPr>
          <w:rFonts w:hint="eastAsia" w:ascii="仿宋" w:hAnsi="仿宋" w:eastAsia="仿宋" w:cs="仿宋"/>
          <w:b/>
          <w:bCs/>
          <w:spacing w:val="-1"/>
          <w:sz w:val="24"/>
          <w:szCs w:val="24"/>
          <w:lang w:val="en-US" w:eastAsia="zh-CN"/>
        </w:rPr>
        <w:t>无</w:t>
      </w:r>
      <w:r>
        <w:rPr>
          <w:rFonts w:hint="eastAsia" w:ascii="仿宋" w:hAnsi="仿宋" w:eastAsia="仿宋" w:cs="仿宋"/>
          <w:b/>
          <w:bCs/>
          <w:sz w:val="24"/>
          <w:szCs w:val="24"/>
          <w:highlight w:val="none"/>
          <w:lang w:val="en-US" w:eastAsia="zh-CN"/>
        </w:rPr>
        <w:t>;</w:t>
      </w:r>
    </w:p>
    <w:p w14:paraId="75AB31F0">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en-US"/>
        </w:rPr>
        <w:t>三、获取</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lang w:val="en-US" w:eastAsia="en-US"/>
        </w:rPr>
        <w:t>文件</w:t>
      </w:r>
    </w:p>
    <w:bookmarkEnd w:id="11"/>
    <w:bookmarkEnd w:id="12"/>
    <w:bookmarkEnd w:id="13"/>
    <w:bookmarkEnd w:id="14"/>
    <w:p w14:paraId="0E2D7195">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highlight w:val="none"/>
        </w:rPr>
      </w:pPr>
      <w:bookmarkStart w:id="15" w:name="_Toc28359092"/>
      <w:bookmarkStart w:id="16" w:name="_Toc35393801"/>
      <w:bookmarkStart w:id="17" w:name="_Toc35393632"/>
      <w:bookmarkStart w:id="18" w:name="_Toc28359015"/>
      <w:r>
        <w:rPr>
          <w:rFonts w:hint="eastAsia" w:ascii="仿宋" w:hAnsi="仿宋" w:eastAsia="仿宋" w:cs="仿宋"/>
          <w:spacing w:val="-1"/>
          <w:sz w:val="24"/>
          <w:szCs w:val="24"/>
          <w:highlight w:val="none"/>
        </w:rPr>
        <w:t>1.时间：</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5月19</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00</w:t>
      </w:r>
      <w:r>
        <w:rPr>
          <w:rFonts w:hint="eastAsia" w:ascii="仿宋" w:hAnsi="仿宋" w:eastAsia="仿宋" w:cs="仿宋"/>
          <w:spacing w:val="-1"/>
          <w:sz w:val="24"/>
          <w:szCs w:val="24"/>
          <w:highlight w:val="none"/>
          <w:u w:val="single"/>
        </w:rPr>
        <w:t>时00分00秒</w:t>
      </w:r>
      <w:r>
        <w:rPr>
          <w:rFonts w:hint="eastAsia" w:ascii="仿宋" w:hAnsi="仿宋" w:eastAsia="仿宋" w:cs="仿宋"/>
          <w:spacing w:val="-1"/>
          <w:sz w:val="24"/>
          <w:szCs w:val="24"/>
          <w:highlight w:val="none"/>
        </w:rPr>
        <w:t>至</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5月26</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23</w:t>
      </w:r>
      <w:r>
        <w:rPr>
          <w:rFonts w:hint="eastAsia" w:ascii="仿宋" w:hAnsi="仿宋" w:eastAsia="仿宋" w:cs="仿宋"/>
          <w:spacing w:val="-1"/>
          <w:sz w:val="24"/>
          <w:szCs w:val="24"/>
          <w:highlight w:val="none"/>
          <w:u w:val="single"/>
        </w:rPr>
        <w:t>时</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分</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秒</w:t>
      </w:r>
      <w:r>
        <w:rPr>
          <w:rFonts w:hint="eastAsia" w:ascii="仿宋" w:hAnsi="仿宋" w:eastAsia="仿宋" w:cs="仿宋"/>
          <w:spacing w:val="-1"/>
          <w:sz w:val="24"/>
          <w:szCs w:val="24"/>
          <w:highlight w:val="none"/>
        </w:rPr>
        <w:t>（北京时间，法定节假日除外）；</w:t>
      </w:r>
    </w:p>
    <w:p w14:paraId="6DDB544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2.地点：山西省政府采购网（http://www.ccgp-shanxi.gov.cn/home.html）获取电子采购文件。</w:t>
      </w:r>
    </w:p>
    <w:p w14:paraId="7E84659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3.方式：线上获取；</w:t>
      </w:r>
    </w:p>
    <w:p w14:paraId="724A4F8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4.售价（元）：0 元，请按照以下步骤获取磋商文件：</w:t>
      </w:r>
    </w:p>
    <w:p w14:paraId="0517931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（1）在中国政府采购网山西分网完成注册，已完成注册的请跳过此步骤；</w:t>
      </w:r>
    </w:p>
    <w:p w14:paraId="6BF23CF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（2）请于磋商文件获取截止时间前（北京时间，下同），进入山西政府采购平台（</w:t>
      </w: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"https://login.sxzfcg.zcygov.cn/user-login/#/login"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https://login.sxzfcg.zcygov.cn/user-login/#/login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）使用企业数字证书（CA）在网上获取磋商文件。</w:t>
      </w:r>
    </w:p>
    <w:p w14:paraId="3D8BA6B6">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四、响应文件提交</w:t>
      </w:r>
      <w:bookmarkEnd w:id="15"/>
      <w:bookmarkEnd w:id="16"/>
      <w:bookmarkEnd w:id="17"/>
      <w:bookmarkEnd w:id="18"/>
    </w:p>
    <w:p w14:paraId="74782BA5">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pacing w:val="-2"/>
          <w:sz w:val="24"/>
          <w:szCs w:val="24"/>
          <w:highlight w:val="none"/>
        </w:rPr>
      </w:pPr>
      <w:bookmarkStart w:id="19" w:name="_Toc35393802"/>
      <w:bookmarkStart w:id="20" w:name="_Toc28359016"/>
      <w:bookmarkStart w:id="21" w:name="_Toc35393633"/>
      <w:bookmarkStart w:id="22" w:name="_Toc28359093"/>
      <w:r>
        <w:rPr>
          <w:rFonts w:hint="eastAsia" w:ascii="仿宋" w:hAnsi="仿宋" w:eastAsia="仿宋" w:cs="仿宋"/>
          <w:spacing w:val="-2"/>
          <w:sz w:val="24"/>
          <w:szCs w:val="24"/>
          <w:highlight w:val="none"/>
        </w:rPr>
        <w:t>1.截止时间：</w:t>
      </w:r>
      <w:r>
        <w:rPr>
          <w:rFonts w:hint="eastAsia" w:ascii="仿宋" w:hAnsi="仿宋" w:eastAsia="仿宋" w:cs="仿宋"/>
          <w:spacing w:val="-2"/>
          <w:sz w:val="24"/>
          <w:szCs w:val="24"/>
          <w:highlight w:val="none"/>
          <w:lang w:val="en-US" w:eastAsia="zh-CN"/>
        </w:rPr>
        <w:t>2026年6月3日下午15时00分</w:t>
      </w:r>
      <w:r>
        <w:rPr>
          <w:rFonts w:hint="eastAsia" w:ascii="仿宋" w:hAnsi="仿宋" w:eastAsia="仿宋" w:cs="仿宋"/>
          <w:spacing w:val="-2"/>
          <w:sz w:val="24"/>
          <w:szCs w:val="24"/>
          <w:highlight w:val="none"/>
        </w:rPr>
        <w:t>（北京时间）；</w:t>
      </w:r>
    </w:p>
    <w:p w14:paraId="4CA8351E">
      <w:pPr>
        <w:pStyle w:val="23"/>
        <w:keepNext w:val="0"/>
        <w:keepLines w:val="0"/>
        <w:pageBreakBefore w:val="0"/>
        <w:widowControl/>
        <w:wordWrap/>
        <w:overflowPunct/>
        <w:topLinePunct w:val="0"/>
        <w:bidi w:val="0"/>
        <w:spacing w:before="0" w:after="0" w:line="460" w:lineRule="exact"/>
        <w:ind w:left="0" w:leftChars="0" w:right="0" w:firstLine="472"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2.地点：响应文件递交截止时间前在政采云平台响应客户端完成递交（上传），递交截止时间前未完成响应文件上传的，视为撤回响应文件，供应商自行承担责任。</w:t>
      </w:r>
    </w:p>
    <w:bookmarkEnd w:id="19"/>
    <w:bookmarkEnd w:id="20"/>
    <w:bookmarkEnd w:id="21"/>
    <w:bookmarkEnd w:id="22"/>
    <w:p w14:paraId="27D68114">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五、响应文件开启</w:t>
      </w:r>
    </w:p>
    <w:p w14:paraId="3B52C6B3">
      <w:pPr>
        <w:keepNext w:val="0"/>
        <w:keepLines w:val="0"/>
        <w:pageBreakBefore w:val="0"/>
        <w:wordWrap/>
        <w:overflowPunct/>
        <w:topLinePunct w:val="0"/>
        <w:bidi w:val="0"/>
        <w:spacing w:line="460" w:lineRule="exact"/>
        <w:ind w:left="0" w:leftChars="0" w:right="0" w:firstLine="444"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1.时间：</w:t>
      </w:r>
      <w:r>
        <w:rPr>
          <w:rFonts w:hint="eastAsia" w:ascii="仿宋" w:hAnsi="仿宋" w:eastAsia="仿宋" w:cs="仿宋"/>
          <w:spacing w:val="-1"/>
          <w:sz w:val="24"/>
          <w:szCs w:val="24"/>
          <w:highlight w:val="none"/>
          <w:lang w:val="en-US" w:eastAsia="zh-CN"/>
        </w:rPr>
        <w:t>2026年6月3日下午15时00分</w:t>
      </w:r>
      <w:r>
        <w:rPr>
          <w:rFonts w:hint="eastAsia" w:ascii="仿宋" w:hAnsi="仿宋" w:eastAsia="仿宋" w:cs="仿宋"/>
          <w:spacing w:val="-1"/>
          <w:sz w:val="24"/>
          <w:szCs w:val="24"/>
          <w:highlight w:val="none"/>
        </w:rPr>
        <w:t>（北京时间）；</w:t>
      </w:r>
    </w:p>
    <w:p w14:paraId="2D833F70">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2.解密方式：远程解密</w:t>
      </w:r>
    </w:p>
    <w:p w14:paraId="08A7594B">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六、公告期限</w:t>
      </w:r>
    </w:p>
    <w:p w14:paraId="01D6989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自本公告发布之日起5</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个工作日。</w:t>
      </w:r>
    </w:p>
    <w:p w14:paraId="36D96E44">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七、其他补充事宜</w:t>
      </w:r>
    </w:p>
    <w:p w14:paraId="1EAF9B2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针对本项目的质疑需一次性提出，多次提出将不予受理。</w:t>
      </w:r>
    </w:p>
    <w:p w14:paraId="2F70A735">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八、凡对本次采购提出询问，请按以下方式联系</w:t>
      </w:r>
    </w:p>
    <w:p w14:paraId="32E0C788">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z w:val="24"/>
          <w:szCs w:val="24"/>
        </w:rPr>
      </w:pPr>
      <w:r>
        <w:rPr>
          <w:rFonts w:hint="eastAsia" w:ascii="仿宋" w:hAnsi="仿宋" w:eastAsia="仿宋" w:cs="仿宋"/>
          <w:spacing w:val="-4"/>
          <w:sz w:val="24"/>
          <w:szCs w:val="24"/>
        </w:rPr>
        <w:t>1.采购人信息</w:t>
      </w:r>
    </w:p>
    <w:p w14:paraId="2CB0AA0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名    称：孝义市农业农村局</w:t>
      </w:r>
    </w:p>
    <w:p w14:paraId="05B93ACE">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地    址：孝义市迎宾路三农大厦 </w:t>
      </w:r>
    </w:p>
    <w:p w14:paraId="7EBBBE1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联系人：文女士</w:t>
      </w:r>
    </w:p>
    <w:p w14:paraId="622F0742">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联系方式：15</w:t>
      </w:r>
      <w:r>
        <w:rPr>
          <w:rFonts w:hint="eastAsia" w:ascii="仿宋" w:hAnsi="仿宋" w:eastAsia="仿宋" w:cs="仿宋"/>
          <w:spacing w:val="-1"/>
          <w:sz w:val="24"/>
          <w:szCs w:val="24"/>
          <w:lang w:val="en-US" w:eastAsia="zh-CN"/>
        </w:rPr>
        <w:t>065415603</w:t>
      </w:r>
      <w:r>
        <w:rPr>
          <w:rFonts w:hint="eastAsia" w:ascii="仿宋" w:hAnsi="仿宋" w:eastAsia="仿宋" w:cs="仿宋"/>
          <w:spacing w:val="-1"/>
          <w:sz w:val="24"/>
          <w:szCs w:val="24"/>
          <w:lang w:eastAsia="zh-CN"/>
        </w:rPr>
        <w:t xml:space="preserve"> </w:t>
      </w:r>
    </w:p>
    <w:p w14:paraId="7FE46183">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p>
    <w:p w14:paraId="2BC12C7A">
      <w:pPr>
        <w:keepNext w:val="0"/>
        <w:keepLines w:val="0"/>
        <w:pageBreakBefore w:val="0"/>
        <w:wordWrap/>
        <w:overflowPunct/>
        <w:topLinePunct w:val="0"/>
        <w:bidi w:val="0"/>
        <w:spacing w:line="460" w:lineRule="exact"/>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5045CAD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lang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lang w:eastAsia="zh-CN"/>
        </w:rPr>
        <w:t>山西鸿源项目管理咨询服务有限公司</w:t>
      </w:r>
    </w:p>
    <w:p w14:paraId="617C2332">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lang w:eastAsia="zh-CN"/>
        </w:rPr>
      </w:pPr>
      <w:r>
        <w:rPr>
          <w:rFonts w:hint="eastAsia" w:ascii="仿宋" w:hAnsi="仿宋" w:eastAsia="仿宋" w:cs="仿宋"/>
          <w:spacing w:val="-1"/>
          <w:sz w:val="24"/>
          <w:szCs w:val="24"/>
        </w:rPr>
        <w:t>地    址：</w:t>
      </w:r>
      <w:r>
        <w:rPr>
          <w:rFonts w:hint="eastAsia" w:ascii="仿宋" w:hAnsi="仿宋" w:eastAsia="仿宋" w:cs="仿宋"/>
          <w:spacing w:val="-1"/>
          <w:sz w:val="24"/>
          <w:szCs w:val="24"/>
          <w:lang w:eastAsia="zh-CN"/>
        </w:rPr>
        <w:t>山西孝义经济开发区中小企业园三层316房间</w:t>
      </w:r>
    </w:p>
    <w:p w14:paraId="6D06E147">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联系方式：03</w:t>
      </w:r>
      <w:r>
        <w:rPr>
          <w:rFonts w:hint="eastAsia" w:ascii="仿宋" w:hAnsi="仿宋" w:eastAsia="仿宋" w:cs="仿宋"/>
          <w:spacing w:val="-1"/>
          <w:sz w:val="24"/>
          <w:szCs w:val="24"/>
          <w:lang w:val="en-US" w:eastAsia="zh-CN"/>
        </w:rPr>
        <w:t>58-7801555</w:t>
      </w:r>
    </w:p>
    <w:p w14:paraId="5E59AD30">
      <w:pPr>
        <w:pStyle w:val="35"/>
        <w:keepNext w:val="0"/>
        <w:keepLines w:val="0"/>
        <w:pageBreakBefore w:val="0"/>
        <w:wordWrap/>
        <w:overflowPunct/>
        <w:topLinePunct w:val="0"/>
        <w:bidi w:val="0"/>
        <w:spacing w:line="460" w:lineRule="exact"/>
        <w:rPr>
          <w:rFonts w:hint="eastAsia"/>
          <w:lang w:val="en-US" w:eastAsia="zh-CN"/>
        </w:rPr>
      </w:pPr>
    </w:p>
    <w:p w14:paraId="379DF06F">
      <w:pPr>
        <w:keepNext w:val="0"/>
        <w:keepLines w:val="0"/>
        <w:pageBreakBefore w:val="0"/>
        <w:wordWrap/>
        <w:overflowPunct/>
        <w:topLinePunct w:val="0"/>
        <w:bidi w:val="0"/>
        <w:spacing w:line="460" w:lineRule="exact"/>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790E3BF5">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pacing w:val="-4"/>
          <w:sz w:val="24"/>
          <w:szCs w:val="24"/>
          <w:lang w:eastAsia="zh-CN"/>
        </w:rPr>
      </w:pPr>
      <w:r>
        <w:rPr>
          <w:rFonts w:hint="eastAsia" w:ascii="仿宋" w:hAnsi="仿宋" w:eastAsia="仿宋" w:cs="仿宋"/>
          <w:spacing w:val="-4"/>
          <w:sz w:val="24"/>
          <w:szCs w:val="24"/>
        </w:rPr>
        <w:t>项目联系人：</w:t>
      </w:r>
      <w:r>
        <w:rPr>
          <w:rFonts w:hint="eastAsia" w:ascii="仿宋" w:hAnsi="仿宋" w:eastAsia="仿宋" w:cs="仿宋"/>
          <w:spacing w:val="-4"/>
          <w:sz w:val="24"/>
          <w:szCs w:val="24"/>
          <w:lang w:eastAsia="zh-CN"/>
        </w:rPr>
        <w:t>秦女士</w:t>
      </w:r>
    </w:p>
    <w:p w14:paraId="14F900C0">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联系方式：</w:t>
      </w:r>
      <w:r>
        <w:rPr>
          <w:rFonts w:hint="eastAsia" w:ascii="仿宋" w:hAnsi="仿宋" w:eastAsia="仿宋" w:cs="仿宋"/>
          <w:spacing w:val="-4"/>
          <w:sz w:val="24"/>
          <w:szCs w:val="24"/>
          <w:lang w:eastAsia="zh-CN"/>
        </w:rPr>
        <w:t>18613586066、0358-780155</w:t>
      </w:r>
    </w:p>
    <w:p w14:paraId="21659AF7">
      <w:pPr>
        <w:pStyle w:val="41"/>
        <w:tabs>
          <w:tab w:val="left" w:pos="1325"/>
        </w:tabs>
        <w:autoSpaceDE w:val="0"/>
        <w:autoSpaceDN w:val="0"/>
        <w:spacing w:before="58" w:line="360" w:lineRule="auto"/>
        <w:ind w:firstLine="56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br w:type="page"/>
      </w:r>
    </w:p>
    <w:p w14:paraId="11CC9AF4">
      <w:pPr>
        <w:pStyle w:val="2"/>
        <w:numPr>
          <w:ilvl w:val="0"/>
          <w:numId w:val="0"/>
        </w:numPr>
        <w:bidi w:val="0"/>
        <w:ind w:leftChars="0"/>
        <w:jc w:val="center"/>
      </w:pPr>
      <w:bookmarkStart w:id="23" w:name="_Toc25939"/>
      <w:bookmarkStart w:id="24" w:name="_Toc104232615"/>
      <w:bookmarkStart w:id="25" w:name="_Toc1966"/>
      <w:r>
        <w:rPr>
          <w:rFonts w:hint="eastAsia"/>
        </w:rPr>
        <w:t>第二</w:t>
      </w:r>
      <w:r>
        <w:rPr>
          <w:rFonts w:hint="eastAsia"/>
          <w:lang w:eastAsia="zh-CN"/>
        </w:rPr>
        <w:t>章</w:t>
      </w:r>
      <w:r>
        <w:rPr>
          <w:rFonts w:hint="eastAsia"/>
        </w:rPr>
        <w:t xml:space="preserve">  供应商须知前附表</w:t>
      </w:r>
      <w:bookmarkEnd w:id="23"/>
      <w:bookmarkEnd w:id="24"/>
      <w:bookmarkEnd w:id="25"/>
    </w:p>
    <w:tbl>
      <w:tblPr>
        <w:tblStyle w:val="78"/>
        <w:tblpPr w:leftFromText="180" w:rightFromText="180" w:vertAnchor="text" w:horzAnchor="page" w:tblpX="1335" w:tblpY="138"/>
        <w:tblOverlap w:val="never"/>
        <w:tblW w:w="93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647"/>
        <w:gridCol w:w="6719"/>
      </w:tblGrid>
      <w:tr w14:paraId="4AF5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07" w:type="dxa"/>
            <w:vAlign w:val="top"/>
          </w:tcPr>
          <w:p w14:paraId="18DC17D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2"/>
                <w:sz w:val="21"/>
                <w:szCs w:val="21"/>
              </w:rPr>
              <w:t>条款号</w:t>
            </w:r>
          </w:p>
        </w:tc>
        <w:tc>
          <w:tcPr>
            <w:tcW w:w="1647" w:type="dxa"/>
            <w:vAlign w:val="top"/>
          </w:tcPr>
          <w:p w14:paraId="51FE76F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条款名称</w:t>
            </w:r>
          </w:p>
        </w:tc>
        <w:tc>
          <w:tcPr>
            <w:tcW w:w="6719" w:type="dxa"/>
            <w:vAlign w:val="top"/>
          </w:tcPr>
          <w:p w14:paraId="67F4C9A7">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编列内容</w:t>
            </w:r>
          </w:p>
        </w:tc>
      </w:tr>
      <w:tr w14:paraId="4C72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Align w:val="center"/>
          </w:tcPr>
          <w:p w14:paraId="7BAC5FE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2.1</w:t>
            </w:r>
          </w:p>
        </w:tc>
        <w:tc>
          <w:tcPr>
            <w:tcW w:w="1647" w:type="dxa"/>
            <w:vAlign w:val="center"/>
          </w:tcPr>
          <w:p w14:paraId="0994126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采购人</w:t>
            </w:r>
          </w:p>
        </w:tc>
        <w:tc>
          <w:tcPr>
            <w:tcW w:w="6719" w:type="dxa"/>
            <w:vAlign w:val="top"/>
          </w:tcPr>
          <w:p w14:paraId="7A6EBBC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名    称：孝义市农业农村局</w:t>
            </w:r>
          </w:p>
          <w:p w14:paraId="3DD94E37">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地    址：孝义市迎宾路三农大厦 </w:t>
            </w:r>
          </w:p>
          <w:p w14:paraId="2B3C15C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联系人：文女士</w:t>
            </w:r>
          </w:p>
          <w:p w14:paraId="213D35F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联系方式：15065415603 </w:t>
            </w:r>
          </w:p>
        </w:tc>
      </w:tr>
      <w:tr w14:paraId="34BB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007" w:type="dxa"/>
            <w:vAlign w:val="center"/>
          </w:tcPr>
          <w:p w14:paraId="5D91A30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2.2</w:t>
            </w:r>
          </w:p>
        </w:tc>
        <w:tc>
          <w:tcPr>
            <w:tcW w:w="1647" w:type="dxa"/>
            <w:vAlign w:val="center"/>
          </w:tcPr>
          <w:p w14:paraId="1C74F67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采购代理机构</w:t>
            </w:r>
          </w:p>
        </w:tc>
        <w:tc>
          <w:tcPr>
            <w:tcW w:w="6719" w:type="dxa"/>
            <w:vAlign w:val="top"/>
          </w:tcPr>
          <w:p w14:paraId="26024C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6"/>
                <w:sz w:val="21"/>
                <w:szCs w:val="21"/>
              </w:rPr>
              <w:t>名    称：</w:t>
            </w:r>
            <w:r>
              <w:rPr>
                <w:rFonts w:hint="eastAsia" w:ascii="仿宋" w:hAnsi="仿宋" w:eastAsia="仿宋" w:cs="仿宋"/>
                <w:spacing w:val="-56"/>
                <w:sz w:val="21"/>
                <w:szCs w:val="21"/>
              </w:rPr>
              <w:t xml:space="preserve"> </w:t>
            </w:r>
            <w:r>
              <w:rPr>
                <w:rFonts w:hint="eastAsia" w:ascii="仿宋" w:hAnsi="仿宋" w:eastAsia="仿宋" w:cs="仿宋"/>
                <w:spacing w:val="6"/>
                <w:sz w:val="21"/>
                <w:szCs w:val="21"/>
                <w:lang w:eastAsia="zh-CN"/>
              </w:rPr>
              <w:t>山西鸿源项目管理咨询服务有限公司</w:t>
            </w:r>
          </w:p>
          <w:p w14:paraId="5D5D4E0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地    址：</w:t>
            </w:r>
            <w:r>
              <w:rPr>
                <w:rFonts w:hint="eastAsia" w:ascii="仿宋" w:hAnsi="仿宋" w:eastAsia="仿宋" w:cs="仿宋"/>
                <w:spacing w:val="-43"/>
                <w:sz w:val="21"/>
                <w:szCs w:val="21"/>
              </w:rPr>
              <w:t xml:space="preserve"> </w:t>
            </w:r>
            <w:r>
              <w:rPr>
                <w:rFonts w:hint="eastAsia" w:ascii="仿宋" w:hAnsi="仿宋" w:eastAsia="仿宋" w:cs="仿宋"/>
                <w:spacing w:val="5"/>
                <w:sz w:val="21"/>
                <w:szCs w:val="21"/>
                <w:lang w:eastAsia="zh-CN"/>
              </w:rPr>
              <w:t>山西孝义经济开发区中小企业园三层316房间</w:t>
            </w:r>
          </w:p>
          <w:p w14:paraId="5B1D10A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8"/>
                <w:sz w:val="21"/>
                <w:szCs w:val="21"/>
              </w:rPr>
              <w:t>项目联系人：</w:t>
            </w:r>
            <w:r>
              <w:rPr>
                <w:rFonts w:hint="eastAsia" w:ascii="仿宋" w:hAnsi="仿宋" w:eastAsia="仿宋" w:cs="仿宋"/>
                <w:spacing w:val="8"/>
                <w:sz w:val="21"/>
                <w:szCs w:val="21"/>
                <w:lang w:eastAsia="zh-CN"/>
              </w:rPr>
              <w:t>秦女士</w:t>
            </w:r>
          </w:p>
          <w:p w14:paraId="61D2D03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2"/>
                <w:sz w:val="21"/>
                <w:szCs w:val="21"/>
              </w:rPr>
              <w:t>联系方式：</w:t>
            </w:r>
            <w:r>
              <w:rPr>
                <w:rFonts w:hint="eastAsia" w:ascii="仿宋" w:hAnsi="仿宋" w:eastAsia="仿宋" w:cs="仿宋"/>
                <w:spacing w:val="2"/>
                <w:sz w:val="21"/>
                <w:szCs w:val="21"/>
                <w:lang w:eastAsia="zh-CN"/>
              </w:rPr>
              <w:t>18613586066、0358-7801555</w:t>
            </w:r>
          </w:p>
        </w:tc>
      </w:tr>
      <w:tr w14:paraId="2B19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07" w:type="dxa"/>
            <w:vAlign w:val="center"/>
          </w:tcPr>
          <w:p w14:paraId="5A15885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3.3</w:t>
            </w:r>
          </w:p>
        </w:tc>
        <w:tc>
          <w:tcPr>
            <w:tcW w:w="1647" w:type="dxa"/>
            <w:vAlign w:val="center"/>
          </w:tcPr>
          <w:p w14:paraId="1622E01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资格条件</w:t>
            </w:r>
          </w:p>
        </w:tc>
        <w:tc>
          <w:tcPr>
            <w:tcW w:w="6719" w:type="dxa"/>
            <w:vAlign w:val="top"/>
          </w:tcPr>
          <w:p w14:paraId="351828A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791BB6E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（1）具有独立承担民事责任的能力；</w:t>
            </w:r>
          </w:p>
          <w:p w14:paraId="6DF79C6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p w14:paraId="0E016C5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p w14:paraId="22BD686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（4）有依法缴纳税收和社会保障资金的良好记录；</w:t>
            </w:r>
          </w:p>
          <w:p w14:paraId="09B23D2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（5）参加本次政府采购活动</w:t>
            </w:r>
            <w:r>
              <w:rPr>
                <w:rFonts w:hint="eastAsia" w:cs="仿宋"/>
                <w:sz w:val="21"/>
                <w:szCs w:val="21"/>
                <w:lang w:eastAsia="zh-CN"/>
              </w:rPr>
              <w:t>近三年</w:t>
            </w:r>
            <w:r>
              <w:rPr>
                <w:rFonts w:hint="eastAsia" w:ascii="仿宋" w:hAnsi="仿宋" w:eastAsia="仿宋" w:cs="仿宋"/>
                <w:sz w:val="21"/>
                <w:szCs w:val="21"/>
              </w:rPr>
              <w:t>内，在经营活动中没有重大违法记录；</w:t>
            </w:r>
          </w:p>
          <w:p w14:paraId="35E6EFF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（6）法律、行政法规规定的其他条件。</w:t>
            </w:r>
          </w:p>
          <w:p w14:paraId="61A2285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2、落实政府采购政策需满足的资格要求：本项目为专门面向中小企业采购的项目，供应商须为中小企业。</w:t>
            </w:r>
          </w:p>
          <w:p w14:paraId="10CB976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（如属于专门面向中小企业采购的项目，供应商应为中小微企业、监狱企业、残疾人福利性单位)</w:t>
            </w:r>
          </w:p>
          <w:p w14:paraId="0369779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z w:val="21"/>
                <w:szCs w:val="21"/>
              </w:rPr>
            </w:pPr>
            <w:r>
              <w:rPr>
                <w:rFonts w:hint="eastAsia" w:ascii="仿宋" w:hAnsi="仿宋" w:eastAsia="仿宋" w:cs="仿宋"/>
                <w:sz w:val="21"/>
                <w:szCs w:val="21"/>
              </w:rPr>
              <w:t>3、其他特定资格条件：</w:t>
            </w:r>
            <w:r>
              <w:rPr>
                <w:rFonts w:hint="eastAsia" w:cs="仿宋"/>
                <w:b/>
                <w:bCs/>
                <w:sz w:val="21"/>
                <w:szCs w:val="21"/>
                <w:lang w:eastAsia="zh-CN"/>
              </w:rPr>
              <w:t>无</w:t>
            </w:r>
            <w:r>
              <w:rPr>
                <w:rFonts w:hint="eastAsia" w:ascii="仿宋" w:hAnsi="仿宋" w:eastAsia="仿宋" w:cs="仿宋"/>
                <w:b/>
                <w:bCs/>
                <w:sz w:val="21"/>
                <w:szCs w:val="21"/>
              </w:rPr>
              <w:t>。</w:t>
            </w:r>
          </w:p>
          <w:p w14:paraId="4E6783A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4、单位负责人为同一人或者存在直接控股、管理关系的不同供应商，不得参加同一合同项下的政府采购活动。</w:t>
            </w:r>
          </w:p>
          <w:p w14:paraId="6FCAB80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供应商未被“信用中国”网站（https://www.creditchina.gov.cn/）列入失信被执行人和重大税收违法案件当事人，未被“中国政府采购网”（http://www.ccgp.gov.cn/）列入政府采购严重违法失信⾏为记录名单。</w:t>
            </w:r>
          </w:p>
        </w:tc>
      </w:tr>
      <w:tr w14:paraId="684B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07" w:type="dxa"/>
            <w:vAlign w:val="center"/>
          </w:tcPr>
          <w:p w14:paraId="5757CED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3.4</w:t>
            </w:r>
          </w:p>
        </w:tc>
        <w:tc>
          <w:tcPr>
            <w:tcW w:w="1647" w:type="dxa"/>
            <w:vAlign w:val="center"/>
          </w:tcPr>
          <w:p w14:paraId="0A7FF6E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是否接受联合体</w:t>
            </w:r>
          </w:p>
        </w:tc>
        <w:tc>
          <w:tcPr>
            <w:tcW w:w="6719" w:type="dxa"/>
            <w:vAlign w:val="top"/>
          </w:tcPr>
          <w:p w14:paraId="5843485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否</w:t>
            </w:r>
          </w:p>
          <w:p w14:paraId="403EAC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o是</w:t>
            </w:r>
          </w:p>
        </w:tc>
      </w:tr>
      <w:tr w14:paraId="54FD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Align w:val="center"/>
          </w:tcPr>
          <w:p w14:paraId="43C108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8.1</w:t>
            </w:r>
          </w:p>
        </w:tc>
        <w:tc>
          <w:tcPr>
            <w:tcW w:w="1647" w:type="dxa"/>
            <w:vAlign w:val="center"/>
          </w:tcPr>
          <w:p w14:paraId="55A649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响应文件副本份数及</w:t>
            </w:r>
            <w:r>
              <w:rPr>
                <w:rFonts w:hint="eastAsia" w:ascii="仿宋" w:hAnsi="仿宋" w:eastAsia="仿宋" w:cs="仿宋"/>
                <w:spacing w:val="5"/>
                <w:sz w:val="21"/>
                <w:szCs w:val="21"/>
              </w:rPr>
              <w:t>其他要求</w:t>
            </w:r>
          </w:p>
        </w:tc>
        <w:tc>
          <w:tcPr>
            <w:tcW w:w="6719" w:type="dxa"/>
            <w:vAlign w:val="top"/>
          </w:tcPr>
          <w:p w14:paraId="6CE81FF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电子响应文件：</w:t>
            </w:r>
            <w:r>
              <w:rPr>
                <w:rFonts w:hint="eastAsia" w:ascii="仿宋" w:hAnsi="仿宋" w:eastAsia="仿宋" w:cs="仿宋"/>
                <w:spacing w:val="-58"/>
                <w:sz w:val="21"/>
                <w:szCs w:val="21"/>
              </w:rPr>
              <w:t xml:space="preserve"> </w:t>
            </w:r>
            <w:r>
              <w:rPr>
                <w:rFonts w:hint="eastAsia" w:ascii="仿宋" w:hAnsi="仿宋" w:eastAsia="仿宋" w:cs="仿宋"/>
                <w:spacing w:val="8"/>
                <w:sz w:val="21"/>
                <w:szCs w:val="21"/>
              </w:rPr>
              <w:t>1</w:t>
            </w:r>
            <w:r>
              <w:rPr>
                <w:rFonts w:hint="eastAsia" w:ascii="仿宋" w:hAnsi="仿宋" w:eastAsia="仿宋" w:cs="仿宋"/>
                <w:spacing w:val="-32"/>
                <w:sz w:val="21"/>
                <w:szCs w:val="21"/>
              </w:rPr>
              <w:t xml:space="preserve"> </w:t>
            </w:r>
            <w:r>
              <w:rPr>
                <w:rFonts w:hint="eastAsia" w:ascii="仿宋" w:hAnsi="仿宋" w:eastAsia="仿宋" w:cs="仿宋"/>
                <w:spacing w:val="8"/>
                <w:sz w:val="21"/>
                <w:szCs w:val="21"/>
              </w:rPr>
              <w:t>份（在线加密递交</w:t>
            </w:r>
            <w:r>
              <w:rPr>
                <w:rFonts w:hint="eastAsia" w:ascii="仿宋" w:hAnsi="仿宋" w:eastAsia="仿宋" w:cs="仿宋"/>
                <w:spacing w:val="6"/>
                <w:sz w:val="21"/>
                <w:szCs w:val="21"/>
              </w:rPr>
              <w:t>）</w:t>
            </w:r>
            <w:r>
              <w:rPr>
                <w:rFonts w:hint="eastAsia" w:ascii="仿宋" w:hAnsi="仿宋" w:eastAsia="仿宋" w:cs="仿宋"/>
                <w:spacing w:val="-5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须使用系统提供的响应文件</w:t>
            </w:r>
            <w:r>
              <w:rPr>
                <w:rFonts w:hint="eastAsia" w:ascii="仿宋" w:hAnsi="仿宋" w:eastAsia="仿宋" w:cs="仿宋"/>
                <w:spacing w:val="7"/>
                <w:sz w:val="21"/>
                <w:szCs w:val="21"/>
              </w:rPr>
              <w:t>编制工具编制完成，磋商截止时间前应通过山西省政府采购网</w:t>
            </w:r>
            <w:r>
              <w:rPr>
                <w:rFonts w:hint="eastAsia" w:ascii="仿宋" w:hAnsi="仿宋" w:eastAsia="仿宋" w:cs="仿宋"/>
                <w:spacing w:val="6"/>
                <w:sz w:val="21"/>
                <w:szCs w:val="21"/>
              </w:rPr>
              <w:t>-山西政</w:t>
            </w:r>
            <w:r>
              <w:rPr>
                <w:rFonts w:hint="eastAsia" w:ascii="仿宋" w:hAnsi="仿宋" w:eastAsia="仿宋" w:cs="仿宋"/>
                <w:spacing w:val="18"/>
                <w:sz w:val="21"/>
                <w:szCs w:val="21"/>
              </w:rPr>
              <w:t>府采购平台（</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https</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sxzfcg</w:t>
            </w:r>
            <w:r>
              <w:rPr>
                <w:rFonts w:hint="eastAsia" w:ascii="仿宋" w:hAnsi="仿宋" w:eastAsia="仿宋" w:cs="仿宋"/>
                <w:spacing w:val="18"/>
                <w:sz w:val="21"/>
                <w:szCs w:val="21"/>
              </w:rPr>
              <w:t>.</w:t>
            </w:r>
            <w:r>
              <w:rPr>
                <w:rFonts w:hint="eastAsia" w:ascii="仿宋" w:hAnsi="仿宋" w:eastAsia="仿宋" w:cs="仿宋"/>
                <w:sz w:val="21"/>
                <w:szCs w:val="21"/>
              </w:rPr>
              <w:t>zcygov</w:t>
            </w:r>
            <w:r>
              <w:rPr>
                <w:rFonts w:hint="eastAsia" w:ascii="仿宋" w:hAnsi="仿宋" w:eastAsia="仿宋" w:cs="仿宋"/>
                <w:spacing w:val="18"/>
                <w:sz w:val="21"/>
                <w:szCs w:val="21"/>
              </w:rPr>
              <w:t>.</w:t>
            </w:r>
            <w:r>
              <w:rPr>
                <w:rFonts w:hint="eastAsia" w:ascii="仿宋" w:hAnsi="仿宋" w:eastAsia="仿宋" w:cs="仿宋"/>
                <w:sz w:val="21"/>
                <w:szCs w:val="21"/>
              </w:rPr>
              <w:t>cn</w:t>
            </w:r>
            <w:r>
              <w:rPr>
                <w:rFonts w:hint="eastAsia" w:ascii="仿宋" w:hAnsi="仿宋" w:eastAsia="仿宋" w:cs="仿宋"/>
                <w:spacing w:val="18"/>
                <w:sz w:val="21"/>
                <w:szCs w:val="21"/>
              </w:rPr>
              <w:t>/</w:t>
            </w:r>
            <w:r>
              <w:rPr>
                <w:rFonts w:hint="eastAsia" w:ascii="仿宋" w:hAnsi="仿宋" w:eastAsia="仿宋" w:cs="仿宋"/>
                <w:sz w:val="21"/>
                <w:szCs w:val="21"/>
              </w:rPr>
              <w:t>user</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log</w:t>
            </w:r>
            <w:r>
              <w:rPr>
                <w:rFonts w:hint="eastAsia" w:ascii="仿宋" w:hAnsi="仿宋" w:eastAsia="仿宋" w:cs="仿宋"/>
                <w:sz w:val="21"/>
                <w:szCs w:val="21"/>
              </w:rPr>
              <w:fldChar w:fldCharType="end"/>
            </w:r>
            <w:r>
              <w:rPr>
                <w:rFonts w:hint="eastAsia" w:ascii="仿宋" w:hAnsi="仿宋" w:eastAsia="仿宋" w:cs="仿宋"/>
                <w:spacing w:val="8"/>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in</w:t>
            </w:r>
            <w:r>
              <w:rPr>
                <w:rFonts w:hint="eastAsia" w:ascii="仿宋" w:hAnsi="仿宋" w:eastAsia="仿宋" w:cs="仿宋"/>
                <w:sz w:val="21"/>
                <w:szCs w:val="21"/>
              </w:rPr>
              <w:fldChar w:fldCharType="end"/>
            </w:r>
            <w:r>
              <w:rPr>
                <w:rFonts w:hint="eastAsia" w:ascii="仿宋" w:hAnsi="仿宋" w:eastAsia="仿宋" w:cs="仿宋"/>
                <w:spacing w:val="11"/>
                <w:sz w:val="21"/>
                <w:szCs w:val="21"/>
              </w:rPr>
              <w:t>）上传经过</w:t>
            </w:r>
            <w:r>
              <w:rPr>
                <w:rFonts w:hint="eastAsia" w:ascii="仿宋" w:hAnsi="仿宋" w:eastAsia="仿宋" w:cs="仿宋"/>
                <w:sz w:val="21"/>
                <w:szCs w:val="21"/>
              </w:rPr>
              <w:t>CA</w:t>
            </w:r>
            <w:r>
              <w:rPr>
                <w:rFonts w:hint="eastAsia" w:ascii="仿宋" w:hAnsi="仿宋" w:eastAsia="仿宋" w:cs="仿宋"/>
                <w:spacing w:val="-20"/>
                <w:sz w:val="21"/>
                <w:szCs w:val="21"/>
              </w:rPr>
              <w:t xml:space="preserve"> </w:t>
            </w:r>
            <w:r>
              <w:rPr>
                <w:rFonts w:hint="eastAsia" w:ascii="仿宋" w:hAnsi="仿宋" w:eastAsia="仿宋" w:cs="仿宋"/>
                <w:spacing w:val="11"/>
                <w:sz w:val="21"/>
                <w:szCs w:val="21"/>
              </w:rPr>
              <w:t>盖章的加密电子响应文件；</w:t>
            </w:r>
          </w:p>
          <w:p w14:paraId="414BC60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jc w:val="left"/>
              <w:textAlignment w:val="baseline"/>
              <w:rPr>
                <w:rFonts w:hint="eastAsia" w:ascii="仿宋" w:hAnsi="仿宋" w:eastAsia="仿宋" w:cs="仿宋"/>
                <w:sz w:val="21"/>
                <w:szCs w:val="21"/>
              </w:rPr>
            </w:pPr>
            <w:r>
              <w:rPr>
                <w:rFonts w:hint="eastAsia" w:ascii="仿宋" w:hAnsi="仿宋" w:eastAsia="仿宋" w:cs="仿宋"/>
                <w:spacing w:val="13"/>
                <w:sz w:val="21"/>
                <w:szCs w:val="21"/>
              </w:rPr>
              <w:t>纸质响应文件</w:t>
            </w:r>
            <w:r>
              <w:rPr>
                <w:rFonts w:hint="eastAsia" w:ascii="仿宋" w:hAnsi="仿宋" w:eastAsia="仿宋" w:cs="仿宋"/>
                <w:b/>
                <w:bCs/>
                <w:spacing w:val="13"/>
                <w:sz w:val="21"/>
                <w:szCs w:val="21"/>
              </w:rPr>
              <w:t>：</w:t>
            </w:r>
            <w:r>
              <w:rPr>
                <w:rFonts w:hint="eastAsia" w:cs="仿宋"/>
                <w:b/>
                <w:bCs/>
                <w:spacing w:val="13"/>
                <w:sz w:val="21"/>
                <w:szCs w:val="21"/>
                <w:lang w:val="en-US" w:eastAsia="zh-CN"/>
              </w:rPr>
              <w:t xml:space="preserve">4 </w:t>
            </w:r>
            <w:r>
              <w:rPr>
                <w:rFonts w:hint="eastAsia" w:ascii="仿宋" w:hAnsi="仿宋" w:eastAsia="仿宋" w:cs="仿宋"/>
                <w:b/>
                <w:bCs/>
                <w:spacing w:val="13"/>
                <w:sz w:val="21"/>
                <w:szCs w:val="21"/>
              </w:rPr>
              <w:t>份</w:t>
            </w:r>
            <w:r>
              <w:rPr>
                <w:rFonts w:hint="eastAsia" w:ascii="仿宋" w:hAnsi="仿宋" w:eastAsia="仿宋" w:cs="仿宋"/>
                <w:spacing w:val="-12"/>
                <w:sz w:val="21"/>
                <w:szCs w:val="21"/>
              </w:rPr>
              <w:t>，（</w:t>
            </w:r>
            <w:r>
              <w:rPr>
                <w:rFonts w:hint="eastAsia" w:ascii="仿宋" w:hAnsi="仿宋" w:eastAsia="仿宋" w:cs="仿宋"/>
                <w:spacing w:val="13"/>
                <w:sz w:val="21"/>
                <w:szCs w:val="21"/>
              </w:rPr>
              <w:t>应由电子响应文件导出）只作为存档备案使</w:t>
            </w:r>
            <w:r>
              <w:rPr>
                <w:rFonts w:hint="eastAsia" w:ascii="仿宋" w:hAnsi="仿宋" w:eastAsia="仿宋" w:cs="仿宋"/>
                <w:spacing w:val="6"/>
                <w:sz w:val="21"/>
                <w:szCs w:val="21"/>
              </w:rPr>
              <w:t>用，要求如下：</w:t>
            </w:r>
          </w:p>
          <w:p w14:paraId="566DD2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3"/>
                <w:sz w:val="21"/>
                <w:szCs w:val="21"/>
              </w:rPr>
              <w:t>(1)份数要求：</w:t>
            </w:r>
            <w:r>
              <w:rPr>
                <w:rFonts w:hint="eastAsia" w:cs="仿宋"/>
                <w:b/>
                <w:bCs/>
                <w:spacing w:val="3"/>
                <w:sz w:val="21"/>
                <w:szCs w:val="21"/>
                <w:lang w:eastAsia="zh-CN"/>
              </w:rPr>
              <w:t>肆</w:t>
            </w:r>
            <w:r>
              <w:rPr>
                <w:rFonts w:hint="eastAsia" w:ascii="仿宋" w:hAnsi="仿宋" w:eastAsia="仿宋" w:cs="仿宋"/>
                <w:b/>
                <w:bCs/>
                <w:spacing w:val="3"/>
                <w:sz w:val="21"/>
                <w:szCs w:val="21"/>
              </w:rPr>
              <w:t>份；</w:t>
            </w:r>
          </w:p>
          <w:p w14:paraId="6FE4EDC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(2)递交方式及地点：供应商在开标当日将纸质版</w:t>
            </w:r>
            <w:r>
              <w:rPr>
                <w:rFonts w:hint="eastAsia" w:ascii="仿宋" w:hAnsi="仿宋" w:eastAsia="仿宋" w:cs="仿宋"/>
                <w:spacing w:val="5"/>
                <w:sz w:val="21"/>
                <w:szCs w:val="21"/>
              </w:rPr>
              <w:t>响应文件邮寄给</w:t>
            </w:r>
            <w:r>
              <w:rPr>
                <w:rFonts w:hint="eastAsia" w:ascii="仿宋" w:hAnsi="仿宋" w:eastAsia="仿宋" w:cs="仿宋"/>
                <w:spacing w:val="5"/>
                <w:sz w:val="21"/>
                <w:szCs w:val="21"/>
                <w:lang w:eastAsia="zh-CN"/>
              </w:rPr>
              <w:t>山西鸿源项目管理咨询服务有限公司</w:t>
            </w:r>
            <w:r>
              <w:rPr>
                <w:rFonts w:hint="eastAsia" w:ascii="仿宋" w:hAnsi="仿宋" w:eastAsia="仿宋" w:cs="仿宋"/>
                <w:spacing w:val="7"/>
                <w:sz w:val="21"/>
                <w:szCs w:val="21"/>
              </w:rPr>
              <w:t>。</w:t>
            </w:r>
          </w:p>
          <w:p w14:paraId="376614E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联系人：</w:t>
            </w:r>
            <w:r>
              <w:rPr>
                <w:rFonts w:hint="eastAsia" w:ascii="仿宋" w:hAnsi="仿宋" w:eastAsia="仿宋" w:cs="仿宋"/>
                <w:spacing w:val="5"/>
                <w:sz w:val="21"/>
                <w:szCs w:val="21"/>
                <w:lang w:eastAsia="zh-CN"/>
              </w:rPr>
              <w:t>18613586066、0358-7801555</w:t>
            </w:r>
          </w:p>
        </w:tc>
      </w:tr>
      <w:tr w14:paraId="714A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8" w:hRule="atLeast"/>
        </w:trPr>
        <w:tc>
          <w:tcPr>
            <w:tcW w:w="1007" w:type="dxa"/>
            <w:vAlign w:val="center"/>
          </w:tcPr>
          <w:p w14:paraId="3FB64C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8.2</w:t>
            </w:r>
          </w:p>
        </w:tc>
        <w:tc>
          <w:tcPr>
            <w:tcW w:w="1647" w:type="dxa"/>
            <w:vAlign w:val="center"/>
          </w:tcPr>
          <w:p w14:paraId="372BBF2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响应文件组成内容</w:t>
            </w:r>
          </w:p>
        </w:tc>
        <w:tc>
          <w:tcPr>
            <w:tcW w:w="6719" w:type="dxa"/>
            <w:vAlign w:val="top"/>
          </w:tcPr>
          <w:p w14:paraId="2D5E1C7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pacing w:val="4"/>
                <w:sz w:val="21"/>
                <w:szCs w:val="21"/>
              </w:rPr>
            </w:pPr>
            <w:r>
              <w:rPr>
                <w:rFonts w:hint="eastAsia" w:ascii="仿宋" w:hAnsi="仿宋" w:eastAsia="仿宋" w:cs="仿宋"/>
                <w:b/>
                <w:bCs/>
                <w:spacing w:val="4"/>
                <w:sz w:val="21"/>
                <w:szCs w:val="21"/>
              </w:rPr>
              <w:t>资格证明文件</w:t>
            </w:r>
          </w:p>
          <w:p w14:paraId="4A04B39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1.供应商具有独立承担民事责任的能力</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49F48F3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2．供应商具有良好的商业信誉和健全的财务会计制度</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p>
          <w:p w14:paraId="3D46E4A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3</w:t>
            </w:r>
            <w:r>
              <w:rPr>
                <w:rFonts w:hint="eastAsia" w:ascii="仿宋" w:hAnsi="仿宋" w:eastAsia="仿宋" w:cs="仿宋"/>
                <w:spacing w:val="5"/>
                <w:sz w:val="21"/>
                <w:szCs w:val="21"/>
              </w:rPr>
              <w:t>．供应商具有履行合同所必需的设备和专业技术能力</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02B2555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4</w:t>
            </w:r>
            <w:r>
              <w:rPr>
                <w:rFonts w:hint="eastAsia" w:ascii="仿宋" w:hAnsi="仿宋" w:eastAsia="仿宋" w:cs="仿宋"/>
                <w:spacing w:val="5"/>
                <w:sz w:val="21"/>
                <w:szCs w:val="21"/>
              </w:rPr>
              <w:t>.供应商依法缴纳税收和社会保障资金</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4A797A5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5.参加政府采购活动前三年内，在经营活动中没有重大违法记录</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78EC9F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6.中小企业声明函或残疾人福利性单位声明函或监狱企业的证明文件</w:t>
            </w:r>
          </w:p>
          <w:p w14:paraId="382FFF5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7.特定资质</w:t>
            </w:r>
          </w:p>
          <w:p w14:paraId="6EE4A43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8.磋商保证金提交凭证</w:t>
            </w:r>
          </w:p>
          <w:p w14:paraId="40AC647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spacing w:val="5"/>
                <w:sz w:val="21"/>
                <w:szCs w:val="21"/>
                <w:lang w:val="en-US" w:eastAsia="zh-CN"/>
              </w:rPr>
            </w:pPr>
            <w:r>
              <w:rPr>
                <w:rFonts w:hint="eastAsia" w:cs="仿宋"/>
                <w:spacing w:val="5"/>
                <w:sz w:val="21"/>
                <w:szCs w:val="21"/>
                <w:lang w:val="en-US" w:eastAsia="zh-CN"/>
              </w:rPr>
              <w:t>9.供应商廉洁自律承诺书</w:t>
            </w:r>
          </w:p>
          <w:p w14:paraId="45F9CA7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cs="仿宋"/>
                <w:szCs w:val="21"/>
                <w:highlight w:val="none"/>
                <w:lang w:val="en-US" w:eastAsia="zh-CN"/>
              </w:rPr>
              <w:t>10.</w:t>
            </w:r>
            <w:r>
              <w:rPr>
                <w:rFonts w:hint="eastAsia" w:ascii="仿宋" w:hAnsi="仿宋" w:eastAsia="仿宋" w:cs="仿宋"/>
                <w:szCs w:val="21"/>
                <w:highlight w:val="none"/>
              </w:rPr>
              <w:t>供应商需提交的其他资格证明文件</w:t>
            </w:r>
          </w:p>
          <w:p w14:paraId="1D3E59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3"/>
              <w:textAlignment w:val="baseline"/>
              <w:rPr>
                <w:rFonts w:hint="eastAsia" w:ascii="仿宋" w:hAnsi="仿宋" w:eastAsia="仿宋" w:cs="仿宋"/>
                <w:sz w:val="21"/>
                <w:szCs w:val="21"/>
              </w:rPr>
            </w:pPr>
            <w:r>
              <w:rPr>
                <w:rFonts w:hint="eastAsia" w:ascii="仿宋" w:hAnsi="仿宋" w:eastAsia="仿宋" w:cs="仿宋"/>
                <w:b/>
                <w:bCs/>
                <w:spacing w:val="5"/>
                <w:sz w:val="21"/>
                <w:szCs w:val="21"/>
              </w:rPr>
              <w:t>商务、技术文件</w:t>
            </w:r>
          </w:p>
          <w:p w14:paraId="2D7C6B3E">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1．法定代表人（代表人）身份证明文件</w:t>
            </w:r>
          </w:p>
          <w:p w14:paraId="7574BDAB">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2．法定代表人（代表人）授权委托文件</w:t>
            </w:r>
          </w:p>
          <w:p w14:paraId="5D577533">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3．磋商函</w:t>
            </w:r>
          </w:p>
          <w:p w14:paraId="04325857">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4．报价一览表</w:t>
            </w:r>
          </w:p>
          <w:p w14:paraId="5820B495">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5．商务条款响应表</w:t>
            </w:r>
          </w:p>
          <w:p w14:paraId="2178264A">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6．技术规范响应及偏离表</w:t>
            </w:r>
          </w:p>
          <w:p w14:paraId="3DB64539">
            <w:pPr>
              <w:pStyle w:val="15"/>
              <w:snapToGrid w:val="0"/>
              <w:spacing w:line="360" w:lineRule="auto"/>
              <w:jc w:val="left"/>
              <w:rPr>
                <w:rFonts w:ascii="仿宋" w:hAnsi="仿宋" w:eastAsia="仿宋" w:cs="仿宋"/>
                <w:kern w:val="0"/>
                <w:highlight w:val="none"/>
              </w:rPr>
            </w:pPr>
            <w:r>
              <w:rPr>
                <w:rFonts w:hint="eastAsia" w:ascii="仿宋" w:hAnsi="仿宋" w:eastAsia="仿宋" w:cs="仿宋"/>
                <w:szCs w:val="21"/>
                <w:highlight w:val="none"/>
              </w:rPr>
              <w:t>7．</w:t>
            </w:r>
            <w:r>
              <w:rPr>
                <w:rFonts w:hint="eastAsia" w:ascii="仿宋" w:hAnsi="仿宋" w:eastAsia="仿宋" w:cs="仿宋"/>
                <w:kern w:val="0"/>
                <w:highlight w:val="none"/>
              </w:rPr>
              <w:t>响应文件</w:t>
            </w:r>
            <w:r>
              <w:rPr>
                <w:rFonts w:hint="eastAsia" w:ascii="仿宋" w:hAnsi="仿宋" w:eastAsia="仿宋" w:cs="仿宋"/>
                <w:kern w:val="0"/>
                <w:szCs w:val="21"/>
                <w:highlight w:val="none"/>
              </w:rPr>
              <w:t>递交截</w:t>
            </w:r>
            <w:r>
              <w:rPr>
                <w:rFonts w:hint="eastAsia" w:ascii="仿宋" w:hAnsi="仿宋" w:eastAsia="仿宋" w:cs="仿宋"/>
                <w:kern w:val="0"/>
                <w:highlight w:val="none"/>
              </w:rPr>
              <w:t>止日前三年内完成的</w:t>
            </w:r>
            <w:r>
              <w:rPr>
                <w:rFonts w:hint="eastAsia" w:ascii="仿宋" w:hAnsi="仿宋" w:eastAsia="仿宋" w:cs="仿宋"/>
                <w:kern w:val="0"/>
                <w:szCs w:val="21"/>
                <w:highlight w:val="none"/>
              </w:rPr>
              <w:t>类似项目合同案例列表及相关证明资料</w:t>
            </w:r>
          </w:p>
          <w:p w14:paraId="4B8B273B">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8</w:t>
            </w:r>
            <w:r>
              <w:rPr>
                <w:rFonts w:hint="eastAsia" w:ascii="仿宋" w:hAnsi="仿宋" w:eastAsia="仿宋" w:cs="仿宋"/>
                <w:kern w:val="0"/>
                <w:highlight w:val="none"/>
              </w:rPr>
              <w:t>．拟投入本项目的专业技术人员等情况</w:t>
            </w:r>
          </w:p>
          <w:p w14:paraId="1E681CC8">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9</w:t>
            </w:r>
            <w:r>
              <w:rPr>
                <w:rFonts w:hint="eastAsia" w:ascii="仿宋" w:hAnsi="仿宋" w:eastAsia="仿宋" w:cs="仿宋"/>
                <w:kern w:val="0"/>
                <w:highlight w:val="none"/>
              </w:rPr>
              <w:t>. 服务方案</w:t>
            </w:r>
          </w:p>
          <w:p w14:paraId="4E403D25">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.政策要求</w:t>
            </w:r>
          </w:p>
          <w:p w14:paraId="2A8713DE">
            <w:pPr>
              <w:pStyle w:val="15"/>
              <w:snapToGrid w:val="0"/>
              <w:spacing w:line="360" w:lineRule="auto"/>
              <w:jc w:val="left"/>
              <w:rPr>
                <w:rFonts w:hint="eastAsia" w:ascii="仿宋" w:hAnsi="仿宋" w:eastAsia="仿宋" w:cs="仿宋"/>
                <w:sz w:val="21"/>
                <w:szCs w:val="21"/>
              </w:rPr>
            </w:pP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供应商认为需要提供的其他商务、技术材料</w:t>
            </w:r>
          </w:p>
        </w:tc>
      </w:tr>
      <w:tr w14:paraId="2EA9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7" w:hRule="atLeast"/>
        </w:trPr>
        <w:tc>
          <w:tcPr>
            <w:tcW w:w="1007" w:type="dxa"/>
            <w:vAlign w:val="center"/>
          </w:tcPr>
          <w:p w14:paraId="008A972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8.5</w:t>
            </w:r>
          </w:p>
        </w:tc>
        <w:tc>
          <w:tcPr>
            <w:tcW w:w="1647" w:type="dxa"/>
            <w:vAlign w:val="center"/>
          </w:tcPr>
          <w:p w14:paraId="5A32307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保证金</w:t>
            </w:r>
          </w:p>
        </w:tc>
        <w:tc>
          <w:tcPr>
            <w:tcW w:w="6719" w:type="dxa"/>
            <w:vAlign w:val="top"/>
          </w:tcPr>
          <w:p w14:paraId="3F806FB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本项目是否要求供应商提交磋商保证金：</w:t>
            </w:r>
            <w:r>
              <w:rPr>
                <w:rFonts w:hint="eastAsia" w:ascii="仿宋" w:hAnsi="仿宋" w:eastAsia="仿宋" w:cs="仿宋"/>
                <w:spacing w:val="2"/>
                <w:sz w:val="21"/>
                <w:szCs w:val="21"/>
                <w:highlight w:val="none"/>
              </w:rPr>
              <w:t xml:space="preserve"> </w:t>
            </w:r>
            <w:r>
              <w:rPr>
                <w:rFonts w:hint="eastAsia" w:ascii="仿宋" w:hAnsi="仿宋" w:eastAsia="仿宋" w:cs="仿宋"/>
                <w:sz w:val="21"/>
                <w:szCs w:val="21"/>
                <w:highlight w:val="none"/>
              </w:rPr>
              <w:t>o否</w:t>
            </w:r>
          </w:p>
          <w:p w14:paraId="416F274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position w:val="-2"/>
                <w:sz w:val="21"/>
                <w:szCs w:val="21"/>
                <w:highlight w:val="none"/>
              </w:rPr>
              <w:drawing>
                <wp:inline distT="0" distB="0" distL="0" distR="0">
                  <wp:extent cx="106680" cy="102235"/>
                  <wp:effectExtent l="0" t="0" r="7620"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highlight w:val="none"/>
              </w:rPr>
              <w:t>是</w:t>
            </w:r>
          </w:p>
          <w:p w14:paraId="27209E9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kern w:val="0"/>
                <w:sz w:val="24"/>
                <w:highlight w:val="none"/>
                <w:lang w:eastAsia="zh-CN" w:bidi="ar"/>
              </w:rPr>
            </w:pPr>
            <w:r>
              <w:rPr>
                <w:rFonts w:hint="eastAsia" w:ascii="仿宋" w:hAnsi="仿宋" w:eastAsia="仿宋" w:cs="仿宋"/>
                <w:spacing w:val="7"/>
                <w:sz w:val="21"/>
                <w:szCs w:val="21"/>
                <w:highlight w:val="none"/>
              </w:rPr>
              <w:t>磋商保证金的金额：</w:t>
            </w:r>
            <w:r>
              <w:rPr>
                <w:rFonts w:hint="eastAsia" w:ascii="仿宋" w:hAnsi="仿宋" w:eastAsia="仿宋" w:cs="仿宋"/>
                <w:kern w:val="0"/>
                <w:sz w:val="24"/>
                <w:highlight w:val="none"/>
                <w:lang w:val="en-US" w:eastAsia="zh-CN" w:bidi="ar"/>
              </w:rPr>
              <w:t>包一：</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r>
              <w:rPr>
                <w:rFonts w:hint="eastAsia" w:ascii="仿宋" w:hAnsi="仿宋" w:eastAsia="仿宋" w:cs="仿宋"/>
                <w:kern w:val="0"/>
                <w:sz w:val="24"/>
                <w:highlight w:val="none"/>
                <w:lang w:eastAsia="zh-CN" w:bidi="ar"/>
              </w:rPr>
              <w:t>；</w:t>
            </w:r>
          </w:p>
          <w:p w14:paraId="22EBCC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kern w:val="0"/>
                <w:sz w:val="24"/>
                <w:highlight w:val="none"/>
                <w:lang w:val="en-US" w:eastAsia="zh-CN" w:bidi="ar"/>
              </w:rPr>
            </w:pPr>
            <w:r>
              <w:rPr>
                <w:rFonts w:hint="eastAsia" w:ascii="仿宋" w:hAnsi="仿宋" w:eastAsia="仿宋" w:cs="仿宋"/>
                <w:kern w:val="0"/>
                <w:sz w:val="24"/>
                <w:highlight w:val="none"/>
                <w:lang w:val="en-US" w:eastAsia="zh-CN" w:bidi="ar"/>
              </w:rPr>
              <w:t>包二：</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r>
              <w:rPr>
                <w:rFonts w:hint="eastAsia" w:cs="仿宋"/>
                <w:b/>
                <w:bCs/>
                <w:spacing w:val="6"/>
                <w:sz w:val="21"/>
                <w:szCs w:val="21"/>
                <w:highlight w:val="none"/>
                <w:lang w:eastAsia="zh-CN"/>
              </w:rPr>
              <w:t>；</w:t>
            </w:r>
          </w:p>
          <w:p w14:paraId="471D6CA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kern w:val="0"/>
                <w:sz w:val="24"/>
                <w:highlight w:val="none"/>
                <w:lang w:val="en-US" w:eastAsia="zh-CN" w:bidi="ar"/>
              </w:rPr>
              <w:t>包</w:t>
            </w:r>
            <w:r>
              <w:rPr>
                <w:rFonts w:hint="eastAsia" w:cs="仿宋"/>
                <w:kern w:val="0"/>
                <w:sz w:val="24"/>
                <w:highlight w:val="none"/>
                <w:lang w:val="en-US" w:eastAsia="zh-CN" w:bidi="ar"/>
              </w:rPr>
              <w:t>三</w:t>
            </w:r>
            <w:r>
              <w:rPr>
                <w:rFonts w:hint="eastAsia" w:ascii="仿宋" w:hAnsi="仿宋" w:eastAsia="仿宋" w:cs="仿宋"/>
                <w:kern w:val="0"/>
                <w:sz w:val="24"/>
                <w:highlight w:val="none"/>
                <w:lang w:val="en-US" w:eastAsia="zh-CN" w:bidi="ar"/>
              </w:rPr>
              <w:t>：</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p>
          <w:p w14:paraId="47EF5E1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保证金的形式银行转账、</w:t>
            </w:r>
            <w:r>
              <w:rPr>
                <w:rFonts w:hint="eastAsia" w:ascii="仿宋" w:hAnsi="仿宋" w:eastAsia="仿宋" w:cs="仿宋"/>
                <w:spacing w:val="-55"/>
                <w:sz w:val="21"/>
                <w:szCs w:val="21"/>
                <w:highlight w:val="none"/>
              </w:rPr>
              <w:t xml:space="preserve"> </w:t>
            </w:r>
            <w:r>
              <w:rPr>
                <w:rFonts w:hint="eastAsia" w:ascii="仿宋" w:hAnsi="仿宋" w:eastAsia="仿宋" w:cs="仿宋"/>
                <w:spacing w:val="9"/>
                <w:sz w:val="21"/>
                <w:szCs w:val="21"/>
                <w:highlight w:val="none"/>
              </w:rPr>
              <w:t>电汇或者金融机构、担保机构出具的保</w:t>
            </w:r>
            <w:r>
              <w:rPr>
                <w:rFonts w:hint="eastAsia" w:ascii="仿宋" w:hAnsi="仿宋" w:eastAsia="仿宋" w:cs="仿宋"/>
                <w:spacing w:val="8"/>
                <w:sz w:val="21"/>
                <w:szCs w:val="21"/>
                <w:highlight w:val="none"/>
              </w:rPr>
              <w:t>函等</w:t>
            </w:r>
            <w:r>
              <w:rPr>
                <w:rFonts w:hint="eastAsia" w:ascii="仿宋" w:hAnsi="仿宋" w:eastAsia="仿宋" w:cs="仿宋"/>
                <w:spacing w:val="6"/>
                <w:sz w:val="21"/>
                <w:szCs w:val="21"/>
                <w:highlight w:val="none"/>
              </w:rPr>
              <w:t>非现金形式提交；</w:t>
            </w:r>
          </w:p>
          <w:p w14:paraId="7C7E0FA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（1）采用银行转账、电汇形式递交保证金的，应于</w:t>
            </w:r>
            <w:r>
              <w:rPr>
                <w:rFonts w:hint="eastAsia" w:ascii="仿宋" w:hAnsi="仿宋" w:eastAsia="仿宋" w:cs="仿宋"/>
                <w:spacing w:val="6"/>
                <w:sz w:val="21"/>
                <w:szCs w:val="21"/>
                <w:highlight w:val="none"/>
              </w:rPr>
              <w:t>投标截止时间前将</w:t>
            </w:r>
            <w:r>
              <w:rPr>
                <w:rFonts w:hint="eastAsia" w:ascii="仿宋" w:hAnsi="仿宋" w:eastAsia="仿宋" w:cs="仿宋"/>
                <w:spacing w:val="9"/>
                <w:sz w:val="21"/>
                <w:szCs w:val="21"/>
                <w:highlight w:val="none"/>
              </w:rPr>
              <w:t>投标保证金，</w:t>
            </w:r>
            <w:r>
              <w:rPr>
                <w:rFonts w:hint="eastAsia" w:ascii="仿宋" w:hAnsi="仿宋" w:eastAsia="仿宋" w:cs="仿宋"/>
                <w:spacing w:val="-51"/>
                <w:sz w:val="21"/>
                <w:szCs w:val="21"/>
                <w:highlight w:val="none"/>
              </w:rPr>
              <w:t xml:space="preserve"> </w:t>
            </w:r>
            <w:r>
              <w:rPr>
                <w:rFonts w:hint="eastAsia" w:ascii="仿宋" w:hAnsi="仿宋" w:eastAsia="仿宋" w:cs="仿宋"/>
                <w:spacing w:val="9"/>
                <w:sz w:val="21"/>
                <w:szCs w:val="21"/>
                <w:highlight w:val="none"/>
              </w:rPr>
              <w:t>由供应商的基本账户一次性汇入采购人指定</w:t>
            </w:r>
            <w:r>
              <w:rPr>
                <w:rFonts w:hint="eastAsia" w:ascii="仿宋" w:hAnsi="仿宋" w:eastAsia="仿宋" w:cs="仿宋"/>
                <w:spacing w:val="8"/>
                <w:sz w:val="21"/>
                <w:szCs w:val="21"/>
                <w:highlight w:val="none"/>
              </w:rPr>
              <w:t>账户，并注</w:t>
            </w:r>
            <w:r>
              <w:rPr>
                <w:rFonts w:hint="eastAsia" w:ascii="仿宋" w:hAnsi="仿宋" w:eastAsia="仿宋" w:cs="仿宋"/>
                <w:spacing w:val="6"/>
                <w:sz w:val="21"/>
                <w:szCs w:val="21"/>
                <w:highlight w:val="none"/>
              </w:rPr>
              <w:t>明“项目名称（可简写）-项目编号</w:t>
            </w:r>
            <w:r>
              <w:rPr>
                <w:rFonts w:hint="eastAsia" w:ascii="仿宋" w:hAnsi="仿宋" w:eastAsia="仿宋" w:cs="仿宋"/>
                <w:spacing w:val="-70"/>
                <w:sz w:val="21"/>
                <w:szCs w:val="21"/>
                <w:highlight w:val="none"/>
              </w:rPr>
              <w:t xml:space="preserve"> </w:t>
            </w:r>
            <w:r>
              <w:rPr>
                <w:rFonts w:hint="eastAsia" w:ascii="仿宋" w:hAnsi="仿宋" w:eastAsia="仿宋" w:cs="仿宋"/>
                <w:spacing w:val="6"/>
                <w:sz w:val="21"/>
                <w:szCs w:val="21"/>
                <w:highlight w:val="none"/>
              </w:rPr>
              <w:t>”，</w:t>
            </w:r>
            <w:r>
              <w:rPr>
                <w:rFonts w:hint="eastAsia" w:ascii="仿宋" w:hAnsi="仿宋" w:eastAsia="仿宋" w:cs="仿宋"/>
                <w:spacing w:val="-59"/>
                <w:sz w:val="21"/>
                <w:szCs w:val="21"/>
                <w:highlight w:val="none"/>
              </w:rPr>
              <w:t xml:space="preserve"> </w:t>
            </w:r>
            <w:r>
              <w:rPr>
                <w:rFonts w:hint="eastAsia" w:ascii="仿宋" w:hAnsi="仿宋" w:eastAsia="仿宋" w:cs="仿宋"/>
                <w:spacing w:val="6"/>
                <w:sz w:val="21"/>
                <w:szCs w:val="21"/>
                <w:highlight w:val="none"/>
              </w:rPr>
              <w:t>以银行到账时间和金额为准。</w:t>
            </w:r>
          </w:p>
          <w:p w14:paraId="4FF4C51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7"/>
                <w:sz w:val="21"/>
                <w:szCs w:val="21"/>
                <w:highlight w:val="none"/>
              </w:rPr>
              <w:t>（2）采用银行保函：银行保函应当是银行直接出具</w:t>
            </w:r>
            <w:r>
              <w:rPr>
                <w:rFonts w:hint="eastAsia" w:ascii="仿宋" w:hAnsi="仿宋" w:eastAsia="仿宋" w:cs="仿宋"/>
                <w:spacing w:val="6"/>
                <w:sz w:val="21"/>
                <w:szCs w:val="21"/>
                <w:highlight w:val="none"/>
              </w:rPr>
              <w:t>的保函或者金融服</w:t>
            </w:r>
            <w:r>
              <w:rPr>
                <w:rFonts w:hint="eastAsia" w:ascii="仿宋" w:hAnsi="仿宋" w:eastAsia="仿宋" w:cs="仿宋"/>
                <w:spacing w:val="10"/>
                <w:sz w:val="21"/>
                <w:szCs w:val="21"/>
                <w:highlight w:val="none"/>
              </w:rPr>
              <w:t>务平台出具的银行保函，响应文件中附保函文件，采购人将对供应商提交保函进行核实，若供应商提供虚假保函将否决其投标，响应文件</w:t>
            </w:r>
            <w:r>
              <w:rPr>
                <w:rFonts w:hint="eastAsia" w:ascii="仿宋" w:hAnsi="仿宋" w:eastAsia="仿宋" w:cs="仿宋"/>
                <w:spacing w:val="6"/>
                <w:sz w:val="21"/>
                <w:szCs w:val="21"/>
                <w:highlight w:val="none"/>
              </w:rPr>
              <w:t>中附原件扫描件。</w:t>
            </w:r>
          </w:p>
          <w:p w14:paraId="5C7788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（3）指定账户：</w:t>
            </w:r>
          </w:p>
          <w:p w14:paraId="48C40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收款单位：山西鸿源项目管理咨询服务有限公司</w:t>
            </w:r>
          </w:p>
          <w:p w14:paraId="57FA76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开 户 行：中国民生银行股份有限公司孝义支行</w:t>
            </w:r>
          </w:p>
          <w:p w14:paraId="49A668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账    号： 639307659</w:t>
            </w:r>
          </w:p>
          <w:p w14:paraId="53CEB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行    号： 305173439020</w:t>
            </w:r>
          </w:p>
          <w:p w14:paraId="5977630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（4）未按前述各款要求提交保证金，或所提交保证</w:t>
            </w:r>
            <w:r>
              <w:rPr>
                <w:rFonts w:hint="eastAsia" w:ascii="仿宋" w:hAnsi="仿宋" w:eastAsia="仿宋" w:cs="仿宋"/>
                <w:spacing w:val="6"/>
                <w:sz w:val="21"/>
                <w:szCs w:val="21"/>
                <w:highlight w:val="none"/>
              </w:rPr>
              <w:t>金不完全符合各项</w:t>
            </w:r>
            <w:r>
              <w:rPr>
                <w:rFonts w:hint="eastAsia" w:ascii="仿宋" w:hAnsi="仿宋" w:eastAsia="仿宋" w:cs="仿宋"/>
                <w:spacing w:val="7"/>
                <w:sz w:val="21"/>
                <w:szCs w:val="21"/>
                <w:highlight w:val="none"/>
              </w:rPr>
              <w:t>要求的投标，将被视为无效投标。</w:t>
            </w:r>
          </w:p>
          <w:p w14:paraId="432DE20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9"/>
                <w:sz w:val="21"/>
                <w:szCs w:val="21"/>
                <w:highlight w:val="none"/>
              </w:rPr>
              <w:t>（5）未成交供应商的磋商保证金在成交通知</w:t>
            </w:r>
            <w:r>
              <w:rPr>
                <w:rFonts w:hint="eastAsia" w:ascii="仿宋" w:hAnsi="仿宋" w:eastAsia="仿宋" w:cs="仿宋"/>
                <w:spacing w:val="8"/>
                <w:sz w:val="21"/>
                <w:szCs w:val="21"/>
                <w:highlight w:val="none"/>
              </w:rPr>
              <w:t>书发出后5个工作日</w:t>
            </w:r>
            <w:r>
              <w:rPr>
                <w:rFonts w:hint="eastAsia" w:ascii="仿宋" w:hAnsi="仿宋" w:eastAsia="仿宋" w:cs="仿宋"/>
                <w:spacing w:val="-59"/>
                <w:sz w:val="21"/>
                <w:szCs w:val="21"/>
                <w:highlight w:val="none"/>
              </w:rPr>
              <w:t xml:space="preserve"> </w:t>
            </w:r>
            <w:r>
              <w:rPr>
                <w:rFonts w:hint="eastAsia" w:ascii="仿宋" w:hAnsi="仿宋" w:eastAsia="仿宋" w:cs="仿宋"/>
                <w:spacing w:val="8"/>
                <w:sz w:val="21"/>
                <w:szCs w:val="21"/>
                <w:highlight w:val="none"/>
              </w:rPr>
              <w:t>内可</w:t>
            </w:r>
            <w:r>
              <w:rPr>
                <w:rFonts w:hint="eastAsia" w:ascii="仿宋" w:hAnsi="仿宋" w:eastAsia="仿宋" w:cs="仿宋"/>
                <w:spacing w:val="5"/>
                <w:sz w:val="21"/>
                <w:szCs w:val="21"/>
                <w:highlight w:val="none"/>
              </w:rPr>
              <w:t>办理退还手续，成交供应商的保证金可在采购合同签订后5个工作日内</w:t>
            </w:r>
            <w:r>
              <w:rPr>
                <w:rFonts w:hint="eastAsia" w:ascii="仿宋" w:hAnsi="仿宋" w:eastAsia="仿宋" w:cs="仿宋"/>
                <w:spacing w:val="-1"/>
                <w:sz w:val="21"/>
                <w:szCs w:val="21"/>
                <w:highlight w:val="none"/>
              </w:rPr>
              <w:t>退还。</w:t>
            </w:r>
          </w:p>
        </w:tc>
      </w:tr>
      <w:tr w14:paraId="38CE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Merge w:val="restart"/>
            <w:tcBorders>
              <w:bottom w:val="nil"/>
            </w:tcBorders>
            <w:vAlign w:val="center"/>
          </w:tcPr>
          <w:p w14:paraId="11D1E4F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1"/>
                <w:position w:val="1"/>
                <w:sz w:val="21"/>
                <w:szCs w:val="21"/>
                <w:highlight w:val="none"/>
              </w:rPr>
              <w:t>13.1</w:t>
            </w:r>
          </w:p>
        </w:tc>
        <w:tc>
          <w:tcPr>
            <w:tcW w:w="1647" w:type="dxa"/>
            <w:vAlign w:val="center"/>
          </w:tcPr>
          <w:p w14:paraId="1233A95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磋商截止时间</w:t>
            </w:r>
          </w:p>
        </w:tc>
        <w:tc>
          <w:tcPr>
            <w:tcW w:w="6719" w:type="dxa"/>
            <w:vAlign w:val="center"/>
          </w:tcPr>
          <w:p w14:paraId="1606975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cs="仿宋"/>
                <w:spacing w:val="-2"/>
                <w:sz w:val="21"/>
                <w:szCs w:val="21"/>
                <w:highlight w:val="none"/>
                <w:lang w:eastAsia="zh-CN"/>
              </w:rPr>
              <w:t>2026年6月3日下午15时00分</w:t>
            </w:r>
            <w:r>
              <w:rPr>
                <w:rFonts w:hint="eastAsia" w:ascii="仿宋" w:hAnsi="仿宋" w:eastAsia="仿宋" w:cs="仿宋"/>
                <w:spacing w:val="-2"/>
                <w:sz w:val="21"/>
                <w:szCs w:val="21"/>
                <w:highlight w:val="none"/>
              </w:rPr>
              <w:t>（北京</w:t>
            </w:r>
            <w:r>
              <w:rPr>
                <w:rFonts w:hint="eastAsia" w:ascii="仿宋" w:hAnsi="仿宋" w:eastAsia="仿宋" w:cs="仿宋"/>
                <w:spacing w:val="-3"/>
                <w:sz w:val="21"/>
                <w:szCs w:val="21"/>
                <w:highlight w:val="none"/>
              </w:rPr>
              <w:t>时间）</w:t>
            </w:r>
          </w:p>
        </w:tc>
      </w:tr>
      <w:tr w14:paraId="6FF1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007" w:type="dxa"/>
            <w:vMerge w:val="continue"/>
            <w:tcBorders>
              <w:top w:val="nil"/>
            </w:tcBorders>
            <w:vAlign w:val="center"/>
          </w:tcPr>
          <w:p w14:paraId="7E00D0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p>
        </w:tc>
        <w:tc>
          <w:tcPr>
            <w:tcW w:w="1647" w:type="dxa"/>
            <w:vAlign w:val="center"/>
          </w:tcPr>
          <w:p w14:paraId="4E6262D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递交响应文件地点</w:t>
            </w:r>
          </w:p>
        </w:tc>
        <w:tc>
          <w:tcPr>
            <w:tcW w:w="6719" w:type="dxa"/>
            <w:vAlign w:val="top"/>
          </w:tcPr>
          <w:p w14:paraId="783AE1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7"/>
                <w:sz w:val="21"/>
                <w:szCs w:val="21"/>
              </w:rPr>
              <w:t>电子响应文件递交及格式要求</w:t>
            </w:r>
          </w:p>
          <w:p w14:paraId="1286760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响应文件递交截止时间前在政采云平台响应客户端完成递交（上传</w:t>
            </w:r>
            <w:r>
              <w:rPr>
                <w:rFonts w:hint="eastAsia" w:ascii="仿宋" w:hAnsi="仿宋" w:eastAsia="仿宋" w:cs="仿宋"/>
                <w:spacing w:val="-24"/>
                <w:sz w:val="21"/>
                <w:szCs w:val="21"/>
              </w:rPr>
              <w:t>），</w:t>
            </w:r>
            <w:r>
              <w:rPr>
                <w:rFonts w:hint="eastAsia" w:ascii="仿宋" w:hAnsi="仿宋" w:eastAsia="仿宋" w:cs="仿宋"/>
                <w:spacing w:val="10"/>
                <w:sz w:val="21"/>
                <w:szCs w:val="21"/>
              </w:rPr>
              <w:t>递交截止时间前未完成响应文件上传的，视为撤回响应文件，供应商</w:t>
            </w:r>
            <w:r>
              <w:rPr>
                <w:rFonts w:hint="eastAsia" w:ascii="仿宋" w:hAnsi="仿宋" w:eastAsia="仿宋" w:cs="仿宋"/>
                <w:spacing w:val="5"/>
                <w:sz w:val="21"/>
                <w:szCs w:val="21"/>
              </w:rPr>
              <w:t>自行承担责任。</w:t>
            </w:r>
          </w:p>
        </w:tc>
      </w:tr>
      <w:tr w14:paraId="36EB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07" w:type="dxa"/>
            <w:vAlign w:val="center"/>
          </w:tcPr>
          <w:p w14:paraId="51F0A9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15.1</w:t>
            </w:r>
          </w:p>
        </w:tc>
        <w:tc>
          <w:tcPr>
            <w:tcW w:w="1647" w:type="dxa"/>
            <w:vAlign w:val="center"/>
          </w:tcPr>
          <w:p w14:paraId="469D702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z w:val="21"/>
                <w:szCs w:val="21"/>
                <w:lang w:val="en-US" w:eastAsia="zh-CN"/>
              </w:rPr>
            </w:pPr>
            <w:r>
              <w:rPr>
                <w:rFonts w:hint="eastAsia" w:cs="仿宋"/>
                <w:sz w:val="21"/>
                <w:szCs w:val="21"/>
                <w:lang w:val="en-US" w:eastAsia="zh-CN"/>
              </w:rPr>
              <w:t>响应文件开启</w:t>
            </w:r>
          </w:p>
        </w:tc>
        <w:tc>
          <w:tcPr>
            <w:tcW w:w="6719" w:type="dxa"/>
            <w:vAlign w:val="top"/>
          </w:tcPr>
          <w:p w14:paraId="6181625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4"/>
                <w:sz w:val="21"/>
                <w:szCs w:val="21"/>
              </w:rPr>
            </w:pPr>
            <w:r>
              <w:rPr>
                <w:rFonts w:hint="eastAsia" w:ascii="仿宋" w:hAnsi="仿宋" w:eastAsia="仿宋" w:cs="仿宋"/>
                <w:spacing w:val="4"/>
                <w:sz w:val="21"/>
                <w:szCs w:val="21"/>
              </w:rPr>
              <w:t>同磋商截止时间；</w:t>
            </w:r>
          </w:p>
          <w:p w14:paraId="1A8DC52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pacing w:val="4"/>
                <w:sz w:val="21"/>
                <w:szCs w:val="21"/>
                <w:lang w:val="en-US" w:eastAsia="zh-CN"/>
              </w:rPr>
            </w:pPr>
            <w:r>
              <w:rPr>
                <w:rFonts w:hint="default" w:ascii="仿宋" w:hAnsi="仿宋" w:eastAsia="仿宋" w:cs="仿宋"/>
                <w:spacing w:val="4"/>
                <w:sz w:val="21"/>
                <w:szCs w:val="21"/>
                <w:lang w:val="en-US" w:eastAsia="zh-CN"/>
              </w:rPr>
              <w:t>解密方式：远程解密</w:t>
            </w:r>
          </w:p>
        </w:tc>
      </w:tr>
      <w:tr w14:paraId="559A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07" w:type="dxa"/>
            <w:vAlign w:val="center"/>
          </w:tcPr>
          <w:p w14:paraId="6626557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16.1</w:t>
            </w:r>
          </w:p>
        </w:tc>
        <w:tc>
          <w:tcPr>
            <w:tcW w:w="1647" w:type="dxa"/>
            <w:vAlign w:val="center"/>
          </w:tcPr>
          <w:p w14:paraId="140886F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评审小组构成</w:t>
            </w:r>
          </w:p>
        </w:tc>
        <w:tc>
          <w:tcPr>
            <w:tcW w:w="6719" w:type="dxa"/>
            <w:vAlign w:val="top"/>
          </w:tcPr>
          <w:p w14:paraId="6657839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评审小组由</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u w:val="single" w:color="auto"/>
              </w:rPr>
              <w:t>3</w:t>
            </w:r>
            <w:r>
              <w:rPr>
                <w:rFonts w:hint="eastAsia" w:ascii="仿宋" w:hAnsi="仿宋" w:eastAsia="仿宋" w:cs="仿宋"/>
                <w:spacing w:val="-29"/>
                <w:sz w:val="21"/>
                <w:szCs w:val="21"/>
                <w:u w:val="single" w:color="auto"/>
              </w:rPr>
              <w:t xml:space="preserve"> </w:t>
            </w:r>
            <w:r>
              <w:rPr>
                <w:rFonts w:hint="eastAsia" w:ascii="仿宋" w:hAnsi="仿宋" w:eastAsia="仿宋" w:cs="仿宋"/>
                <w:spacing w:val="4"/>
                <w:sz w:val="21"/>
                <w:szCs w:val="21"/>
              </w:rPr>
              <w:t>人组成，其中采购人代表</w:t>
            </w:r>
            <w:r>
              <w:rPr>
                <w:rFonts w:hint="eastAsia" w:ascii="仿宋" w:hAnsi="仿宋" w:eastAsia="仿宋" w:cs="仿宋"/>
                <w:spacing w:val="-25"/>
                <w:sz w:val="21"/>
                <w:szCs w:val="21"/>
              </w:rPr>
              <w:t xml:space="preserve"> </w:t>
            </w:r>
            <w:r>
              <w:rPr>
                <w:rFonts w:hint="eastAsia" w:ascii="仿宋" w:hAnsi="仿宋" w:eastAsia="仿宋" w:cs="仿宋"/>
                <w:spacing w:val="4"/>
                <w:sz w:val="21"/>
                <w:szCs w:val="21"/>
              </w:rPr>
              <w:t>1</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人，专家</w:t>
            </w:r>
            <w:r>
              <w:rPr>
                <w:rFonts w:hint="eastAsia" w:ascii="仿宋" w:hAnsi="仿宋" w:eastAsia="仿宋" w:cs="仿宋"/>
                <w:spacing w:val="-35"/>
                <w:sz w:val="21"/>
                <w:szCs w:val="21"/>
              </w:rPr>
              <w:t xml:space="preserve"> </w:t>
            </w:r>
            <w:r>
              <w:rPr>
                <w:rFonts w:hint="eastAsia" w:ascii="仿宋" w:hAnsi="仿宋" w:eastAsia="仿宋" w:cs="仿宋"/>
                <w:spacing w:val="4"/>
                <w:sz w:val="21"/>
                <w:szCs w:val="21"/>
              </w:rPr>
              <w:t>2</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人。</w:t>
            </w:r>
          </w:p>
        </w:tc>
      </w:tr>
      <w:tr w14:paraId="4C11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07" w:type="dxa"/>
            <w:vAlign w:val="center"/>
          </w:tcPr>
          <w:p w14:paraId="1C84B01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22.1</w:t>
            </w:r>
          </w:p>
        </w:tc>
        <w:tc>
          <w:tcPr>
            <w:tcW w:w="1647" w:type="dxa"/>
            <w:vAlign w:val="center"/>
          </w:tcPr>
          <w:p w14:paraId="482AC8B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是否授权磋商</w:t>
            </w:r>
            <w:r>
              <w:rPr>
                <w:rFonts w:hint="eastAsia" w:ascii="仿宋" w:hAnsi="仿宋" w:eastAsia="仿宋" w:cs="仿宋"/>
                <w:spacing w:val="8"/>
                <w:sz w:val="21"/>
                <w:szCs w:val="21"/>
              </w:rPr>
              <w:t>小组确定成交供应商</w:t>
            </w:r>
          </w:p>
        </w:tc>
        <w:tc>
          <w:tcPr>
            <w:tcW w:w="6719" w:type="dxa"/>
            <w:vAlign w:val="top"/>
          </w:tcPr>
          <w:p w14:paraId="4686174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是</w:t>
            </w:r>
          </w:p>
          <w:p w14:paraId="22F1E12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position w:val="1"/>
                <w:sz w:val="21"/>
                <w:szCs w:val="21"/>
              </w:rPr>
              <w:t>o否，</w:t>
            </w:r>
            <w:r>
              <w:rPr>
                <w:rFonts w:hint="eastAsia" w:ascii="仿宋" w:hAnsi="仿宋" w:eastAsia="仿宋" w:cs="仿宋"/>
                <w:spacing w:val="-51"/>
                <w:position w:val="1"/>
                <w:sz w:val="21"/>
                <w:szCs w:val="21"/>
              </w:rPr>
              <w:t xml:space="preserve"> </w:t>
            </w:r>
            <w:r>
              <w:rPr>
                <w:rFonts w:hint="eastAsia" w:ascii="仿宋" w:hAnsi="仿宋" w:eastAsia="仿宋" w:cs="仿宋"/>
                <w:spacing w:val="5"/>
                <w:position w:val="1"/>
                <w:sz w:val="21"/>
                <w:szCs w:val="21"/>
              </w:rPr>
              <w:t>由磋商小组推荐中标候选供应商顺序，</w:t>
            </w:r>
            <w:r>
              <w:rPr>
                <w:rFonts w:hint="eastAsia" w:ascii="仿宋" w:hAnsi="仿宋" w:eastAsia="仿宋" w:cs="仿宋"/>
                <w:spacing w:val="-52"/>
                <w:position w:val="1"/>
                <w:sz w:val="21"/>
                <w:szCs w:val="21"/>
              </w:rPr>
              <w:t xml:space="preserve"> </w:t>
            </w:r>
            <w:r>
              <w:rPr>
                <w:rFonts w:hint="eastAsia" w:ascii="仿宋" w:hAnsi="仿宋" w:eastAsia="仿宋" w:cs="仿宋"/>
                <w:spacing w:val="5"/>
                <w:position w:val="1"/>
                <w:sz w:val="21"/>
                <w:szCs w:val="21"/>
              </w:rPr>
              <w:t>甲方</w:t>
            </w:r>
            <w:r>
              <w:rPr>
                <w:rFonts w:hint="eastAsia" w:ascii="仿宋" w:hAnsi="仿宋" w:eastAsia="仿宋" w:cs="仿宋"/>
                <w:spacing w:val="4"/>
                <w:position w:val="1"/>
                <w:sz w:val="21"/>
                <w:szCs w:val="21"/>
              </w:rPr>
              <w:t>确定。</w:t>
            </w:r>
          </w:p>
        </w:tc>
      </w:tr>
      <w:tr w14:paraId="1369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1007" w:type="dxa"/>
            <w:vAlign w:val="center"/>
          </w:tcPr>
          <w:p w14:paraId="054622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28</w:t>
            </w:r>
          </w:p>
        </w:tc>
        <w:tc>
          <w:tcPr>
            <w:tcW w:w="1647" w:type="dxa"/>
            <w:vAlign w:val="center"/>
          </w:tcPr>
          <w:p w14:paraId="6498665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成交服务费</w:t>
            </w:r>
          </w:p>
        </w:tc>
        <w:tc>
          <w:tcPr>
            <w:tcW w:w="6719" w:type="dxa"/>
            <w:vAlign w:val="top"/>
          </w:tcPr>
          <w:p w14:paraId="4360BEF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sz w:val="21"/>
                <w:szCs w:val="21"/>
              </w:rPr>
            </w:pPr>
            <w:r>
              <w:rPr>
                <w:rFonts w:hint="eastAsia" w:ascii="仿宋" w:hAnsi="仿宋" w:eastAsia="仿宋" w:cs="仿宋"/>
                <w:spacing w:val="-2"/>
                <w:sz w:val="21"/>
                <w:szCs w:val="21"/>
              </w:rPr>
              <w:t>支付金额：参照《招标代理服务收费管理暂行办法》（计价</w:t>
            </w:r>
            <w:r>
              <w:rPr>
                <w:rFonts w:hint="eastAsia" w:ascii="仿宋" w:hAnsi="仿宋" w:eastAsia="仿宋" w:cs="仿宋"/>
                <w:spacing w:val="-3"/>
                <w:sz w:val="21"/>
                <w:szCs w:val="21"/>
              </w:rPr>
              <w:t>格[2002]1980</w:t>
            </w:r>
            <w:r>
              <w:rPr>
                <w:rFonts w:hint="eastAsia" w:ascii="仿宋" w:hAnsi="仿宋" w:eastAsia="仿宋" w:cs="仿宋"/>
                <w:spacing w:val="8"/>
                <w:sz w:val="21"/>
                <w:szCs w:val="21"/>
              </w:rPr>
              <w:t>号）文件的规定计取采购代理服务费。</w:t>
            </w:r>
          </w:p>
          <w:p w14:paraId="66B4A98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
              <w:textAlignment w:val="baseline"/>
              <w:rPr>
                <w:rFonts w:hint="eastAsia" w:ascii="仿宋" w:hAnsi="仿宋" w:eastAsia="仿宋" w:cs="仿宋"/>
                <w:sz w:val="21"/>
                <w:szCs w:val="21"/>
              </w:rPr>
            </w:pPr>
            <w:r>
              <w:rPr>
                <w:rFonts w:hint="eastAsia" w:ascii="仿宋" w:hAnsi="仿宋" w:eastAsia="仿宋" w:cs="仿宋"/>
                <w:spacing w:val="9"/>
                <w:sz w:val="21"/>
                <w:szCs w:val="21"/>
              </w:rPr>
              <w:t>支付方式：成交人支付。在成交通知书发出时，向采购</w:t>
            </w:r>
            <w:r>
              <w:rPr>
                <w:rFonts w:hint="eastAsia" w:ascii="仿宋" w:hAnsi="仿宋" w:eastAsia="仿宋" w:cs="仿宋"/>
                <w:spacing w:val="8"/>
                <w:sz w:val="21"/>
                <w:szCs w:val="21"/>
              </w:rPr>
              <w:t>代理机构一次</w:t>
            </w:r>
            <w:r>
              <w:rPr>
                <w:rFonts w:hint="eastAsia" w:ascii="仿宋" w:hAnsi="仿宋" w:eastAsia="仿宋" w:cs="仿宋"/>
                <w:spacing w:val="7"/>
                <w:sz w:val="21"/>
                <w:szCs w:val="21"/>
              </w:rPr>
              <w:t>性付清采购代理服务费。</w:t>
            </w:r>
          </w:p>
        </w:tc>
      </w:tr>
      <w:tr w14:paraId="72A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7" w:type="dxa"/>
            <w:vAlign w:val="top"/>
          </w:tcPr>
          <w:p w14:paraId="270E23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29</w:t>
            </w:r>
          </w:p>
        </w:tc>
        <w:tc>
          <w:tcPr>
            <w:tcW w:w="1647" w:type="dxa"/>
            <w:vAlign w:val="top"/>
          </w:tcPr>
          <w:p w14:paraId="7CB3C8C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6"/>
                <w:sz w:val="21"/>
                <w:szCs w:val="21"/>
              </w:rPr>
              <w:t>履约保证金</w:t>
            </w:r>
          </w:p>
        </w:tc>
        <w:tc>
          <w:tcPr>
            <w:tcW w:w="6719" w:type="dxa"/>
            <w:vAlign w:val="top"/>
          </w:tcPr>
          <w:p w14:paraId="67556B8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sz w:val="21"/>
                <w:szCs w:val="21"/>
              </w:rPr>
              <w:t>☑不要求</w:t>
            </w:r>
          </w:p>
        </w:tc>
      </w:tr>
      <w:tr w14:paraId="74FB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73" w:type="dxa"/>
            <w:gridSpan w:val="3"/>
            <w:vAlign w:val="top"/>
          </w:tcPr>
          <w:p w14:paraId="680342F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其他要求：</w:t>
            </w:r>
          </w:p>
        </w:tc>
      </w:tr>
      <w:tr w14:paraId="5CFC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trPr>
        <w:tc>
          <w:tcPr>
            <w:tcW w:w="1007" w:type="dxa"/>
            <w:vAlign w:val="center"/>
          </w:tcPr>
          <w:p w14:paraId="2E629DF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1</w:t>
            </w:r>
          </w:p>
        </w:tc>
        <w:tc>
          <w:tcPr>
            <w:tcW w:w="1647" w:type="dxa"/>
            <w:vAlign w:val="center"/>
          </w:tcPr>
          <w:p w14:paraId="055900E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否决响应的情形有</w:t>
            </w:r>
          </w:p>
        </w:tc>
        <w:tc>
          <w:tcPr>
            <w:tcW w:w="6719" w:type="dxa"/>
            <w:vAlign w:val="top"/>
          </w:tcPr>
          <w:p w14:paraId="0D5E73E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供应商不得存在下列不良状况或不良信用记录，否则不得参与本项目</w:t>
            </w:r>
            <w:r>
              <w:rPr>
                <w:rFonts w:hint="eastAsia" w:ascii="仿宋" w:hAnsi="仿宋" w:eastAsia="仿宋" w:cs="仿宋"/>
                <w:sz w:val="21"/>
                <w:szCs w:val="21"/>
              </w:rPr>
              <w:t>的响应</w:t>
            </w:r>
          </w:p>
          <w:p w14:paraId="4B1DD6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①供应商被责令停业，暂扣或吊销执照，或吊销资质证书。</w:t>
            </w:r>
          </w:p>
          <w:p w14:paraId="3E9F58E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②供应商进入清算程序，或被宣告破产，或其他丧失履约能力的情形。</w:t>
            </w:r>
          </w:p>
          <w:p w14:paraId="6CE9169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③供应商的信誉信息在“信用中国</w:t>
            </w:r>
            <w:r>
              <w:rPr>
                <w:rFonts w:hint="eastAsia" w:ascii="仿宋" w:hAnsi="仿宋" w:eastAsia="仿宋" w:cs="仿宋"/>
                <w:spacing w:val="-70"/>
                <w:sz w:val="21"/>
                <w:szCs w:val="21"/>
              </w:rPr>
              <w:t xml:space="preserve"> </w:t>
            </w:r>
            <w:r>
              <w:rPr>
                <w:rFonts w:hint="eastAsia" w:ascii="仿宋" w:hAnsi="仿宋" w:eastAsia="仿宋" w:cs="仿宋"/>
                <w:spacing w:val="10"/>
                <w:sz w:val="21"/>
                <w:szCs w:val="21"/>
              </w:rPr>
              <w:t>”网站被列入</w:t>
            </w:r>
            <w:r>
              <w:rPr>
                <w:rFonts w:hint="eastAsia" w:ascii="仿宋" w:hAnsi="仿宋" w:eastAsia="仿宋" w:cs="仿宋"/>
                <w:spacing w:val="9"/>
                <w:sz w:val="21"/>
                <w:szCs w:val="21"/>
              </w:rPr>
              <w:t>失信被执行人或重大</w:t>
            </w:r>
            <w:r>
              <w:rPr>
                <w:rFonts w:hint="eastAsia" w:ascii="仿宋" w:hAnsi="仿宋" w:eastAsia="仿宋" w:cs="仿宋"/>
                <w:spacing w:val="10"/>
                <w:sz w:val="21"/>
                <w:szCs w:val="21"/>
              </w:rPr>
              <w:t>税收违法案件当事人名单或政府采购严重违法失信名单等不良信用记</w:t>
            </w:r>
            <w:r>
              <w:rPr>
                <w:rFonts w:hint="eastAsia" w:ascii="仿宋" w:hAnsi="仿宋" w:eastAsia="仿宋" w:cs="仿宋"/>
                <w:spacing w:val="-7"/>
                <w:sz w:val="21"/>
                <w:szCs w:val="21"/>
              </w:rPr>
              <w:t>录。</w:t>
            </w:r>
          </w:p>
          <w:p w14:paraId="6BFB7E0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④供应商存在法律法规规定的其他不良状况或不良信用记录。</w:t>
            </w:r>
          </w:p>
          <w:p w14:paraId="7B9ADF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⑤除磋商文件规定的其他情形。</w:t>
            </w:r>
          </w:p>
        </w:tc>
      </w:tr>
      <w:tr w14:paraId="6679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5" w:hRule="atLeast"/>
        </w:trPr>
        <w:tc>
          <w:tcPr>
            <w:tcW w:w="1007" w:type="dxa"/>
            <w:vAlign w:val="center"/>
          </w:tcPr>
          <w:p w14:paraId="38C65AD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w:t>
            </w:r>
          </w:p>
        </w:tc>
        <w:tc>
          <w:tcPr>
            <w:tcW w:w="1647" w:type="dxa"/>
            <w:vAlign w:val="center"/>
          </w:tcPr>
          <w:p w14:paraId="023A7B2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政府采购</w:t>
            </w:r>
            <w:r>
              <w:rPr>
                <w:rFonts w:hint="eastAsia" w:ascii="仿宋" w:hAnsi="仿宋" w:eastAsia="仿宋" w:cs="仿宋"/>
                <w:spacing w:val="7"/>
                <w:sz w:val="21"/>
                <w:szCs w:val="21"/>
              </w:rPr>
              <w:t>相关政策要求</w:t>
            </w:r>
            <w:r>
              <w:rPr>
                <w:rFonts w:hint="eastAsia" w:ascii="仿宋" w:hAnsi="仿宋" w:eastAsia="仿宋" w:cs="仿宋"/>
                <w:spacing w:val="5"/>
                <w:sz w:val="21"/>
                <w:szCs w:val="21"/>
              </w:rPr>
              <w:t>（如有涉及）</w:t>
            </w:r>
          </w:p>
        </w:tc>
        <w:tc>
          <w:tcPr>
            <w:tcW w:w="6719" w:type="dxa"/>
            <w:vAlign w:val="top"/>
          </w:tcPr>
          <w:p w14:paraId="5CCCB31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1.采购货物未特别注明“进口产品</w:t>
            </w:r>
            <w:r>
              <w:rPr>
                <w:rFonts w:hint="eastAsia" w:ascii="仿宋" w:hAnsi="仿宋" w:eastAsia="仿宋" w:cs="仿宋"/>
                <w:spacing w:val="-60"/>
                <w:sz w:val="21"/>
                <w:szCs w:val="21"/>
              </w:rPr>
              <w:t xml:space="preserve"> </w:t>
            </w:r>
            <w:r>
              <w:rPr>
                <w:rFonts w:hint="eastAsia" w:ascii="仿宋" w:hAnsi="仿宋" w:eastAsia="仿宋" w:cs="仿宋"/>
                <w:spacing w:val="7"/>
                <w:sz w:val="21"/>
                <w:szCs w:val="21"/>
              </w:rPr>
              <w:t>”字样的，均必须采购国产产品，</w:t>
            </w:r>
            <w:r>
              <w:rPr>
                <w:rFonts w:hint="eastAsia" w:ascii="仿宋" w:hAnsi="仿宋" w:eastAsia="仿宋" w:cs="仿宋"/>
                <w:spacing w:val="8"/>
                <w:sz w:val="21"/>
                <w:szCs w:val="21"/>
              </w:rPr>
              <w:t>即非“通过中国海关报关验放进入中国境内且产自关境外的</w:t>
            </w:r>
            <w:r>
              <w:rPr>
                <w:rFonts w:hint="eastAsia" w:ascii="仿宋" w:hAnsi="仿宋" w:eastAsia="仿宋" w:cs="仿宋"/>
                <w:spacing w:val="7"/>
                <w:sz w:val="21"/>
                <w:szCs w:val="21"/>
              </w:rPr>
              <w:t>产品</w:t>
            </w:r>
            <w:r>
              <w:rPr>
                <w:rFonts w:hint="eastAsia" w:ascii="仿宋" w:hAnsi="仿宋" w:eastAsia="仿宋" w:cs="仿宋"/>
                <w:spacing w:val="-72"/>
                <w:sz w:val="21"/>
                <w:szCs w:val="21"/>
              </w:rPr>
              <w:t xml:space="preserve"> </w:t>
            </w:r>
            <w:r>
              <w:rPr>
                <w:rFonts w:hint="eastAsia" w:ascii="仿宋" w:hAnsi="仿宋" w:eastAsia="仿宋" w:cs="仿宋"/>
                <w:spacing w:val="7"/>
                <w:sz w:val="21"/>
                <w:szCs w:val="21"/>
              </w:rPr>
              <w:t>”，</w:t>
            </w:r>
            <w:r>
              <w:rPr>
                <w:rFonts w:hint="eastAsia" w:ascii="仿宋" w:hAnsi="仿宋" w:eastAsia="仿宋" w:cs="仿宋"/>
                <w:spacing w:val="8"/>
                <w:sz w:val="21"/>
                <w:szCs w:val="21"/>
              </w:rPr>
              <w:t>采购产品各项技术标准必须符合国家强制性标准。</w:t>
            </w:r>
          </w:p>
          <w:p w14:paraId="42924F7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2"/>
                <w:sz w:val="21"/>
                <w:szCs w:val="21"/>
              </w:rPr>
              <w:t>2．采购货物中如含“台式计算机、便携式计算机和平板式微型计算机、</w:t>
            </w:r>
            <w:r>
              <w:rPr>
                <w:rFonts w:hint="eastAsia" w:ascii="仿宋" w:hAnsi="仿宋" w:eastAsia="仿宋" w:cs="仿宋"/>
                <w:spacing w:val="10"/>
                <w:sz w:val="21"/>
                <w:szCs w:val="21"/>
              </w:rPr>
              <w:t>激光打印机、针式打印机、液晶显示器、制冷空调设备</w:t>
            </w:r>
            <w:r>
              <w:rPr>
                <w:rFonts w:hint="eastAsia" w:ascii="仿宋" w:hAnsi="仿宋" w:eastAsia="仿宋" w:cs="仿宋"/>
                <w:spacing w:val="9"/>
                <w:sz w:val="21"/>
                <w:szCs w:val="21"/>
              </w:rPr>
              <w:t>、镇流器、空</w:t>
            </w:r>
            <w:r>
              <w:rPr>
                <w:rFonts w:hint="eastAsia" w:ascii="仿宋" w:hAnsi="仿宋" w:eastAsia="仿宋" w:cs="仿宋"/>
                <w:spacing w:val="5"/>
                <w:sz w:val="21"/>
                <w:szCs w:val="21"/>
              </w:rPr>
              <w:t>调机、电热水器、普通照明用自镇流荧光灯、普通照明用双端荧光灯、</w:t>
            </w:r>
            <w:r>
              <w:rPr>
                <w:rFonts w:hint="eastAsia" w:ascii="仿宋" w:hAnsi="仿宋" w:eastAsia="仿宋" w:cs="仿宋"/>
                <w:spacing w:val="10"/>
                <w:sz w:val="21"/>
                <w:szCs w:val="21"/>
              </w:rPr>
              <w:t>电视设备、视频监控设备中的数字硬盘录像机、监视电</w:t>
            </w:r>
            <w:r>
              <w:rPr>
                <w:rFonts w:hint="eastAsia" w:ascii="仿宋" w:hAnsi="仿宋" w:eastAsia="仿宋" w:cs="仿宋"/>
                <w:spacing w:val="9"/>
                <w:sz w:val="21"/>
                <w:szCs w:val="21"/>
              </w:rPr>
              <w:t>视墙（拼接显</w:t>
            </w:r>
            <w:r>
              <w:rPr>
                <w:rFonts w:hint="eastAsia" w:ascii="仿宋" w:hAnsi="仿宋" w:eastAsia="仿宋" w:cs="仿宋"/>
                <w:spacing w:val="7"/>
                <w:sz w:val="21"/>
                <w:szCs w:val="21"/>
              </w:rPr>
              <w:t>示器）</w:t>
            </w:r>
            <w:r>
              <w:rPr>
                <w:rFonts w:hint="eastAsia" w:ascii="仿宋" w:hAnsi="仿宋" w:eastAsia="仿宋" w:cs="仿宋"/>
                <w:spacing w:val="-58"/>
                <w:sz w:val="21"/>
                <w:szCs w:val="21"/>
              </w:rPr>
              <w:t xml:space="preserve"> </w:t>
            </w:r>
            <w:r>
              <w:rPr>
                <w:rFonts w:hint="eastAsia" w:ascii="仿宋" w:hAnsi="仿宋" w:eastAsia="仿宋" w:cs="仿宋"/>
                <w:spacing w:val="7"/>
                <w:sz w:val="21"/>
                <w:szCs w:val="21"/>
              </w:rPr>
              <w:t>、监视器、</w:t>
            </w:r>
            <w:r>
              <w:rPr>
                <w:rFonts w:hint="eastAsia" w:ascii="仿宋" w:hAnsi="仿宋" w:eastAsia="仿宋" w:cs="仿宋"/>
                <w:spacing w:val="-57"/>
                <w:sz w:val="21"/>
                <w:szCs w:val="21"/>
              </w:rPr>
              <w:t xml:space="preserve"> </w:t>
            </w:r>
            <w:r>
              <w:rPr>
                <w:rFonts w:hint="eastAsia" w:ascii="仿宋" w:hAnsi="仿宋" w:eastAsia="仿宋" w:cs="仿宋"/>
                <w:spacing w:val="7"/>
                <w:sz w:val="21"/>
                <w:szCs w:val="21"/>
              </w:rPr>
              <w:t>以及便器、水嘴等</w:t>
            </w:r>
            <w:r>
              <w:rPr>
                <w:rFonts w:hint="eastAsia" w:ascii="仿宋" w:hAnsi="仿宋" w:eastAsia="仿宋" w:cs="仿宋"/>
                <w:spacing w:val="-70"/>
                <w:sz w:val="21"/>
                <w:szCs w:val="21"/>
              </w:rPr>
              <w:t xml:space="preserve"> </w:t>
            </w:r>
            <w:r>
              <w:rPr>
                <w:rFonts w:hint="eastAsia" w:ascii="仿宋" w:hAnsi="仿宋" w:eastAsia="仿宋" w:cs="仿宋"/>
                <w:spacing w:val="7"/>
                <w:sz w:val="21"/>
                <w:szCs w:val="21"/>
              </w:rPr>
              <w:t>”，属</w:t>
            </w:r>
            <w:r>
              <w:rPr>
                <w:rFonts w:hint="eastAsia" w:ascii="仿宋" w:hAnsi="仿宋" w:eastAsia="仿宋" w:cs="仿宋"/>
                <w:spacing w:val="6"/>
                <w:sz w:val="21"/>
                <w:szCs w:val="21"/>
              </w:rPr>
              <w:t>于国家强制性采购产品，</w:t>
            </w:r>
            <w:r>
              <w:rPr>
                <w:rFonts w:hint="eastAsia" w:ascii="仿宋" w:hAnsi="仿宋" w:eastAsia="仿宋" w:cs="仿宋"/>
                <w:spacing w:val="8"/>
                <w:sz w:val="21"/>
                <w:szCs w:val="21"/>
              </w:rPr>
              <w:t>必须符合最新一期《节能产品政府采购清单》的要求。</w:t>
            </w:r>
          </w:p>
          <w:p w14:paraId="0037BDC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3．采购项目中如含有计算机，必须预装正版操作系统软件产品，项目</w:t>
            </w:r>
            <w:r>
              <w:rPr>
                <w:rFonts w:hint="eastAsia" w:ascii="仿宋" w:hAnsi="仿宋" w:eastAsia="仿宋" w:cs="仿宋"/>
                <w:spacing w:val="6"/>
                <w:sz w:val="21"/>
                <w:szCs w:val="21"/>
              </w:rPr>
              <w:t>中所采购的其它软件必须为正版软件。</w:t>
            </w:r>
          </w:p>
          <w:p w14:paraId="34378E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4．采购货物中如含有财政部会同有关部门制定下发的《信息安全产品</w:t>
            </w:r>
            <w:r>
              <w:rPr>
                <w:rFonts w:hint="eastAsia" w:ascii="仿宋" w:hAnsi="仿宋" w:eastAsia="仿宋" w:cs="仿宋"/>
                <w:spacing w:val="8"/>
                <w:sz w:val="21"/>
                <w:szCs w:val="21"/>
              </w:rPr>
              <w:t>强制性认证目录》</w:t>
            </w:r>
            <w:r>
              <w:rPr>
                <w:rFonts w:hint="eastAsia" w:ascii="仿宋" w:hAnsi="仿宋" w:eastAsia="仿宋" w:cs="仿宋"/>
                <w:spacing w:val="-29"/>
                <w:sz w:val="21"/>
                <w:szCs w:val="21"/>
              </w:rPr>
              <w:t xml:space="preserve"> </w:t>
            </w:r>
            <w:r>
              <w:rPr>
                <w:rFonts w:hint="eastAsia" w:ascii="仿宋" w:hAnsi="仿宋" w:eastAsia="仿宋" w:cs="仿宋"/>
                <w:spacing w:val="8"/>
                <w:sz w:val="21"/>
                <w:szCs w:val="21"/>
              </w:rPr>
              <w:t>中的产品，须提供中国信息安全认证中心按国家标</w:t>
            </w:r>
            <w:r>
              <w:rPr>
                <w:rFonts w:hint="eastAsia" w:ascii="仿宋" w:hAnsi="仿宋" w:eastAsia="仿宋" w:cs="仿宋"/>
                <w:spacing w:val="7"/>
                <w:sz w:val="21"/>
                <w:szCs w:val="21"/>
              </w:rPr>
              <w:t>准认证颁发的有效认证证书。</w:t>
            </w:r>
          </w:p>
          <w:p w14:paraId="41154F6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供应商参加本次投标活动，上述要求（如涉</w:t>
            </w:r>
            <w:r>
              <w:rPr>
                <w:rFonts w:hint="eastAsia" w:ascii="仿宋" w:hAnsi="仿宋" w:eastAsia="仿宋" w:cs="仿宋"/>
                <w:spacing w:val="5"/>
                <w:sz w:val="21"/>
                <w:szCs w:val="21"/>
              </w:rPr>
              <w:t>及的话</w:t>
            </w:r>
            <w:r>
              <w:rPr>
                <w:rFonts w:hint="eastAsia" w:ascii="仿宋" w:hAnsi="仿宋" w:eastAsia="仿宋" w:cs="仿宋"/>
                <w:spacing w:val="-2"/>
                <w:sz w:val="21"/>
                <w:szCs w:val="21"/>
              </w:rPr>
              <w:t>），</w:t>
            </w:r>
            <w:r>
              <w:rPr>
                <w:rFonts w:hint="eastAsia" w:ascii="仿宋" w:hAnsi="仿宋" w:eastAsia="仿宋" w:cs="仿宋"/>
                <w:spacing w:val="5"/>
                <w:sz w:val="21"/>
                <w:szCs w:val="21"/>
              </w:rPr>
              <w:t>均应作出响应。</w:t>
            </w:r>
          </w:p>
          <w:p w14:paraId="4778DB2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5.中小微企业参加本项目</w:t>
            </w:r>
          </w:p>
          <w:p w14:paraId="570D9E1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须按照财政部、工业和信息化部发布的《关于印发&lt;政府采购</w:t>
            </w:r>
            <w:r>
              <w:rPr>
                <w:rFonts w:hint="eastAsia" w:ascii="仿宋" w:hAnsi="仿宋" w:eastAsia="仿宋" w:cs="仿宋"/>
                <w:spacing w:val="6"/>
                <w:sz w:val="21"/>
                <w:szCs w:val="21"/>
              </w:rPr>
              <w:t>促进中小</w:t>
            </w:r>
            <w:r>
              <w:rPr>
                <w:rFonts w:hint="eastAsia" w:ascii="仿宋" w:hAnsi="仿宋" w:eastAsia="仿宋" w:cs="仿宋"/>
                <w:spacing w:val="5"/>
                <w:sz w:val="21"/>
                <w:szCs w:val="21"/>
              </w:rPr>
              <w:t>企业发展管理办法&gt;的通知》</w:t>
            </w:r>
            <w:r>
              <w:rPr>
                <w:rFonts w:hint="eastAsia" w:ascii="仿宋" w:hAnsi="仿宋" w:eastAsia="仿宋" w:cs="仿宋"/>
                <w:spacing w:val="-50"/>
                <w:sz w:val="21"/>
                <w:szCs w:val="21"/>
              </w:rPr>
              <w:t xml:space="preserve"> </w:t>
            </w:r>
            <w:r>
              <w:rPr>
                <w:rFonts w:hint="eastAsia" w:ascii="仿宋" w:hAnsi="仿宋" w:eastAsia="仿宋" w:cs="仿宋"/>
                <w:spacing w:val="5"/>
                <w:sz w:val="21"/>
                <w:szCs w:val="21"/>
              </w:rPr>
              <w:t>(财库〔2020〕46</w:t>
            </w:r>
            <w:r>
              <w:rPr>
                <w:rFonts w:hint="eastAsia" w:ascii="仿宋" w:hAnsi="仿宋" w:eastAsia="仿宋" w:cs="仿宋"/>
                <w:spacing w:val="-29"/>
                <w:sz w:val="21"/>
                <w:szCs w:val="21"/>
              </w:rPr>
              <w:t xml:space="preserve"> </w:t>
            </w:r>
            <w:r>
              <w:rPr>
                <w:rFonts w:hint="eastAsia" w:ascii="仿宋" w:hAnsi="仿宋" w:eastAsia="仿宋" w:cs="仿宋"/>
                <w:spacing w:val="5"/>
                <w:sz w:val="21"/>
                <w:szCs w:val="21"/>
              </w:rPr>
              <w:t>号</w:t>
            </w:r>
            <w:r>
              <w:rPr>
                <w:rFonts w:hint="eastAsia" w:ascii="仿宋" w:hAnsi="仿宋" w:eastAsia="仿宋" w:cs="仿宋"/>
                <w:spacing w:val="22"/>
                <w:sz w:val="21"/>
                <w:szCs w:val="21"/>
              </w:rPr>
              <w:t>），</w:t>
            </w:r>
            <w:r>
              <w:rPr>
                <w:rFonts w:hint="eastAsia" w:ascii="仿宋" w:hAnsi="仿宋" w:eastAsia="仿宋" w:cs="仿宋"/>
                <w:spacing w:val="5"/>
                <w:sz w:val="21"/>
                <w:szCs w:val="21"/>
              </w:rPr>
              <w:t>并依据工信部联</w:t>
            </w:r>
            <w:r>
              <w:rPr>
                <w:rFonts w:hint="eastAsia" w:ascii="仿宋" w:hAnsi="仿宋" w:eastAsia="仿宋" w:cs="仿宋"/>
                <w:spacing w:val="9"/>
                <w:sz w:val="21"/>
                <w:szCs w:val="21"/>
              </w:rPr>
              <w:t>【2011】300</w:t>
            </w:r>
            <w:r>
              <w:rPr>
                <w:rFonts w:hint="eastAsia" w:ascii="仿宋" w:hAnsi="仿宋" w:eastAsia="仿宋" w:cs="仿宋"/>
                <w:spacing w:val="-14"/>
                <w:sz w:val="21"/>
                <w:szCs w:val="21"/>
              </w:rPr>
              <w:t xml:space="preserve"> </w:t>
            </w:r>
            <w:r>
              <w:rPr>
                <w:rFonts w:hint="eastAsia" w:ascii="仿宋" w:hAnsi="仿宋" w:eastAsia="仿宋" w:cs="仿宋"/>
                <w:spacing w:val="9"/>
                <w:sz w:val="21"/>
                <w:szCs w:val="21"/>
              </w:rPr>
              <w:t>号《中小企业划型标准规定》</w:t>
            </w:r>
            <w:r>
              <w:rPr>
                <w:rFonts w:hint="eastAsia" w:ascii="仿宋" w:hAnsi="仿宋" w:eastAsia="仿宋" w:cs="仿宋"/>
                <w:spacing w:val="-58"/>
                <w:sz w:val="21"/>
                <w:szCs w:val="21"/>
              </w:rPr>
              <w:t xml:space="preserve"> </w:t>
            </w:r>
            <w:r>
              <w:rPr>
                <w:rFonts w:hint="eastAsia" w:ascii="仿宋" w:hAnsi="仿宋" w:eastAsia="仿宋" w:cs="仿宋"/>
                <w:spacing w:val="9"/>
                <w:sz w:val="21"/>
                <w:szCs w:val="21"/>
              </w:rPr>
              <w:t>的标准，如实填写《中小</w:t>
            </w:r>
            <w:r>
              <w:rPr>
                <w:rFonts w:hint="eastAsia" w:ascii="仿宋" w:hAnsi="仿宋" w:eastAsia="仿宋" w:cs="仿宋"/>
                <w:spacing w:val="6"/>
                <w:sz w:val="21"/>
                <w:szCs w:val="21"/>
              </w:rPr>
              <w:t>企业声明函》。</w:t>
            </w:r>
          </w:p>
          <w:p w14:paraId="01A91B9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6．残疾人福利单位参加本项目：</w:t>
            </w:r>
          </w:p>
          <w:p w14:paraId="4DB67A7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4"/>
                <w:sz w:val="21"/>
                <w:szCs w:val="21"/>
              </w:rPr>
              <w:t>依据《三部门联合发布关于促进残疾人就业政</w:t>
            </w:r>
            <w:r>
              <w:rPr>
                <w:rFonts w:hint="eastAsia" w:ascii="仿宋" w:hAnsi="仿宋" w:eastAsia="仿宋" w:cs="仿宋"/>
                <w:spacing w:val="3"/>
                <w:sz w:val="21"/>
                <w:szCs w:val="21"/>
              </w:rPr>
              <w:t>府采购政策的通知》（财</w:t>
            </w:r>
            <w:r>
              <w:rPr>
                <w:rFonts w:hint="eastAsia" w:ascii="仿宋" w:hAnsi="仿宋" w:eastAsia="仿宋" w:cs="仿宋"/>
                <w:spacing w:val="7"/>
                <w:sz w:val="21"/>
                <w:szCs w:val="21"/>
              </w:rPr>
              <w:t>库[2017]141</w:t>
            </w:r>
            <w:r>
              <w:rPr>
                <w:rFonts w:hint="eastAsia" w:ascii="仿宋" w:hAnsi="仿宋" w:eastAsia="仿宋" w:cs="仿宋"/>
                <w:spacing w:val="-27"/>
                <w:sz w:val="21"/>
                <w:szCs w:val="21"/>
              </w:rPr>
              <w:t xml:space="preserve"> </w:t>
            </w:r>
            <w:r>
              <w:rPr>
                <w:rFonts w:hint="eastAsia" w:ascii="仿宋" w:hAnsi="仿宋" w:eastAsia="仿宋" w:cs="仿宋"/>
                <w:spacing w:val="7"/>
                <w:sz w:val="21"/>
                <w:szCs w:val="21"/>
              </w:rPr>
              <w:t>号）第三条规定，需附残疾人福利性单位声明函。</w:t>
            </w:r>
          </w:p>
          <w:p w14:paraId="6911341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7．监狱企业参加本项目</w:t>
            </w:r>
          </w:p>
          <w:p w14:paraId="073B332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 xml:space="preserve">依据《财政部司法部关于政府采购支持监狱企业发展有关问题的通知》 </w:t>
            </w:r>
            <w:r>
              <w:rPr>
                <w:rFonts w:hint="eastAsia" w:ascii="仿宋" w:hAnsi="仿宋" w:eastAsia="仿宋" w:cs="仿宋"/>
                <w:spacing w:val="4"/>
                <w:sz w:val="21"/>
                <w:szCs w:val="21"/>
              </w:rPr>
              <w:t>(财库〔2014〕68</w:t>
            </w:r>
            <w:r>
              <w:rPr>
                <w:rFonts w:hint="eastAsia" w:ascii="仿宋" w:hAnsi="仿宋" w:eastAsia="仿宋" w:cs="仿宋"/>
                <w:spacing w:val="-22"/>
                <w:sz w:val="21"/>
                <w:szCs w:val="21"/>
              </w:rPr>
              <w:t xml:space="preserve"> </w:t>
            </w:r>
            <w:r>
              <w:rPr>
                <w:rFonts w:hint="eastAsia" w:ascii="仿宋" w:hAnsi="仿宋" w:eastAsia="仿宋" w:cs="仿宋"/>
                <w:spacing w:val="4"/>
                <w:sz w:val="21"/>
                <w:szCs w:val="21"/>
              </w:rPr>
              <w:t>号)规定，须提供相关证明材料。</w:t>
            </w:r>
          </w:p>
          <w:p w14:paraId="365FDEF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8.联合体参加本项目：</w:t>
            </w:r>
          </w:p>
          <w:p w14:paraId="1CE47CE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如本项目为接受大中型企业与小微企业组成联合体或者允许大中型企业向一家或者多家小微企业分包的采购项目，需附《联合体投标协议</w:t>
            </w:r>
            <w:r>
              <w:rPr>
                <w:rFonts w:hint="eastAsia" w:ascii="仿宋" w:hAnsi="仿宋" w:eastAsia="仿宋" w:cs="仿宋"/>
                <w:spacing w:val="-2"/>
                <w:sz w:val="21"/>
                <w:szCs w:val="21"/>
              </w:rPr>
              <w:t>书》。</w:t>
            </w:r>
          </w:p>
          <w:p w14:paraId="3A59FE1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8"/>
                <w:sz w:val="21"/>
                <w:szCs w:val="21"/>
              </w:rPr>
              <w:t>9.环保节能产品参加的项目</w:t>
            </w:r>
          </w:p>
          <w:p w14:paraId="56976AE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投报节能产品政府采购品目清单中强制性采购产品以外的其它节能产品，且提供所投产品获得国家确定的认证机构</w:t>
            </w:r>
            <w:r>
              <w:rPr>
                <w:rFonts w:hint="eastAsia" w:ascii="仿宋" w:hAnsi="仿宋" w:eastAsia="仿宋" w:cs="仿宋"/>
                <w:spacing w:val="9"/>
                <w:sz w:val="21"/>
                <w:szCs w:val="21"/>
              </w:rPr>
              <w:t>出具的、处于有效期之</w:t>
            </w:r>
            <w:r>
              <w:rPr>
                <w:rFonts w:hint="eastAsia" w:ascii="仿宋" w:hAnsi="仿宋" w:eastAsia="仿宋" w:cs="仿宋"/>
                <w:spacing w:val="8"/>
                <w:sz w:val="21"/>
                <w:szCs w:val="21"/>
              </w:rPr>
              <w:t>内的节能产品认证证书的，将给予同等价格优先采购。</w:t>
            </w:r>
          </w:p>
          <w:p w14:paraId="0BB211C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投报环境标志产品政府采购品目清单中的产品，且提供所投产品获得国家确定的认证机构出具的、处于有效期之内的环境标志产品认证证</w:t>
            </w:r>
            <w:r>
              <w:rPr>
                <w:rFonts w:hint="eastAsia" w:ascii="仿宋" w:hAnsi="仿宋" w:eastAsia="仿宋" w:cs="仿宋"/>
                <w:spacing w:val="7"/>
                <w:sz w:val="21"/>
                <w:szCs w:val="21"/>
              </w:rPr>
              <w:t>书的，将给予同等价格优先采购。</w:t>
            </w:r>
          </w:p>
          <w:p w14:paraId="6AC3B92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10.创新产品参加的项目</w:t>
            </w:r>
          </w:p>
          <w:p w14:paraId="686F1FB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根据《政府采购支持创新产品和服务实施细</w:t>
            </w:r>
            <w:r>
              <w:rPr>
                <w:rFonts w:hint="eastAsia" w:ascii="仿宋" w:hAnsi="仿宋" w:eastAsia="仿宋" w:cs="仿宋"/>
                <w:spacing w:val="8"/>
                <w:sz w:val="21"/>
                <w:szCs w:val="21"/>
              </w:rPr>
              <w:t>则》（晋财购【2019】19</w:t>
            </w:r>
            <w:r>
              <w:rPr>
                <w:rFonts w:hint="eastAsia" w:ascii="仿宋" w:hAnsi="仿宋" w:eastAsia="仿宋" w:cs="仿宋"/>
                <w:spacing w:val="3"/>
                <w:sz w:val="21"/>
                <w:szCs w:val="21"/>
              </w:rPr>
              <w:t>号）应在响应文件中填写《创新产品或创新服务明细表》，并提供《山</w:t>
            </w:r>
            <w:r>
              <w:rPr>
                <w:rFonts w:hint="eastAsia" w:ascii="仿宋" w:hAnsi="仿宋" w:eastAsia="仿宋" w:cs="仿宋"/>
                <w:spacing w:val="7"/>
                <w:sz w:val="21"/>
                <w:szCs w:val="21"/>
              </w:rPr>
              <w:t>西省创新产品和服务推荐清单》。</w:t>
            </w:r>
          </w:p>
          <w:p w14:paraId="1DDE7C0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11.商品包装和快递包装</w:t>
            </w:r>
          </w:p>
          <w:p w14:paraId="151733F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10"/>
                <w:sz w:val="21"/>
                <w:szCs w:val="21"/>
              </w:rPr>
              <w:t>本文件列出商品包装和快递包装要求的，供应商需填写商品包装和快递包装承诺函，承诺商品包装符合《商品包装政府采购需求标准（试</w:t>
            </w:r>
            <w:r>
              <w:rPr>
                <w:rFonts w:hint="eastAsia" w:ascii="仿宋" w:hAnsi="仿宋" w:eastAsia="仿宋" w:cs="仿宋"/>
                <w:spacing w:val="9"/>
                <w:sz w:val="21"/>
                <w:szCs w:val="21"/>
              </w:rPr>
              <w:t>行）》，快递包装符合《快递包装政府采购需求标准（</w:t>
            </w:r>
            <w:r>
              <w:rPr>
                <w:rFonts w:hint="eastAsia" w:ascii="仿宋" w:hAnsi="仿宋" w:eastAsia="仿宋" w:cs="仿宋"/>
                <w:spacing w:val="8"/>
                <w:sz w:val="21"/>
                <w:szCs w:val="21"/>
              </w:rPr>
              <w:t>试行）》。</w:t>
            </w:r>
          </w:p>
        </w:tc>
      </w:tr>
      <w:tr w14:paraId="2DB3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1007" w:type="dxa"/>
            <w:vAlign w:val="center"/>
          </w:tcPr>
          <w:p w14:paraId="5ACD5066">
            <w:pPr>
              <w:pStyle w:val="77"/>
              <w:spacing w:before="65" w:line="270" w:lineRule="exact"/>
              <w:ind w:left="456" w:leftChars="0"/>
              <w:jc w:val="both"/>
              <w:rPr>
                <w:rFonts w:hint="eastAsia" w:ascii="仿宋" w:hAnsi="仿宋" w:eastAsia="仿宋" w:cs="仿宋"/>
                <w:position w:val="1"/>
                <w:sz w:val="21"/>
                <w:szCs w:val="21"/>
              </w:rPr>
            </w:pPr>
            <w:r>
              <w:rPr>
                <w:position w:val="1"/>
              </w:rPr>
              <w:t>3</w:t>
            </w:r>
          </w:p>
        </w:tc>
        <w:tc>
          <w:tcPr>
            <w:tcW w:w="1647" w:type="dxa"/>
            <w:vAlign w:val="center"/>
          </w:tcPr>
          <w:p w14:paraId="285AF2BA">
            <w:pPr>
              <w:pStyle w:val="77"/>
              <w:spacing w:before="65" w:line="231" w:lineRule="auto"/>
              <w:ind w:left="160" w:leftChars="0"/>
              <w:jc w:val="both"/>
              <w:rPr>
                <w:rFonts w:hint="eastAsia" w:ascii="仿宋" w:hAnsi="仿宋" w:eastAsia="仿宋" w:cs="仿宋"/>
                <w:spacing w:val="5"/>
                <w:sz w:val="21"/>
                <w:szCs w:val="21"/>
              </w:rPr>
            </w:pPr>
            <w:r>
              <w:rPr>
                <w:spacing w:val="4"/>
              </w:rPr>
              <w:t>中小企业划型标准</w:t>
            </w:r>
          </w:p>
        </w:tc>
        <w:tc>
          <w:tcPr>
            <w:tcW w:w="6719" w:type="dxa"/>
            <w:vAlign w:val="top"/>
          </w:tcPr>
          <w:p w14:paraId="02C91137">
            <w:pPr>
              <w:pStyle w:val="77"/>
              <w:spacing w:before="34" w:line="376" w:lineRule="auto"/>
              <w:ind w:left="57" w:right="45" w:firstLine="2"/>
            </w:pPr>
            <w:r>
              <w:rPr>
                <w:spacing w:val="10"/>
              </w:rPr>
              <w:t>参照工信部联企业〔2011〕300</w:t>
            </w:r>
            <w:r>
              <w:rPr>
                <w:spacing w:val="-27"/>
              </w:rPr>
              <w:t xml:space="preserve"> </w:t>
            </w:r>
            <w:r>
              <w:rPr>
                <w:spacing w:val="10"/>
              </w:rPr>
              <w:t>号中的</w:t>
            </w:r>
            <w:r>
              <w:rPr>
                <w:b/>
                <w:bCs/>
                <w:spacing w:val="10"/>
                <w:u w:val="single" w:color="auto"/>
              </w:rPr>
              <w:t>其他未列明行业</w:t>
            </w:r>
            <w:r>
              <w:rPr>
                <w:spacing w:val="10"/>
              </w:rPr>
              <w:t>（</w:t>
            </w:r>
            <w:r>
              <w:rPr>
                <w:spacing w:val="9"/>
              </w:rPr>
              <w:t>监狱企业或</w:t>
            </w:r>
            <w:r>
              <w:rPr>
                <w:spacing w:val="8"/>
              </w:rPr>
              <w:t>残疾人福利性单位视同小微企业）</w:t>
            </w:r>
          </w:p>
          <w:p w14:paraId="43DBB743">
            <w:pPr>
              <w:pStyle w:val="77"/>
              <w:spacing w:before="5" w:line="372" w:lineRule="auto"/>
              <w:ind w:left="55" w:leftChars="0" w:right="11" w:rightChars="0" w:firstLine="5" w:firstLineChars="0"/>
              <w:rPr>
                <w:rFonts w:hint="eastAsia" w:ascii="仿宋" w:hAnsi="仿宋" w:eastAsia="仿宋" w:cs="仿宋"/>
                <w:spacing w:val="10"/>
                <w:sz w:val="21"/>
                <w:szCs w:val="21"/>
              </w:rPr>
            </w:pPr>
            <w:r>
              <w:rPr>
                <w:spacing w:val="6"/>
              </w:rPr>
              <w:t>（行业包括：农、林、牧、渔业，工业(包括采矿业，制造业，</w:t>
            </w:r>
            <w:r>
              <w:rPr>
                <w:spacing w:val="-40"/>
              </w:rPr>
              <w:t xml:space="preserve"> </w:t>
            </w:r>
            <w:r>
              <w:rPr>
                <w:spacing w:val="6"/>
              </w:rPr>
              <w:t>电力、</w:t>
            </w:r>
            <w:r>
              <w:rPr>
                <w:spacing w:val="7"/>
              </w:rPr>
              <w:t>热力、燃气及水生产和供应业)，建筑业，批发业，零售业，交</w:t>
            </w:r>
            <w:r>
              <w:rPr>
                <w:spacing w:val="6"/>
              </w:rPr>
              <w:t>通运输</w:t>
            </w:r>
            <w:r>
              <w:rPr>
                <w:spacing w:val="10"/>
              </w:rPr>
              <w:t>业(不含铁路运输业)，仓储业，邮政业，住宿业，餐饮业，信息传输业(包括电信、互联网和相关服务)，软件和信息技术服务业，房地产</w:t>
            </w:r>
            <w:r>
              <w:rPr>
                <w:spacing w:val="7"/>
              </w:rPr>
              <w:t>开发经营，物业管理，租赁和商务服务业，其他未列明行业(包</w:t>
            </w:r>
            <w:r>
              <w:rPr>
                <w:spacing w:val="6"/>
              </w:rPr>
              <w:t>括科学</w:t>
            </w:r>
            <w:r>
              <w:rPr>
                <w:spacing w:val="10"/>
              </w:rPr>
              <w:t>研究和技术服务业，水利、环境和公共设施管理业，居民服务、修理</w:t>
            </w:r>
            <w:r>
              <w:rPr>
                <w:spacing w:val="8"/>
              </w:rPr>
              <w:t>和其他服务业，社会工作，文化、体育和娱乐业等)）</w:t>
            </w:r>
          </w:p>
        </w:tc>
      </w:tr>
    </w:tbl>
    <w:p w14:paraId="19AD39AC">
      <w:pPr>
        <w:pStyle w:val="41"/>
        <w:tabs>
          <w:tab w:val="left" w:pos="1325"/>
        </w:tabs>
        <w:autoSpaceDE w:val="0"/>
        <w:autoSpaceDN w:val="0"/>
        <w:spacing w:before="58" w:line="480" w:lineRule="exact"/>
        <w:ind w:firstLine="0" w:firstLineChars="0"/>
        <w:rPr>
          <w:rFonts w:ascii="仿宋" w:hAnsi="仿宋" w:eastAsia="仿宋" w:cs="仿宋"/>
          <w:kern w:val="0"/>
          <w:sz w:val="28"/>
          <w:szCs w:val="28"/>
          <w:highlight w:val="none"/>
        </w:rPr>
      </w:pPr>
    </w:p>
    <w:p w14:paraId="704A9B2E">
      <w:pPr>
        <w:pStyle w:val="7"/>
        <w:ind w:left="0" w:leftChars="0"/>
        <w:rPr>
          <w:rFonts w:ascii="仿宋" w:hAnsi="仿宋" w:eastAsia="仿宋" w:cs="仿宋"/>
          <w:highlight w:val="none"/>
        </w:rPr>
      </w:pPr>
      <w:r>
        <w:rPr>
          <w:rFonts w:hint="eastAsia" w:ascii="仿宋" w:hAnsi="仿宋" w:eastAsia="仿宋" w:cs="仿宋"/>
          <w:highlight w:val="none"/>
        </w:rPr>
        <w:br w:type="page"/>
      </w:r>
    </w:p>
    <w:p w14:paraId="76203392">
      <w:pPr>
        <w:spacing w:line="360" w:lineRule="auto"/>
        <w:jc w:val="both"/>
        <w:rPr>
          <w:rFonts w:ascii="仿宋" w:hAnsi="仿宋" w:eastAsia="仿宋" w:cs="宋体"/>
          <w:b/>
          <w:sz w:val="24"/>
          <w:szCs w:val="24"/>
          <w:highlight w:val="none"/>
        </w:rPr>
      </w:pPr>
      <w:r>
        <w:rPr>
          <w:rFonts w:hint="eastAsia" w:ascii="仿宋" w:hAnsi="仿宋" w:eastAsia="仿宋" w:cs="宋体"/>
          <w:b/>
          <w:sz w:val="24"/>
          <w:szCs w:val="24"/>
          <w:highlight w:val="none"/>
        </w:rPr>
        <w:t>（一） 总则</w:t>
      </w:r>
    </w:p>
    <w:p w14:paraId="7A2A79B1">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1.适用范围</w:t>
      </w:r>
    </w:p>
    <w:p w14:paraId="533AF075">
      <w:pPr>
        <w:spacing w:line="360" w:lineRule="auto"/>
        <w:ind w:firstLine="480" w:firstLineChars="200"/>
        <w:rPr>
          <w:rFonts w:ascii="仿宋" w:hAnsi="仿宋" w:eastAsia="仿宋" w:cs="宋体"/>
          <w:b/>
          <w:sz w:val="24"/>
          <w:szCs w:val="24"/>
          <w:highlight w:val="none"/>
        </w:rPr>
      </w:pPr>
      <w:r>
        <w:rPr>
          <w:rFonts w:hint="eastAsia" w:ascii="仿宋" w:hAnsi="仿宋" w:eastAsia="仿宋" w:cs="宋体"/>
          <w:sz w:val="24"/>
          <w:szCs w:val="24"/>
          <w:highlight w:val="none"/>
        </w:rPr>
        <w:t>1.1本磋商文件仅适用于本次采购活动的全过程。</w:t>
      </w:r>
    </w:p>
    <w:p w14:paraId="7C6FE9CA">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2.定义</w:t>
      </w:r>
    </w:p>
    <w:p w14:paraId="0B09663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2.1“采购代理机构”</w:t>
      </w:r>
      <w:r>
        <w:rPr>
          <w:rFonts w:ascii="仿宋" w:hAnsi="仿宋" w:eastAsia="仿宋" w:cs="宋体"/>
          <w:sz w:val="24"/>
          <w:szCs w:val="24"/>
          <w:highlight w:val="none"/>
        </w:rPr>
        <w:t>指在采购方委托的范围内依法开展磋商活动，组织本次磋商活动的执行机构，即</w:t>
      </w:r>
      <w:r>
        <w:rPr>
          <w:rFonts w:hint="eastAsia" w:ascii="仿宋" w:hAnsi="仿宋" w:eastAsia="仿宋" w:cs="宋体"/>
          <w:sz w:val="24"/>
          <w:szCs w:val="24"/>
          <w:highlight w:val="none"/>
          <w:lang w:val="en-US" w:eastAsia="zh-CN"/>
        </w:rPr>
        <w:t>山西鸿源项目管理咨询服务有限公司</w:t>
      </w:r>
      <w:r>
        <w:rPr>
          <w:rFonts w:hint="eastAsia" w:ascii="仿宋" w:hAnsi="仿宋" w:eastAsia="仿宋" w:cs="宋体"/>
          <w:sz w:val="24"/>
          <w:szCs w:val="24"/>
          <w:highlight w:val="none"/>
        </w:rPr>
        <w:t>。</w:t>
      </w:r>
    </w:p>
    <w:p w14:paraId="3A925F01">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2.2“采购人”是指依法进行本次磋商活动的国家机关、事业单位、团体组织，即本次采购活动的采购单位。</w:t>
      </w:r>
    </w:p>
    <w:p w14:paraId="1C42E9A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2.3“供应商”是指按磋商公告规定获取磋商文件并提交响应文件的供应商。</w:t>
      </w:r>
    </w:p>
    <w:p w14:paraId="613138C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2.4“成交供应商”是指经过磋商小组评审或经采购人确认后，符合本次采购要求的供应商。</w:t>
      </w:r>
    </w:p>
    <w:p w14:paraId="4B755C3E">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2.5“货物”指本磋商文件中所述所有货物。</w:t>
      </w:r>
    </w:p>
    <w:p w14:paraId="41EEA25D">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2.6“服务”指</w:t>
      </w:r>
      <w:r>
        <w:rPr>
          <w:rFonts w:ascii="仿宋" w:hAnsi="仿宋" w:eastAsia="仿宋" w:cs="宋体"/>
          <w:sz w:val="24"/>
          <w:szCs w:val="24"/>
          <w:highlight w:val="none"/>
        </w:rPr>
        <w:t>磋商文件规定的供应商为完成采购项目所需承担的全部义务。如按要求完成货物供货、安装、调试、验收、履行售后服务、提供信息资料、组织相关培训及本磋商文件和合同中规定由供应商承担的其他义务。</w:t>
      </w:r>
    </w:p>
    <w:p w14:paraId="0EABD26A">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2.7“服务承诺”是指为了保障项目顺利实施由供应商承担的提供项目实施前、实施中、实施后的服务和供应商承诺的其他类似服务。</w:t>
      </w:r>
    </w:p>
    <w:p w14:paraId="6513C6AF">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2.8“欺诈行为”是指为了影响采购过程或合同实施过程虚报、谎报、隐瞒事实，以假充真，以次充好，虚假承诺，损害国家公共利益的行为。</w:t>
      </w:r>
    </w:p>
    <w:p w14:paraId="07A03838">
      <w:pPr>
        <w:spacing w:line="360" w:lineRule="auto"/>
        <w:ind w:firstLine="480" w:firstLineChars="200"/>
        <w:jc w:val="left"/>
        <w:rPr>
          <w:rFonts w:ascii="仿宋" w:hAnsi="仿宋" w:eastAsia="仿宋" w:cs="宋体"/>
          <w:sz w:val="24"/>
          <w:szCs w:val="24"/>
          <w:highlight w:val="none"/>
        </w:rPr>
      </w:pPr>
      <w:r>
        <w:rPr>
          <w:rFonts w:ascii="仿宋" w:hAnsi="仿宋" w:eastAsia="仿宋" w:cs="宋体"/>
          <w:sz w:val="24"/>
          <w:szCs w:val="24"/>
          <w:highlight w:val="none"/>
        </w:rPr>
        <w:t>2.</w:t>
      </w:r>
      <w:r>
        <w:rPr>
          <w:rFonts w:hint="eastAsia" w:ascii="仿宋" w:hAnsi="仿宋" w:eastAsia="仿宋" w:cs="宋体"/>
          <w:sz w:val="24"/>
          <w:szCs w:val="24"/>
          <w:highlight w:val="none"/>
        </w:rPr>
        <w:t>9</w:t>
      </w:r>
      <w:r>
        <w:rPr>
          <w:rFonts w:ascii="仿宋" w:hAnsi="仿宋" w:eastAsia="仿宋" w:cs="宋体"/>
          <w:sz w:val="24"/>
          <w:szCs w:val="24"/>
          <w:highlight w:val="none"/>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FBD17F4">
      <w:pPr>
        <w:spacing w:line="360" w:lineRule="auto"/>
        <w:ind w:firstLine="480" w:firstLineChars="200"/>
        <w:jc w:val="left"/>
        <w:rPr>
          <w:sz w:val="20"/>
          <w:szCs w:val="22"/>
          <w:highlight w:val="none"/>
        </w:rPr>
      </w:pPr>
      <w:r>
        <w:rPr>
          <w:rFonts w:ascii="仿宋" w:hAnsi="仿宋" w:eastAsia="仿宋" w:cs="宋体"/>
          <w:sz w:val="24"/>
          <w:szCs w:val="24"/>
          <w:highlight w:val="none"/>
        </w:rPr>
        <w:t>2.</w:t>
      </w:r>
      <w:r>
        <w:rPr>
          <w:rFonts w:hint="eastAsia" w:ascii="仿宋" w:hAnsi="仿宋" w:eastAsia="仿宋" w:cs="宋体"/>
          <w:sz w:val="24"/>
          <w:szCs w:val="24"/>
          <w:highlight w:val="none"/>
        </w:rPr>
        <w:t>10</w:t>
      </w:r>
      <w:r>
        <w:rPr>
          <w:rFonts w:ascii="仿宋" w:hAnsi="仿宋" w:eastAsia="仿宋" w:cs="宋体"/>
          <w:sz w:val="24"/>
          <w:szCs w:val="24"/>
          <w:highlight w:val="none"/>
        </w:rPr>
        <w:t>响应文件：是指供应商应磋商文件的条件和要求，按规定编制并按时递交的文件。</w:t>
      </w:r>
    </w:p>
    <w:p w14:paraId="4B5BB0A2">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3.供应商资格</w:t>
      </w:r>
    </w:p>
    <w:p w14:paraId="435A40B4">
      <w:pPr>
        <w:tabs>
          <w:tab w:val="left" w:pos="567"/>
        </w:tabs>
        <w:snapToGrid w:val="0"/>
        <w:spacing w:line="360" w:lineRule="auto"/>
        <w:ind w:firstLine="480" w:firstLineChars="200"/>
        <w:rPr>
          <w:rFonts w:ascii="仿宋" w:hAnsi="仿宋" w:eastAsia="仿宋" w:cs="宋体"/>
          <w:b w:val="0"/>
          <w:bCs w:val="0"/>
          <w:sz w:val="24"/>
          <w:szCs w:val="24"/>
          <w:highlight w:val="none"/>
        </w:rPr>
      </w:pPr>
      <w:r>
        <w:rPr>
          <w:rFonts w:hint="eastAsia" w:ascii="仿宋" w:hAnsi="仿宋" w:eastAsia="仿宋" w:cs="宋体"/>
          <w:sz w:val="24"/>
          <w:szCs w:val="24"/>
          <w:highlight w:val="none"/>
        </w:rPr>
        <w:t>3.1符合《中华人民共和国政府采购法》第二十二条、《中华人民共和国政府采购法实施条例》第十七条等相关法律法规规定的</w:t>
      </w:r>
      <w:r>
        <w:rPr>
          <w:rFonts w:ascii="仿宋" w:hAnsi="仿宋" w:eastAsia="仿宋" w:cs="宋体"/>
          <w:sz w:val="24"/>
          <w:szCs w:val="24"/>
          <w:highlight w:val="none"/>
        </w:rPr>
        <w:t>供应商参加政府采购活动应当具备的条件，</w:t>
      </w:r>
      <w:r>
        <w:rPr>
          <w:rFonts w:hint="eastAsia" w:ascii="仿宋" w:hAnsi="仿宋" w:eastAsia="仿宋" w:cs="宋体"/>
          <w:sz w:val="24"/>
          <w:szCs w:val="24"/>
          <w:highlight w:val="none"/>
        </w:rPr>
        <w:t>及</w:t>
      </w:r>
      <w:r>
        <w:rPr>
          <w:rFonts w:ascii="仿宋" w:hAnsi="仿宋" w:eastAsia="仿宋" w:cs="宋体"/>
          <w:sz w:val="24"/>
          <w:szCs w:val="24"/>
          <w:highlight w:val="none"/>
        </w:rPr>
        <w:t>有能力</w:t>
      </w:r>
      <w:r>
        <w:rPr>
          <w:rFonts w:hint="eastAsia" w:ascii="仿宋" w:hAnsi="仿宋" w:eastAsia="仿宋" w:cs="宋体"/>
          <w:b w:val="0"/>
          <w:bCs w:val="0"/>
          <w:sz w:val="24"/>
          <w:szCs w:val="24"/>
          <w:highlight w:val="none"/>
        </w:rPr>
        <w:t>承担采购过程及履行采购合同中的全部责任与义务</w:t>
      </w:r>
      <w:r>
        <w:rPr>
          <w:rFonts w:ascii="仿宋" w:hAnsi="仿宋" w:eastAsia="仿宋" w:cs="宋体"/>
          <w:b w:val="0"/>
          <w:bCs w:val="0"/>
          <w:sz w:val="24"/>
          <w:szCs w:val="24"/>
          <w:highlight w:val="none"/>
        </w:rPr>
        <w:t>。</w:t>
      </w:r>
    </w:p>
    <w:p w14:paraId="7DC72FB7">
      <w:pPr>
        <w:tabs>
          <w:tab w:val="left" w:pos="567"/>
        </w:tabs>
        <w:snapToGrid w:val="0"/>
        <w:spacing w:line="360" w:lineRule="auto"/>
        <w:ind w:firstLine="482" w:firstLineChars="200"/>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rPr>
        <w:t>3.2本项目的特定资格要求：</w:t>
      </w:r>
      <w:r>
        <w:rPr>
          <w:rFonts w:hint="eastAsia" w:ascii="仿宋" w:hAnsi="仿宋" w:eastAsia="仿宋" w:cs="仿宋"/>
          <w:b/>
          <w:bCs/>
          <w:spacing w:val="-1"/>
          <w:sz w:val="24"/>
          <w:szCs w:val="24"/>
          <w:lang w:val="en-US" w:eastAsia="zh-CN"/>
        </w:rPr>
        <w:t>无</w:t>
      </w:r>
      <w:r>
        <w:rPr>
          <w:rFonts w:hint="eastAsia" w:ascii="仿宋" w:hAnsi="仿宋" w:eastAsia="仿宋" w:cs="宋体"/>
          <w:b/>
          <w:bCs/>
          <w:sz w:val="24"/>
          <w:szCs w:val="24"/>
          <w:highlight w:val="none"/>
          <w:lang w:val="en-US" w:eastAsia="zh-CN"/>
        </w:rPr>
        <w:t>。</w:t>
      </w:r>
    </w:p>
    <w:p w14:paraId="0BE698E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3.3符合磋商公告有关要求，承认并履行磋商文件各项规定。</w:t>
      </w:r>
    </w:p>
    <w:p w14:paraId="07721AE4">
      <w:pPr>
        <w:spacing w:line="360" w:lineRule="auto"/>
        <w:ind w:firstLine="480" w:firstLineChars="200"/>
        <w:rPr>
          <w:sz w:val="20"/>
          <w:szCs w:val="22"/>
          <w:highlight w:val="none"/>
        </w:rPr>
      </w:pPr>
      <w:r>
        <w:rPr>
          <w:rFonts w:hint="eastAsia" w:ascii="仿宋" w:hAnsi="仿宋" w:eastAsia="仿宋" w:cs="宋体"/>
          <w:sz w:val="24"/>
          <w:szCs w:val="24"/>
          <w:highlight w:val="none"/>
        </w:rPr>
        <w:t>3.4</w:t>
      </w:r>
      <w:r>
        <w:rPr>
          <w:rFonts w:ascii="仿宋" w:hAnsi="仿宋" w:eastAsia="仿宋" w:cs="宋体"/>
          <w:sz w:val="24"/>
          <w:szCs w:val="24"/>
          <w:highlight w:val="none"/>
        </w:rPr>
        <w:t>关于关联企业</w:t>
      </w:r>
      <w:r>
        <w:rPr>
          <w:rFonts w:hint="eastAsia" w:ascii="仿宋" w:hAnsi="仿宋" w:eastAsia="仿宋" w:cs="宋体"/>
          <w:sz w:val="24"/>
          <w:szCs w:val="24"/>
          <w:highlight w:val="none"/>
        </w:rPr>
        <w:t>：</w:t>
      </w:r>
      <w:r>
        <w:rPr>
          <w:rFonts w:ascii="仿宋" w:hAnsi="仿宋" w:eastAsia="仿宋" w:cs="宋体"/>
          <w:sz w:val="24"/>
          <w:szCs w:val="24"/>
          <w:highlight w:val="none"/>
        </w:rPr>
        <w:t>除联合体外，法定代表人或单位负责人为同一个人或者存在直接控股、管理关系的不同供应商，不得同时参加同一项目或同一子项目的磋商活动。如同时参加，则评审时将同时被拒绝。</w:t>
      </w:r>
    </w:p>
    <w:p w14:paraId="37678B1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3.5</w:t>
      </w:r>
      <w:r>
        <w:rPr>
          <w:rFonts w:ascii="仿宋" w:hAnsi="仿宋" w:eastAsia="仿宋" w:cs="宋体"/>
          <w:sz w:val="24"/>
          <w:szCs w:val="24"/>
          <w:highlight w:val="none"/>
        </w:rPr>
        <w:t>关于中小企业参与磋商</w:t>
      </w:r>
      <w:r>
        <w:rPr>
          <w:rFonts w:hint="eastAsia" w:ascii="仿宋" w:hAnsi="仿宋" w:eastAsia="仿宋" w:cs="宋体"/>
          <w:sz w:val="24"/>
          <w:szCs w:val="24"/>
          <w:highlight w:val="none"/>
        </w:rPr>
        <w:t>：</w:t>
      </w:r>
      <w:r>
        <w:rPr>
          <w:rFonts w:ascii="仿宋" w:hAnsi="仿宋" w:eastAsia="仿宋" w:cs="宋体"/>
          <w:sz w:val="24"/>
          <w:szCs w:val="24"/>
          <w:highlight w:val="none"/>
        </w:rPr>
        <w:t>中小企业是指符合《政府采购促进中小企业发展管理办法》（财库[2020]46号）规定的供应商。中小企业参与磋商应提供《中小企业声明函》。</w:t>
      </w:r>
    </w:p>
    <w:p w14:paraId="012F9565">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监狱企业参加时，提供由省级以上监狱管理局、戒毒管理局（含新疆生产建设兵团）出具的属于监狱企业的证明文件，不再提供《中小企业声明函》。</w:t>
      </w:r>
    </w:p>
    <w:p w14:paraId="2D19FD3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残疾人福利性单位视同为小型、微型企业。</w:t>
      </w:r>
    </w:p>
    <w:p w14:paraId="2DF269F1">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4.知识产权</w:t>
      </w:r>
    </w:p>
    <w:p w14:paraId="1CC34ED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4.1供应商须保证，采购人在中华人民共和国境内使用货物、资料、技术、服务或其任何一</w:t>
      </w:r>
      <w:r>
        <w:rPr>
          <w:rFonts w:hint="eastAsia" w:ascii="仿宋" w:hAnsi="仿宋" w:eastAsia="仿宋" w:cs="宋体"/>
          <w:sz w:val="24"/>
          <w:szCs w:val="24"/>
          <w:highlight w:val="none"/>
          <w:lang w:eastAsia="zh-CN"/>
        </w:rPr>
        <w:t>部分</w:t>
      </w:r>
      <w:r>
        <w:rPr>
          <w:rFonts w:hint="eastAsia" w:ascii="仿宋" w:hAnsi="仿宋" w:eastAsia="仿宋" w:cs="宋体"/>
          <w:sz w:val="24"/>
          <w:szCs w:val="24"/>
          <w:highlight w:val="none"/>
        </w:rPr>
        <w:t>时，享有不受限制的无偿使用权，且免受第三方提出的包括但不限于因侵犯其专利权、商标权或工业设计权等知识产权而引起的法律或经济纠纷。如因采购人使用而遭受第三方主张权利的，供应商须承担全部赔偿责任，包括但不限于采购人、采购代理机构的责任。</w:t>
      </w:r>
    </w:p>
    <w:p w14:paraId="0D55436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4.2如供应商不拥有货物、资料、技术、服务等的知识产权，则报价中已包含采购人使用该知识的一切相关费用；否则，由此造成的一切损失由供应商承担。</w:t>
      </w:r>
    </w:p>
    <w:p w14:paraId="1851509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4.3供应商如欲在项目实施过程中采用自有知识成果，须在响应文件中声明，并提供相关知识产权证明文件。使用该知识成果后，供应商须提供开发接口和开发手册等技术文档。</w:t>
      </w:r>
    </w:p>
    <w:p w14:paraId="15A74EBD">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5.响应文件有效期</w:t>
      </w:r>
    </w:p>
    <w:p w14:paraId="749D00E4">
      <w:pPr>
        <w:snapToGrid w:val="0"/>
        <w:spacing w:line="360" w:lineRule="auto"/>
        <w:ind w:firstLine="480" w:firstLineChars="200"/>
        <w:rPr>
          <w:rFonts w:ascii="仿宋" w:hAnsi="仿宋" w:eastAsia="仿宋" w:cs="宋体"/>
          <w:b/>
          <w:sz w:val="24"/>
          <w:szCs w:val="24"/>
          <w:highlight w:val="none"/>
        </w:rPr>
      </w:pPr>
      <w:r>
        <w:rPr>
          <w:rFonts w:hint="eastAsia" w:ascii="仿宋" w:hAnsi="仿宋" w:eastAsia="仿宋" w:cs="宋体"/>
          <w:sz w:val="24"/>
          <w:szCs w:val="24"/>
          <w:highlight w:val="none"/>
        </w:rPr>
        <w:t>5.1磋商有效期自提交响应文件的截止之日起算</w:t>
      </w:r>
      <w:r>
        <w:rPr>
          <w:rFonts w:ascii="仿宋" w:hAnsi="仿宋" w:eastAsia="仿宋" w:cs="宋体"/>
          <w:sz w:val="24"/>
          <w:szCs w:val="24"/>
          <w:highlight w:val="none"/>
        </w:rPr>
        <w:t>90</w:t>
      </w:r>
      <w:r>
        <w:rPr>
          <w:rFonts w:hint="eastAsia" w:ascii="仿宋" w:hAnsi="仿宋" w:eastAsia="仿宋" w:cs="宋体"/>
          <w:sz w:val="24"/>
          <w:szCs w:val="24"/>
          <w:highlight w:val="none"/>
        </w:rPr>
        <w:t>日历天，</w:t>
      </w:r>
      <w:r>
        <w:rPr>
          <w:rFonts w:ascii="仿宋" w:hAnsi="仿宋" w:eastAsia="仿宋" w:cs="宋体"/>
          <w:sz w:val="24"/>
          <w:szCs w:val="24"/>
          <w:highlight w:val="none"/>
        </w:rPr>
        <w:t>有效期短于该规定期限的响应无效。</w:t>
      </w:r>
    </w:p>
    <w:p w14:paraId="715AB0D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5.2在特殊情况下，采购人或采购代理机构可与供应商协商延长磋商有效期。</w:t>
      </w:r>
    </w:p>
    <w:p w14:paraId="05AC384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5.3项目履约期限超过“提交响应文件的截止之日起算</w:t>
      </w:r>
      <w:r>
        <w:rPr>
          <w:rFonts w:ascii="仿宋" w:hAnsi="仿宋" w:eastAsia="仿宋" w:cs="宋体"/>
          <w:sz w:val="24"/>
          <w:szCs w:val="24"/>
          <w:highlight w:val="none"/>
        </w:rPr>
        <w:t>90</w:t>
      </w:r>
      <w:r>
        <w:rPr>
          <w:rFonts w:hint="eastAsia" w:ascii="仿宋" w:hAnsi="仿宋" w:eastAsia="仿宋" w:cs="宋体"/>
          <w:sz w:val="24"/>
          <w:szCs w:val="24"/>
          <w:highlight w:val="none"/>
        </w:rPr>
        <w:t>日历天”的，磋商有效期延长至合同全面履行完毕。</w:t>
      </w:r>
      <w:r>
        <w:rPr>
          <w:rFonts w:ascii="仿宋" w:hAnsi="仿宋" w:eastAsia="仿宋" w:cs="宋体"/>
          <w:sz w:val="24"/>
          <w:szCs w:val="24"/>
          <w:highlight w:val="none"/>
        </w:rPr>
        <w:t>同意延长响应文件有效期时，本须知关于磋商保证金的退还与没收规定仍适用。</w:t>
      </w:r>
    </w:p>
    <w:p w14:paraId="5B585CE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6.磋商费用</w:t>
      </w:r>
    </w:p>
    <w:p w14:paraId="7417FF2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6.1无论评审结果如何，供应商应自行承担参加磋商相关的全部费用，采购代理机构或采购人在任何情况下均无义务和责任承担这些费用。</w:t>
      </w:r>
    </w:p>
    <w:p w14:paraId="5EC8DF55">
      <w:pPr>
        <w:spacing w:line="360" w:lineRule="auto"/>
        <w:ind w:firstLine="482" w:firstLineChars="200"/>
        <w:rPr>
          <w:rFonts w:ascii="仿宋" w:hAnsi="仿宋" w:eastAsia="仿宋" w:cs="宋体"/>
          <w:sz w:val="24"/>
          <w:szCs w:val="24"/>
          <w:highlight w:val="none"/>
        </w:rPr>
      </w:pPr>
      <w:r>
        <w:rPr>
          <w:rFonts w:hint="eastAsia" w:ascii="仿宋" w:hAnsi="仿宋" w:eastAsia="仿宋" w:cs="宋体"/>
          <w:b/>
          <w:sz w:val="24"/>
          <w:szCs w:val="24"/>
          <w:highlight w:val="none"/>
        </w:rPr>
        <w:t>7.采购代理机构的权利</w:t>
      </w:r>
    </w:p>
    <w:p w14:paraId="7B92D08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7.1采购代理机构依据《中华人民共和国政府采购法》《中华人民共和国政府采购法实施条例》《政府采购竞争性磋商采购</w:t>
      </w:r>
      <w:r>
        <w:rPr>
          <w:rFonts w:hint="eastAsia" w:ascii="仿宋" w:hAnsi="仿宋" w:eastAsia="仿宋" w:cs="宋体"/>
          <w:sz w:val="24"/>
          <w:szCs w:val="24"/>
          <w:highlight w:val="none"/>
          <w:lang w:val="en-US" w:eastAsia="zh-CN"/>
        </w:rPr>
        <w:t>方式</w:t>
      </w:r>
      <w:r>
        <w:rPr>
          <w:rFonts w:hint="eastAsia" w:ascii="仿宋" w:hAnsi="仿宋" w:eastAsia="仿宋" w:cs="宋体"/>
          <w:sz w:val="24"/>
          <w:szCs w:val="24"/>
          <w:highlight w:val="none"/>
        </w:rPr>
        <w:t>管理暂行办法》和有关法律法规及规章规定，执行取消本次采购任务的情况下，无需对受影响的供应商承担任何责任。</w:t>
      </w:r>
    </w:p>
    <w:p w14:paraId="7E253A6F">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8.</w:t>
      </w:r>
      <w:r>
        <w:rPr>
          <w:rFonts w:ascii="仿宋" w:hAnsi="仿宋" w:eastAsia="仿宋" w:cs="宋体"/>
          <w:b/>
          <w:sz w:val="24"/>
          <w:szCs w:val="24"/>
          <w:highlight w:val="none"/>
        </w:rPr>
        <w:t>通知</w:t>
      </w:r>
    </w:p>
    <w:p w14:paraId="206FBC6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8.1</w:t>
      </w:r>
      <w:r>
        <w:rPr>
          <w:rFonts w:ascii="仿宋" w:hAnsi="仿宋" w:eastAsia="仿宋" w:cs="宋体"/>
          <w:sz w:val="24"/>
          <w:szCs w:val="24"/>
          <w:highlight w:val="none"/>
        </w:rPr>
        <w:t>对与本项目有关的通知，代理机构将通过山西政府采购平台政采云系统中发出（视同书面通知），因线路故障导致通知延迟或无法查看，代理机构或采购方将不承担任何责任，有关的磋商活动可以继续有效地进行。</w:t>
      </w:r>
    </w:p>
    <w:p w14:paraId="4F583E2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9.</w:t>
      </w:r>
      <w:r>
        <w:rPr>
          <w:rFonts w:ascii="仿宋" w:hAnsi="仿宋" w:eastAsia="仿宋" w:cs="宋体"/>
          <w:b/>
          <w:sz w:val="24"/>
          <w:szCs w:val="24"/>
          <w:highlight w:val="none"/>
        </w:rPr>
        <w:t>合格的服务</w:t>
      </w:r>
    </w:p>
    <w:p w14:paraId="7C4D436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w:t>
      </w:r>
      <w:r>
        <w:rPr>
          <w:rFonts w:ascii="仿宋" w:hAnsi="仿宋" w:eastAsia="仿宋" w:cs="宋体"/>
          <w:sz w:val="24"/>
          <w:szCs w:val="24"/>
          <w:highlight w:val="none"/>
        </w:rPr>
        <w:t>.1供应商所提供的服务应当没有侵犯任何第三方的知识产权、技术秘密等合法权利。</w:t>
      </w:r>
    </w:p>
    <w:p w14:paraId="51F4119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w:t>
      </w:r>
      <w:r>
        <w:rPr>
          <w:rFonts w:ascii="仿宋" w:hAnsi="仿宋" w:eastAsia="仿宋" w:cs="宋体"/>
          <w:sz w:val="24"/>
          <w:szCs w:val="24"/>
          <w:highlight w:val="none"/>
        </w:rPr>
        <w:t>.2供应商提供的服务应当符合磋商文件的要求，并且其质量完全符合国家标准、行业标准或地方标准。</w:t>
      </w:r>
    </w:p>
    <w:p w14:paraId="6D2A339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9.3</w:t>
      </w:r>
      <w:r>
        <w:rPr>
          <w:rFonts w:ascii="仿宋" w:hAnsi="仿宋" w:eastAsia="仿宋" w:cs="宋体"/>
          <w:sz w:val="24"/>
          <w:szCs w:val="24"/>
          <w:highlight w:val="none"/>
        </w:rPr>
        <w:t>系统软件、通用软件必须是具有在中国境内的合法使用权或版权的正版软件，涉及到第三方提出侵权或知识产权的起诉及支付版税等费用由供应商承担所有责任及费用。</w:t>
      </w:r>
    </w:p>
    <w:p w14:paraId="2FA3530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10.解释权</w:t>
      </w:r>
    </w:p>
    <w:p w14:paraId="40EEA74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.1本次磋商活动的最终解释权归为采购人、采购代理机构。</w:t>
      </w:r>
    </w:p>
    <w:p w14:paraId="5302708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.2当对一个问题有多种解释时以采购人、采购代理机构的解释为准。</w:t>
      </w:r>
    </w:p>
    <w:p w14:paraId="1AFB1CA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.3本文件未作须知明示，而又有相关法律、法规规定的，采购人、采购代理机构将依据相关法律法规的规定进行解释。</w:t>
      </w:r>
    </w:p>
    <w:p w14:paraId="3F5EB9DD">
      <w:pPr>
        <w:spacing w:line="360" w:lineRule="auto"/>
        <w:ind w:firstLine="482" w:firstLineChars="200"/>
        <w:jc w:val="center"/>
        <w:rPr>
          <w:rFonts w:ascii="仿宋" w:hAnsi="仿宋" w:eastAsia="仿宋" w:cs="宋体"/>
          <w:b/>
          <w:sz w:val="24"/>
          <w:szCs w:val="24"/>
          <w:highlight w:val="none"/>
        </w:rPr>
      </w:pPr>
      <w:r>
        <w:rPr>
          <w:rFonts w:hint="eastAsia" w:ascii="仿宋" w:hAnsi="仿宋" w:eastAsia="仿宋" w:cs="宋体"/>
          <w:b/>
          <w:sz w:val="24"/>
          <w:szCs w:val="24"/>
          <w:highlight w:val="none"/>
        </w:rPr>
        <w:t>(二) 磋商文件</w:t>
      </w:r>
    </w:p>
    <w:p w14:paraId="0EE80095">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11.磋商文件的构成</w:t>
      </w:r>
    </w:p>
    <w:p w14:paraId="2875C07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11.1磋商文件包括：</w:t>
      </w:r>
    </w:p>
    <w:p w14:paraId="43C6206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（1）磋商公告</w:t>
      </w:r>
    </w:p>
    <w:p w14:paraId="551E0C8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（2）供应商须知前附表</w:t>
      </w:r>
    </w:p>
    <w:p w14:paraId="63A063F6">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（3）评审方法和标准</w:t>
      </w:r>
    </w:p>
    <w:p w14:paraId="584E6C8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）采购需求</w:t>
      </w:r>
    </w:p>
    <w:p w14:paraId="3E15307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5</w:t>
      </w:r>
      <w:r>
        <w:rPr>
          <w:rFonts w:hint="eastAsia" w:ascii="仿宋" w:hAnsi="仿宋" w:eastAsia="仿宋" w:cs="宋体"/>
          <w:sz w:val="24"/>
          <w:szCs w:val="24"/>
          <w:highlight w:val="none"/>
        </w:rPr>
        <w:t>）合同文本</w:t>
      </w:r>
    </w:p>
    <w:p w14:paraId="038A748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）响应文件格式</w:t>
      </w:r>
    </w:p>
    <w:p w14:paraId="004291D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11.2由采购人或采购代理机构提供的所有详细资料被视为保密资料，仅被用于本项目规定的用途。除非得到采购人或采购代理机构的同意，不能向任何第三方透露。磋商结束后，应采购人或采购代理机构要求，供应商应归还所有从采购人或采购代理机构处获得的保密资料。</w:t>
      </w:r>
    </w:p>
    <w:p w14:paraId="74D9AC9C">
      <w:pPr>
        <w:pStyle w:val="54"/>
        <w:spacing w:line="360" w:lineRule="auto"/>
        <w:ind w:left="0"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11.3</w:t>
      </w:r>
      <w:r>
        <w:rPr>
          <w:rFonts w:ascii="仿宋" w:hAnsi="仿宋" w:eastAsia="仿宋"/>
          <w:sz w:val="24"/>
          <w:szCs w:val="24"/>
          <w:highlight w:val="none"/>
        </w:rPr>
        <w:t>供应商应详细阅读磋商文件的全部内容。如果没有按照磋商文件要求提交全部资料或者没有对磋商文件在各方面都做出实质性响应，有可能被确定为响应无效。</w:t>
      </w:r>
    </w:p>
    <w:p w14:paraId="03C94A1A">
      <w:pPr>
        <w:pStyle w:val="54"/>
        <w:spacing w:line="360" w:lineRule="auto"/>
        <w:ind w:left="0" w:firstLine="480" w:firstLineChars="200"/>
        <w:jc w:val="both"/>
        <w:rPr>
          <w:rFonts w:ascii="Times New Roman" w:hAnsi="Times New Roman" w:cs="Times New Roman"/>
          <w:kern w:val="0"/>
          <w:sz w:val="20"/>
          <w:szCs w:val="20"/>
          <w:highlight w:val="none"/>
        </w:rPr>
      </w:pPr>
      <w:r>
        <w:rPr>
          <w:rFonts w:hint="eastAsia" w:ascii="仿宋" w:hAnsi="仿宋" w:eastAsia="仿宋"/>
          <w:sz w:val="24"/>
          <w:szCs w:val="24"/>
          <w:highlight w:val="none"/>
        </w:rPr>
        <w:t>11.4</w:t>
      </w:r>
      <w:r>
        <w:rPr>
          <w:rFonts w:ascii="仿宋" w:hAnsi="仿宋" w:eastAsia="仿宋"/>
          <w:sz w:val="24"/>
          <w:szCs w:val="24"/>
          <w:highlight w:val="none"/>
        </w:rPr>
        <w:t>除非特殊要求，磋商文件不单独提供本磋商项目使用地的自然环境、气候条件、公用设施等情况，供应商被视为熟悉上述与履行合同有关的一切情况。</w:t>
      </w:r>
    </w:p>
    <w:p w14:paraId="6B7CFBBD">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12.磋商文件的澄清和修改</w:t>
      </w:r>
    </w:p>
    <w:p w14:paraId="2542F6D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12.1任何要求澄清磋商文件的供应商，应在法定时限内以书面形式通知采购代理机构。</w:t>
      </w:r>
    </w:p>
    <w:p w14:paraId="0ED0D7EB">
      <w:pPr>
        <w:pStyle w:val="54"/>
        <w:spacing w:line="360" w:lineRule="auto"/>
        <w:ind w:left="0" w:firstLine="480" w:firstLineChars="200"/>
        <w:jc w:val="both"/>
        <w:rPr>
          <w:rFonts w:ascii="Times New Roman" w:hAnsi="Times New Roman" w:cs="Times New Roman"/>
          <w:sz w:val="20"/>
          <w:szCs w:val="20"/>
          <w:highlight w:val="none"/>
        </w:rPr>
      </w:pPr>
      <w:r>
        <w:rPr>
          <w:rFonts w:hint="eastAsia" w:ascii="仿宋" w:hAnsi="仿宋" w:eastAsia="仿宋"/>
          <w:bCs/>
          <w:sz w:val="24"/>
          <w:szCs w:val="24"/>
          <w:highlight w:val="none"/>
        </w:rPr>
        <w:t>12.2</w:t>
      </w:r>
      <w:r>
        <w:rPr>
          <w:rFonts w:hint="eastAsia" w:ascii="仿宋" w:hAnsi="仿宋" w:eastAsia="仿宋"/>
          <w:sz w:val="24"/>
          <w:szCs w:val="24"/>
          <w:highlight w:val="none"/>
        </w:rPr>
        <w:t>在提交响应文件截止日前的任何时候，无论出于何种原因，采购代理机构可主动地或在解答供应商提出的问题时对磋商文件进行必要的澄清或修改。</w:t>
      </w:r>
      <w:r>
        <w:rPr>
          <w:rFonts w:ascii="仿宋" w:hAnsi="仿宋" w:eastAsia="仿宋"/>
          <w:sz w:val="24"/>
          <w:szCs w:val="24"/>
          <w:highlight w:val="none"/>
        </w:rPr>
        <w:t>其内容作为磋商文件的组成部分。所澄清或修改内容可能影响响应文件编制的，代理机构或采购方应当在提交首次响应文件截止时间至少5日前，以公告形式在中国政府采购网山西分网发布变更公告。不足5日的，应当顺延提交首次响应文件截止时间。</w:t>
      </w:r>
    </w:p>
    <w:p w14:paraId="7C61B0B1">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12.3</w:t>
      </w:r>
      <w:r>
        <w:rPr>
          <w:rFonts w:ascii="仿宋" w:hAnsi="仿宋" w:eastAsia="仿宋"/>
          <w:bCs/>
          <w:sz w:val="24"/>
          <w:szCs w:val="24"/>
          <w:highlight w:val="none"/>
        </w:rPr>
        <w:t>澄清修改的补充文件中包括原提出的问题及问题的说明意见，但不包括问题的来源。</w:t>
      </w:r>
    </w:p>
    <w:p w14:paraId="5445A7DE">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12.4</w:t>
      </w:r>
      <w:r>
        <w:rPr>
          <w:rFonts w:ascii="仿宋" w:hAnsi="仿宋" w:eastAsia="仿宋"/>
          <w:bCs/>
          <w:sz w:val="24"/>
          <w:szCs w:val="24"/>
          <w:highlight w:val="none"/>
        </w:rPr>
        <w:t>供应商澄清、询问时间及方式：任何已下载了磋商文件的供应商，均应在首次提交响应文件截止时间5日前对磋商文件进行澄清、询问，并以书面形式（包括书面材料、信函、传真，下同）送达代理机构。</w:t>
      </w:r>
    </w:p>
    <w:p w14:paraId="496CC5FE">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12.5</w:t>
      </w:r>
      <w:r>
        <w:rPr>
          <w:rFonts w:ascii="仿宋" w:hAnsi="仿宋" w:eastAsia="仿宋"/>
          <w:bCs/>
          <w:sz w:val="24"/>
          <w:szCs w:val="24"/>
          <w:highlight w:val="none"/>
        </w:rPr>
        <w:t>澄清、修改及其它答复的效力：代理机构或采购方一旦对磋商文件做出澄清或修改，即发生效力，代理机构或采购方有关的补充文件，应当作为磋商文件的组成部分，对所有供应商均具有约束力。</w:t>
      </w:r>
    </w:p>
    <w:p w14:paraId="23E23990">
      <w:pPr>
        <w:pStyle w:val="45"/>
        <w:spacing w:before="0" w:beforeAutospacing="0" w:after="0" w:afterAutospacing="0" w:line="360" w:lineRule="auto"/>
        <w:jc w:val="center"/>
        <w:rPr>
          <w:rFonts w:ascii="仿宋" w:hAnsi="仿宋" w:eastAsia="仿宋"/>
          <w:b/>
          <w:sz w:val="24"/>
          <w:szCs w:val="24"/>
          <w:highlight w:val="none"/>
        </w:rPr>
      </w:pPr>
      <w:r>
        <w:rPr>
          <w:rFonts w:hint="eastAsia" w:ascii="仿宋" w:hAnsi="仿宋" w:eastAsia="仿宋"/>
          <w:b/>
          <w:sz w:val="24"/>
          <w:szCs w:val="24"/>
          <w:highlight w:val="none"/>
        </w:rPr>
        <w:t>(三) 响应文件</w:t>
      </w:r>
    </w:p>
    <w:p w14:paraId="3696CB4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13.响应文件的构成及相关要求</w:t>
      </w:r>
    </w:p>
    <w:p w14:paraId="655628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13.1响应文件包括响应文件</w:t>
      </w:r>
      <w:r>
        <w:rPr>
          <w:rFonts w:ascii="仿宋" w:hAnsi="仿宋" w:eastAsia="仿宋" w:cs="宋体"/>
          <w:sz w:val="24"/>
          <w:szCs w:val="24"/>
          <w:highlight w:val="none"/>
        </w:rPr>
        <w:t>分为资格证明文件和商务技术文件两部分组成。</w:t>
      </w:r>
    </w:p>
    <w:p w14:paraId="4AE941F3">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资格证明文件：指供应商提交的证明其有资格参加磋商的文件。</w:t>
      </w:r>
    </w:p>
    <w:p w14:paraId="47693DAB">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商务、技术文件：指供应商提交的能够证明其成交后有能力履行合同的文件和提供的服务符合本磋商文件规定和政策性要求的文件。</w:t>
      </w:r>
    </w:p>
    <w:p w14:paraId="4EE1BD1D">
      <w:pPr>
        <w:spacing w:line="360" w:lineRule="auto"/>
        <w:ind w:firstLine="480" w:firstLineChars="200"/>
        <w:rPr>
          <w:sz w:val="20"/>
          <w:szCs w:val="22"/>
          <w:highlight w:val="none"/>
        </w:rPr>
      </w:pPr>
      <w:r>
        <w:rPr>
          <w:rFonts w:ascii="仿宋" w:hAnsi="仿宋" w:eastAsia="仿宋" w:cs="宋体"/>
          <w:sz w:val="24"/>
          <w:szCs w:val="24"/>
          <w:highlight w:val="none"/>
        </w:rPr>
        <w:t>本次</w:t>
      </w:r>
      <w:r>
        <w:rPr>
          <w:rFonts w:hint="eastAsia" w:ascii="仿宋" w:hAnsi="仿宋" w:eastAsia="仿宋" w:cs="宋体"/>
          <w:sz w:val="24"/>
          <w:szCs w:val="24"/>
          <w:highlight w:val="none"/>
        </w:rPr>
        <w:t>磋商</w:t>
      </w:r>
      <w:r>
        <w:rPr>
          <w:rFonts w:ascii="仿宋" w:hAnsi="仿宋" w:eastAsia="仿宋" w:cs="宋体"/>
          <w:sz w:val="24"/>
          <w:szCs w:val="24"/>
          <w:highlight w:val="none"/>
        </w:rPr>
        <w:t>，供应商应按</w:t>
      </w:r>
      <w:r>
        <w:rPr>
          <w:rFonts w:hint="eastAsia" w:ascii="仿宋" w:hAnsi="仿宋" w:eastAsia="仿宋" w:cs="宋体"/>
          <w:sz w:val="24"/>
          <w:szCs w:val="24"/>
          <w:highlight w:val="none"/>
        </w:rPr>
        <w:t>磋商</w:t>
      </w:r>
      <w:r>
        <w:rPr>
          <w:rFonts w:ascii="仿宋" w:hAnsi="仿宋" w:eastAsia="仿宋" w:cs="宋体"/>
          <w:sz w:val="24"/>
          <w:szCs w:val="24"/>
          <w:highlight w:val="none"/>
        </w:rPr>
        <w:t>文件供应商须知前附表要求，提交资格证明文件和商务、技术文件及供应商自行编写的其他文件。资格证明文件</w:t>
      </w:r>
      <w:r>
        <w:rPr>
          <w:rFonts w:hint="eastAsia" w:ascii="仿宋" w:hAnsi="仿宋" w:eastAsia="仿宋" w:cs="宋体"/>
          <w:sz w:val="24"/>
          <w:szCs w:val="24"/>
          <w:highlight w:val="none"/>
        </w:rPr>
        <w:t>、</w:t>
      </w:r>
      <w:r>
        <w:rPr>
          <w:rFonts w:ascii="仿宋" w:hAnsi="仿宋" w:eastAsia="仿宋" w:cs="宋体"/>
          <w:sz w:val="24"/>
          <w:szCs w:val="24"/>
          <w:highlight w:val="none"/>
        </w:rPr>
        <w:t>政策性要求中国家强制性因素若有缺失或无效或商务技术文件未实质上响应</w:t>
      </w:r>
      <w:r>
        <w:rPr>
          <w:rFonts w:hint="eastAsia" w:ascii="仿宋" w:hAnsi="仿宋" w:eastAsia="仿宋" w:cs="宋体"/>
          <w:sz w:val="24"/>
          <w:szCs w:val="24"/>
          <w:highlight w:val="none"/>
        </w:rPr>
        <w:t>磋商</w:t>
      </w:r>
      <w:r>
        <w:rPr>
          <w:rFonts w:ascii="仿宋" w:hAnsi="仿宋" w:eastAsia="仿宋" w:cs="宋体"/>
          <w:sz w:val="24"/>
          <w:szCs w:val="24"/>
          <w:highlight w:val="none"/>
        </w:rPr>
        <w:t>文件要求，将作无效报价处理。</w:t>
      </w:r>
    </w:p>
    <w:p w14:paraId="372FF6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 xml:space="preserve">13.2 </w:t>
      </w:r>
      <w:r>
        <w:rPr>
          <w:rFonts w:ascii="仿宋" w:hAnsi="仿宋" w:eastAsia="仿宋" w:cs="宋体"/>
          <w:sz w:val="24"/>
          <w:szCs w:val="24"/>
          <w:highlight w:val="none"/>
        </w:rPr>
        <w:t>响应文件其他要求</w:t>
      </w:r>
    </w:p>
    <w:p w14:paraId="0740C5D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13.2.1</w:t>
      </w:r>
      <w:r>
        <w:rPr>
          <w:rFonts w:ascii="仿宋" w:hAnsi="仿宋" w:eastAsia="仿宋" w:cs="宋体"/>
          <w:sz w:val="24"/>
          <w:szCs w:val="24"/>
          <w:highlight w:val="none"/>
        </w:rPr>
        <w:t>编排要求</w:t>
      </w:r>
    </w:p>
    <w:p w14:paraId="15F6310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响应文件规格幅面；按照磋商文件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E45CC31">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.2.2格式要求</w:t>
      </w:r>
    </w:p>
    <w:p w14:paraId="7680311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本磋商文件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已提供“响应文件格式”的，需按照格式要求编制和上传（供应商可以对所提供的格式进行扩展，但不得更改格式内容），没有提供格式的，供应商自拟。</w:t>
      </w:r>
    </w:p>
    <w:p w14:paraId="21D8D0AE">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.2.3响应文件的份数、加密</w:t>
      </w:r>
    </w:p>
    <w:p w14:paraId="7BB29EA8">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.2.3.1响应文件的份数</w:t>
      </w:r>
    </w:p>
    <w:p w14:paraId="1AEB0249">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本次磋商须提交的响应文件</w:t>
      </w:r>
      <w:r>
        <w:rPr>
          <w:rFonts w:hint="eastAsia" w:ascii="仿宋" w:hAnsi="仿宋" w:eastAsia="仿宋" w:cs="宋体"/>
          <w:sz w:val="24"/>
          <w:szCs w:val="24"/>
          <w:highlight w:val="none"/>
        </w:rPr>
        <w:t>份数</w:t>
      </w:r>
      <w:r>
        <w:rPr>
          <w:rFonts w:ascii="仿宋" w:hAnsi="仿宋" w:eastAsia="仿宋" w:cs="宋体"/>
          <w:sz w:val="24"/>
          <w:szCs w:val="24"/>
          <w:highlight w:val="none"/>
        </w:rPr>
        <w:t>详见供应商须知前附表。</w:t>
      </w:r>
    </w:p>
    <w:p w14:paraId="056A0AE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.2.3.2响应文件加密</w:t>
      </w:r>
    </w:p>
    <w:p w14:paraId="4F5F11E5">
      <w:pPr>
        <w:spacing w:line="360" w:lineRule="auto"/>
        <w:ind w:firstLine="480" w:firstLineChars="200"/>
        <w:rPr>
          <w:sz w:val="20"/>
          <w:szCs w:val="22"/>
          <w:highlight w:val="none"/>
        </w:rPr>
      </w:pPr>
      <w:r>
        <w:rPr>
          <w:rFonts w:ascii="仿宋" w:hAnsi="仿宋" w:eastAsia="仿宋" w:cs="宋体"/>
          <w:sz w:val="24"/>
          <w:szCs w:val="24"/>
          <w:highlight w:val="none"/>
        </w:rPr>
        <w:t>系统中上传的电子响应文件须使用数字电子CA（单位、法人或个人）进行加密。</w:t>
      </w:r>
    </w:p>
    <w:p w14:paraId="535F792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w:t>
      </w:r>
      <w:r>
        <w:rPr>
          <w:rFonts w:hint="eastAsia" w:ascii="仿宋" w:hAnsi="仿宋" w:eastAsia="仿宋" w:cs="宋体"/>
          <w:sz w:val="24"/>
          <w:szCs w:val="24"/>
          <w:highlight w:val="none"/>
          <w:lang w:val="en-US" w:eastAsia="zh-CN"/>
        </w:rPr>
        <w:t>3</w:t>
      </w:r>
      <w:r>
        <w:rPr>
          <w:rFonts w:hint="eastAsia" w:ascii="仿宋" w:hAnsi="仿宋" w:eastAsia="仿宋" w:cs="宋体"/>
          <w:sz w:val="24"/>
          <w:szCs w:val="24"/>
          <w:highlight w:val="none"/>
        </w:rPr>
        <w:t>响应文件均以电子文档为准。</w:t>
      </w:r>
    </w:p>
    <w:p w14:paraId="46989402">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14.响应文件的编制</w:t>
      </w:r>
    </w:p>
    <w:p w14:paraId="330C5116">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14.1供应商应详细审阅磋商文件的全部内容，按照磋商文件的要求认真编制响应文件，保证所提供的全部资料合法、真实、完整、有效，以使其响应文件对磋商文件做出实质性响应。</w:t>
      </w:r>
    </w:p>
    <w:p w14:paraId="438D7177">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14.2响应文件应以中文书写或打印，字迹清晰、内容齐全，行间不得插字、涂改和增删。如有修改，必须加盖供应商公章或经法定代表人（全权代理人）签字后生效。所有的响应文件必须逐页添加(连续)页码并编制目录。</w:t>
      </w:r>
    </w:p>
    <w:p w14:paraId="3F8EBD5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14.3供应商资质证书（或资格证明）处于年检、换证、升级、变更等期间，除法律法规或发证机构有书面材料明确表明供应商资质（或资格）有效外，一律不予认可。</w:t>
      </w:r>
    </w:p>
    <w:p w14:paraId="08F346F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14.4</w:t>
      </w:r>
      <w:r>
        <w:rPr>
          <w:rFonts w:ascii="仿宋" w:hAnsi="仿宋" w:eastAsia="仿宋" w:cs="宋体"/>
          <w:sz w:val="24"/>
          <w:szCs w:val="24"/>
          <w:highlight w:val="none"/>
        </w:rPr>
        <w:t>响应文件应严格按照磋商文件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58D787F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14.5</w:t>
      </w:r>
      <w:r>
        <w:rPr>
          <w:rFonts w:ascii="仿宋" w:hAnsi="仿宋" w:eastAsia="仿宋" w:cs="宋体"/>
          <w:sz w:val="24"/>
          <w:szCs w:val="24"/>
          <w:highlight w:val="none"/>
        </w:rPr>
        <w:t>供应商必须对响应文件所提供的全部资料的真实性可靠性负责，并接受磋商小组对其中任何资料进一步审查的要求。</w:t>
      </w:r>
    </w:p>
    <w:p w14:paraId="4461F10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w:t>
      </w:r>
      <w:r>
        <w:rPr>
          <w:rFonts w:hint="eastAsia" w:ascii="仿宋" w:hAnsi="仿宋" w:eastAsia="仿宋" w:cs="宋体"/>
          <w:sz w:val="24"/>
          <w:szCs w:val="24"/>
          <w:highlight w:val="none"/>
          <w:lang w:val="en-US" w:eastAsia="zh-CN"/>
        </w:rPr>
        <w:t>6</w:t>
      </w:r>
      <w:r>
        <w:rPr>
          <w:rFonts w:ascii="仿宋" w:hAnsi="仿宋" w:eastAsia="仿宋" w:cs="宋体"/>
          <w:sz w:val="24"/>
          <w:szCs w:val="24"/>
          <w:highlight w:val="none"/>
        </w:rPr>
        <w:t>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7911BFA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15.响应文件的语言及计量单位</w:t>
      </w:r>
    </w:p>
    <w:p w14:paraId="1E79570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15.1响应文件以及供应商与采购代理机构就有关磋商的所有来往的文字、函电统一使用中文。</w:t>
      </w:r>
    </w:p>
    <w:p w14:paraId="748C943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15.2响应文件中的计量单位，除磋商文件有特殊规定外，一律使用中华人民共和国法定计量单位。</w:t>
      </w:r>
    </w:p>
    <w:p w14:paraId="435A256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15.3</w:t>
      </w:r>
      <w:r>
        <w:rPr>
          <w:rFonts w:ascii="仿宋" w:hAnsi="仿宋" w:eastAsia="仿宋" w:cs="宋体"/>
          <w:sz w:val="24"/>
          <w:szCs w:val="24"/>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78728354">
      <w:pPr>
        <w:spacing w:line="360" w:lineRule="auto"/>
        <w:ind w:firstLine="480" w:firstLineChars="200"/>
        <w:rPr>
          <w:rFonts w:eastAsia="仿宋"/>
          <w:sz w:val="20"/>
          <w:szCs w:val="22"/>
          <w:highlight w:val="none"/>
        </w:rPr>
      </w:pPr>
      <w:r>
        <w:rPr>
          <w:rFonts w:ascii="仿宋" w:hAnsi="仿宋" w:eastAsia="仿宋" w:cs="宋体"/>
          <w:sz w:val="24"/>
          <w:szCs w:val="24"/>
          <w:highlight w:val="none"/>
        </w:rPr>
        <w:t>原版为外文的证书类、证明类文件，与供应商名称或其它实际情况不符的，供应商应当提供相关证明文件。</w:t>
      </w:r>
    </w:p>
    <w:p w14:paraId="5A1A4BA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16.磋商报价</w:t>
      </w:r>
    </w:p>
    <w:p w14:paraId="3675C402">
      <w:pPr>
        <w:spacing w:line="360" w:lineRule="auto"/>
        <w:ind w:firstLine="480" w:firstLineChars="200"/>
        <w:rPr>
          <w:sz w:val="20"/>
          <w:szCs w:val="22"/>
          <w:highlight w:val="none"/>
        </w:rPr>
      </w:pPr>
      <w:r>
        <w:rPr>
          <w:rFonts w:hint="eastAsia" w:ascii="仿宋" w:hAnsi="仿宋" w:eastAsia="仿宋" w:cs="宋体"/>
          <w:sz w:val="24"/>
          <w:szCs w:val="24"/>
          <w:highlight w:val="none"/>
        </w:rPr>
        <w:t>16.1</w:t>
      </w:r>
      <w:r>
        <w:rPr>
          <w:rFonts w:ascii="仿宋" w:hAnsi="仿宋" w:eastAsia="仿宋" w:cs="宋体"/>
          <w:sz w:val="24"/>
          <w:szCs w:val="24"/>
          <w:highlight w:val="none"/>
        </w:rPr>
        <w:t>所有磋商报价均以人民币“元”为计算单位（保留两位小数）。</w:t>
      </w:r>
    </w:p>
    <w:p w14:paraId="635004E7">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16.2供应商应根据自身经营状况和工商营业执照确定的经营范围，按照供应商就磋商文件“第四章 采购需求”规定的内容进行唯一报价。供应商按照磋商文件要求进行第二轮报价，即最终报价。采购代理机构不接受有任何选择性的报价。</w:t>
      </w:r>
    </w:p>
    <w:p w14:paraId="0436C74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16.3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报价人自行承担。</w:t>
      </w:r>
    </w:p>
    <w:p w14:paraId="0C6FFF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16.4 响应文件报价出现前后不一致的，按照下列规定修正：</w:t>
      </w:r>
    </w:p>
    <w:p w14:paraId="38F6437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(1)大写金额和小写金额不一致的，以大写金额为准；</w:t>
      </w:r>
    </w:p>
    <w:p w14:paraId="37CB80F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(2)单价金额小数点或者百分比有明显错位的，以《报价表》的总价为准，并修改单价；</w:t>
      </w:r>
    </w:p>
    <w:p w14:paraId="772B1B9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(3)总价金额与按单价汇总金额不一致的，以单价金额计算结果为准。</w:t>
      </w:r>
    </w:p>
    <w:p w14:paraId="2888DC4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同时出现两种以上不一致的，供应商须按照上述规定的顺序进行修正并书面确认，经确认后的报价对供应商产生约束力。</w:t>
      </w:r>
    </w:p>
    <w:p w14:paraId="2A1F4F0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16.5</w:t>
      </w:r>
      <w:r>
        <w:rPr>
          <w:rFonts w:ascii="仿宋" w:hAnsi="仿宋" w:eastAsia="仿宋" w:cs="宋体"/>
          <w:sz w:val="24"/>
          <w:szCs w:val="24"/>
          <w:highlight w:val="none"/>
        </w:rPr>
        <w:t>供应商应按报价要求的内容认真填报“报价一览表”。</w:t>
      </w:r>
    </w:p>
    <w:p w14:paraId="3698B5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16.6</w:t>
      </w:r>
      <w:r>
        <w:rPr>
          <w:rFonts w:ascii="仿宋" w:hAnsi="仿宋" w:eastAsia="仿宋" w:cs="宋体"/>
          <w:sz w:val="24"/>
          <w:szCs w:val="24"/>
          <w:highlight w:val="none"/>
        </w:rPr>
        <w:t xml:space="preserve">供应商投报多包的，应对每包整包内容分别填报，不得拆包分项报价。 </w:t>
      </w:r>
    </w:p>
    <w:p w14:paraId="722BEEB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16.7</w:t>
      </w:r>
      <w:r>
        <w:rPr>
          <w:rFonts w:ascii="仿宋" w:hAnsi="仿宋" w:eastAsia="仿宋" w:cs="宋体"/>
          <w:sz w:val="24"/>
          <w:szCs w:val="24"/>
          <w:highlight w:val="none"/>
        </w:rPr>
        <w:t>本次磋商不接受可选择方案的报价。</w:t>
      </w:r>
    </w:p>
    <w:p w14:paraId="2F0BF0D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17.磋商保证金</w:t>
      </w:r>
    </w:p>
    <w:p w14:paraId="1723B8E7">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17.1供应商应在提交响应文件截止时间前，按供应商须知前附表向采购代理机构足额交纳磋商保证金。</w:t>
      </w:r>
      <w:r>
        <w:rPr>
          <w:rFonts w:ascii="仿宋" w:hAnsi="仿宋" w:eastAsia="仿宋" w:cs="宋体"/>
          <w:sz w:val="24"/>
          <w:szCs w:val="24"/>
          <w:highlight w:val="none"/>
        </w:rPr>
        <w:t>未按要求交纳磋商保证金的，响应无效。</w:t>
      </w:r>
    </w:p>
    <w:p w14:paraId="0E7E98E6">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17.2</w:t>
      </w:r>
      <w:r>
        <w:rPr>
          <w:rFonts w:ascii="仿宋" w:hAnsi="仿宋" w:eastAsia="仿宋" w:cs="宋体"/>
          <w:sz w:val="24"/>
          <w:szCs w:val="24"/>
          <w:highlight w:val="none"/>
        </w:rPr>
        <w:t>供应商在响应文件开启时间前撤回已提交的响应文件的，代理机构应当自收到供应商书面撤回通知之日起5个工作日内，退还已收取的磋商保证金，但因供应商自身原因导致无法及时退还的除外。</w:t>
      </w:r>
    </w:p>
    <w:p w14:paraId="632C79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17.3采购代理机构自成交通知书发出之日起5个工作日内无息退还未成交供应商的磋商保证金；自采购合同签订之日起5个工作日内无息退还成交供应商的磋商保证金。</w:t>
      </w:r>
    </w:p>
    <w:p w14:paraId="01378CC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17.4发生下列情况之一，磋商保证金将不予退还：</w:t>
      </w:r>
    </w:p>
    <w:p w14:paraId="6EA262D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（1）供应商在提交响应文件截止时间后撤回响应文件的；</w:t>
      </w:r>
    </w:p>
    <w:p w14:paraId="096C50E1">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ascii="仿宋" w:hAnsi="仿宋" w:eastAsia="仿宋" w:cs="宋体"/>
          <w:sz w:val="24"/>
          <w:szCs w:val="24"/>
          <w:highlight w:val="none"/>
        </w:rPr>
        <w:t>供应商在响应文件中提供虚假材料的；</w:t>
      </w:r>
    </w:p>
    <w:p w14:paraId="0E868B3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（3）供应商与采购人、其他供应商或者采购代理机构恶意串通的；</w:t>
      </w:r>
    </w:p>
    <w:p w14:paraId="79C8F2E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（4）成交供应商不按照磋商文件要求提交履约保证金的；</w:t>
      </w:r>
    </w:p>
    <w:p w14:paraId="742ECFF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（5）成交供应商在规定期限内无正当理由不与采购人订立合同的；</w:t>
      </w:r>
    </w:p>
    <w:p w14:paraId="2189C83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（6）成交供应商在签订合同时向采购人提出附加条件的；</w:t>
      </w:r>
    </w:p>
    <w:p w14:paraId="4C847DA4">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（7）</w:t>
      </w:r>
      <w:r>
        <w:rPr>
          <w:rFonts w:ascii="仿宋" w:hAnsi="仿宋" w:eastAsia="仿宋" w:cs="宋体"/>
          <w:sz w:val="24"/>
          <w:szCs w:val="24"/>
          <w:highlight w:val="none"/>
        </w:rPr>
        <w:t>磋商有效期内撤回响应文件的</w:t>
      </w:r>
    </w:p>
    <w:p w14:paraId="469E75E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（8）磋商文件规定的其他情形；</w:t>
      </w:r>
    </w:p>
    <w:p w14:paraId="01CB895B">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18.响应文件签署</w:t>
      </w:r>
      <w:r>
        <w:rPr>
          <w:rFonts w:ascii="仿宋" w:hAnsi="仿宋" w:eastAsia="仿宋" w:cs="宋体"/>
          <w:b/>
          <w:sz w:val="24"/>
          <w:szCs w:val="24"/>
          <w:highlight w:val="none"/>
        </w:rPr>
        <w:t>及其他规定</w:t>
      </w:r>
    </w:p>
    <w:p w14:paraId="644C137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18.1</w:t>
      </w:r>
      <w:r>
        <w:rPr>
          <w:rFonts w:ascii="仿宋" w:hAnsi="仿宋" w:eastAsia="仿宋" w:cs="宋体"/>
          <w:sz w:val="24"/>
          <w:szCs w:val="24"/>
          <w:highlight w:val="none"/>
        </w:rPr>
        <w:t>组成响应文件的各种文件均应遵守本款规定。</w:t>
      </w:r>
    </w:p>
    <w:p w14:paraId="75677A9C">
      <w:pPr>
        <w:pStyle w:val="44"/>
        <w:numPr>
          <w:ilvl w:val="0"/>
          <w:numId w:val="0"/>
        </w:numPr>
        <w:adjustRightInd/>
        <w:snapToGrid w:val="0"/>
        <w:spacing w:line="360" w:lineRule="auto"/>
        <w:ind w:firstLine="480" w:firstLineChars="200"/>
        <w:jc w:val="left"/>
        <w:textAlignment w:val="auto"/>
        <w:rPr>
          <w:rFonts w:ascii="仿宋" w:hAnsi="仿宋" w:eastAsia="仿宋" w:cs="宋体"/>
          <w:kern w:val="2"/>
          <w:sz w:val="24"/>
          <w:szCs w:val="24"/>
          <w:highlight w:val="none"/>
        </w:rPr>
      </w:pPr>
      <w:r>
        <w:rPr>
          <w:rFonts w:hint="eastAsia" w:ascii="仿宋" w:hAnsi="仿宋" w:eastAsia="仿宋" w:cs="宋体"/>
          <w:kern w:val="2"/>
          <w:sz w:val="24"/>
          <w:szCs w:val="24"/>
          <w:highlight w:val="none"/>
        </w:rPr>
        <w:t>18.2</w:t>
      </w:r>
      <w:r>
        <w:rPr>
          <w:rFonts w:ascii="仿宋" w:hAnsi="仿宋" w:eastAsia="仿宋" w:cs="宋体"/>
          <w:kern w:val="2"/>
          <w:sz w:val="24"/>
          <w:szCs w:val="24"/>
          <w:highlight w:val="none"/>
        </w:rPr>
        <w:t>供应商在响应文件及相关文件的签订、履行、通知等事项的文件中的“单位盖章”、“印章”、“公章”等处均仅指与当事人名称全称相一致的电子CA章，不得使用其它（如带有“专用章”等字样）印章，否则将按响应无效处理。</w:t>
      </w:r>
    </w:p>
    <w:p w14:paraId="69B6EF72">
      <w:pPr>
        <w:pStyle w:val="44"/>
        <w:numPr>
          <w:ilvl w:val="0"/>
          <w:numId w:val="0"/>
        </w:numPr>
        <w:adjustRightInd/>
        <w:snapToGrid w:val="0"/>
        <w:spacing w:line="360" w:lineRule="auto"/>
        <w:ind w:firstLine="480" w:firstLineChars="200"/>
        <w:jc w:val="left"/>
        <w:textAlignment w:val="auto"/>
        <w:rPr>
          <w:rFonts w:ascii="仿宋" w:hAnsi="仿宋" w:eastAsia="仿宋" w:cs="宋体"/>
          <w:sz w:val="24"/>
          <w:szCs w:val="24"/>
          <w:highlight w:val="none"/>
        </w:rPr>
      </w:pPr>
      <w:r>
        <w:rPr>
          <w:rFonts w:hint="eastAsia" w:ascii="仿宋" w:hAnsi="仿宋" w:eastAsia="仿宋" w:cs="宋体"/>
          <w:kern w:val="2"/>
          <w:sz w:val="24"/>
          <w:szCs w:val="24"/>
          <w:highlight w:val="none"/>
        </w:rPr>
        <w:t>18.3</w:t>
      </w:r>
      <w:r>
        <w:rPr>
          <w:rFonts w:ascii="仿宋" w:hAnsi="仿宋" w:eastAsia="仿宋" w:cs="宋体"/>
          <w:kern w:val="2"/>
          <w:sz w:val="24"/>
          <w:szCs w:val="24"/>
          <w:highlight w:val="none"/>
        </w:rPr>
        <w:t>响应文件应字迹清楚、内容齐全、不得涂改或增删。如有修改和增删，必须有供应商电子CA章或法定代表人或其授权的供应商授权代表签字</w:t>
      </w:r>
      <w:r>
        <w:rPr>
          <w:rFonts w:hint="eastAsia" w:ascii="仿宋" w:hAnsi="仿宋" w:eastAsia="仿宋" w:cs="宋体"/>
          <w:kern w:val="2"/>
          <w:sz w:val="24"/>
          <w:szCs w:val="24"/>
          <w:highlight w:val="none"/>
        </w:rPr>
        <w:t>（章）</w:t>
      </w:r>
      <w:r>
        <w:rPr>
          <w:rFonts w:ascii="仿宋" w:hAnsi="仿宋" w:eastAsia="仿宋" w:cs="宋体"/>
          <w:kern w:val="2"/>
          <w:sz w:val="24"/>
          <w:szCs w:val="24"/>
          <w:highlight w:val="none"/>
        </w:rPr>
        <w:t>。</w:t>
      </w:r>
    </w:p>
    <w:p w14:paraId="60A29DE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18.4响应文件的签署应清晰工整，</w:t>
      </w:r>
      <w:r>
        <w:rPr>
          <w:rFonts w:ascii="仿宋" w:hAnsi="仿宋" w:eastAsia="仿宋" w:cs="宋体"/>
          <w:sz w:val="24"/>
          <w:szCs w:val="24"/>
          <w:highlight w:val="none"/>
        </w:rPr>
        <w:t>因响应文件字迹潦草或表达不清所引起的不利后果由供应商承担。</w:t>
      </w:r>
    </w:p>
    <w:p w14:paraId="646CA55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18.5响应文件须逐页盖章。</w:t>
      </w:r>
    </w:p>
    <w:p w14:paraId="1A8BCA2E">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19.响应文件</w:t>
      </w:r>
      <w:r>
        <w:rPr>
          <w:rFonts w:ascii="仿宋" w:hAnsi="仿宋" w:eastAsia="仿宋" w:cs="宋体"/>
          <w:b/>
          <w:sz w:val="24"/>
          <w:szCs w:val="24"/>
          <w:highlight w:val="none"/>
        </w:rPr>
        <w:t>解密</w:t>
      </w:r>
    </w:p>
    <w:p w14:paraId="40D80F6C">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.1采购代理机构在开启时间止发出解密指令，供应商接到解密信息后，在规定的解密时间内使用加密电子文件时的电子CA进行解密（可远程解密）。</w:t>
      </w:r>
    </w:p>
    <w:p w14:paraId="7D27843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.2解密截止时间后，供应商将无法对响应文件进行解密。除特殊情形需请示财政部门采用其他方式外，代理机构不得以任何理由延期解密。</w:t>
      </w:r>
    </w:p>
    <w:p w14:paraId="45EF3B82">
      <w:pPr>
        <w:spacing w:line="360" w:lineRule="auto"/>
        <w:ind w:firstLine="480" w:firstLineChars="200"/>
        <w:rPr>
          <w:rFonts w:ascii="仿宋" w:hAnsi="仿宋" w:eastAsia="仿宋" w:cs="宋体"/>
          <w:b/>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.3在响应文件解密截止时间后完成解密的供应商不足法定磋商家数时，不得进行下一步评审程序。</w:t>
      </w:r>
    </w:p>
    <w:p w14:paraId="50C24AAA">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20.</w:t>
      </w:r>
      <w:r>
        <w:rPr>
          <w:rFonts w:ascii="仿宋" w:hAnsi="仿宋" w:eastAsia="仿宋" w:cs="宋体"/>
          <w:b/>
          <w:sz w:val="24"/>
          <w:szCs w:val="24"/>
          <w:highlight w:val="none"/>
        </w:rPr>
        <w:t>响应文件的补充、修改和撤回</w:t>
      </w:r>
    </w:p>
    <w:p w14:paraId="304CE13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.1供应商在响应文件解密截止时间前，可以对响应文件进行补充、修改，补充、修改的内容作为响应文件的组成部分。补充、修改内容需在“政采云系统”中加密上传，未进行上传的补充、修改内容无效。</w:t>
      </w:r>
    </w:p>
    <w:p w14:paraId="3875D52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.2补充、修改的内容应当按照磋商文件要求签署、盖章，否则，按无效处理。</w:t>
      </w:r>
    </w:p>
    <w:p w14:paraId="0F319E4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.3在响应文件解密截止时间之后，供应商不得对其已解密的响应文件（含补充、修改）进行撤回。</w:t>
      </w:r>
    </w:p>
    <w:p w14:paraId="1769912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20.4补充、修改的内容作为响应文件的组成部分。补充、修改的内容与响应文件不一致的，以补充、修改的内容为准。</w:t>
      </w:r>
    </w:p>
    <w:p w14:paraId="38C3144C">
      <w:pPr>
        <w:spacing w:line="360" w:lineRule="auto"/>
        <w:ind w:firstLine="2891" w:firstLineChars="1200"/>
        <w:rPr>
          <w:rFonts w:ascii="仿宋" w:hAnsi="仿宋" w:eastAsia="仿宋" w:cs="宋体"/>
          <w:b/>
          <w:sz w:val="24"/>
          <w:szCs w:val="24"/>
          <w:highlight w:val="none"/>
        </w:rPr>
      </w:pPr>
      <w:r>
        <w:rPr>
          <w:rFonts w:hint="eastAsia" w:ascii="仿宋" w:hAnsi="仿宋" w:eastAsia="仿宋" w:cs="宋体"/>
          <w:b/>
          <w:sz w:val="24"/>
          <w:szCs w:val="24"/>
          <w:highlight w:val="none"/>
        </w:rPr>
        <w:t>(四) 响应文件的提交</w:t>
      </w:r>
    </w:p>
    <w:p w14:paraId="292BCB9B">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w:t>
      </w:r>
      <w:r>
        <w:rPr>
          <w:rFonts w:hint="eastAsia" w:ascii="仿宋" w:hAnsi="仿宋" w:eastAsia="仿宋" w:cs="宋体"/>
          <w:b/>
          <w:sz w:val="24"/>
          <w:szCs w:val="24"/>
          <w:highlight w:val="none"/>
          <w:lang w:val="en-US" w:eastAsia="zh-CN"/>
        </w:rPr>
        <w:t>1</w:t>
      </w:r>
      <w:r>
        <w:rPr>
          <w:rFonts w:hint="eastAsia" w:ascii="仿宋" w:hAnsi="仿宋" w:eastAsia="仿宋" w:cs="宋体"/>
          <w:b/>
          <w:sz w:val="24"/>
          <w:szCs w:val="24"/>
          <w:highlight w:val="none"/>
        </w:rPr>
        <w:t>.响应文件递交</w:t>
      </w:r>
    </w:p>
    <w:p w14:paraId="13E3DC2F">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.1提交响应文件截止时间以《磋商公告》或《澄清公告》公告时间为准。延长提交响应文件截止时间的采购项目，采购代理机构和供应商的权利及义务将受到新的提交响应文件截止时间的约束。</w:t>
      </w:r>
    </w:p>
    <w:p w14:paraId="12B9DB11">
      <w:pPr>
        <w:spacing w:line="360" w:lineRule="auto"/>
        <w:ind w:firstLine="470" w:firstLineChars="196"/>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.2供应商有下列情形之一的，采购代理机构将拒收响应文件：</w:t>
      </w:r>
    </w:p>
    <w:p w14:paraId="08D5F50F">
      <w:pPr>
        <w:spacing w:line="360" w:lineRule="auto"/>
        <w:ind w:firstLine="470" w:firstLineChars="196"/>
        <w:rPr>
          <w:rFonts w:ascii="仿宋" w:hAnsi="仿宋" w:eastAsia="仿宋" w:cs="宋体"/>
          <w:b/>
          <w:sz w:val="24"/>
          <w:szCs w:val="24"/>
          <w:highlight w:val="none"/>
        </w:rPr>
      </w:pPr>
      <w:r>
        <w:rPr>
          <w:rFonts w:hint="eastAsia" w:ascii="仿宋" w:hAnsi="仿宋" w:eastAsia="仿宋" w:cs="宋体"/>
          <w:sz w:val="24"/>
          <w:szCs w:val="24"/>
          <w:highlight w:val="none"/>
        </w:rPr>
        <w:t>（1）未按磋商公告要求</w:t>
      </w:r>
      <w:r>
        <w:rPr>
          <w:rFonts w:hint="eastAsia" w:ascii="仿宋" w:hAnsi="仿宋" w:eastAsia="仿宋" w:cs="宋体"/>
          <w:sz w:val="24"/>
          <w:szCs w:val="24"/>
          <w:highlight w:val="none"/>
          <w:lang w:val="en-US" w:eastAsia="zh-CN"/>
        </w:rPr>
        <w:t>获取</w:t>
      </w:r>
      <w:r>
        <w:rPr>
          <w:rFonts w:hint="eastAsia" w:ascii="仿宋" w:hAnsi="仿宋" w:eastAsia="仿宋" w:cs="宋体"/>
          <w:sz w:val="24"/>
          <w:szCs w:val="24"/>
          <w:highlight w:val="none"/>
        </w:rPr>
        <w:t>磋商文件的；</w:t>
      </w:r>
    </w:p>
    <w:p w14:paraId="13024A3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（2）在磋商文件规定的响应文件提交截止时间之后递交响应文件的；</w:t>
      </w:r>
    </w:p>
    <w:p w14:paraId="02712B9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（3）未按照磋商文件要求对响应文件进行密封的；</w:t>
      </w:r>
    </w:p>
    <w:p w14:paraId="7CB71B5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（4）供应商递交响应文件时未提供法定代表人及全权代理人资格证明文件的。</w:t>
      </w:r>
    </w:p>
    <w:p w14:paraId="262C174E">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2</w:t>
      </w:r>
      <w:r>
        <w:rPr>
          <w:rFonts w:hint="eastAsia" w:ascii="仿宋" w:hAnsi="仿宋" w:eastAsia="仿宋" w:cs="宋体"/>
          <w:b/>
          <w:sz w:val="24"/>
          <w:szCs w:val="24"/>
          <w:highlight w:val="none"/>
          <w:shd w:val="clear" w:color="auto" w:fill="FFFFFF"/>
        </w:rPr>
        <w:t>.串通</w:t>
      </w:r>
    </w:p>
    <w:p w14:paraId="09EBB55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2</w:t>
      </w:r>
      <w:r>
        <w:rPr>
          <w:rFonts w:hint="eastAsia" w:ascii="仿宋" w:hAnsi="仿宋" w:eastAsia="仿宋" w:cs="宋体"/>
          <w:sz w:val="24"/>
          <w:szCs w:val="24"/>
          <w:highlight w:val="none"/>
          <w:shd w:val="clear" w:color="auto" w:fill="FFFFFF"/>
        </w:rPr>
        <w:t>.1有下列情形之一的，属于供应商相互串通：</w:t>
      </w:r>
    </w:p>
    <w:p w14:paraId="636327D2">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（1）供应商之间协商报价、技术方案等响应文件的实质性内容；</w:t>
      </w:r>
    </w:p>
    <w:p w14:paraId="7E175A2B">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（2）属于同一集团、协会、商会等组织成员的供应商按照该组织要求协同参加采购活动；</w:t>
      </w:r>
    </w:p>
    <w:p w14:paraId="132E7E77">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（3）供应商之间事先约定由某一特定供应商成交；</w:t>
      </w:r>
    </w:p>
    <w:p w14:paraId="5C3B2C6E">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（4）供应商之间商定部分供应商放弃参加政府采购活动或者放弃成交；</w:t>
      </w:r>
    </w:p>
    <w:p w14:paraId="32BF028E">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（5）供应商相互之间为谋求特定供应商成交或者排斥其他供应商的其他串通行为。</w:t>
      </w:r>
    </w:p>
    <w:p w14:paraId="000CAA6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2</w:t>
      </w:r>
      <w:r>
        <w:rPr>
          <w:rFonts w:hint="eastAsia" w:ascii="仿宋" w:hAnsi="仿宋" w:eastAsia="仿宋" w:cs="宋体"/>
          <w:sz w:val="24"/>
          <w:szCs w:val="24"/>
          <w:highlight w:val="none"/>
        </w:rPr>
        <w:t>.2有下列情形之一的，视为供应商相互串通：</w:t>
      </w:r>
    </w:p>
    <w:p w14:paraId="6ED53332">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（1）不同供应商的响应文件由同一单位或者个人编制；</w:t>
      </w:r>
    </w:p>
    <w:p w14:paraId="6376ACD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（2）不同供应商委托同一单位或者个人办理磋商事宜；</w:t>
      </w:r>
    </w:p>
    <w:p w14:paraId="60778534">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（3）不同供应商的响应文件载明的项目管理成员或者联系人员为同一人；</w:t>
      </w:r>
    </w:p>
    <w:p w14:paraId="3E5C2CC3">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（4）不同供应商的响应文件异常一致或者报价呈规律性差异；</w:t>
      </w:r>
    </w:p>
    <w:p w14:paraId="60F6FC40">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（5）不同供应商的响应文件相互混装；</w:t>
      </w:r>
    </w:p>
    <w:p w14:paraId="6DDB3F15">
      <w:pPr>
        <w:spacing w:line="360" w:lineRule="auto"/>
        <w:ind w:firstLine="480"/>
        <w:rPr>
          <w:rStyle w:val="43"/>
          <w:rFonts w:ascii="仿宋" w:hAnsi="仿宋" w:eastAsia="仿宋" w:cs="宋体"/>
          <w:sz w:val="24"/>
          <w:szCs w:val="24"/>
          <w:highlight w:val="none"/>
        </w:rPr>
      </w:pPr>
      <w:r>
        <w:rPr>
          <w:rFonts w:hint="eastAsia" w:ascii="仿宋" w:hAnsi="仿宋" w:eastAsia="仿宋" w:cs="宋体"/>
          <w:sz w:val="24"/>
          <w:szCs w:val="24"/>
          <w:highlight w:val="none"/>
        </w:rPr>
        <w:t>（6）不同供应商的磋商保证金从同一单位或个人的账户转出。</w:t>
      </w:r>
    </w:p>
    <w:p w14:paraId="0F0E4581">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3</w:t>
      </w:r>
      <w:r>
        <w:rPr>
          <w:rFonts w:hint="eastAsia" w:ascii="仿宋" w:hAnsi="仿宋" w:eastAsia="仿宋" w:cs="宋体"/>
          <w:b/>
          <w:sz w:val="24"/>
          <w:szCs w:val="24"/>
          <w:highlight w:val="none"/>
          <w:shd w:val="clear" w:color="auto" w:fill="FFFFFF"/>
        </w:rPr>
        <w:t>.弄虚作假</w:t>
      </w:r>
    </w:p>
    <w:p w14:paraId="32FBDF4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3</w:t>
      </w:r>
      <w:r>
        <w:rPr>
          <w:rFonts w:hint="eastAsia" w:ascii="仿宋" w:hAnsi="仿宋" w:eastAsia="仿宋" w:cs="宋体"/>
          <w:sz w:val="24"/>
          <w:szCs w:val="24"/>
          <w:highlight w:val="none"/>
        </w:rPr>
        <w:t>.1有下列情形之一的，属于供应商弄虚作假的行为：</w:t>
      </w:r>
    </w:p>
    <w:p w14:paraId="3FE1D87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（1）使用伪造、变造的许可证件、印章或票据凭证等；</w:t>
      </w:r>
    </w:p>
    <w:p w14:paraId="02CCEA72">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（2）提供虚假的材料、样品、检验报告、财务状况或者业绩；</w:t>
      </w:r>
    </w:p>
    <w:p w14:paraId="0ECB213B">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（3）提供虚假的项目负责人或者主要技术人员简历、劳动关系证明；</w:t>
      </w:r>
    </w:p>
    <w:p w14:paraId="35423C60">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（4）提供虚假的信用状况；</w:t>
      </w:r>
    </w:p>
    <w:p w14:paraId="650027A6">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（5）冒名顶替他人签字；</w:t>
      </w:r>
    </w:p>
    <w:p w14:paraId="46BA5B7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（6）提供虚假的技术参数或服务方案；</w:t>
      </w:r>
    </w:p>
    <w:p w14:paraId="07FDE81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（7）其他弄虚作假的行为。</w:t>
      </w:r>
    </w:p>
    <w:p w14:paraId="358B7086">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4</w:t>
      </w:r>
      <w:r>
        <w:rPr>
          <w:rFonts w:hint="eastAsia" w:ascii="仿宋" w:hAnsi="仿宋" w:eastAsia="仿宋" w:cs="宋体"/>
          <w:b/>
          <w:sz w:val="24"/>
          <w:szCs w:val="24"/>
          <w:highlight w:val="none"/>
          <w:shd w:val="clear" w:color="auto" w:fill="FFFFFF"/>
        </w:rPr>
        <w:t>.供应商存在下列情况之一的，响应文件无效：</w:t>
      </w:r>
    </w:p>
    <w:p w14:paraId="7F12F6E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.1领取磋商文件时签署的单位名称与其递交的响应文件中公章不一致的；</w:t>
      </w:r>
    </w:p>
    <w:p w14:paraId="18F5AFA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.2未按照磋商文件的规定提交磋商保证金、响应文件的；</w:t>
      </w:r>
    </w:p>
    <w:p w14:paraId="37A07B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.3未按磋商文件要求提供证明材料的；</w:t>
      </w:r>
    </w:p>
    <w:p w14:paraId="5DFBD17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.4不具备磋商文件中规定的资格要求的；</w:t>
      </w:r>
    </w:p>
    <w:p w14:paraId="1743DA2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.5供应商信用记录查询被列入失信被执行人、重大税收违法</w:t>
      </w:r>
      <w:r>
        <w:rPr>
          <w:rFonts w:hint="eastAsia" w:ascii="仿宋" w:hAnsi="仿宋" w:eastAsia="仿宋" w:cs="宋体"/>
          <w:sz w:val="24"/>
          <w:szCs w:val="24"/>
          <w:highlight w:val="none"/>
          <w:shd w:val="clear" w:color="auto" w:fill="FFFFFF"/>
          <w:lang w:val="en-US" w:eastAsia="zh-CN"/>
        </w:rPr>
        <w:t>失信主体</w:t>
      </w:r>
      <w:r>
        <w:rPr>
          <w:rFonts w:hint="eastAsia" w:ascii="仿宋" w:hAnsi="仿宋" w:eastAsia="仿宋" w:cs="宋体"/>
          <w:sz w:val="24"/>
          <w:szCs w:val="24"/>
          <w:highlight w:val="none"/>
          <w:shd w:val="clear" w:color="auto" w:fill="FFFFFF"/>
        </w:rPr>
        <w:t>名单、政府采购严重违法失信行为记录名单的；</w:t>
      </w:r>
    </w:p>
    <w:p w14:paraId="54A784CE">
      <w:pPr>
        <w:spacing w:line="360" w:lineRule="auto"/>
        <w:ind w:left="3106" w:leftChars="222" w:hanging="2640" w:hangingChars="11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.6供应商通过受让或者租借等方式获取的资格、资质证书参与磋商</w:t>
      </w:r>
    </w:p>
    <w:p w14:paraId="18B9B27A">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的；</w:t>
      </w:r>
    </w:p>
    <w:p w14:paraId="0CE219BA">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.7如接受联合体响应，响应文件没有提交联合体协议的；</w:t>
      </w:r>
    </w:p>
    <w:p w14:paraId="350E9AF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.8响应文件未按磋商文件要求</w:t>
      </w:r>
      <w:r>
        <w:rPr>
          <w:rFonts w:hint="eastAsia" w:ascii="仿宋" w:hAnsi="仿宋" w:eastAsia="仿宋" w:cs="宋体"/>
          <w:sz w:val="24"/>
          <w:szCs w:val="24"/>
          <w:highlight w:val="none"/>
          <w:shd w:val="clear" w:color="auto" w:fill="FFFFFF"/>
        </w:rPr>
        <w:t>签署、签字、盖章的</w:t>
      </w:r>
      <w:r>
        <w:rPr>
          <w:rFonts w:hint="eastAsia" w:ascii="仿宋" w:hAnsi="仿宋" w:eastAsia="仿宋" w:cs="宋体"/>
          <w:sz w:val="24"/>
          <w:szCs w:val="24"/>
          <w:highlight w:val="none"/>
        </w:rPr>
        <w:t>；</w:t>
      </w:r>
    </w:p>
    <w:p w14:paraId="2039EF1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.9响应报价出现明显错误，供应商拒绝按照</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供应商须知1</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.4</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的规定进行修正的；</w:t>
      </w:r>
    </w:p>
    <w:p w14:paraId="2AF1B5DF">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.10磋商小组认为供应商的报价明显低于其他通过符合性审查供应商的报价，且供应商不能证明其报价合理性的；</w:t>
      </w:r>
    </w:p>
    <w:p w14:paraId="6792104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.11磋商文件中明确要求的事项，而响应文件中未做出明确响应的；</w:t>
      </w:r>
    </w:p>
    <w:p w14:paraId="0C5D743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.12响应文件未完全满足磋商文件要求；</w:t>
      </w:r>
    </w:p>
    <w:p w14:paraId="5CAC55A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.13供应商</w:t>
      </w:r>
      <w:r>
        <w:rPr>
          <w:rFonts w:hint="eastAsia" w:ascii="仿宋" w:hAnsi="仿宋" w:eastAsia="仿宋" w:cs="宋体"/>
          <w:sz w:val="24"/>
          <w:szCs w:val="24"/>
          <w:highlight w:val="none"/>
          <w:lang w:val="en-US" w:eastAsia="zh-CN"/>
        </w:rPr>
        <w:t>未按照</w:t>
      </w:r>
      <w:r>
        <w:rPr>
          <w:rFonts w:hint="eastAsia" w:ascii="仿宋" w:hAnsi="仿宋" w:eastAsia="仿宋" w:cs="宋体"/>
          <w:sz w:val="24"/>
          <w:szCs w:val="24"/>
          <w:highlight w:val="none"/>
        </w:rPr>
        <w:t>磋商文件“</w:t>
      </w:r>
      <w:r>
        <w:rPr>
          <w:rFonts w:hint="eastAsia" w:ascii="仿宋" w:hAnsi="仿宋" w:eastAsia="仿宋" w:cs="宋体"/>
          <w:sz w:val="24"/>
          <w:szCs w:val="24"/>
          <w:highlight w:val="none"/>
          <w:lang w:eastAsia="zh-CN"/>
        </w:rPr>
        <w:t>第四章 采购需求</w:t>
      </w:r>
      <w:r>
        <w:rPr>
          <w:rFonts w:hint="eastAsia" w:ascii="仿宋" w:hAnsi="仿宋" w:eastAsia="仿宋" w:cs="宋体"/>
          <w:sz w:val="24"/>
          <w:szCs w:val="24"/>
          <w:highlight w:val="none"/>
        </w:rPr>
        <w:t>”的内容</w:t>
      </w:r>
      <w:r>
        <w:rPr>
          <w:rFonts w:hint="eastAsia" w:ascii="仿宋" w:hAnsi="仿宋" w:eastAsia="仿宋" w:cs="宋体"/>
          <w:sz w:val="24"/>
          <w:szCs w:val="24"/>
          <w:highlight w:val="none"/>
          <w:lang w:val="en-US" w:eastAsia="zh-CN"/>
        </w:rPr>
        <w:t>响应</w:t>
      </w:r>
      <w:r>
        <w:rPr>
          <w:rFonts w:hint="eastAsia" w:ascii="仿宋" w:hAnsi="仿宋" w:eastAsia="仿宋" w:cs="宋体"/>
          <w:sz w:val="24"/>
          <w:szCs w:val="24"/>
          <w:highlight w:val="none"/>
        </w:rPr>
        <w:t>；</w:t>
      </w:r>
    </w:p>
    <w:p w14:paraId="353578E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.14响应文件中的非中文数据或资料未提供其中文译文，磋商小组无法评判的；</w:t>
      </w:r>
    </w:p>
    <w:p w14:paraId="644DBFE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.15供应商提供的服务各项标准低于国家强制性标准的；</w:t>
      </w:r>
    </w:p>
    <w:p w14:paraId="4D89C9F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.16同一供应商提交两个以上不同的响应文件或者响应报价的，但磋商文件要求提交备选响应方案的除外；</w:t>
      </w:r>
    </w:p>
    <w:p w14:paraId="62E027F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.17磋商小组要求澄清的事项，供应商在规定时限内未做出解释，作出的解释不合理或不能提供证明材料的；</w:t>
      </w:r>
    </w:p>
    <w:p w14:paraId="7E5CCD4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.18响应文件未对服务期限、服务地点等做出实质性响应的；</w:t>
      </w:r>
    </w:p>
    <w:p w14:paraId="6ADA223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.19供应商在评审过程中所进行的试图影响评审结果的一切不符合法律或磋商规定的活动；</w:t>
      </w:r>
    </w:p>
    <w:p w14:paraId="68CDC785">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.20供应商相互串通参与磋商、弄虚作假的；</w:t>
      </w:r>
    </w:p>
    <w:p w14:paraId="6187C4D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.21响应文件含有采购人不能接受的附加条件的；</w:t>
      </w:r>
    </w:p>
    <w:p w14:paraId="31E475F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.22法律、法规和磋商文件规定的其他无效情形；</w:t>
      </w:r>
    </w:p>
    <w:p w14:paraId="10E25144">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5</w:t>
      </w:r>
      <w:r>
        <w:rPr>
          <w:rFonts w:hint="eastAsia" w:ascii="仿宋" w:hAnsi="仿宋" w:eastAsia="仿宋" w:cs="宋体"/>
          <w:b/>
          <w:sz w:val="24"/>
          <w:szCs w:val="24"/>
          <w:highlight w:val="none"/>
          <w:shd w:val="clear" w:color="auto" w:fill="FFFFFF"/>
        </w:rPr>
        <w:t>.有下列情形之一的，应予废标：</w:t>
      </w:r>
    </w:p>
    <w:p w14:paraId="04E62B21">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.1采购人提供的《采购需求》错误的；</w:t>
      </w:r>
    </w:p>
    <w:p w14:paraId="67A0D438">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.2出现影响采购公正的违法、违规行为的；</w:t>
      </w:r>
    </w:p>
    <w:p w14:paraId="6BAC2D3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.3供应商的报价均超过了采购预算，采购人不能支付的；</w:t>
      </w:r>
    </w:p>
    <w:p w14:paraId="7CC1F72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.4因重大变故，采购任务取消的。</w:t>
      </w:r>
    </w:p>
    <w:p w14:paraId="6FEE0E81">
      <w:pPr>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 xml:space="preserve"> (五) </w:t>
      </w:r>
      <w:r>
        <w:rPr>
          <w:rStyle w:val="43"/>
          <w:rFonts w:hint="eastAsia" w:ascii="仿宋" w:hAnsi="仿宋" w:eastAsia="仿宋" w:cs="宋体"/>
          <w:b/>
          <w:bCs/>
          <w:sz w:val="24"/>
          <w:szCs w:val="24"/>
          <w:highlight w:val="none"/>
          <w:lang w:val="zh-TW" w:eastAsia="zh-TW"/>
        </w:rPr>
        <w:t>响应文件的开启</w:t>
      </w:r>
    </w:p>
    <w:p w14:paraId="2D59BDBA">
      <w:pPr>
        <w:pStyle w:val="55"/>
        <w:keepNext w:val="0"/>
        <w:numPr>
          <w:ilvl w:val="0"/>
          <w:numId w:val="0"/>
        </w:numPr>
        <w:snapToGrid w:val="0"/>
        <w:spacing w:before="120" w:beforeLines="50" w:after="120" w:afterLines="50"/>
        <w:ind w:firstLine="482" w:firstLineChars="200"/>
        <w:jc w:val="left"/>
        <w:outlineLvl w:val="1"/>
        <w:rPr>
          <w:rFonts w:ascii="仿宋" w:hAnsi="仿宋" w:eastAsia="仿宋"/>
          <w:b/>
          <w:sz w:val="24"/>
          <w:szCs w:val="24"/>
          <w:highlight w:val="none"/>
          <w:shd w:val="clear" w:color="auto" w:fill="FFFFFF"/>
        </w:rPr>
      </w:pPr>
      <w:bookmarkStart w:id="26" w:name="_Toc104232617"/>
      <w:r>
        <w:rPr>
          <w:rFonts w:hint="eastAsia" w:ascii="仿宋" w:hAnsi="仿宋" w:eastAsia="仿宋"/>
          <w:b/>
          <w:sz w:val="24"/>
          <w:szCs w:val="24"/>
          <w:highlight w:val="none"/>
          <w:shd w:val="clear" w:color="auto" w:fill="FFFFFF"/>
        </w:rPr>
        <w:t>2</w:t>
      </w:r>
      <w:r>
        <w:rPr>
          <w:rFonts w:hint="eastAsia" w:ascii="仿宋" w:hAnsi="仿宋" w:eastAsia="仿宋"/>
          <w:b/>
          <w:sz w:val="24"/>
          <w:szCs w:val="24"/>
          <w:highlight w:val="none"/>
          <w:shd w:val="clear" w:color="auto" w:fill="FFFFFF"/>
          <w:lang w:val="en-US" w:eastAsia="zh-CN"/>
        </w:rPr>
        <w:t>6</w:t>
      </w:r>
      <w:r>
        <w:rPr>
          <w:rFonts w:hint="eastAsia" w:ascii="仿宋" w:hAnsi="仿宋" w:eastAsia="仿宋"/>
          <w:b/>
          <w:sz w:val="24"/>
          <w:szCs w:val="24"/>
          <w:highlight w:val="none"/>
          <w:shd w:val="clear" w:color="auto" w:fill="FFFFFF"/>
        </w:rPr>
        <w:t>.响应文件的开启</w:t>
      </w:r>
      <w:bookmarkEnd w:id="26"/>
    </w:p>
    <w:p w14:paraId="6FBC1F78">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lang w:val="en-US" w:eastAsia="zh-CN"/>
        </w:rPr>
        <w:t>26</w:t>
      </w:r>
      <w:r>
        <w:rPr>
          <w:rFonts w:hint="eastAsia" w:ascii="仿宋" w:hAnsi="仿宋" w:eastAsia="仿宋" w:cs="宋体"/>
          <w:sz w:val="24"/>
          <w:szCs w:val="24"/>
          <w:highlight w:val="none"/>
        </w:rPr>
        <w:t>.1代理机构按磋商文件规定的响应文件开启时间、地点主持磋商文件开启会议。磋商活动现场进行全程录音录像，录音录像应当清晰可辨，音像资料作为采购文件一并存档。</w:t>
      </w:r>
    </w:p>
    <w:p w14:paraId="1526A353">
      <w:pPr>
        <w:spacing w:line="360" w:lineRule="auto"/>
        <w:ind w:firstLine="480" w:firstLineChars="200"/>
        <w:rPr>
          <w:rFonts w:hint="eastAsia" w:ascii="仿宋" w:hAnsi="仿宋" w:eastAsia="仿宋" w:cs="宋体"/>
          <w:sz w:val="24"/>
          <w:szCs w:val="24"/>
          <w:highlight w:val="none"/>
        </w:rPr>
      </w:pPr>
      <w:bookmarkStart w:id="27" w:name="_Toc4318"/>
      <w:bookmarkStart w:id="28" w:name="_Toc16870"/>
      <w:bookmarkStart w:id="29" w:name="_Toc2721"/>
      <w:bookmarkStart w:id="30" w:name="_Toc1338"/>
      <w:r>
        <w:rPr>
          <w:rFonts w:hint="eastAsia" w:ascii="仿宋" w:hAnsi="仿宋" w:eastAsia="仿宋" w:cs="宋体"/>
          <w:sz w:val="24"/>
          <w:szCs w:val="24"/>
          <w:highlight w:val="none"/>
          <w:lang w:val="en-US" w:eastAsia="zh-CN"/>
        </w:rPr>
        <w:t>26</w:t>
      </w: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2</w:t>
      </w:r>
      <w:r>
        <w:rPr>
          <w:rFonts w:hint="eastAsia" w:ascii="仿宋" w:hAnsi="仿宋" w:eastAsia="仿宋" w:cs="宋体"/>
          <w:sz w:val="24"/>
          <w:szCs w:val="24"/>
          <w:highlight w:val="none"/>
        </w:rPr>
        <w:t>供应商未参加开启活动的，视同认可开启结果。</w:t>
      </w:r>
      <w:bookmarkEnd w:id="27"/>
      <w:bookmarkEnd w:id="28"/>
      <w:bookmarkEnd w:id="29"/>
      <w:bookmarkEnd w:id="30"/>
    </w:p>
    <w:p w14:paraId="150A930C">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.3</w:t>
      </w:r>
      <w:r>
        <w:rPr>
          <w:rFonts w:ascii="仿宋" w:hAnsi="仿宋" w:eastAsia="仿宋" w:cs="宋体"/>
          <w:sz w:val="24"/>
          <w:szCs w:val="24"/>
          <w:highlight w:val="none"/>
        </w:rPr>
        <w:t>磋商小组成员和参与采购人代表不得参加磋商会议开启活动。</w:t>
      </w:r>
    </w:p>
    <w:p w14:paraId="2C05E44E">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.4</w:t>
      </w:r>
      <w:r>
        <w:rPr>
          <w:rFonts w:ascii="仿宋" w:hAnsi="仿宋" w:eastAsia="仿宋" w:cs="宋体"/>
          <w:sz w:val="24"/>
          <w:szCs w:val="24"/>
          <w:highlight w:val="none"/>
        </w:rPr>
        <w:t>采购代理机构在响应文件</w:t>
      </w:r>
      <w:r>
        <w:rPr>
          <w:rFonts w:hint="eastAsia" w:ascii="仿宋" w:hAnsi="仿宋" w:eastAsia="仿宋" w:cs="宋体"/>
          <w:sz w:val="24"/>
          <w:szCs w:val="24"/>
          <w:highlight w:val="none"/>
        </w:rPr>
        <w:t>开启时间</w:t>
      </w:r>
      <w:r>
        <w:rPr>
          <w:rFonts w:ascii="仿宋" w:hAnsi="仿宋" w:eastAsia="仿宋" w:cs="宋体"/>
          <w:sz w:val="24"/>
          <w:szCs w:val="24"/>
          <w:highlight w:val="none"/>
        </w:rPr>
        <w:t>，发出</w:t>
      </w:r>
      <w:r>
        <w:rPr>
          <w:rFonts w:hint="eastAsia" w:ascii="仿宋" w:hAnsi="仿宋" w:eastAsia="仿宋" w:cs="宋体"/>
          <w:sz w:val="24"/>
          <w:szCs w:val="24"/>
          <w:highlight w:val="none"/>
        </w:rPr>
        <w:t>响应文件</w:t>
      </w:r>
      <w:r>
        <w:rPr>
          <w:rFonts w:ascii="仿宋" w:hAnsi="仿宋" w:eastAsia="仿宋" w:cs="宋体"/>
          <w:sz w:val="24"/>
          <w:szCs w:val="24"/>
          <w:highlight w:val="none"/>
        </w:rPr>
        <w:t>解密指令</w:t>
      </w:r>
      <w:r>
        <w:rPr>
          <w:rFonts w:hint="eastAsia" w:ascii="仿宋" w:hAnsi="仿宋" w:eastAsia="仿宋" w:cs="宋体"/>
          <w:sz w:val="24"/>
          <w:szCs w:val="24"/>
          <w:highlight w:val="none"/>
        </w:rPr>
        <w:t>。</w:t>
      </w:r>
    </w:p>
    <w:p w14:paraId="47A10C08">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.5</w:t>
      </w:r>
      <w:r>
        <w:rPr>
          <w:rFonts w:ascii="仿宋" w:hAnsi="仿宋" w:eastAsia="仿宋" w:cs="宋体"/>
          <w:sz w:val="24"/>
          <w:szCs w:val="24"/>
          <w:highlight w:val="none"/>
        </w:rPr>
        <w:t>本项目实行密封报价，不进行公开唱标。</w:t>
      </w:r>
    </w:p>
    <w:p w14:paraId="7605A9D7">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.6</w:t>
      </w:r>
      <w:r>
        <w:rPr>
          <w:rFonts w:ascii="仿宋" w:hAnsi="仿宋" w:eastAsia="仿宋" w:cs="宋体"/>
          <w:sz w:val="24"/>
          <w:szCs w:val="24"/>
          <w:highlight w:val="none"/>
        </w:rPr>
        <w:t>开启过程，采购人、采购代理机构相关工作人员有需要回避的情形的，</w:t>
      </w:r>
      <w:r>
        <w:rPr>
          <w:rFonts w:hint="eastAsia" w:ascii="仿宋" w:hAnsi="仿宋" w:eastAsia="仿宋" w:cs="宋体"/>
          <w:sz w:val="24"/>
          <w:szCs w:val="24"/>
          <w:highlight w:val="none"/>
        </w:rPr>
        <w:t>应主动提出回避</w:t>
      </w:r>
      <w:r>
        <w:rPr>
          <w:rFonts w:ascii="仿宋" w:hAnsi="仿宋" w:eastAsia="仿宋" w:cs="宋体"/>
          <w:sz w:val="24"/>
          <w:szCs w:val="24"/>
          <w:highlight w:val="none"/>
        </w:rPr>
        <w:t>。</w:t>
      </w:r>
    </w:p>
    <w:p w14:paraId="20619CBC">
      <w:pPr>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(六) 磋商</w:t>
      </w:r>
    </w:p>
    <w:p w14:paraId="22CA9E18">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7</w:t>
      </w:r>
      <w:r>
        <w:rPr>
          <w:rFonts w:hint="eastAsia" w:ascii="仿宋" w:hAnsi="仿宋" w:eastAsia="仿宋" w:cs="宋体"/>
          <w:b/>
          <w:sz w:val="24"/>
          <w:szCs w:val="24"/>
          <w:highlight w:val="none"/>
          <w:shd w:val="clear" w:color="auto" w:fill="FFFFFF"/>
        </w:rPr>
        <w:t>.组建磋商小组</w:t>
      </w:r>
    </w:p>
    <w:p w14:paraId="6AFA0753">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将根据有关法律法规和本磋商文件的规定，结合本项目的特点组建磋商小组，对磋商响应文件进行评估和比较。磋商小组评审专家从政府采购评审专家库随机抽取。由采购人代表和评审专家共3人组成，其中评审专家人数不得少于磋商小组总成员的三分之二。对所有参加磋商的供应商的响应文件，按照磋商文件要求进行资格性和符合性审查，并对3家及以上实质性响应磋商文件要求的供应商，按照磋商文件规定的磋商程序，与供应商分别进行磋商。</w:t>
      </w:r>
    </w:p>
    <w:p w14:paraId="37E08C42">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.2磋商小组的组成人员</w:t>
      </w:r>
      <w:r>
        <w:rPr>
          <w:rFonts w:hint="eastAsia" w:ascii="仿宋" w:hAnsi="仿宋" w:eastAsia="仿宋" w:cs="宋体"/>
          <w:sz w:val="24"/>
          <w:szCs w:val="24"/>
          <w:highlight w:val="none"/>
        </w:rPr>
        <w:t>为采购人或采购代理机构就磋商文件征询过意见的专家，不得参加本项目评审。</w:t>
      </w:r>
    </w:p>
    <w:p w14:paraId="097E2C5F">
      <w:pPr>
        <w:spacing w:line="360" w:lineRule="auto"/>
        <w:ind w:left="538" w:leftChars="256"/>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7</w:t>
      </w:r>
      <w:r>
        <w:rPr>
          <w:rFonts w:hint="eastAsia" w:ascii="仿宋" w:hAnsi="仿宋" w:eastAsia="仿宋" w:cs="宋体"/>
          <w:sz w:val="24"/>
          <w:szCs w:val="24"/>
          <w:highlight w:val="none"/>
        </w:rPr>
        <w:t>.3</w:t>
      </w:r>
      <w:r>
        <w:rPr>
          <w:rFonts w:hint="eastAsia" w:ascii="仿宋" w:hAnsi="仿宋" w:eastAsia="仿宋" w:cs="宋体"/>
          <w:sz w:val="24"/>
          <w:szCs w:val="24"/>
          <w:highlight w:val="none"/>
          <w:shd w:val="clear" w:color="auto" w:fill="FFFFFF"/>
        </w:rPr>
        <w:t>磋商小组的组成人员</w:t>
      </w:r>
      <w:r>
        <w:rPr>
          <w:rFonts w:hint="eastAsia" w:ascii="仿宋" w:hAnsi="仿宋" w:eastAsia="仿宋" w:cs="宋体"/>
          <w:sz w:val="24"/>
          <w:szCs w:val="24"/>
          <w:highlight w:val="none"/>
        </w:rPr>
        <w:t>与供应商有下列利害关系之一的，应当回避：</w:t>
      </w:r>
    </w:p>
    <w:p w14:paraId="5A6ACCB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（1）参加采购活动前3年内与供应商存在劳动关系；</w:t>
      </w:r>
    </w:p>
    <w:p w14:paraId="0FA33AB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（2）参加采购活动前3年内担任供应商的董事、监事；</w:t>
      </w:r>
    </w:p>
    <w:p w14:paraId="343D3B9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（3）参加采购活动前3年内是供应商的控股股东或者实际控制人；</w:t>
      </w:r>
    </w:p>
    <w:p w14:paraId="65753C5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（4）与供应商的法定代表人或者负责人有夫妻、直系血亲、三代以内旁系血亲或者近姻亲关系；</w:t>
      </w:r>
    </w:p>
    <w:p w14:paraId="7498F55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（5）与供应商有其他可能影响政府采购活动公平、公正进行的关系。</w:t>
      </w:r>
    </w:p>
    <w:p w14:paraId="15050424">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.4</w:t>
      </w:r>
      <w:r>
        <w:rPr>
          <w:rFonts w:ascii="仿宋" w:hAnsi="仿宋" w:eastAsia="仿宋" w:cs="宋体"/>
          <w:sz w:val="24"/>
          <w:szCs w:val="24"/>
          <w:highlight w:val="none"/>
          <w:shd w:val="clear" w:color="auto" w:fill="FFFFFF"/>
        </w:rPr>
        <w:t>评审专家由采购代理机构从山西省政府采购评审专家库中，通过随机抽取方式产生。对技术复杂、专业性强的采购项目，通过随机方式难以确定合适评审专家的，经主管预算单位同意，采购人可以自行选定相应专业领域的评审专家。</w:t>
      </w:r>
    </w:p>
    <w:p w14:paraId="5EE0D01B">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.5</w:t>
      </w:r>
      <w:r>
        <w:rPr>
          <w:rFonts w:ascii="仿宋" w:hAnsi="仿宋" w:eastAsia="仿宋" w:cs="宋体"/>
          <w:sz w:val="24"/>
          <w:szCs w:val="24"/>
          <w:highlight w:val="none"/>
          <w:shd w:val="clear" w:color="auto" w:fill="FFFFFF"/>
        </w:rPr>
        <w:t>磋商中因评审专家缺席、回避或者健康等特殊原因，导致磋商小组成员组成不符合相关规定的，代理机构应当补足后继续磋商。被更换的磋商小组成员所做出的磋商意见无效。</w:t>
      </w:r>
    </w:p>
    <w:p w14:paraId="3AF6D7F1">
      <w:pPr>
        <w:tabs>
          <w:tab w:val="left" w:pos="567"/>
        </w:tabs>
        <w:snapToGrid w:val="0"/>
        <w:spacing w:line="360" w:lineRule="auto"/>
        <w:ind w:firstLine="480" w:firstLineChars="200"/>
        <w:jc w:val="left"/>
        <w:rPr>
          <w:rFonts w:eastAsia="仿宋"/>
          <w:sz w:val="20"/>
          <w:szCs w:val="22"/>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.6</w:t>
      </w:r>
      <w:r>
        <w:rPr>
          <w:rFonts w:ascii="仿宋" w:hAnsi="仿宋" w:eastAsia="仿宋" w:cs="宋体"/>
          <w:sz w:val="24"/>
          <w:szCs w:val="24"/>
          <w:highlight w:val="none"/>
          <w:shd w:val="clear" w:color="auto" w:fill="FFFFFF"/>
        </w:rPr>
        <w:t>代理机构应当将变更、重新组建磋商小组的情况予以记录，并随磋商文件一并存档。</w:t>
      </w:r>
    </w:p>
    <w:p w14:paraId="62D882D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w:t>
      </w:r>
      <w:r>
        <w:rPr>
          <w:rFonts w:hint="eastAsia" w:ascii="仿宋" w:hAnsi="仿宋" w:eastAsia="仿宋" w:cs="宋体"/>
          <w:b/>
          <w:sz w:val="24"/>
          <w:szCs w:val="24"/>
          <w:highlight w:val="none"/>
          <w:lang w:val="en-US" w:eastAsia="zh-CN"/>
        </w:rPr>
        <w:t>8</w:t>
      </w:r>
      <w:r>
        <w:rPr>
          <w:rFonts w:hint="eastAsia" w:ascii="仿宋" w:hAnsi="仿宋" w:eastAsia="仿宋" w:cs="宋体"/>
          <w:b/>
          <w:sz w:val="24"/>
          <w:szCs w:val="24"/>
          <w:highlight w:val="none"/>
        </w:rPr>
        <w:t>.磋商小组职责</w:t>
      </w:r>
    </w:p>
    <w:p w14:paraId="15C3F221">
      <w:pPr>
        <w:spacing w:line="360" w:lineRule="auto"/>
        <w:ind w:firstLine="47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.1磋商小组按照客观、公正、审慎的原则，依据磋商文件规定对供应商进行资格审查、符合性审查，并按照评审程序、评审方法及评审标准进行独立评审。</w:t>
      </w:r>
    </w:p>
    <w:p w14:paraId="6FD8CBDA">
      <w:pPr>
        <w:spacing w:line="360" w:lineRule="auto"/>
        <w:ind w:firstLine="47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.2磋商小组对需要共同认定的事项存在争议的，按照“少数服从多数”的原则做出结论。</w:t>
      </w:r>
    </w:p>
    <w:p w14:paraId="55851316">
      <w:pPr>
        <w:spacing w:line="360" w:lineRule="auto"/>
        <w:ind w:firstLine="480" w:firstLineChars="200"/>
        <w:rPr>
          <w:rStyle w:val="43"/>
          <w:rFonts w:ascii="仿宋" w:hAnsi="仿宋" w:eastAsia="仿宋" w:cs="宋体"/>
          <w:sz w:val="24"/>
          <w:szCs w:val="24"/>
          <w:highlight w:val="none"/>
          <w:lang w:val="zh-TW" w:eastAsia="zh-TW"/>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.3确定成交候选人名单，以及根据采购人委托直接确定成交供应商。</w:t>
      </w:r>
    </w:p>
    <w:p w14:paraId="122A1042">
      <w:pPr>
        <w:spacing w:line="360" w:lineRule="auto"/>
        <w:ind w:firstLine="200"/>
        <w:jc w:val="center"/>
        <w:rPr>
          <w:rFonts w:ascii="仿宋" w:hAnsi="仿宋" w:eastAsia="仿宋" w:cs="宋体"/>
          <w:b/>
          <w:sz w:val="24"/>
          <w:szCs w:val="24"/>
          <w:highlight w:val="none"/>
        </w:rPr>
      </w:pPr>
      <w:r>
        <w:rPr>
          <w:rFonts w:hint="eastAsia" w:ascii="仿宋" w:hAnsi="仿宋" w:eastAsia="仿宋" w:cs="宋体"/>
          <w:b/>
          <w:sz w:val="24"/>
          <w:szCs w:val="24"/>
          <w:highlight w:val="none"/>
        </w:rPr>
        <w:t>(七) 签订合同</w:t>
      </w:r>
    </w:p>
    <w:p w14:paraId="78008D4C">
      <w:pPr>
        <w:spacing w:line="360" w:lineRule="auto"/>
        <w:ind w:firstLine="482" w:firstLineChars="200"/>
        <w:rPr>
          <w:rFonts w:ascii="仿宋" w:hAnsi="仿宋" w:eastAsia="仿宋" w:cs="宋体"/>
          <w:sz w:val="24"/>
          <w:szCs w:val="24"/>
          <w:highlight w:val="none"/>
        </w:rPr>
      </w:pPr>
      <w:r>
        <w:rPr>
          <w:rFonts w:hint="eastAsia" w:ascii="仿宋" w:hAnsi="仿宋" w:eastAsia="仿宋" w:cs="宋体"/>
          <w:b/>
          <w:sz w:val="24"/>
          <w:szCs w:val="24"/>
          <w:highlight w:val="none"/>
          <w:lang w:val="en-US" w:eastAsia="zh-CN"/>
        </w:rPr>
        <w:t>29</w:t>
      </w:r>
      <w:r>
        <w:rPr>
          <w:rFonts w:hint="eastAsia" w:ascii="仿宋" w:hAnsi="仿宋" w:eastAsia="仿宋" w:cs="宋体"/>
          <w:b/>
          <w:sz w:val="24"/>
          <w:szCs w:val="24"/>
          <w:highlight w:val="none"/>
        </w:rPr>
        <w:t>.</w:t>
      </w:r>
      <w:r>
        <w:rPr>
          <w:rFonts w:hint="eastAsia" w:ascii="仿宋" w:hAnsi="仿宋" w:eastAsia="仿宋" w:cs="宋体"/>
          <w:b/>
          <w:bCs/>
          <w:sz w:val="24"/>
          <w:szCs w:val="24"/>
          <w:highlight w:val="none"/>
        </w:rPr>
        <w:t>成交通知</w:t>
      </w:r>
    </w:p>
    <w:p w14:paraId="40D2C31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.1采购代理机构在成交供应商确定之日起2个工作日内，在《山西政府采购网》上发布《成交结果公告》，并向成交供应商发出《成交通知书》。</w:t>
      </w:r>
    </w:p>
    <w:p w14:paraId="05DFF753">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.2成交通知书对采购人和成交供应商具有同等法律效力。成交通知书发出以后，采购人改变成交结果或成交供应商放弃成交，应当承担相应的法律责任，出现争议的，报财政部门处理。</w:t>
      </w:r>
    </w:p>
    <w:p w14:paraId="63A7DD5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.3采购人或采购代理机构对未成交的供应商不作未成交原因的解释。</w:t>
      </w:r>
    </w:p>
    <w:p w14:paraId="7B6C053B">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0</w:t>
      </w:r>
      <w:r>
        <w:rPr>
          <w:rFonts w:hint="eastAsia" w:ascii="仿宋" w:hAnsi="仿宋" w:eastAsia="仿宋" w:cs="宋体"/>
          <w:b/>
          <w:sz w:val="24"/>
          <w:szCs w:val="24"/>
          <w:highlight w:val="none"/>
          <w:shd w:val="clear" w:color="auto" w:fill="FFFFFF"/>
        </w:rPr>
        <w:t>.履约保证金</w:t>
      </w:r>
    </w:p>
    <w:p w14:paraId="49655CC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.1成交供应商应按照采购人或采购代理机构的要求于签订采购合同前，足额缴纳履约保证金。</w:t>
      </w:r>
    </w:p>
    <w:p w14:paraId="369C763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.2成交供应商不按照采购人或采购代理机构要求提交履约保证金的，取消其成交资格。</w:t>
      </w:r>
    </w:p>
    <w:p w14:paraId="2C947B8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.3当成交供应商全面完成采购合同事项并验收合格后，采购人或采购代理机构如数退还</w:t>
      </w:r>
      <w:r>
        <w:rPr>
          <w:rFonts w:hint="eastAsia" w:ascii="仿宋" w:hAnsi="仿宋" w:eastAsia="仿宋" w:cs="宋体"/>
          <w:sz w:val="24"/>
          <w:szCs w:val="24"/>
          <w:highlight w:val="none"/>
        </w:rPr>
        <w:t>履约保证金</w:t>
      </w:r>
      <w:r>
        <w:rPr>
          <w:rFonts w:hint="eastAsia" w:ascii="仿宋" w:hAnsi="仿宋" w:eastAsia="仿宋" w:cs="宋体"/>
          <w:sz w:val="24"/>
          <w:szCs w:val="24"/>
          <w:highlight w:val="none"/>
          <w:shd w:val="clear" w:color="auto" w:fill="FFFFFF"/>
        </w:rPr>
        <w:t>（不计利息）。</w:t>
      </w:r>
    </w:p>
    <w:p w14:paraId="14A9C660">
      <w:pPr>
        <w:spacing w:line="360" w:lineRule="auto"/>
        <w:ind w:firstLine="480" w:firstLineChars="200"/>
        <w:rPr>
          <w:rStyle w:val="43"/>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.4如果成交供应商未按双方签订合同事项履约，则没收其全部履约保证金；给采购人造成的损失超过履约保证金数额的，还应当对超过部分予以赔偿。</w:t>
      </w:r>
    </w:p>
    <w:p w14:paraId="6EAEC29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3</w:t>
      </w:r>
      <w:r>
        <w:rPr>
          <w:rFonts w:hint="eastAsia" w:ascii="仿宋" w:hAnsi="仿宋" w:eastAsia="仿宋" w:cs="宋体"/>
          <w:b/>
          <w:sz w:val="24"/>
          <w:szCs w:val="24"/>
          <w:highlight w:val="none"/>
          <w:lang w:val="en-US" w:eastAsia="zh-CN"/>
        </w:rPr>
        <w:t>1</w:t>
      </w:r>
      <w:r>
        <w:rPr>
          <w:rFonts w:hint="eastAsia" w:ascii="仿宋" w:hAnsi="仿宋" w:eastAsia="仿宋" w:cs="宋体"/>
          <w:b/>
          <w:sz w:val="24"/>
          <w:szCs w:val="24"/>
          <w:highlight w:val="none"/>
        </w:rPr>
        <w:t>.签订合同</w:t>
      </w:r>
    </w:p>
    <w:p w14:paraId="1AC4DF3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hint="eastAsia" w:ascii="仿宋" w:hAnsi="仿宋" w:eastAsia="仿宋" w:cs="宋体"/>
          <w:sz w:val="24"/>
          <w:szCs w:val="24"/>
          <w:highlight w:val="none"/>
          <w:shd w:val="clear" w:color="auto" w:fill="FFFFFF"/>
        </w:rPr>
        <w:t>.1</w:t>
      </w:r>
      <w:r>
        <w:rPr>
          <w:rFonts w:ascii="仿宋" w:hAnsi="仿宋" w:eastAsia="仿宋" w:cs="宋体"/>
          <w:sz w:val="24"/>
          <w:szCs w:val="24"/>
          <w:highlight w:val="none"/>
          <w:shd w:val="clear" w:color="auto" w:fill="FFFFFF"/>
        </w:rPr>
        <w:t>代理机构或采购方应当在成交供应商确定后2个工作日内，在中国政府采购网山西分网发布成交结果，同时向成交供应商发出成交通知书，并将磋商文件随成交结果同时公告。成交结果公告应当包括：</w:t>
      </w:r>
    </w:p>
    <w:p w14:paraId="0BA6EB84">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1</w:t>
      </w:r>
      <w:r>
        <w:rPr>
          <w:rFonts w:ascii="仿宋" w:hAnsi="仿宋" w:eastAsia="仿宋" w:cs="宋体"/>
          <w:sz w:val="24"/>
          <w:szCs w:val="24"/>
          <w:highlight w:val="none"/>
          <w:shd w:val="clear" w:color="auto" w:fill="FFFFFF"/>
        </w:rPr>
        <w:t>）采购方和代理机构的名称、地址和联系方式；</w:t>
      </w:r>
    </w:p>
    <w:p w14:paraId="23328B60">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2</w:t>
      </w:r>
      <w:r>
        <w:rPr>
          <w:rFonts w:ascii="仿宋" w:hAnsi="仿宋" w:eastAsia="仿宋" w:cs="宋体"/>
          <w:sz w:val="24"/>
          <w:szCs w:val="24"/>
          <w:highlight w:val="none"/>
          <w:shd w:val="clear" w:color="auto" w:fill="FFFFFF"/>
        </w:rPr>
        <w:t>）项目名称和项目编号；</w:t>
      </w:r>
    </w:p>
    <w:p w14:paraId="34220FCA">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3</w:t>
      </w:r>
      <w:r>
        <w:rPr>
          <w:rFonts w:ascii="仿宋" w:hAnsi="仿宋" w:eastAsia="仿宋" w:cs="宋体"/>
          <w:sz w:val="24"/>
          <w:szCs w:val="24"/>
          <w:highlight w:val="none"/>
          <w:shd w:val="clear" w:color="auto" w:fill="FFFFFF"/>
        </w:rPr>
        <w:t>）成交供应商名称、地址和成交金额；</w:t>
      </w:r>
    </w:p>
    <w:p w14:paraId="1286CAC8">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4</w:t>
      </w:r>
      <w:r>
        <w:rPr>
          <w:rFonts w:ascii="仿宋" w:hAnsi="仿宋" w:eastAsia="仿宋" w:cs="宋体"/>
          <w:sz w:val="24"/>
          <w:szCs w:val="24"/>
          <w:highlight w:val="none"/>
          <w:shd w:val="clear" w:color="auto" w:fill="FFFFFF"/>
        </w:rPr>
        <w:t>）主要成交标的的名称、规格型号、数量、单价、服务要求；</w:t>
      </w:r>
    </w:p>
    <w:p w14:paraId="100268F3">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5</w:t>
      </w:r>
      <w:r>
        <w:rPr>
          <w:rFonts w:ascii="仿宋" w:hAnsi="仿宋" w:eastAsia="仿宋" w:cs="宋体"/>
          <w:sz w:val="24"/>
          <w:szCs w:val="24"/>
          <w:highlight w:val="none"/>
          <w:shd w:val="clear" w:color="auto" w:fill="FFFFFF"/>
        </w:rPr>
        <w:t>）磋商小组成员名单。</w:t>
      </w:r>
    </w:p>
    <w:p w14:paraId="1C5C8014">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.2代理机构对未成交的供应商不做未成交原因的解释。</w:t>
      </w:r>
    </w:p>
    <w:p w14:paraId="214B4F70">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.3成交通知书对采购方和成交供应商具有同等法律效力，是合同的组成部分。</w:t>
      </w:r>
    </w:p>
    <w:p w14:paraId="306606EE">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.4除不可抗力等因素外，成交通知书发出后，采购方改变成交结果，或者成交供应商拒绝签订合同的，应当承担相应的责任。</w:t>
      </w:r>
    </w:p>
    <w:p w14:paraId="0D0C616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.5成交供应商拒绝签订合同的，采购方可以确定其他供应商作为成交供应商，并签订合同；也可以重新开展磋商活动。拒绝签订合同的成交供应商不得参加对该项目重新开展的磋商活动。</w:t>
      </w:r>
    </w:p>
    <w:p w14:paraId="1CD7430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hint="eastAsia" w:ascii="仿宋" w:hAnsi="仿宋" w:eastAsia="仿宋" w:cs="宋体"/>
          <w:sz w:val="24"/>
          <w:szCs w:val="24"/>
          <w:highlight w:val="none"/>
          <w:shd w:val="clear" w:color="auto" w:fill="FFFFFF"/>
        </w:rPr>
        <w:t>.6磋商文件、磋商文件的澄清及修改、成交供应商的响应文件、成交供应商在评审过程当中的答复澄清事项等均为此次采购合同附件，并具有法律效力。</w:t>
      </w:r>
    </w:p>
    <w:p w14:paraId="1A180D0B">
      <w:pPr>
        <w:spacing w:line="360" w:lineRule="auto"/>
        <w:ind w:firstLine="480" w:firstLineChars="200"/>
        <w:rPr>
          <w:sz w:val="20"/>
          <w:szCs w:val="22"/>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.7成交供应商不得再与采购人签订背离合同实质性内容的其他协议或声明。</w:t>
      </w:r>
    </w:p>
    <w:p w14:paraId="3DA974B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8成交供应商应在接到成交通知书10日内与采购人签订书面合同，最长不得超过30日。所签订的合同不得对磋商文件确定的事项和成交供应商响应文件作实质性修改。采购人不得向成交供应商提出任何不合理的要求作为签订合同的条件。</w:t>
      </w:r>
    </w:p>
    <w:p w14:paraId="42E093CC">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.9</w:t>
      </w:r>
      <w:r>
        <w:rPr>
          <w:rFonts w:ascii="仿宋" w:hAnsi="仿宋" w:eastAsia="仿宋" w:cs="宋体"/>
          <w:sz w:val="24"/>
          <w:szCs w:val="24"/>
          <w:highlight w:val="none"/>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0C5D94B5">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.10</w:t>
      </w:r>
      <w:r>
        <w:rPr>
          <w:rFonts w:ascii="仿宋" w:hAnsi="仿宋" w:eastAsia="仿宋" w:cs="宋体"/>
          <w:sz w:val="24"/>
          <w:szCs w:val="24"/>
          <w:highlight w:val="none"/>
        </w:rPr>
        <w:t>采购方与成交供应商应当根据合同约定依法履行合同义务，否则，应承担赔偿责任。</w:t>
      </w:r>
    </w:p>
    <w:p w14:paraId="50985DE3">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.11</w:t>
      </w:r>
      <w:r>
        <w:rPr>
          <w:rFonts w:ascii="仿宋" w:hAnsi="仿宋" w:eastAsia="仿宋" w:cs="宋体"/>
          <w:sz w:val="24"/>
          <w:szCs w:val="24"/>
          <w:highlight w:val="none"/>
        </w:rPr>
        <w:t>成交供应商应当自合同或补充合同签订之日起五个工作日内将合同报代理机构备案。</w:t>
      </w:r>
    </w:p>
    <w:p w14:paraId="31468F1D">
      <w:pPr>
        <w:pStyle w:val="22"/>
        <w:spacing w:line="360" w:lineRule="auto"/>
        <w:ind w:firstLine="482" w:firstLineChars="200"/>
        <w:rPr>
          <w:rFonts w:ascii="仿宋" w:hAnsi="仿宋" w:eastAsia="仿宋" w:cs="宋体"/>
          <w:b/>
          <w:kern w:val="2"/>
          <w:sz w:val="24"/>
          <w:szCs w:val="24"/>
          <w:highlight w:val="none"/>
          <w:shd w:val="clear" w:color="auto" w:fill="FFFFFF"/>
        </w:rPr>
      </w:pPr>
      <w:r>
        <w:rPr>
          <w:rFonts w:hint="eastAsia" w:ascii="仿宋" w:hAnsi="仿宋" w:eastAsia="仿宋" w:cs="宋体"/>
          <w:b/>
          <w:kern w:val="2"/>
          <w:sz w:val="24"/>
          <w:szCs w:val="24"/>
          <w:highlight w:val="none"/>
          <w:shd w:val="clear" w:color="auto" w:fill="FFFFFF"/>
        </w:rPr>
        <w:t>3</w:t>
      </w:r>
      <w:r>
        <w:rPr>
          <w:rFonts w:hint="eastAsia" w:ascii="仿宋" w:hAnsi="仿宋" w:eastAsia="仿宋" w:cs="宋体"/>
          <w:b/>
          <w:kern w:val="2"/>
          <w:sz w:val="24"/>
          <w:szCs w:val="24"/>
          <w:highlight w:val="none"/>
          <w:shd w:val="clear" w:color="auto" w:fill="FFFFFF"/>
          <w:lang w:val="en-US" w:eastAsia="zh-CN"/>
        </w:rPr>
        <w:t>2</w:t>
      </w:r>
      <w:r>
        <w:rPr>
          <w:rFonts w:hint="eastAsia" w:ascii="仿宋" w:hAnsi="仿宋" w:eastAsia="仿宋" w:cs="宋体"/>
          <w:b/>
          <w:kern w:val="2"/>
          <w:sz w:val="24"/>
          <w:szCs w:val="24"/>
          <w:highlight w:val="none"/>
          <w:shd w:val="clear" w:color="auto" w:fill="FFFFFF"/>
        </w:rPr>
        <w:t>.</w:t>
      </w:r>
      <w:r>
        <w:rPr>
          <w:rFonts w:ascii="仿宋" w:hAnsi="仿宋" w:eastAsia="仿宋" w:cs="宋体"/>
          <w:b/>
          <w:kern w:val="2"/>
          <w:sz w:val="24"/>
          <w:szCs w:val="24"/>
          <w:highlight w:val="none"/>
          <w:shd w:val="clear" w:color="auto" w:fill="FFFFFF"/>
        </w:rPr>
        <w:t>成交服务费</w:t>
      </w:r>
    </w:p>
    <w:p w14:paraId="1AC5164E">
      <w:pPr>
        <w:pStyle w:val="56"/>
        <w:spacing w:line="360" w:lineRule="auto"/>
        <w:ind w:firstLine="560"/>
        <w:jc w:val="left"/>
        <w:rPr>
          <w:rFonts w:ascii="仿宋" w:hAnsi="仿宋" w:eastAsia="仿宋" w:cs="宋体"/>
          <w:sz w:val="24"/>
          <w:szCs w:val="24"/>
          <w:highlight w:val="none"/>
        </w:rPr>
      </w:pPr>
      <w:r>
        <w:rPr>
          <w:rFonts w:ascii="仿宋" w:hAnsi="仿宋" w:eastAsia="仿宋" w:cs="宋体"/>
          <w:sz w:val="24"/>
          <w:szCs w:val="24"/>
          <w:highlight w:val="none"/>
        </w:rPr>
        <w:t>3</w:t>
      </w:r>
      <w:r>
        <w:rPr>
          <w:rFonts w:hint="eastAsia" w:ascii="仿宋" w:hAnsi="仿宋" w:eastAsia="仿宋" w:cs="宋体"/>
          <w:sz w:val="24"/>
          <w:szCs w:val="24"/>
          <w:highlight w:val="none"/>
          <w:lang w:val="en-US" w:eastAsia="zh-CN"/>
        </w:rPr>
        <w:t>2</w:t>
      </w:r>
      <w:r>
        <w:rPr>
          <w:rFonts w:ascii="仿宋" w:hAnsi="仿宋" w:eastAsia="仿宋" w:cs="宋体"/>
          <w:sz w:val="24"/>
          <w:szCs w:val="24"/>
          <w:highlight w:val="none"/>
        </w:rPr>
        <w:t>.1采购项目成交服务费由成交供应商缴纳，成交服务费</w:t>
      </w:r>
      <w:r>
        <w:rPr>
          <w:rFonts w:hint="eastAsia" w:ascii="仿宋" w:hAnsi="仿宋" w:eastAsia="仿宋" w:cs="宋体"/>
          <w:sz w:val="24"/>
          <w:szCs w:val="24"/>
          <w:highlight w:val="none"/>
        </w:rPr>
        <w:t>参照国家发展和改革委员会的《招标代理服务费收费标准》（计价格[2002]1980号文）和《国家发展改革委办公厅关于招标代理服务收费有关问题的通知》（发改办价格[2003]857号）及国家发展和改革委员会文件发改价格[2011]534号文件规定收取</w:t>
      </w:r>
      <w:r>
        <w:rPr>
          <w:rFonts w:ascii="仿宋" w:hAnsi="仿宋" w:eastAsia="仿宋" w:cs="宋体"/>
          <w:sz w:val="24"/>
          <w:szCs w:val="24"/>
          <w:highlight w:val="none"/>
        </w:rPr>
        <w:t>。</w:t>
      </w:r>
    </w:p>
    <w:p w14:paraId="68D50B88">
      <w:pPr>
        <w:pStyle w:val="56"/>
        <w:spacing w:line="360" w:lineRule="auto"/>
        <w:ind w:firstLine="560"/>
        <w:jc w:val="left"/>
        <w:rPr>
          <w:rFonts w:ascii="仿宋" w:hAnsi="仿宋" w:eastAsia="仿宋" w:cs="宋体"/>
          <w:sz w:val="24"/>
          <w:szCs w:val="24"/>
          <w:highlight w:val="none"/>
        </w:rPr>
      </w:pPr>
      <w:r>
        <w:rPr>
          <w:rFonts w:ascii="仿宋" w:hAnsi="仿宋" w:eastAsia="仿宋" w:cs="宋体"/>
          <w:sz w:val="24"/>
          <w:szCs w:val="24"/>
          <w:highlight w:val="none"/>
        </w:rPr>
        <w:t>请供应商在测算报价时充分考虑这一因素。</w:t>
      </w:r>
    </w:p>
    <w:p w14:paraId="1B35CC7B">
      <w:pPr>
        <w:pStyle w:val="56"/>
        <w:spacing w:line="360" w:lineRule="auto"/>
        <w:ind w:firstLine="560"/>
        <w:jc w:val="left"/>
        <w:rPr>
          <w:rFonts w:ascii="Times New Roman" w:hAnsi="Times New Roman"/>
          <w:b/>
          <w:sz w:val="20"/>
          <w:szCs w:val="20"/>
          <w:highlight w:val="none"/>
        </w:rPr>
      </w:pPr>
      <w:r>
        <w:rPr>
          <w:rFonts w:ascii="仿宋" w:hAnsi="仿宋" w:eastAsia="仿宋" w:cs="宋体"/>
          <w:sz w:val="24"/>
          <w:szCs w:val="24"/>
          <w:highlight w:val="none"/>
        </w:rPr>
        <w:t>3</w:t>
      </w:r>
      <w:r>
        <w:rPr>
          <w:rFonts w:hint="eastAsia" w:ascii="仿宋" w:hAnsi="仿宋" w:eastAsia="仿宋" w:cs="宋体"/>
          <w:sz w:val="24"/>
          <w:szCs w:val="24"/>
          <w:highlight w:val="none"/>
          <w:lang w:val="en-US" w:eastAsia="zh-CN"/>
        </w:rPr>
        <w:t>2</w:t>
      </w:r>
      <w:r>
        <w:rPr>
          <w:rFonts w:ascii="仿宋" w:hAnsi="仿宋" w:eastAsia="仿宋" w:cs="宋体"/>
          <w:sz w:val="24"/>
          <w:szCs w:val="24"/>
          <w:highlight w:val="none"/>
        </w:rPr>
        <w:t>.2</w:t>
      </w:r>
      <w:r>
        <w:rPr>
          <w:rFonts w:hint="eastAsia" w:ascii="仿宋" w:hAnsi="仿宋" w:eastAsia="仿宋" w:cs="宋体"/>
          <w:sz w:val="24"/>
          <w:szCs w:val="24"/>
          <w:highlight w:val="none"/>
          <w:shd w:val="clear" w:color="auto" w:fill="FFFFFF"/>
        </w:rPr>
        <w:t>成交供应商在收到成交通知书时，向采购代理机构一次性付清成交服务费。</w:t>
      </w:r>
    </w:p>
    <w:p w14:paraId="621D8E65">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3</w:t>
      </w:r>
      <w:r>
        <w:rPr>
          <w:rFonts w:hint="eastAsia" w:ascii="仿宋" w:hAnsi="仿宋" w:eastAsia="仿宋" w:cs="宋体"/>
          <w:b/>
          <w:sz w:val="24"/>
          <w:szCs w:val="24"/>
          <w:highlight w:val="none"/>
          <w:shd w:val="clear" w:color="auto" w:fill="FFFFFF"/>
        </w:rPr>
        <w:t>.对供应商不良行为的处罚</w:t>
      </w:r>
    </w:p>
    <w:p w14:paraId="4A7AEADA">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3</w:t>
      </w:r>
      <w:r>
        <w:rPr>
          <w:rFonts w:hint="eastAsia" w:ascii="仿宋" w:hAnsi="仿宋" w:eastAsia="仿宋" w:cs="宋体"/>
          <w:sz w:val="24"/>
          <w:szCs w:val="24"/>
          <w:highlight w:val="none"/>
          <w:shd w:val="clear" w:color="auto" w:fill="FFFFFF"/>
        </w:rPr>
        <w:t>.1供应商发生下列情形之一的，将被列入不良行为记录名单，在一至三年内禁止参加政府采购活动：</w:t>
      </w:r>
    </w:p>
    <w:p w14:paraId="104DD8A4">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弄虚作假谋取成交的；</w:t>
      </w:r>
    </w:p>
    <w:p w14:paraId="0265677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rPr>
        <w:t>与采购人、其他供应商或</w:t>
      </w:r>
      <w:r>
        <w:rPr>
          <w:rFonts w:hint="eastAsia" w:ascii="仿宋" w:hAnsi="仿宋" w:eastAsia="仿宋" w:cs="宋体"/>
          <w:sz w:val="24"/>
          <w:szCs w:val="24"/>
          <w:highlight w:val="none"/>
          <w:shd w:val="clear" w:color="auto" w:fill="FFFFFF"/>
        </w:rPr>
        <w:t>采购代理机构</w:t>
      </w:r>
      <w:r>
        <w:rPr>
          <w:rFonts w:hint="eastAsia" w:ascii="仿宋" w:hAnsi="仿宋" w:eastAsia="仿宋" w:cs="宋体"/>
          <w:sz w:val="24"/>
          <w:szCs w:val="24"/>
          <w:highlight w:val="none"/>
        </w:rPr>
        <w:t>恶意串通的；</w:t>
      </w:r>
    </w:p>
    <w:p w14:paraId="535D4986">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rPr>
        <w:t>向采购人、</w:t>
      </w:r>
      <w:r>
        <w:rPr>
          <w:rFonts w:hint="eastAsia" w:ascii="仿宋" w:hAnsi="仿宋" w:eastAsia="仿宋" w:cs="宋体"/>
          <w:sz w:val="24"/>
          <w:szCs w:val="24"/>
          <w:highlight w:val="none"/>
          <w:shd w:val="clear" w:color="auto" w:fill="FFFFFF"/>
        </w:rPr>
        <w:t>采购代理机构</w:t>
      </w:r>
      <w:r>
        <w:rPr>
          <w:rFonts w:hint="eastAsia" w:ascii="仿宋" w:hAnsi="仿宋" w:eastAsia="仿宋" w:cs="宋体"/>
          <w:sz w:val="24"/>
          <w:szCs w:val="24"/>
          <w:highlight w:val="none"/>
        </w:rPr>
        <w:t>行贿或者提供其他不正当利益的；</w:t>
      </w:r>
    </w:p>
    <w:p w14:paraId="1A11595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（4）</w:t>
      </w:r>
      <w:r>
        <w:rPr>
          <w:rFonts w:hint="eastAsia" w:ascii="仿宋" w:hAnsi="仿宋" w:eastAsia="仿宋" w:cs="宋体"/>
          <w:sz w:val="24"/>
          <w:szCs w:val="24"/>
          <w:highlight w:val="none"/>
        </w:rPr>
        <w:t>在采购过程中与采购人进行协商谈判、不按照磋商文件和成交供应商的响应文件订立合同，或者与采购人另行订立背离合同实质性内容的协议的；</w:t>
      </w:r>
    </w:p>
    <w:p w14:paraId="134B0FD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（5）</w:t>
      </w:r>
      <w:r>
        <w:rPr>
          <w:rFonts w:hint="eastAsia" w:ascii="仿宋" w:hAnsi="仿宋" w:eastAsia="仿宋" w:cs="宋体"/>
          <w:sz w:val="24"/>
          <w:szCs w:val="24"/>
          <w:highlight w:val="none"/>
        </w:rPr>
        <w:t>供应商在评审阶段资格发生变化，未按照有关规定通知采购人和采购代理机构的；</w:t>
      </w:r>
    </w:p>
    <w:p w14:paraId="03EDDFD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（6）</w:t>
      </w:r>
      <w:r>
        <w:rPr>
          <w:rFonts w:hint="eastAsia" w:ascii="仿宋" w:hAnsi="仿宋" w:eastAsia="仿宋" w:cs="宋体"/>
          <w:sz w:val="24"/>
          <w:szCs w:val="24"/>
          <w:highlight w:val="none"/>
        </w:rPr>
        <w:t>拒绝有关部门监督检查或提供虚假情况的。</w:t>
      </w:r>
    </w:p>
    <w:p w14:paraId="560D44E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供应商有</w:t>
      </w: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至</w:t>
      </w:r>
      <w:r>
        <w:rPr>
          <w:rFonts w:hint="eastAsia" w:ascii="仿宋" w:hAnsi="仿宋" w:eastAsia="仿宋" w:cs="宋体"/>
          <w:sz w:val="24"/>
          <w:szCs w:val="24"/>
          <w:highlight w:val="none"/>
          <w:shd w:val="clear" w:color="auto" w:fill="FFFFFF"/>
        </w:rPr>
        <w:t>（6）</w:t>
      </w:r>
      <w:r>
        <w:rPr>
          <w:rFonts w:hint="eastAsia" w:ascii="仿宋" w:hAnsi="仿宋" w:eastAsia="仿宋" w:cs="宋体"/>
          <w:sz w:val="24"/>
          <w:szCs w:val="24"/>
          <w:highlight w:val="none"/>
        </w:rPr>
        <w:t>情形之一的，成交无效。</w:t>
      </w:r>
    </w:p>
    <w:p w14:paraId="72930777">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3</w:t>
      </w: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rPr>
        <w:t>成交供应商发生下列情形之一的，将没收其履约保证金，列入不良行为记录名单，在一至三年内禁止参加政府采购活动：</w:t>
      </w:r>
    </w:p>
    <w:p w14:paraId="00386237">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（1）将成交项目转让给他人，或者在响应文件中未说明，且未经采购人或采购代理机构同意，将成交项目分包给他人的；</w:t>
      </w:r>
    </w:p>
    <w:p w14:paraId="37ADA191">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（2）拒绝履行合同义务的。</w:t>
      </w:r>
    </w:p>
    <w:p w14:paraId="1F9F0512">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4</w:t>
      </w:r>
      <w:r>
        <w:rPr>
          <w:rFonts w:hint="eastAsia" w:ascii="仿宋" w:hAnsi="仿宋" w:eastAsia="仿宋" w:cs="宋体"/>
          <w:b/>
          <w:sz w:val="24"/>
          <w:szCs w:val="24"/>
          <w:highlight w:val="none"/>
          <w:shd w:val="clear" w:color="auto" w:fill="FFFFFF"/>
        </w:rPr>
        <w:t>.诚实信用</w:t>
      </w:r>
    </w:p>
    <w:p w14:paraId="6785B76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.1供应商在本磋商项目的竞争中应自觉遵循诚实信用原则，凡有悖诚实信用原则的行为将被录入供应商诚信档案中，依据情节轻重按照有关规定处理。</w:t>
      </w:r>
    </w:p>
    <w:p w14:paraId="53925AE5">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.2有证据表明供应商在诚信中存在严重问题时，将拒绝其响应或响应无效。</w:t>
      </w:r>
    </w:p>
    <w:p w14:paraId="74C27C11">
      <w:pPr>
        <w:spacing w:line="360" w:lineRule="auto"/>
        <w:ind w:firstLine="480" w:firstLineChars="200"/>
        <w:rPr>
          <w:rFonts w:ascii="仿宋" w:hAnsi="仿宋" w:eastAsia="仿宋" w:cs="宋体"/>
          <w:spacing w:val="-10"/>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.3</w:t>
      </w:r>
      <w:r>
        <w:rPr>
          <w:rFonts w:hint="eastAsia" w:ascii="仿宋" w:hAnsi="仿宋" w:eastAsia="仿宋" w:cs="宋体"/>
          <w:spacing w:val="-10"/>
          <w:sz w:val="24"/>
          <w:szCs w:val="24"/>
          <w:highlight w:val="none"/>
          <w:shd w:val="clear" w:color="auto" w:fill="FFFFFF"/>
        </w:rPr>
        <w:t>供应商的违法违规和诚实信用缺失行为将在信用中国网站（</w:t>
      </w:r>
      <w:r>
        <w:rPr>
          <w:sz w:val="20"/>
          <w:szCs w:val="22"/>
          <w:highlight w:val="none"/>
        </w:rPr>
        <w:fldChar w:fldCharType="begin"/>
      </w:r>
      <w:r>
        <w:rPr>
          <w:sz w:val="20"/>
          <w:szCs w:val="22"/>
          <w:highlight w:val="none"/>
        </w:rPr>
        <w:instrText xml:space="preserve"> HYPERLINK "http://www.creditchina.gov.cn" </w:instrText>
      </w:r>
      <w:r>
        <w:rPr>
          <w:sz w:val="20"/>
          <w:szCs w:val="22"/>
          <w:highlight w:val="none"/>
        </w:rPr>
        <w:fldChar w:fldCharType="separate"/>
      </w:r>
      <w:r>
        <w:rPr>
          <w:rFonts w:hint="eastAsia" w:ascii="仿宋" w:hAnsi="仿宋" w:eastAsia="仿宋" w:cs="宋体"/>
          <w:spacing w:val="-10"/>
          <w:sz w:val="24"/>
          <w:szCs w:val="24"/>
          <w:highlight w:val="none"/>
          <w:shd w:val="clear" w:color="auto" w:fill="FFFFFF"/>
        </w:rPr>
        <w:t>www.creditchina.gov.cn</w:t>
      </w:r>
      <w:r>
        <w:rPr>
          <w:rFonts w:hint="eastAsia" w:ascii="仿宋" w:hAnsi="仿宋" w:eastAsia="仿宋" w:cs="宋体"/>
          <w:spacing w:val="-10"/>
          <w:sz w:val="24"/>
          <w:szCs w:val="24"/>
          <w:highlight w:val="none"/>
          <w:shd w:val="clear" w:color="auto" w:fill="FFFFFF"/>
        </w:rPr>
        <w:fldChar w:fldCharType="end"/>
      </w:r>
      <w:r>
        <w:rPr>
          <w:rFonts w:hint="eastAsia" w:ascii="仿宋" w:hAnsi="仿宋" w:eastAsia="仿宋" w:cs="宋体"/>
          <w:spacing w:val="-10"/>
          <w:sz w:val="24"/>
          <w:szCs w:val="24"/>
          <w:highlight w:val="none"/>
          <w:shd w:val="clear" w:color="auto" w:fill="FFFFFF"/>
        </w:rPr>
        <w:t>）、中国政府采购网（www.ccgp.gov.cn）进行记录和曝光。</w:t>
      </w:r>
    </w:p>
    <w:p w14:paraId="2BFBD346">
      <w:pPr>
        <w:spacing w:line="360" w:lineRule="auto"/>
        <w:jc w:val="center"/>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(八) 质疑与投诉</w:t>
      </w:r>
    </w:p>
    <w:p w14:paraId="2B08BF0D">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5</w:t>
      </w:r>
      <w:r>
        <w:rPr>
          <w:rFonts w:hint="eastAsia" w:ascii="仿宋" w:hAnsi="仿宋" w:eastAsia="仿宋" w:cs="宋体"/>
          <w:b/>
          <w:sz w:val="24"/>
          <w:szCs w:val="24"/>
          <w:highlight w:val="none"/>
          <w:shd w:val="clear" w:color="auto" w:fill="FFFFFF"/>
        </w:rPr>
        <w:t>.询问</w:t>
      </w:r>
    </w:p>
    <w:p w14:paraId="3BB48672">
      <w:pPr>
        <w:spacing w:line="360" w:lineRule="auto"/>
        <w:ind w:firstLine="440" w:firstLineChars="200"/>
        <w:rPr>
          <w:rFonts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5</w:t>
      </w:r>
      <w:r>
        <w:rPr>
          <w:rFonts w:hint="eastAsia" w:ascii="仿宋" w:hAnsi="仿宋" w:eastAsia="仿宋" w:cs="宋体"/>
          <w:spacing w:val="-10"/>
          <w:sz w:val="24"/>
          <w:szCs w:val="24"/>
          <w:highlight w:val="none"/>
          <w:shd w:val="clear" w:color="auto" w:fill="FFFFFF"/>
        </w:rPr>
        <w:t>.1供应商依法提出的询问，采购人或采购代理机构将在3个工作日内做出答复。</w:t>
      </w:r>
    </w:p>
    <w:p w14:paraId="6FB3E3E1">
      <w:pPr>
        <w:spacing w:line="360" w:lineRule="auto"/>
        <w:ind w:firstLine="482" w:firstLineChars="200"/>
        <w:rPr>
          <w:rFonts w:hint="eastAsia" w:ascii="仿宋" w:hAnsi="仿宋" w:eastAsia="仿宋" w:cs="宋体"/>
          <w:b/>
          <w:sz w:val="24"/>
          <w:szCs w:val="24"/>
          <w:highlight w:val="none"/>
          <w:shd w:val="clear" w:color="auto" w:fill="FFFFFF"/>
        </w:rPr>
      </w:pPr>
      <w:bookmarkStart w:id="31" w:name="_Toc26735"/>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6</w:t>
      </w:r>
      <w:r>
        <w:rPr>
          <w:rFonts w:hint="eastAsia" w:ascii="仿宋" w:hAnsi="仿宋" w:eastAsia="仿宋" w:cs="宋体"/>
          <w:b/>
          <w:sz w:val="24"/>
          <w:szCs w:val="24"/>
          <w:highlight w:val="none"/>
          <w:shd w:val="clear" w:color="auto" w:fill="FFFFFF"/>
        </w:rPr>
        <w:t>.质疑</w:t>
      </w:r>
      <w:bookmarkEnd w:id="31"/>
    </w:p>
    <w:p w14:paraId="0FDBE7DF">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.1 </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rPr>
        <w:t>程序受《中华人民共和国政府采购法》《中华人民共和国政府采购法实施条例》《政府采购货物和服务招标投标管理办法》和相关法律法规的约束，并受到严格的内部监督，以确保授予合同过程的公平公正。</w:t>
      </w:r>
    </w:p>
    <w:p w14:paraId="557A2005">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.2 </w:t>
      </w:r>
      <w:r>
        <w:rPr>
          <w:rFonts w:hint="eastAsia" w:ascii="仿宋" w:hAnsi="仿宋" w:eastAsia="仿宋" w:cs="宋体"/>
          <w:spacing w:val="-10"/>
          <w:sz w:val="24"/>
          <w:szCs w:val="24"/>
          <w:highlight w:val="none"/>
          <w:shd w:val="clear" w:color="auto" w:fill="FFFFFF"/>
          <w:lang w:val="en-US" w:eastAsia="zh-CN"/>
        </w:rPr>
        <w:t>供应商</w:t>
      </w:r>
      <w:r>
        <w:rPr>
          <w:rFonts w:hint="eastAsia" w:ascii="仿宋" w:hAnsi="仿宋" w:eastAsia="仿宋" w:cs="宋体"/>
          <w:spacing w:val="-10"/>
          <w:sz w:val="24"/>
          <w:szCs w:val="24"/>
          <w:highlight w:val="none"/>
          <w:shd w:val="clear" w:color="auto" w:fill="FFFFFF"/>
        </w:rPr>
        <w:t>对</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rPr>
        <w:t>文件条款或商务、技术参数有异议的，应当在</w:t>
      </w:r>
      <w:r>
        <w:rPr>
          <w:rFonts w:hint="eastAsia" w:ascii="仿宋" w:hAnsi="仿宋" w:eastAsia="仿宋" w:cs="宋体"/>
          <w:spacing w:val="-10"/>
          <w:sz w:val="24"/>
          <w:szCs w:val="24"/>
          <w:highlight w:val="none"/>
          <w:shd w:val="clear" w:color="auto" w:fill="FFFFFF"/>
          <w:lang w:val="en-US" w:eastAsia="zh-CN"/>
        </w:rPr>
        <w:t>磋商</w:t>
      </w:r>
      <w:r>
        <w:rPr>
          <w:rFonts w:hint="eastAsia" w:ascii="仿宋" w:hAnsi="仿宋" w:eastAsia="仿宋" w:cs="宋体"/>
          <w:spacing w:val="-10"/>
          <w:sz w:val="24"/>
          <w:szCs w:val="24"/>
          <w:highlight w:val="none"/>
          <w:shd w:val="clear" w:color="auto" w:fill="FFFFFF"/>
        </w:rPr>
        <w:t>前通过澄清或修改程序提出。</w:t>
      </w:r>
    </w:p>
    <w:p w14:paraId="657B76A4">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.3 </w:t>
      </w:r>
      <w:r>
        <w:rPr>
          <w:rFonts w:hint="eastAsia" w:ascii="仿宋" w:hAnsi="仿宋" w:eastAsia="仿宋" w:cs="宋体"/>
          <w:spacing w:val="-10"/>
          <w:sz w:val="24"/>
          <w:szCs w:val="24"/>
          <w:highlight w:val="none"/>
          <w:shd w:val="clear" w:color="auto" w:fill="FFFFFF"/>
          <w:lang w:val="en-US" w:eastAsia="zh-CN"/>
        </w:rPr>
        <w:t>供应商</w:t>
      </w:r>
      <w:r>
        <w:rPr>
          <w:rFonts w:hint="eastAsia" w:ascii="仿宋" w:hAnsi="仿宋" w:eastAsia="仿宋" w:cs="宋体"/>
          <w:spacing w:val="-10"/>
          <w:sz w:val="24"/>
          <w:szCs w:val="24"/>
          <w:highlight w:val="none"/>
          <w:shd w:val="clear" w:color="auto" w:fill="FFFFFF"/>
        </w:rPr>
        <w:t>对</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lang w:eastAsia="zh-CN"/>
        </w:rPr>
        <w:t>文件</w:t>
      </w:r>
      <w:r>
        <w:rPr>
          <w:rFonts w:hint="eastAsia" w:ascii="仿宋" w:hAnsi="仿宋" w:eastAsia="仿宋" w:cs="宋体"/>
          <w:spacing w:val="-10"/>
          <w:sz w:val="24"/>
          <w:szCs w:val="24"/>
          <w:highlight w:val="none"/>
          <w:shd w:val="clear" w:color="auto" w:fill="FFFFFF"/>
        </w:rPr>
        <w:t>在法定质疑期内一次性提出针对同一采购程序环节的质疑。</w:t>
      </w:r>
    </w:p>
    <w:p w14:paraId="3979206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36.4 供应商认为采购文件、采购过程、中标或者成交结果使自己的权益受到损害的，可以在知道或者应知其权益受到损害之日起7个工作日内，通过政府采购平台进入“项目质疑管理”栏目向采购人、采购代理机构提出质疑。</w:t>
      </w:r>
    </w:p>
    <w:p w14:paraId="0183CD0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36.5 潜在供应商已依法获取其可质疑的采购文件的，可以对采购文件提出质疑。对采购文件提出质疑的，在获取采购文件或者采购文件公告期限届满之日起7个工作日内提出。</w:t>
      </w:r>
    </w:p>
    <w:p w14:paraId="2BEDF02A">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 供应商提起在线质疑，应当按照《政府采购质疑和投诉办法》有关规定，如实填写事项及信息，在线提交质疑函和必要的证明材料纸质版扫描件或图片（支持格式：DOC、DOCX、PDF、JPG、PNG、GIF）。质疑函应当包括以下主要内容：</w:t>
      </w:r>
    </w:p>
    <w:p w14:paraId="73E5D8E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36.6.1供应商的姓名或者名称、地址、邮编、联系人及联系电话；</w:t>
      </w:r>
    </w:p>
    <w:p w14:paraId="4BC6ACD0">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36.6.2质疑项目名称、编号、包号（若分包）；</w:t>
      </w:r>
    </w:p>
    <w:p w14:paraId="5DB18F99">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36.6.3具体、明确的质疑事项和与质疑事项相关的请求；</w:t>
      </w:r>
    </w:p>
    <w:p w14:paraId="32300DB4">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36.6.4事实依据；</w:t>
      </w:r>
    </w:p>
    <w:p w14:paraId="0A10045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36.6.5必要的法律依据；</w:t>
      </w:r>
    </w:p>
    <w:p w14:paraId="63C1C3CD">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36.6.6提出质疑的日期。</w:t>
      </w:r>
    </w:p>
    <w:p w14:paraId="21B7992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供应商为自然人的，应当由本人签字；供应商为法人或者其他组织的，应当由法定代表人、主要负责人或者其授权代表签字或者盖章，并加盖公章。</w:t>
      </w:r>
    </w:p>
    <w:p w14:paraId="5628D3D3">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36.7质疑书应当附相关证明材料，材料应为简体中文。</w:t>
      </w:r>
    </w:p>
    <w:p w14:paraId="2BD1D05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36.8有下列情形之一的，属于无效质疑，采购代理机构可不予受理：</w:t>
      </w:r>
    </w:p>
    <w:p w14:paraId="5D41F43F">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36.8.1未在有效期限内提出质疑的；</w:t>
      </w:r>
    </w:p>
    <w:p w14:paraId="57ADBFE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36.8.2所提交材料未明示属于质疑材料的；</w:t>
      </w:r>
    </w:p>
    <w:p w14:paraId="55D47B54">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36.8.3质疑书没有法定代表人（负责人）签章并加盖单位公章的；质疑书由参加采购项目的授权代表签署本人姓名或印盖本人姓名章，但没有法定代表人（负责人）特别授权的；</w:t>
      </w:r>
    </w:p>
    <w:p w14:paraId="6D2F834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36.8.4质疑书未提供有效联系人或联系方式的；</w:t>
      </w:r>
    </w:p>
    <w:p w14:paraId="72CC222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36.8.5质疑事项已经进入投诉或者行政复议或者诉讼程序的；</w:t>
      </w:r>
    </w:p>
    <w:p w14:paraId="05217F5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36.8.6质疑书未附相关证明材料，被视为无有效证据支持的；</w:t>
      </w:r>
    </w:p>
    <w:p w14:paraId="3E1FA5D1">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36.8.7供应商对采购文件条款或技术参数有异议，未在开标前通过澄清或修改程序提出，并且供应商已经参与投标，而于开标后对采购文件提出质疑的；</w:t>
      </w:r>
    </w:p>
    <w:p w14:paraId="0D32C2DC">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36.8.8其它不符合受理条件的情形。</w:t>
      </w:r>
    </w:p>
    <w:p w14:paraId="29210ED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68C48CE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36.10供应商对评审过程、中标结果提出质疑的，采购人、采购代理机构可以组织原评标委员会协助答复质疑。</w:t>
      </w:r>
    </w:p>
    <w:p w14:paraId="49201589">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36.11质疑答复应当包含以下内容：</w:t>
      </w:r>
    </w:p>
    <w:p w14:paraId="5900C43C">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06E392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36.12采购人、采购代理机构认为供应商质疑不成立，或者成立但未对中标结果构成影响的，继续开展采购活动；认为供应商质疑成立且影响或者可能影响中标结果的，按照下列情况处理：</w:t>
      </w:r>
    </w:p>
    <w:p w14:paraId="70060CD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36.12.1对采购文件提出的质疑，依法通过澄清或者修改可以继续开展采购活动；否则应当修改采购文件后重新开展活动。</w:t>
      </w:r>
    </w:p>
    <w:p w14:paraId="05A8295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36.12.2对采购过程、成交结果提出的质疑，合格供应商符合法定数量时，可以从合格的成交候选人中另行确定成交人的，应当依法另行确定成交人；否则应当重新开展采购活动。</w:t>
      </w:r>
    </w:p>
    <w:p w14:paraId="14F609A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36.12.3质疑答复导致成交结果改变的，采购人或者采购代理机构应当将有关情况书面报告本级财政部门。</w:t>
      </w:r>
    </w:p>
    <w:p w14:paraId="6578506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36.13质疑供应商对采购人、采购代理机构的答复不满意，或者采购代理机构未在规定的时间内做出答复的，可以在答复期满后15个工作日内向政府采购监管部门投诉。</w:t>
      </w:r>
    </w:p>
    <w:p w14:paraId="3E238A5E">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7</w:t>
      </w:r>
      <w:r>
        <w:rPr>
          <w:rFonts w:hint="eastAsia" w:ascii="仿宋" w:hAnsi="仿宋" w:eastAsia="仿宋" w:cs="宋体"/>
          <w:b/>
          <w:sz w:val="24"/>
          <w:szCs w:val="24"/>
          <w:highlight w:val="none"/>
          <w:shd w:val="clear" w:color="auto" w:fill="FFFFFF"/>
        </w:rPr>
        <w:t>.投诉</w:t>
      </w:r>
    </w:p>
    <w:p w14:paraId="5DD624F2">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.1供应商认为磋商文件、采购过程、成交结果使自己的合法权益受到损害的，应当首先依法向</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提出质疑。对质疑答复不满意或者</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未在规定期限内做出答复的，质疑供应商可以在答复期满后十五个工作日内向山西省财政厅政府采购管理处提起投诉。</w:t>
      </w:r>
    </w:p>
    <w:p w14:paraId="280161C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2供应商投诉事项不得超出已质疑事项的范围。</w:t>
      </w:r>
    </w:p>
    <w:p w14:paraId="74AC350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.3投诉人有下列情形之一的，属于虚假、恶意投诉，将列入不良行为记录名单，并依法予以处罚：</w:t>
      </w:r>
    </w:p>
    <w:p w14:paraId="499F365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捏造事实或者提供虚假投诉材料的。</w:t>
      </w:r>
    </w:p>
    <w:p w14:paraId="4E17099A">
      <w:pPr>
        <w:spacing w:line="360" w:lineRule="auto"/>
        <w:jc w:val="center"/>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(九) 其他</w:t>
      </w:r>
    </w:p>
    <w:p w14:paraId="6298581F">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r>
        <w:rPr>
          <w:rFonts w:hint="eastAsia" w:ascii="仿宋" w:hAnsi="仿宋" w:eastAsia="仿宋" w:cs="宋体"/>
          <w:b/>
          <w:sz w:val="24"/>
          <w:szCs w:val="24"/>
          <w:highlight w:val="none"/>
        </w:rPr>
        <w:t>3</w:t>
      </w:r>
      <w:r>
        <w:rPr>
          <w:rFonts w:hint="eastAsia" w:ascii="仿宋" w:hAnsi="仿宋" w:eastAsia="仿宋" w:cs="宋体"/>
          <w:b/>
          <w:sz w:val="24"/>
          <w:szCs w:val="24"/>
          <w:highlight w:val="none"/>
          <w:lang w:val="en-US" w:eastAsia="zh-CN"/>
        </w:rPr>
        <w:t>8</w:t>
      </w:r>
      <w:r>
        <w:rPr>
          <w:rFonts w:hint="eastAsia" w:ascii="仿宋" w:hAnsi="仿宋" w:eastAsia="仿宋" w:cs="宋体"/>
          <w:b/>
          <w:sz w:val="24"/>
          <w:szCs w:val="24"/>
          <w:highlight w:val="none"/>
        </w:rPr>
        <w:t>.关于日期计算方法</w:t>
      </w:r>
    </w:p>
    <w:p w14:paraId="1F61356C">
      <w:pPr>
        <w:pStyle w:val="44"/>
        <w:numPr>
          <w:ilvl w:val="0"/>
          <w:numId w:val="0"/>
        </w:numPr>
        <w:snapToGrid w:val="0"/>
        <w:spacing w:line="360" w:lineRule="auto"/>
        <w:ind w:left="126" w:leftChars="60" w:firstLine="352" w:firstLineChars="147"/>
        <w:textAlignment w:val="auto"/>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.1本磋商文件规定按日计算期间的，开始当天不计入，从次日开始计算。期限的最后一日是国家法定节假日的，顺延到节假日后的次日为期限的最后一日。</w:t>
      </w:r>
    </w:p>
    <w:p w14:paraId="4659BC01">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r>
        <w:rPr>
          <w:rFonts w:hint="eastAsia" w:ascii="仿宋" w:hAnsi="仿宋" w:eastAsia="仿宋" w:cs="宋体"/>
          <w:b/>
          <w:sz w:val="24"/>
          <w:szCs w:val="24"/>
          <w:highlight w:val="none"/>
          <w:lang w:val="en-US" w:eastAsia="zh-CN"/>
        </w:rPr>
        <w:t>39</w:t>
      </w:r>
      <w:r>
        <w:rPr>
          <w:rFonts w:hint="eastAsia" w:ascii="仿宋" w:hAnsi="仿宋" w:eastAsia="仿宋" w:cs="宋体"/>
          <w:b/>
          <w:sz w:val="24"/>
          <w:szCs w:val="24"/>
          <w:highlight w:val="none"/>
        </w:rPr>
        <w:t>.</w:t>
      </w:r>
      <w:r>
        <w:rPr>
          <w:rFonts w:ascii="仿宋" w:hAnsi="仿宋" w:eastAsia="仿宋" w:cs="宋体"/>
          <w:b/>
          <w:sz w:val="24"/>
          <w:szCs w:val="24"/>
          <w:highlight w:val="none"/>
        </w:rPr>
        <w:t>违约处罚</w:t>
      </w:r>
    </w:p>
    <w:p w14:paraId="740C8727">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 xml:space="preserve">供应商发生下列情况之一的，磋商保证金将被没收，并可能被列入不良记录名单，同时代理机构将提请相关监管部门，依据相关规定作出处理。 </w:t>
      </w:r>
    </w:p>
    <w:p w14:paraId="37FF6473">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）开启后在响应文件有效期内，供应商撤回其响应文件；</w:t>
      </w:r>
    </w:p>
    <w:p w14:paraId="3D3CDCEE">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）在磋商期间，供应商企图影响代理机构或磋商小组的任何活动，将导致报价被拒绝，并由其承担相应的法律责任；</w:t>
      </w:r>
    </w:p>
    <w:p w14:paraId="76C3844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 xml:space="preserve">）成交供应商未按本磋商文件规定签约； </w:t>
      </w:r>
    </w:p>
    <w:p w14:paraId="6D41377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 xml:space="preserve">）成交供应商与采购方订立背离合同实质性内容的其它协议； </w:t>
      </w:r>
    </w:p>
    <w:p w14:paraId="080C308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）成交供应商未按磋商文件规定和合同约定履行义务的。</w:t>
      </w:r>
    </w:p>
    <w:p w14:paraId="226509F6">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采购方有下列情形之一的，由有关部门责令限期改正；情节严重的，给予警告：</w:t>
      </w:r>
    </w:p>
    <w:p w14:paraId="28BD913C">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）未按照本办法的规定编制磋商需求的；</w:t>
      </w:r>
    </w:p>
    <w:p w14:paraId="6BC9842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）采购方向供应商索要或者接受其给予的赠品、回扣或者与磋商无关的其他商品、服务的；</w:t>
      </w:r>
    </w:p>
    <w:p w14:paraId="5608388C">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磋商小组及其成员不得有下列行为：</w:t>
      </w:r>
    </w:p>
    <w:p w14:paraId="67592C4B">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）确定参与评审至评审结束前私自接触供应商；</w:t>
      </w:r>
    </w:p>
    <w:p w14:paraId="574C383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）接受供应商提出的与响应文件不一致的澄清或者说明，对于响应文件中含义不明确、同类问题表述不一致或者有明显文字和计算错误的内容的情形除外；</w:t>
      </w:r>
    </w:p>
    <w:p w14:paraId="1D9043ED">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）违反评审纪律发表倾向性意见或者征询采购方的倾向性意见；</w:t>
      </w:r>
    </w:p>
    <w:p w14:paraId="3D856E8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）对需要专业判断的主观评审因素协商评分；</w:t>
      </w:r>
    </w:p>
    <w:p w14:paraId="1C60A105">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）在评审过程中擅离职守，影响评审程序正常进行的；</w:t>
      </w:r>
    </w:p>
    <w:p w14:paraId="2073431D">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6</w:t>
      </w:r>
      <w:r>
        <w:rPr>
          <w:rFonts w:ascii="仿宋" w:hAnsi="仿宋" w:eastAsia="仿宋" w:cs="宋体"/>
          <w:kern w:val="0"/>
          <w:sz w:val="24"/>
          <w:szCs w:val="24"/>
          <w:highlight w:val="none"/>
        </w:rPr>
        <w:t>）记录、复制或者带走任何评标资料；</w:t>
      </w:r>
    </w:p>
    <w:p w14:paraId="0942F0E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7</w:t>
      </w:r>
      <w:r>
        <w:rPr>
          <w:rFonts w:ascii="仿宋" w:hAnsi="仿宋" w:eastAsia="仿宋" w:cs="宋体"/>
          <w:kern w:val="0"/>
          <w:sz w:val="24"/>
          <w:szCs w:val="24"/>
          <w:highlight w:val="none"/>
        </w:rPr>
        <w:t>）其他不遵守评标纪律的行为。</w:t>
      </w:r>
    </w:p>
    <w:p w14:paraId="6E364EF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磋商小组成员有前款第一至五项行为之一的，其评审意见无效，并不得获取评审劳务报酬和报销异地评审差旅费。</w:t>
      </w:r>
    </w:p>
    <w:p w14:paraId="5E67DC80">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代理机构或采购方有下列情形之一的，由相关部门责令限期改正，情节严重的，给予警告：</w:t>
      </w:r>
    </w:p>
    <w:p w14:paraId="516DB34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）代理机构及其分支机构在所代理的磋商项目中参与磋商活动的，为所代理的磋商项目的供应商参加本项目提供咨询的；</w:t>
      </w:r>
    </w:p>
    <w:p w14:paraId="26D6FA6B">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）未按照规定进行资格预审的；</w:t>
      </w:r>
    </w:p>
    <w:p w14:paraId="523566BF">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）违反规定确定磋商文件售价的；</w:t>
      </w:r>
    </w:p>
    <w:p w14:paraId="6A304379">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）未按规定对磋商文件、评审活动进行全程录音录像的；</w:t>
      </w:r>
    </w:p>
    <w:p w14:paraId="3E07259F">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）擅自终止磋商活动的；</w:t>
      </w:r>
    </w:p>
    <w:p w14:paraId="6DF279E1">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6</w:t>
      </w:r>
      <w:r>
        <w:rPr>
          <w:rFonts w:ascii="仿宋" w:hAnsi="仿宋" w:eastAsia="仿宋" w:cs="宋体"/>
          <w:kern w:val="0"/>
          <w:sz w:val="24"/>
          <w:szCs w:val="24"/>
          <w:highlight w:val="none"/>
        </w:rPr>
        <w:t>）未按照规定对响应文件进行解密和组织评审的；</w:t>
      </w:r>
    </w:p>
    <w:p w14:paraId="717A4310">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7</w:t>
      </w:r>
      <w:r>
        <w:rPr>
          <w:rFonts w:ascii="仿宋" w:hAnsi="仿宋" w:eastAsia="仿宋" w:cs="宋体"/>
          <w:kern w:val="0"/>
          <w:sz w:val="24"/>
          <w:szCs w:val="24"/>
          <w:highlight w:val="none"/>
        </w:rPr>
        <w:t>）未按照规定退还磋商保证金的；</w:t>
      </w:r>
    </w:p>
    <w:p w14:paraId="3098EF5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8</w:t>
      </w:r>
      <w:r>
        <w:rPr>
          <w:rFonts w:ascii="仿宋" w:hAnsi="仿宋" w:eastAsia="仿宋" w:cs="宋体"/>
          <w:kern w:val="0"/>
          <w:sz w:val="24"/>
          <w:szCs w:val="24"/>
          <w:highlight w:val="none"/>
        </w:rPr>
        <w:t>）违反本办法规定进行重新评审或者重新组建磋商小组进行评审的；</w:t>
      </w:r>
    </w:p>
    <w:p w14:paraId="3ADAF785">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9</w:t>
      </w:r>
      <w:r>
        <w:rPr>
          <w:rFonts w:ascii="仿宋" w:hAnsi="仿宋" w:eastAsia="仿宋" w:cs="宋体"/>
          <w:kern w:val="0"/>
          <w:sz w:val="24"/>
          <w:szCs w:val="24"/>
          <w:highlight w:val="none"/>
        </w:rPr>
        <w:t>）开启前泄露已获取磋商文件的潜在供应商的名称、数量或者其他可能影响公平竞争的有关磋商活动情况的；</w:t>
      </w:r>
    </w:p>
    <w:p w14:paraId="15F70B53">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10</w:t>
      </w:r>
      <w:r>
        <w:rPr>
          <w:rFonts w:ascii="仿宋" w:hAnsi="仿宋" w:eastAsia="仿宋" w:cs="宋体"/>
          <w:kern w:val="0"/>
          <w:sz w:val="24"/>
          <w:szCs w:val="24"/>
          <w:highlight w:val="none"/>
        </w:rPr>
        <w:t>）未妥善保存磋商采购文件的；</w:t>
      </w:r>
    </w:p>
    <w:p w14:paraId="180BECB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11</w:t>
      </w:r>
      <w:r>
        <w:rPr>
          <w:rFonts w:ascii="仿宋" w:hAnsi="仿宋" w:eastAsia="仿宋" w:cs="宋体"/>
          <w:kern w:val="0"/>
          <w:sz w:val="24"/>
          <w:szCs w:val="24"/>
          <w:highlight w:val="none"/>
        </w:rPr>
        <w:t>）其他违反本办法规定的情形。</w:t>
      </w:r>
    </w:p>
    <w:p w14:paraId="5A680B4E">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bookmarkStart w:id="32" w:name="_Toc466533586"/>
      <w:r>
        <w:rPr>
          <w:rFonts w:hint="eastAsia" w:ascii="仿宋" w:hAnsi="仿宋" w:eastAsia="仿宋" w:cs="宋体"/>
          <w:b/>
          <w:sz w:val="24"/>
          <w:szCs w:val="24"/>
          <w:highlight w:val="none"/>
          <w:lang w:val="en-US" w:eastAsia="zh-CN"/>
        </w:rPr>
        <w:t>40</w:t>
      </w:r>
      <w:r>
        <w:rPr>
          <w:rFonts w:hint="eastAsia" w:ascii="仿宋" w:hAnsi="仿宋" w:eastAsia="仿宋" w:cs="宋体"/>
          <w:b/>
          <w:sz w:val="24"/>
          <w:szCs w:val="24"/>
          <w:highlight w:val="none"/>
        </w:rPr>
        <w:t>.</w:t>
      </w:r>
      <w:r>
        <w:rPr>
          <w:rFonts w:ascii="仿宋" w:hAnsi="仿宋" w:eastAsia="仿宋" w:cs="宋体"/>
          <w:b/>
          <w:sz w:val="24"/>
          <w:szCs w:val="24"/>
          <w:highlight w:val="none"/>
        </w:rPr>
        <w:t xml:space="preserve"> 相关政策要求</w:t>
      </w:r>
    </w:p>
    <w:bookmarkEnd w:id="32"/>
    <w:p w14:paraId="1B8C367C">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1企业性质及评标价格的确定</w:t>
      </w:r>
    </w:p>
    <w:p w14:paraId="32615632">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依据政府采购的相关规定，如果供应商或所提供的货物满足下述要求并经磋商小组全体成员集体认定通过，予以考虑执行。</w:t>
      </w:r>
    </w:p>
    <w:p w14:paraId="0AA0A207">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1.1</w:t>
      </w:r>
      <w:r>
        <w:rPr>
          <w:rFonts w:ascii="仿宋" w:hAnsi="仿宋" w:eastAsia="仿宋" w:cs="宋体"/>
          <w:kern w:val="0"/>
          <w:sz w:val="24"/>
          <w:szCs w:val="24"/>
          <w:highlight w:val="none"/>
        </w:rPr>
        <w:t>中小企业参加本项目磋商：</w:t>
      </w:r>
    </w:p>
    <w:p w14:paraId="019EC9C6">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须按照《政府采购促进中小企业发展管理办法》（财库﹝2020﹞46号）如实填写《中小企业声明函》。评</w:t>
      </w:r>
      <w:r>
        <w:rPr>
          <w:rFonts w:hint="eastAsia" w:ascii="仿宋" w:hAnsi="仿宋" w:eastAsia="仿宋" w:cs="宋体"/>
          <w:kern w:val="0"/>
          <w:sz w:val="24"/>
          <w:szCs w:val="24"/>
          <w:highlight w:val="none"/>
        </w:rPr>
        <w:t>审</w:t>
      </w:r>
      <w:r>
        <w:rPr>
          <w:rFonts w:ascii="仿宋" w:hAnsi="仿宋" w:eastAsia="仿宋" w:cs="宋体"/>
          <w:kern w:val="0"/>
          <w:sz w:val="24"/>
          <w:szCs w:val="24"/>
          <w:highlight w:val="none"/>
        </w:rPr>
        <w:t>价格给予</w:t>
      </w:r>
      <w:r>
        <w:rPr>
          <w:rFonts w:hint="eastAsia" w:ascii="仿宋" w:hAnsi="仿宋" w:eastAsia="仿宋" w:cs="宋体"/>
          <w:kern w:val="0"/>
          <w:sz w:val="24"/>
          <w:szCs w:val="24"/>
          <w:highlight w:val="none"/>
        </w:rPr>
        <w:t>15</w:t>
      </w:r>
      <w:r>
        <w:rPr>
          <w:rFonts w:ascii="仿宋" w:hAnsi="仿宋" w:eastAsia="仿宋" w:cs="宋体"/>
          <w:kern w:val="0"/>
          <w:sz w:val="24"/>
          <w:szCs w:val="24"/>
          <w:highlight w:val="none"/>
        </w:rPr>
        <w:t>%的扣除。</w:t>
      </w:r>
    </w:p>
    <w:p w14:paraId="0D68DCAA">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1.2</w:t>
      </w:r>
      <w:r>
        <w:rPr>
          <w:rFonts w:ascii="仿宋" w:hAnsi="仿宋" w:eastAsia="仿宋" w:cs="宋体"/>
          <w:kern w:val="0"/>
          <w:sz w:val="24"/>
          <w:szCs w:val="24"/>
          <w:highlight w:val="none"/>
        </w:rPr>
        <w:t>残疾人福利单位参加本项目磋商：</w:t>
      </w:r>
    </w:p>
    <w:p w14:paraId="502B1C62">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A3CA899">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3监狱企业参加本项目磋商：</w:t>
      </w:r>
    </w:p>
    <w:p w14:paraId="12881BB0">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1FC3D86A">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.4联合体参加本项目磋商：</w:t>
      </w:r>
    </w:p>
    <w:p w14:paraId="7563D249">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如本项目要求有联合体参加</w:t>
      </w:r>
      <w:r>
        <w:rPr>
          <w:rFonts w:hint="eastAsia" w:ascii="仿宋" w:hAnsi="仿宋" w:eastAsia="仿宋" w:cs="宋体"/>
          <w:kern w:val="0"/>
          <w:sz w:val="24"/>
          <w:szCs w:val="24"/>
          <w:highlight w:val="none"/>
        </w:rPr>
        <w:t>磋商</w:t>
      </w:r>
      <w:r>
        <w:rPr>
          <w:rFonts w:ascii="仿宋" w:hAnsi="仿宋" w:eastAsia="仿宋" w:cs="宋体"/>
          <w:kern w:val="0"/>
          <w:sz w:val="24"/>
          <w:szCs w:val="24"/>
          <w:highlight w:val="none"/>
        </w:rPr>
        <w:t>的，要根据《中华人民共和国政府采购法》第二十二条和《中华人民共和国政府采购法实施条例》第十七条的规定应提供</w:t>
      </w:r>
      <w:r>
        <w:rPr>
          <w:rFonts w:hint="eastAsia" w:ascii="仿宋" w:hAnsi="仿宋" w:eastAsia="仿宋" w:cs="宋体"/>
          <w:kern w:val="0"/>
          <w:sz w:val="24"/>
          <w:szCs w:val="24"/>
          <w:highlight w:val="none"/>
        </w:rPr>
        <w:t>磋商</w:t>
      </w:r>
      <w:r>
        <w:rPr>
          <w:rFonts w:ascii="仿宋" w:hAnsi="仿宋" w:eastAsia="仿宋" w:cs="宋体"/>
          <w:kern w:val="0"/>
          <w:sz w:val="24"/>
          <w:szCs w:val="24"/>
          <w:highlight w:val="none"/>
        </w:rPr>
        <w:t>联合体各方的资格。联合体协议中约定，小型、微型企业的协议合同金额占到联合体协议合同金额30%以上的，给予联合体价格扣除。</w:t>
      </w:r>
    </w:p>
    <w:p w14:paraId="501CB8E2">
      <w:pPr>
        <w:widowControl/>
        <w:jc w:val="left"/>
        <w:rPr>
          <w:rFonts w:ascii="仿宋" w:hAnsi="仿宋" w:eastAsia="仿宋" w:cs="宋体"/>
          <w:b/>
          <w:bCs/>
          <w:sz w:val="28"/>
          <w:szCs w:val="28"/>
          <w:highlight w:val="none"/>
        </w:rPr>
      </w:pPr>
      <w:r>
        <w:rPr>
          <w:rFonts w:ascii="仿宋" w:hAnsi="仿宋" w:eastAsia="仿宋" w:cs="宋体"/>
          <w:sz w:val="28"/>
          <w:szCs w:val="28"/>
          <w:highlight w:val="none"/>
        </w:rPr>
        <w:br w:type="page"/>
      </w:r>
    </w:p>
    <w:p w14:paraId="7CC452AB">
      <w:pPr>
        <w:pStyle w:val="2"/>
        <w:numPr>
          <w:ilvl w:val="0"/>
          <w:numId w:val="0"/>
        </w:numPr>
        <w:bidi w:val="0"/>
        <w:ind w:leftChars="0"/>
        <w:jc w:val="center"/>
      </w:pPr>
      <w:bookmarkStart w:id="33" w:name="_Toc104232618"/>
      <w:bookmarkStart w:id="34" w:name="_Toc12671"/>
      <w:bookmarkStart w:id="35" w:name="_Toc31715"/>
      <w:r>
        <w:rPr>
          <w:rFonts w:hint="eastAsia"/>
        </w:rPr>
        <w:t>第</w:t>
      </w:r>
      <w:r>
        <w:rPr>
          <w:rFonts w:hint="eastAsia"/>
          <w:lang w:eastAsia="zh-CN"/>
        </w:rPr>
        <w:t>三章</w:t>
      </w:r>
      <w:r>
        <w:rPr>
          <w:rFonts w:hint="eastAsia"/>
        </w:rPr>
        <w:t xml:space="preserve">  评审方法和标准</w:t>
      </w:r>
      <w:bookmarkEnd w:id="33"/>
      <w:bookmarkEnd w:id="34"/>
      <w:bookmarkEnd w:id="35"/>
    </w:p>
    <w:p w14:paraId="3BB04FD6">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36" w:name="_Toc104232619"/>
      <w:bookmarkStart w:id="37" w:name="_Toc8105"/>
      <w:r>
        <w:rPr>
          <w:rFonts w:hint="eastAsia" w:ascii="仿宋" w:hAnsi="仿宋" w:eastAsia="仿宋" w:cs="仿宋"/>
          <w:b/>
          <w:sz w:val="24"/>
          <w:szCs w:val="24"/>
          <w:highlight w:val="none"/>
          <w:shd w:val="clear" w:color="auto" w:fill="FFFFFF"/>
        </w:rPr>
        <w:t>1.采购人对项目背景和采购需求的说明内容及要求</w:t>
      </w:r>
      <w:bookmarkEnd w:id="36"/>
      <w:bookmarkEnd w:id="37"/>
    </w:p>
    <w:p w14:paraId="351A99A1">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38" w:name="_Toc104232620"/>
      <w:bookmarkStart w:id="39" w:name="_Toc10521"/>
      <w:r>
        <w:rPr>
          <w:rFonts w:hint="eastAsia" w:ascii="仿宋" w:hAnsi="仿宋" w:eastAsia="仿宋" w:cs="仿宋"/>
          <w:sz w:val="24"/>
          <w:szCs w:val="24"/>
          <w:highlight w:val="none"/>
        </w:rPr>
        <w:t>1.1采购人在评审前说明项目背景和采购需求时，说明内容不得含有歧视性、倾向性意见，不得超出磋商文件所述范围。</w:t>
      </w:r>
      <w:bookmarkEnd w:id="38"/>
      <w:bookmarkEnd w:id="39"/>
    </w:p>
    <w:p w14:paraId="179C8809">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0" w:name="_Toc3251"/>
      <w:bookmarkStart w:id="41" w:name="_Toc104232621"/>
      <w:r>
        <w:rPr>
          <w:rFonts w:hint="eastAsia" w:ascii="仿宋" w:hAnsi="仿宋" w:eastAsia="仿宋" w:cs="仿宋"/>
          <w:sz w:val="24"/>
          <w:szCs w:val="24"/>
          <w:highlight w:val="none"/>
        </w:rPr>
        <w:t>1.2说明内容应当提交书面材料，并存档。</w:t>
      </w:r>
      <w:bookmarkEnd w:id="40"/>
      <w:bookmarkEnd w:id="41"/>
    </w:p>
    <w:p w14:paraId="3BA7370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42" w:name="_Toc1942"/>
      <w:bookmarkStart w:id="43" w:name="_Toc104232622"/>
      <w:r>
        <w:rPr>
          <w:rFonts w:hint="eastAsia" w:ascii="仿宋" w:hAnsi="仿宋" w:eastAsia="仿宋" w:cs="仿宋"/>
          <w:b/>
          <w:sz w:val="24"/>
          <w:szCs w:val="24"/>
          <w:highlight w:val="none"/>
          <w:shd w:val="clear" w:color="auto" w:fill="FFFFFF"/>
        </w:rPr>
        <w:t>2.评审依据</w:t>
      </w:r>
      <w:bookmarkEnd w:id="42"/>
      <w:bookmarkEnd w:id="43"/>
    </w:p>
    <w:p w14:paraId="5B822B97">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shd w:val="clear" w:color="auto" w:fill="FFFFFF"/>
        </w:rPr>
      </w:pPr>
      <w:bookmarkStart w:id="44" w:name="_Toc30090"/>
      <w:bookmarkStart w:id="45" w:name="_Toc104232623"/>
      <w:r>
        <w:rPr>
          <w:rFonts w:hint="eastAsia" w:ascii="仿宋" w:hAnsi="仿宋" w:eastAsia="仿宋" w:cs="仿宋"/>
          <w:sz w:val="24"/>
          <w:szCs w:val="24"/>
          <w:highlight w:val="none"/>
          <w:shd w:val="clear" w:color="auto" w:fill="FFFFFF"/>
        </w:rPr>
        <w:t>2.1磋商小组依据政府采购相关法律法规、磋商文件的有关规定以及供应商提交的响应文件对供应商资格进行审查。</w:t>
      </w:r>
      <w:bookmarkEnd w:id="44"/>
      <w:bookmarkEnd w:id="45"/>
    </w:p>
    <w:p w14:paraId="050C0CE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6" w:name="_Toc24768"/>
      <w:bookmarkStart w:id="47" w:name="_Toc104232624"/>
      <w:r>
        <w:rPr>
          <w:rFonts w:hint="eastAsia" w:ascii="仿宋" w:hAnsi="仿宋" w:eastAsia="仿宋" w:cs="仿宋"/>
          <w:sz w:val="24"/>
          <w:szCs w:val="24"/>
          <w:highlight w:val="none"/>
          <w:shd w:val="clear" w:color="auto" w:fill="FFFFFF"/>
        </w:rPr>
        <w:t>2.2</w:t>
      </w:r>
      <w:r>
        <w:rPr>
          <w:rFonts w:hint="eastAsia" w:ascii="仿宋" w:hAnsi="仿宋" w:eastAsia="仿宋" w:cs="仿宋"/>
          <w:sz w:val="24"/>
          <w:szCs w:val="24"/>
          <w:highlight w:val="none"/>
        </w:rPr>
        <w:t>磋商小组按照磋商文件中规定的评审方法和标准，对符合性审查合格的响应文件进行商务和技术评估，综合比较与评价。</w:t>
      </w:r>
      <w:bookmarkEnd w:id="46"/>
      <w:bookmarkEnd w:id="47"/>
    </w:p>
    <w:p w14:paraId="5884EE9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8" w:name="_Toc19739"/>
      <w:bookmarkStart w:id="49" w:name="_Toc104232625"/>
      <w:r>
        <w:rPr>
          <w:rFonts w:hint="eastAsia" w:ascii="仿宋" w:hAnsi="仿宋" w:eastAsia="仿宋" w:cs="仿宋"/>
          <w:sz w:val="24"/>
          <w:szCs w:val="24"/>
          <w:highlight w:val="none"/>
        </w:rPr>
        <w:t>2.3磋商小组只根据响应文件本身的内容来</w:t>
      </w:r>
      <w:r>
        <w:rPr>
          <w:rFonts w:hint="eastAsia" w:ascii="仿宋" w:hAnsi="仿宋" w:eastAsia="仿宋" w:cs="仿宋"/>
          <w:sz w:val="24"/>
          <w:szCs w:val="24"/>
          <w:highlight w:val="none"/>
          <w:shd w:val="clear" w:color="auto" w:fill="FFFFFF"/>
        </w:rPr>
        <w:t>判定响应文件的响应性，而不寻求外部的证</w:t>
      </w:r>
      <w:r>
        <w:rPr>
          <w:rFonts w:hint="eastAsia" w:ascii="仿宋" w:hAnsi="仿宋" w:eastAsia="仿宋" w:cs="仿宋"/>
          <w:sz w:val="24"/>
          <w:szCs w:val="24"/>
          <w:highlight w:val="none"/>
        </w:rPr>
        <w:t>据。</w:t>
      </w:r>
      <w:bookmarkEnd w:id="48"/>
      <w:bookmarkEnd w:id="49"/>
    </w:p>
    <w:p w14:paraId="7F2DF18B">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50" w:name="_Toc22150"/>
      <w:bookmarkStart w:id="51" w:name="_Toc104232626"/>
      <w:r>
        <w:rPr>
          <w:rFonts w:hint="eastAsia" w:ascii="仿宋" w:hAnsi="仿宋" w:eastAsia="仿宋" w:cs="仿宋"/>
          <w:b/>
          <w:sz w:val="24"/>
          <w:szCs w:val="24"/>
          <w:highlight w:val="none"/>
          <w:shd w:val="clear" w:color="auto" w:fill="FFFFFF"/>
        </w:rPr>
        <w:t>3.评审过程的保密</w:t>
      </w:r>
      <w:bookmarkEnd w:id="50"/>
      <w:bookmarkEnd w:id="51"/>
    </w:p>
    <w:p w14:paraId="3FA317F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3.1磋商小组、采购代理机构等有关人员对评审情况以及在评审过程中获悉的国家秘密、商业秘密等负有保密责任，均不得向供应商或其他无关人员透露。</w:t>
      </w:r>
    </w:p>
    <w:p w14:paraId="237A4A6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3.2磋商小组和采购代理机构均无义务向供应商进行任何有关评审的解释。</w:t>
      </w:r>
    </w:p>
    <w:p w14:paraId="48F840F4">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3.3磋商开始，直到授予成交供应商合同止，凡是属于审查、澄清、评价和比较磋商的有关资料等，均不得向供应商或其他与磋商无关的人员透露。</w:t>
      </w:r>
    </w:p>
    <w:p w14:paraId="0D645916">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3.4磋商结束后，参与评审的所有人员不得带走与相关规定要求违背的任何资料。</w:t>
      </w:r>
    </w:p>
    <w:p w14:paraId="6B3E5571">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7" w:firstLineChars="198"/>
        <w:textAlignment w:val="auto"/>
        <w:outlineLvl w:val="9"/>
        <w:rPr>
          <w:rFonts w:hint="eastAsia" w:ascii="仿宋" w:hAnsi="仿宋" w:eastAsia="仿宋" w:cs="仿宋"/>
          <w:b/>
          <w:sz w:val="24"/>
          <w:szCs w:val="24"/>
          <w:highlight w:val="none"/>
        </w:rPr>
      </w:pPr>
      <w:bookmarkStart w:id="52" w:name="_Toc104232627"/>
      <w:bookmarkStart w:id="53" w:name="_Toc1405"/>
      <w:r>
        <w:rPr>
          <w:rFonts w:hint="eastAsia" w:ascii="仿宋" w:hAnsi="仿宋" w:eastAsia="仿宋" w:cs="仿宋"/>
          <w:b/>
          <w:sz w:val="24"/>
          <w:szCs w:val="24"/>
          <w:highlight w:val="none"/>
        </w:rPr>
        <w:t>4.评审</w:t>
      </w:r>
      <w:bookmarkEnd w:id="52"/>
      <w:bookmarkEnd w:id="53"/>
    </w:p>
    <w:p w14:paraId="0B5CBA3A">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5" w:firstLineChars="198"/>
        <w:textAlignment w:val="auto"/>
        <w:outlineLvl w:val="9"/>
        <w:rPr>
          <w:rFonts w:hint="eastAsia" w:ascii="仿宋" w:hAnsi="仿宋" w:eastAsia="仿宋" w:cs="仿宋"/>
          <w:sz w:val="24"/>
          <w:szCs w:val="24"/>
          <w:highlight w:val="none"/>
        </w:rPr>
      </w:pPr>
      <w:bookmarkStart w:id="54" w:name="_Toc104232628"/>
      <w:bookmarkStart w:id="55" w:name="_Toc13030"/>
      <w:r>
        <w:rPr>
          <w:rFonts w:hint="eastAsia" w:ascii="仿宋" w:hAnsi="仿宋" w:eastAsia="仿宋" w:cs="仿宋"/>
          <w:sz w:val="24"/>
          <w:szCs w:val="24"/>
          <w:highlight w:val="none"/>
        </w:rPr>
        <w:t>4.1本项目采用综合评分法。综合评分法，是指响应文件满足磋商文件全部实质性要求且按照评审因素的量化指标评审得分最高的供应商为成交（候选）供应商的评审方法。</w:t>
      </w:r>
      <w:bookmarkEnd w:id="54"/>
      <w:bookmarkEnd w:id="55"/>
    </w:p>
    <w:p w14:paraId="6E9842A8">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5" w:firstLineChars="198"/>
        <w:textAlignment w:val="auto"/>
        <w:outlineLvl w:val="9"/>
        <w:rPr>
          <w:rFonts w:hint="eastAsia" w:ascii="仿宋" w:hAnsi="仿宋" w:eastAsia="仿宋" w:cs="仿宋"/>
          <w:sz w:val="24"/>
          <w:szCs w:val="24"/>
          <w:highlight w:val="none"/>
        </w:rPr>
      </w:pPr>
      <w:bookmarkStart w:id="56" w:name="_Toc26611"/>
      <w:bookmarkStart w:id="57" w:name="_Toc104232629"/>
      <w:r>
        <w:rPr>
          <w:rFonts w:hint="eastAsia" w:ascii="仿宋" w:hAnsi="仿宋" w:eastAsia="仿宋" w:cs="仿宋"/>
          <w:sz w:val="24"/>
          <w:szCs w:val="24"/>
          <w:highlight w:val="none"/>
        </w:rPr>
        <w:t>4.2磋商小组成员首先对磋商文件进行资格性、符合性审查，并签字确认。如磋商文件内容中存在违反国家有关强制性规定的或歧视性等条款，应当向采购代理机构说明，并停止本项目评审（评审意见不一致时，遵循少数服从多数的原则）。</w:t>
      </w:r>
      <w:bookmarkEnd w:id="56"/>
      <w:bookmarkEnd w:id="57"/>
    </w:p>
    <w:p w14:paraId="2079CB24">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02C01BCD">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262E1277">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4.5磋商小组各评审专家与符合磋商文件要求的供应商进行磋商。</w:t>
      </w:r>
    </w:p>
    <w:p w14:paraId="6A2F86C2">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4.6评审结束，对未实质上响应磋商文件的响应文件按无效响应处理。</w:t>
      </w:r>
    </w:p>
    <w:p w14:paraId="30E63DCF">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5.磋商</w:t>
      </w:r>
    </w:p>
    <w:p w14:paraId="273BD1A8">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5.1磋商小组成员与实质性响应磋商文件要求的供应商就本次采购需求中的商务、技术及服务要求等内容通过“政采云系统”分别进行磋商（询标）。</w:t>
      </w:r>
    </w:p>
    <w:p w14:paraId="48B4DC3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5.2磋商小组可以根据磋商文件和磋商（询标）情况实质性变动采购需求中的商务、技术及服务要求等内容，但不得变动磋商文件中的其他内容。实质性变动的内容，需经采购人代表签字确认。</w:t>
      </w:r>
    </w:p>
    <w:p w14:paraId="61905A4F">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sz w:val="24"/>
          <w:szCs w:val="24"/>
          <w:highlight w:val="none"/>
        </w:rPr>
        <w:t>5.3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6CC8D39B">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5.4存在下列情况之一者将视为响应无效：</w:t>
      </w:r>
    </w:p>
    <w:p w14:paraId="240DCEA6">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（1）未在规定时间内提交对询标函所有内容做出答复函的；</w:t>
      </w:r>
    </w:p>
    <w:p w14:paraId="051ABA5D">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（2）未在答复函中由法定代表人或其授权代表签字或加盖电子CA章的；</w:t>
      </w:r>
    </w:p>
    <w:p w14:paraId="5FEF6B7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（3）未按磋商小组要求对响应文件进行澄清（说明或者更正）的；</w:t>
      </w:r>
    </w:p>
    <w:p w14:paraId="4EAC1D2F">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（4）磋商小组对答复内容经过评审后认为其没有对磋商内容作出实质性响应的；</w:t>
      </w:r>
    </w:p>
    <w:p w14:paraId="5342F66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（5）存在采购人不能接受内容的情形。</w:t>
      </w:r>
    </w:p>
    <w:p w14:paraId="573BE463">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5.5磋商小组将与通过符合性审查的供应商逐一磋商、综合评审，确定进入下一轮报价的供应商。</w:t>
      </w:r>
    </w:p>
    <w:p w14:paraId="566B36F1">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6.响应文件的澄清</w:t>
      </w:r>
    </w:p>
    <w:p w14:paraId="25E41E69">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6.1响应文件中有含义不明确的内容、明显文字或者计算错误，磋商小组认为需要供应商作出必要澄清、说明的，以书面形式通知该供应商。</w:t>
      </w:r>
    </w:p>
    <w:p w14:paraId="653B531D">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6.2供应商的澄清、说明应当采用书面形式,并不得超出响应文件的范围或者改变响应文件的实质性内容。  </w:t>
      </w:r>
    </w:p>
    <w:p w14:paraId="40CF983D">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rPr>
        <w:t>6.3磋商小组要求供应商澄清的事项，供应商</w:t>
      </w:r>
      <w:r>
        <w:rPr>
          <w:rFonts w:hint="eastAsia" w:ascii="仿宋" w:hAnsi="仿宋" w:eastAsia="仿宋" w:cs="仿宋"/>
          <w:sz w:val="24"/>
          <w:szCs w:val="24"/>
          <w:highlight w:val="none"/>
          <w:shd w:val="clear" w:color="auto" w:fill="FFFFFF"/>
        </w:rPr>
        <w:t>应由法定代表人或其全权代理人在规定时间内向磋商小组做出书面答复，并由法定代表人或其全权代理人签字（或加盖供应商公章），否则视为自动放弃。</w:t>
      </w:r>
    </w:p>
    <w:p w14:paraId="72B3B72A">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6.4磋商小组不得暗示或者诱导供应商作出澄清、说明，不得接受供应商主动提出的澄清、说明。</w:t>
      </w:r>
    </w:p>
    <w:p w14:paraId="7973077B">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7.评审事项处理原则</w:t>
      </w:r>
    </w:p>
    <w:p w14:paraId="062BF38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7.1</w:t>
      </w:r>
      <w:r>
        <w:rPr>
          <w:rFonts w:hint="eastAsia" w:ascii="仿宋" w:hAnsi="仿宋" w:eastAsia="仿宋" w:cs="仿宋"/>
          <w:sz w:val="24"/>
          <w:szCs w:val="24"/>
          <w:highlight w:val="none"/>
        </w:rPr>
        <w:t>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3213AD0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7.2磋商小组有权判定不同供应商的响应文件是否属于异常一致或者报价呈规律性。</w:t>
      </w:r>
    </w:p>
    <w:p w14:paraId="73F391F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7.3有效供应商的最低报价不作为成交的评审依据，亦不作为不成交的评审依据。</w:t>
      </w:r>
    </w:p>
    <w:p w14:paraId="594378E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7.4磋商小组发现磋商文件存在歧义、重大缺陷导致评审工作无法进行，或者磋商文件内容违反国家有关强制性规定的，应当停止评审工作，与采购人或者采购代理机构沟通并作书面记录。</w:t>
      </w:r>
    </w:p>
    <w:p w14:paraId="32B9E9EB">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8.最终报价</w:t>
      </w:r>
    </w:p>
    <w:p w14:paraId="04AB50E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8.1报价原则</w:t>
      </w:r>
    </w:p>
    <w:p w14:paraId="7FE8FBD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8.1.1磋商文件能够详细列明采购标的的技术要求、服务要求等的，磋商结束后，磋商小组应当向所有实质性响应磋商文件要求的供应商开启第二次报价通知，并要求其在规定时间内在“政采云系统”中提交第二次（最终）报价。</w:t>
      </w:r>
    </w:p>
    <w:p w14:paraId="1352238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8.1.2磋商文件不能详细列明采购标的的技术要求、服务要求的，需经磋商由供应商提供最终解决方案的，磋商结束后，磋商小组应当按照少数服从多数的原则投票推荐</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家以上供应商的解决方案，并要求其在规定时间内在“政采云系统”中提交最终报价。</w:t>
      </w:r>
    </w:p>
    <w:p w14:paraId="0682F3E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7B8BED5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8.1.4提交的最终报价须加盖电子CA章，并在政采云系统上传。</w:t>
      </w:r>
    </w:p>
    <w:p w14:paraId="069F4C6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8.2报价审核</w:t>
      </w:r>
    </w:p>
    <w:p w14:paraId="538C31D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8.2.1根据本文件第四</w:t>
      </w:r>
      <w:r>
        <w:rPr>
          <w:rFonts w:hint="eastAsia" w:ascii="仿宋" w:hAnsi="仿宋" w:eastAsia="仿宋" w:cs="仿宋"/>
          <w:sz w:val="24"/>
          <w:szCs w:val="24"/>
          <w:highlight w:val="none"/>
          <w:lang w:eastAsia="zh-CN"/>
        </w:rPr>
        <w:t>章</w:t>
      </w:r>
      <w:r>
        <w:rPr>
          <w:rFonts w:hint="eastAsia" w:ascii="仿宋" w:hAnsi="仿宋" w:eastAsia="仿宋" w:cs="仿宋"/>
          <w:sz w:val="24"/>
          <w:szCs w:val="24"/>
          <w:highlight w:val="none"/>
        </w:rPr>
        <w:t>“评审方法和标准”对最终报价进行符合性审查。</w:t>
      </w:r>
    </w:p>
    <w:p w14:paraId="133CE29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8.2.2对最终报价存在明显不合理的，磋商小组有权决定是否通过“政采云系统”要求供应商在规定时间内提供相关证明材料。</w:t>
      </w:r>
    </w:p>
    <w:p w14:paraId="1D0B509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8.2.3提交最终报价的供应商家数不足法定供应商数量的，需依法重新组织磋商活动或终止磋商活动。</w:t>
      </w:r>
    </w:p>
    <w:p w14:paraId="00D0784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8.2.4经审查，合格供应商数量符合法定供应商家数时，对符合政策性要求优惠的各供应商的最终报价，按照磋商文件中确定的优惠率，对其最终报价进行调整后，形成各供应商最终评审价格。</w:t>
      </w:r>
    </w:p>
    <w:p w14:paraId="469E985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8.3存在下列情况之一者将视为响应无效：</w:t>
      </w:r>
    </w:p>
    <w:p w14:paraId="58ED355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（1）未在规定时间内提交最终报价的；</w:t>
      </w:r>
    </w:p>
    <w:p w14:paraId="7580551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（2）未在最终报价函中加盖电子CA章的；</w:t>
      </w:r>
    </w:p>
    <w:p w14:paraId="717185A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（3）未按最终报价函要求进行填报或最终报价函填报不完整，存在空项、漏项、缺项的；</w:t>
      </w:r>
    </w:p>
    <w:p w14:paraId="7BCD1E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02791FC3">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9.评审报告</w:t>
      </w:r>
    </w:p>
    <w:p w14:paraId="76A9D1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9.1磋商小组根据全体磋商小组成员签字的原始评审记录和评审结果编写评审报告，并签字确认，各成员对个人的评审意见承担法律责任。</w:t>
      </w:r>
    </w:p>
    <w:p w14:paraId="25D9AE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9.2磋商小组成员对需要共同认定的事项存在争议的，按照少数服从多数的原则作出结论。持不同意见的磋商小组成员应当在评审报告上签署不同意见及理由，拒绝在报告上签字又不书面说明其不同意见和理由的，视为同意评审报告。</w:t>
      </w:r>
    </w:p>
    <w:p w14:paraId="4F54A4CE">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10.确定成交供应商</w:t>
      </w:r>
    </w:p>
    <w:p w14:paraId="466242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10.1本次磋商项目，授权磋商小组按照成交候选供应商排序，优先直接确定排名第一的供应商为成交供应商。</w:t>
      </w:r>
    </w:p>
    <w:p w14:paraId="09669AC7">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11.评审复核</w:t>
      </w:r>
    </w:p>
    <w:p w14:paraId="0D544B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11.1磋商小组要对评审数据进行校对、核对。</w:t>
      </w:r>
    </w:p>
    <w:p w14:paraId="2BEE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11.2除资格性审查认定错误、分值汇总计算错误、分项评分超出评分范围、客观分评分不一致、经磋商小组一致认定畸高、畸低的情形外，代理机构或者采购方不得以任何理由组织重新评审。</w:t>
      </w:r>
    </w:p>
    <w:p w14:paraId="649015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11.3采购方、代理机构发现磋商小组未按磋商文件规定的评审标准进行评审的，应当重新开展磋商活动，并同时书面报告相关部门。</w:t>
      </w:r>
    </w:p>
    <w:p w14:paraId="04CE7084">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12.磋商项目终止</w:t>
      </w:r>
    </w:p>
    <w:p w14:paraId="20486C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12.1出现下列情形之一的，代理机构或采购方应当终止磋商活动，发布项目终止公告并说明原因，重新开展磋商活动：</w:t>
      </w:r>
    </w:p>
    <w:p w14:paraId="33850D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（1）因情况变化，不再符合规定的磋商方式适用情形的；</w:t>
      </w:r>
    </w:p>
    <w:p w14:paraId="6ECE27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（2）出现影响磋商公正、公平行为的；</w:t>
      </w:r>
    </w:p>
    <w:p w14:paraId="323B81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（3）在磋商过程中符合磋商文件资格性符合性要求的供应商不足3家的（符合《政府采购竞争性磋商采购方式管理暂行办法》），但技术复杂或者性质特殊，不能确定具体要求的情形除外。</w:t>
      </w:r>
    </w:p>
    <w:p w14:paraId="420A97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12.2在磋商活动中因重大变故，磋商任务取消的，代理机构或采购方应当终止磋商活动，通过发布终止项目公告的方式通知所有参加磋商活动的供应商，并将项目实施情况和磋商任务取消原因报送相关部门。</w:t>
      </w:r>
    </w:p>
    <w:p w14:paraId="2A4CB38C">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13.保密和披露</w:t>
      </w:r>
    </w:p>
    <w:p w14:paraId="0C9F95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13.1供应商自获取磋商文件之日起，须承诺承担对本磋商项目的保密义务，不得将因本次磋商获得的信息向第三方外传。</w:t>
      </w:r>
    </w:p>
    <w:p w14:paraId="5D129B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13.2参加磋商过程的有关人员对磋商情况以及在磋商过程中获悉的国家秘密、商业秘密负有保密责任。</w:t>
      </w:r>
    </w:p>
    <w:p w14:paraId="3AEEAD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13.3代理机构有权将供应商提供的所有资料向有关部门或评审的有关人员披露。</w:t>
      </w:r>
    </w:p>
    <w:p w14:paraId="0E0F50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04A0981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13.5在磋商期间，供应商企图影响代理机构或磋商小组的任何活动，将导致磋商被拒绝，并承担相应的责任。</w:t>
      </w:r>
    </w:p>
    <w:p w14:paraId="3481678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13.6磋商结束后，参与评审的所有人员不得带走与相关规定要求违背的任何资料。</w:t>
      </w:r>
    </w:p>
    <w:p w14:paraId="415F80E2">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14.关于供应商瑕疵滞后发现的处理规则</w:t>
      </w:r>
    </w:p>
    <w:p w14:paraId="355B893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14.1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3024AD07">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成交公告与成交通知</w:t>
      </w:r>
    </w:p>
    <w:p w14:paraId="2D02691C">
      <w:pPr>
        <w:pStyle w:val="44"/>
        <w:keepNext w:val="0"/>
        <w:keepLines w:val="0"/>
        <w:pageBreakBefore w:val="0"/>
        <w:widowControl w:val="0"/>
        <w:numPr>
          <w:ilvl w:val="0"/>
          <w:numId w:val="0"/>
        </w:numPr>
        <w:kinsoku/>
        <w:wordWrap/>
        <w:overflowPunct/>
        <w:topLinePunct w:val="0"/>
        <w:autoSpaceDE/>
        <w:autoSpaceDN/>
        <w:bidi w:val="0"/>
        <w:snapToGrid w:val="0"/>
        <w:spacing w:line="480" w:lineRule="exact"/>
        <w:ind w:left="105" w:leftChars="50" w:firstLine="360" w:firstLineChars="15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15.1代理机构或采购方应当在成交供应商确定后2个工作日内，在中国政府采购网山西分网发布成交结果，同时向成交供应商发出成交通知书，并将磋商文件随成交结果同时公告。成交结果公告应当包括：</w:t>
      </w:r>
    </w:p>
    <w:p w14:paraId="32B4DE80">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（1）采购方和代理机构的名称、地址和联系方式；</w:t>
      </w:r>
    </w:p>
    <w:p w14:paraId="47CCB6AC">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（2）项目名称和项目编号；</w:t>
      </w:r>
    </w:p>
    <w:p w14:paraId="7C1752DF">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（3）成交供应商名称、地址和成交金额；</w:t>
      </w:r>
    </w:p>
    <w:p w14:paraId="6AE26C2B">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（4）主要成交标的的名称、规格型号、数量、单价、服务要求；</w:t>
      </w:r>
    </w:p>
    <w:p w14:paraId="24B0839D">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（5）磋商小组成员名单。</w:t>
      </w:r>
    </w:p>
    <w:p w14:paraId="58E0A19B">
      <w:pPr>
        <w:keepNext w:val="0"/>
        <w:keepLines w:val="0"/>
        <w:pageBreakBefore w:val="0"/>
        <w:widowControl w:val="0"/>
        <w:tabs>
          <w:tab w:val="left" w:pos="567"/>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15.2代理机构对未成交的供应商不做未成交原因的解释。</w:t>
      </w:r>
    </w:p>
    <w:p w14:paraId="1F4103A1">
      <w:pPr>
        <w:keepNext w:val="0"/>
        <w:keepLines w:val="0"/>
        <w:pageBreakBefore w:val="0"/>
        <w:widowControl w:val="0"/>
        <w:tabs>
          <w:tab w:val="left" w:pos="567"/>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15.3成交通知书对采购方和成交供应商具有同等法律效力，是合同的组成部分。</w:t>
      </w:r>
    </w:p>
    <w:p w14:paraId="1FFE0328">
      <w:pPr>
        <w:keepNext w:val="0"/>
        <w:keepLines w:val="0"/>
        <w:pageBreakBefore w:val="0"/>
        <w:widowControl w:val="0"/>
        <w:tabs>
          <w:tab w:val="left" w:pos="567"/>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15.4除不可抗力等因素外，成交通知书发出后，采购方改变成交结果，或者成交供应商拒绝签订合同的，应当承担相应的责任。</w:t>
      </w:r>
    </w:p>
    <w:p w14:paraId="64A816A3">
      <w:pPr>
        <w:keepNext w:val="0"/>
        <w:keepLines w:val="0"/>
        <w:pageBreakBefore w:val="0"/>
        <w:widowControl w:val="0"/>
        <w:tabs>
          <w:tab w:val="left" w:pos="567"/>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15.5成交供应商拒绝签订合同的，采购方可以确定其他供应商作为成交供应商，并签订合同；也可以重新开展磋商活动。拒绝签订合同的成交供应商不得参加对该项目重新开展的磋商活动。</w:t>
      </w:r>
    </w:p>
    <w:p w14:paraId="6E64E8A1">
      <w:pPr>
        <w:pStyle w:val="15"/>
        <w:keepNext w:val="0"/>
        <w:keepLines w:val="0"/>
        <w:pageBreakBefore w:val="0"/>
        <w:tabs>
          <w:tab w:val="left" w:pos="2475"/>
          <w:tab w:val="center" w:pos="4873"/>
        </w:tabs>
        <w:wordWrap/>
        <w:overflowPunct/>
        <w:topLinePunct w:val="0"/>
        <w:bidi w:val="0"/>
        <w:spacing w:line="440" w:lineRule="exact"/>
        <w:ind w:firstLine="472" w:firstLineChars="196"/>
        <w:outlineLvl w:val="9"/>
        <w:rPr>
          <w:rFonts w:hint="eastAsia" w:ascii="仿宋" w:hAnsi="仿宋" w:eastAsia="仿宋" w:cs="仿宋"/>
          <w:b/>
          <w:bCs/>
          <w:sz w:val="24"/>
          <w:szCs w:val="24"/>
          <w:highlight w:val="none"/>
        </w:rPr>
      </w:pPr>
      <w:bookmarkStart w:id="58" w:name="_Toc104232630"/>
      <w:bookmarkStart w:id="59" w:name="_Toc3172"/>
      <w:r>
        <w:rPr>
          <w:rFonts w:hint="eastAsia" w:ascii="仿宋" w:hAnsi="仿宋" w:eastAsia="仿宋" w:cs="仿宋"/>
          <w:b/>
          <w:bCs/>
          <w:sz w:val="24"/>
          <w:szCs w:val="24"/>
          <w:highlight w:val="none"/>
        </w:rPr>
        <w:t>16.资格审查</w:t>
      </w:r>
      <w:bookmarkEnd w:id="58"/>
      <w:bookmarkEnd w:id="59"/>
    </w:p>
    <w:p w14:paraId="4E4849E0">
      <w:pPr>
        <w:pStyle w:val="15"/>
        <w:keepNext w:val="0"/>
        <w:keepLines w:val="0"/>
        <w:pageBreakBefore w:val="0"/>
        <w:tabs>
          <w:tab w:val="left" w:pos="2475"/>
          <w:tab w:val="center" w:pos="4873"/>
        </w:tabs>
        <w:wordWrap/>
        <w:overflowPunct/>
        <w:topLinePunct w:val="0"/>
        <w:bidi w:val="0"/>
        <w:spacing w:line="440" w:lineRule="exact"/>
        <w:ind w:firstLine="472" w:firstLineChars="196"/>
        <w:outlineLvl w:val="9"/>
        <w:rPr>
          <w:rFonts w:hint="eastAsia" w:ascii="仿宋" w:hAnsi="仿宋" w:eastAsia="仿宋" w:cs="仿宋"/>
          <w:b/>
          <w:bCs/>
          <w:sz w:val="24"/>
          <w:szCs w:val="24"/>
          <w:highlight w:val="none"/>
        </w:rPr>
      </w:pPr>
      <w:bookmarkStart w:id="60" w:name="_Toc8697"/>
      <w:bookmarkStart w:id="61" w:name="_Toc104232631"/>
      <w:r>
        <w:rPr>
          <w:rFonts w:hint="eastAsia" w:ascii="仿宋" w:hAnsi="仿宋" w:eastAsia="仿宋" w:cs="仿宋"/>
          <w:b/>
          <w:bCs/>
          <w:sz w:val="24"/>
          <w:szCs w:val="24"/>
          <w:highlight w:val="none"/>
        </w:rPr>
        <w:t>16.1资格审查内容及标准</w:t>
      </w:r>
      <w:bookmarkEnd w:id="60"/>
      <w:bookmarkEnd w:id="61"/>
    </w:p>
    <w:tbl>
      <w:tblPr>
        <w:tblStyle w:val="2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14"/>
        <w:gridCol w:w="3533"/>
        <w:gridCol w:w="3712"/>
      </w:tblGrid>
      <w:tr w14:paraId="7885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36BC4C0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314" w:type="dxa"/>
            <w:vAlign w:val="center"/>
          </w:tcPr>
          <w:p w14:paraId="51A6899D">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类型</w:t>
            </w:r>
          </w:p>
        </w:tc>
        <w:tc>
          <w:tcPr>
            <w:tcW w:w="3533" w:type="dxa"/>
            <w:vAlign w:val="center"/>
          </w:tcPr>
          <w:p w14:paraId="6417DDA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审查要求</w:t>
            </w:r>
          </w:p>
        </w:tc>
        <w:tc>
          <w:tcPr>
            <w:tcW w:w="3712" w:type="dxa"/>
            <w:vAlign w:val="center"/>
          </w:tcPr>
          <w:p w14:paraId="7F843A1B">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要求说明</w:t>
            </w:r>
          </w:p>
        </w:tc>
      </w:tr>
      <w:tr w14:paraId="3FF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4C511F8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p>
        </w:tc>
        <w:tc>
          <w:tcPr>
            <w:tcW w:w="1314" w:type="dxa"/>
            <w:vAlign w:val="center"/>
          </w:tcPr>
          <w:p w14:paraId="6F90A901">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营业执照</w:t>
            </w:r>
          </w:p>
        </w:tc>
        <w:tc>
          <w:tcPr>
            <w:tcW w:w="3533" w:type="dxa"/>
            <w:vAlign w:val="center"/>
          </w:tcPr>
          <w:p w14:paraId="7A0E288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具有独立承担民事责任的能力</w:t>
            </w:r>
          </w:p>
        </w:tc>
        <w:tc>
          <w:tcPr>
            <w:tcW w:w="3712" w:type="dxa"/>
            <w:vAlign w:val="center"/>
          </w:tcPr>
          <w:p w14:paraId="7931637F">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3C61715C">
            <w:pPr>
              <w:keepNext w:val="0"/>
              <w:keepLines w:val="0"/>
              <w:pageBreakBefore w:val="0"/>
              <w:kinsoku/>
              <w:wordWrap/>
              <w:overflowPunct/>
              <w:topLinePunct w:val="0"/>
              <w:autoSpaceDE/>
              <w:autoSpaceDN/>
              <w:bidi w:val="0"/>
              <w:spacing w:line="500" w:lineRule="exact"/>
              <w:ind w:left="0" w:leftChars="0" w:right="0" w:rightChars="0" w:firstLine="0" w:firstLineChars="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6E50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16" w:type="dxa"/>
            <w:vAlign w:val="center"/>
          </w:tcPr>
          <w:p w14:paraId="1F23FB82">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w:t>
            </w:r>
          </w:p>
        </w:tc>
        <w:tc>
          <w:tcPr>
            <w:tcW w:w="1314" w:type="dxa"/>
            <w:vAlign w:val="center"/>
          </w:tcPr>
          <w:p w14:paraId="532B5D66">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财务报告</w:t>
            </w:r>
          </w:p>
        </w:tc>
        <w:tc>
          <w:tcPr>
            <w:tcW w:w="3533" w:type="dxa"/>
            <w:vAlign w:val="center"/>
          </w:tcPr>
          <w:p w14:paraId="32FCCA4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具有良好的商业信誉和健全的财务会计制度</w:t>
            </w:r>
          </w:p>
        </w:tc>
        <w:tc>
          <w:tcPr>
            <w:tcW w:w="3712" w:type="dxa"/>
            <w:vAlign w:val="center"/>
          </w:tcPr>
          <w:p w14:paraId="4F4A975E">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087561EA">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7F2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1764FD5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w:t>
            </w:r>
          </w:p>
        </w:tc>
        <w:tc>
          <w:tcPr>
            <w:tcW w:w="1314" w:type="dxa"/>
            <w:vAlign w:val="center"/>
          </w:tcPr>
          <w:p w14:paraId="7E773162">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EC50C66">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具有履行合同所必需的设备和专业技术能力</w:t>
            </w:r>
          </w:p>
        </w:tc>
        <w:tc>
          <w:tcPr>
            <w:tcW w:w="3712" w:type="dxa"/>
            <w:vAlign w:val="center"/>
          </w:tcPr>
          <w:p w14:paraId="1BBFDDB3">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63F8E8F0">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3485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6" w:type="dxa"/>
            <w:vAlign w:val="center"/>
          </w:tcPr>
          <w:p w14:paraId="4C53866A">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w:t>
            </w:r>
          </w:p>
        </w:tc>
        <w:tc>
          <w:tcPr>
            <w:tcW w:w="1314" w:type="dxa"/>
            <w:vAlign w:val="center"/>
          </w:tcPr>
          <w:p w14:paraId="3FB2A969">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B2285A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有依法缴纳税收和社会保障资金的良好记录</w:t>
            </w:r>
          </w:p>
        </w:tc>
        <w:tc>
          <w:tcPr>
            <w:tcW w:w="3712" w:type="dxa"/>
            <w:vAlign w:val="center"/>
          </w:tcPr>
          <w:p w14:paraId="3D83B4C8">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0A920545">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640A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16" w:type="dxa"/>
            <w:vAlign w:val="center"/>
          </w:tcPr>
          <w:p w14:paraId="238CC03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w:t>
            </w:r>
          </w:p>
        </w:tc>
        <w:tc>
          <w:tcPr>
            <w:tcW w:w="1314" w:type="dxa"/>
            <w:vAlign w:val="center"/>
          </w:tcPr>
          <w:p w14:paraId="60217915">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1B7FEB7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参加政府采购活动前三年内，在经营活动中没有重大违法记录</w:t>
            </w:r>
          </w:p>
        </w:tc>
        <w:tc>
          <w:tcPr>
            <w:tcW w:w="3712" w:type="dxa"/>
            <w:vAlign w:val="center"/>
          </w:tcPr>
          <w:p w14:paraId="557B9611">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27FDC316">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4B0F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16" w:type="dxa"/>
            <w:vAlign w:val="center"/>
          </w:tcPr>
          <w:p w14:paraId="2D9166A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w:t>
            </w:r>
          </w:p>
        </w:tc>
        <w:tc>
          <w:tcPr>
            <w:tcW w:w="1314" w:type="dxa"/>
            <w:vAlign w:val="center"/>
          </w:tcPr>
          <w:p w14:paraId="6CE648D0">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采购政策</w:t>
            </w:r>
          </w:p>
        </w:tc>
        <w:tc>
          <w:tcPr>
            <w:tcW w:w="3533" w:type="dxa"/>
            <w:vAlign w:val="center"/>
          </w:tcPr>
          <w:p w14:paraId="0A2017C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供应商应为中小企业</w:t>
            </w:r>
          </w:p>
        </w:tc>
        <w:tc>
          <w:tcPr>
            <w:tcW w:w="3712" w:type="dxa"/>
            <w:vAlign w:val="center"/>
          </w:tcPr>
          <w:p w14:paraId="1CF40828">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请根据要求单独上传《中小企业声明函》。格式以采购文件要求为准。</w:t>
            </w:r>
          </w:p>
        </w:tc>
      </w:tr>
      <w:tr w14:paraId="3D49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16" w:type="dxa"/>
            <w:vAlign w:val="center"/>
          </w:tcPr>
          <w:p w14:paraId="4EFC5319">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w:t>
            </w:r>
          </w:p>
        </w:tc>
        <w:tc>
          <w:tcPr>
            <w:tcW w:w="1314" w:type="dxa"/>
            <w:vAlign w:val="center"/>
          </w:tcPr>
          <w:p w14:paraId="74A88BF3">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F87FFDA">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对供应商提交的磋商保证金的符合性进行审查</w:t>
            </w:r>
          </w:p>
        </w:tc>
        <w:tc>
          <w:tcPr>
            <w:tcW w:w="3712" w:type="dxa"/>
            <w:vAlign w:val="center"/>
          </w:tcPr>
          <w:p w14:paraId="1FA78817">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提供磋商保证金提交凭据；</w:t>
            </w:r>
          </w:p>
          <w:p w14:paraId="0C8710AC">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355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175" w:type="dxa"/>
            <w:gridSpan w:val="4"/>
            <w:vAlign w:val="center"/>
          </w:tcPr>
          <w:p w14:paraId="123B0E21">
            <w:pPr>
              <w:pStyle w:val="12"/>
              <w:keepNext w:val="0"/>
              <w:keepLines w:val="0"/>
              <w:pageBreakBefore w:val="0"/>
              <w:tabs>
                <w:tab w:val="left" w:pos="2507"/>
              </w:tabs>
              <w:kinsoku/>
              <w:wordWrap/>
              <w:overflowPunct/>
              <w:topLinePunct w:val="0"/>
              <w:autoSpaceDE/>
              <w:autoSpaceDN/>
              <w:bidi w:val="0"/>
              <w:spacing w:after="0" w:line="500" w:lineRule="exact"/>
              <w:ind w:left="0" w:leftChars="0" w:right="0" w:rightChars="0" w:firstLine="0" w:firstLineChars="0"/>
              <w:textAlignment w:val="auto"/>
              <w:rPr>
                <w:rFonts w:hint="eastAsia" w:ascii="仿宋" w:hAnsi="仿宋" w:eastAsia="仿宋" w:cs="仿宋"/>
                <w:sz w:val="24"/>
                <w:szCs w:val="24"/>
                <w:highlight w:val="none"/>
              </w:rPr>
            </w:pPr>
            <w:r>
              <w:rPr>
                <w:rFonts w:hint="eastAsia" w:ascii="仿宋" w:hAnsi="仿宋" w:eastAsia="仿宋" w:cs="仿宋"/>
                <w:b/>
                <w:bCs/>
                <w:kern w:val="0"/>
                <w:sz w:val="24"/>
                <w:szCs w:val="24"/>
                <w:highlight w:val="none"/>
                <w:lang w:val="en-US" w:eastAsia="zh-CN" w:bidi="ar-SA"/>
              </w:rPr>
              <w:t>资格审查注意事项：</w:t>
            </w:r>
            <w:r>
              <w:rPr>
                <w:rFonts w:hint="eastAsia" w:ascii="仿宋" w:hAnsi="仿宋" w:eastAsia="仿宋" w:cs="仿宋"/>
                <w:b w:val="0"/>
                <w:bCs w:val="0"/>
                <w:kern w:val="0"/>
                <w:sz w:val="24"/>
                <w:szCs w:val="24"/>
                <w:highlight w:val="none"/>
              </w:rPr>
              <w:br w:type="textWrapping"/>
            </w:r>
            <w:r>
              <w:rPr>
                <w:rFonts w:hint="eastAsia" w:ascii="仿宋" w:hAnsi="仿宋" w:eastAsia="仿宋" w:cs="仿宋"/>
                <w:kern w:val="0"/>
                <w:sz w:val="24"/>
                <w:szCs w:val="24"/>
                <w:highlight w:val="none"/>
                <w:lang w:val="en-US" w:eastAsia="zh-CN" w:bidi="ar-SA"/>
              </w:rPr>
              <w:t>资格审查小组各成员判定某供应商未通过资格审查的，应签署具体原因，否则视为该供应商通过资格审查。</w:t>
            </w:r>
          </w:p>
        </w:tc>
      </w:tr>
    </w:tbl>
    <w:p w14:paraId="7DADCF9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16.2通过资格审查供应商的响应文件，将进入下一步的符合性审查。</w:t>
      </w:r>
    </w:p>
    <w:p w14:paraId="0F1C21A2">
      <w:pPr>
        <w:keepNext w:val="0"/>
        <w:keepLines w:val="0"/>
        <w:pageBreakBefore w:val="0"/>
        <w:wordWrap/>
        <w:overflowPunct/>
        <w:topLinePunct w:val="0"/>
        <w:bidi w:val="0"/>
        <w:spacing w:line="520" w:lineRule="exact"/>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17.符合性审查内容及标准</w:t>
      </w:r>
    </w:p>
    <w:tbl>
      <w:tblPr>
        <w:tblStyle w:val="78"/>
        <w:tblW w:w="882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405"/>
        <w:gridCol w:w="4604"/>
      </w:tblGrid>
      <w:tr w14:paraId="5CA1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20" w:type="dxa"/>
            <w:vAlign w:val="top"/>
          </w:tcPr>
          <w:p w14:paraId="1626D888">
            <w:pPr>
              <w:pStyle w:val="77"/>
              <w:keepNext w:val="0"/>
              <w:keepLines w:val="0"/>
              <w:pageBreakBefore w:val="0"/>
              <w:wordWrap/>
              <w:overflowPunct/>
              <w:topLinePunct w:val="0"/>
              <w:bidi w:val="0"/>
              <w:spacing w:line="520" w:lineRule="exact"/>
              <w:jc w:val="center"/>
              <w:rPr>
                <w:sz w:val="24"/>
                <w:szCs w:val="24"/>
              </w:rPr>
            </w:pPr>
            <w:r>
              <w:rPr>
                <w:spacing w:val="2"/>
                <w:sz w:val="24"/>
                <w:szCs w:val="24"/>
              </w:rPr>
              <w:t>序号</w:t>
            </w:r>
          </w:p>
        </w:tc>
        <w:tc>
          <w:tcPr>
            <w:tcW w:w="3405" w:type="dxa"/>
            <w:vAlign w:val="top"/>
          </w:tcPr>
          <w:p w14:paraId="7B55AC3F">
            <w:pPr>
              <w:pStyle w:val="77"/>
              <w:keepNext w:val="0"/>
              <w:keepLines w:val="0"/>
              <w:pageBreakBefore w:val="0"/>
              <w:wordWrap/>
              <w:overflowPunct/>
              <w:topLinePunct w:val="0"/>
              <w:bidi w:val="0"/>
              <w:spacing w:line="520" w:lineRule="exact"/>
              <w:jc w:val="center"/>
              <w:rPr>
                <w:sz w:val="24"/>
                <w:szCs w:val="24"/>
              </w:rPr>
            </w:pPr>
            <w:r>
              <w:rPr>
                <w:spacing w:val="-11"/>
                <w:sz w:val="24"/>
                <w:szCs w:val="24"/>
              </w:rPr>
              <w:t>内容</w:t>
            </w:r>
          </w:p>
        </w:tc>
        <w:tc>
          <w:tcPr>
            <w:tcW w:w="4604" w:type="dxa"/>
            <w:vAlign w:val="top"/>
          </w:tcPr>
          <w:p w14:paraId="75CEC167">
            <w:pPr>
              <w:pStyle w:val="77"/>
              <w:keepNext w:val="0"/>
              <w:keepLines w:val="0"/>
              <w:pageBreakBefore w:val="0"/>
              <w:wordWrap/>
              <w:overflowPunct/>
              <w:topLinePunct w:val="0"/>
              <w:bidi w:val="0"/>
              <w:spacing w:line="520" w:lineRule="exact"/>
              <w:jc w:val="center"/>
              <w:rPr>
                <w:sz w:val="24"/>
                <w:szCs w:val="24"/>
              </w:rPr>
            </w:pPr>
            <w:r>
              <w:rPr>
                <w:spacing w:val="5"/>
                <w:sz w:val="24"/>
                <w:szCs w:val="24"/>
              </w:rPr>
              <w:t>评审标准</w:t>
            </w:r>
          </w:p>
        </w:tc>
      </w:tr>
      <w:tr w14:paraId="30D4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0" w:type="dxa"/>
            <w:vAlign w:val="center"/>
          </w:tcPr>
          <w:p w14:paraId="6B82FD10">
            <w:pPr>
              <w:pStyle w:val="77"/>
              <w:keepNext w:val="0"/>
              <w:keepLines w:val="0"/>
              <w:pageBreakBefore w:val="0"/>
              <w:wordWrap/>
              <w:overflowPunct/>
              <w:topLinePunct w:val="0"/>
              <w:bidi w:val="0"/>
              <w:spacing w:line="520" w:lineRule="exact"/>
              <w:jc w:val="center"/>
              <w:rPr>
                <w:sz w:val="24"/>
                <w:szCs w:val="24"/>
              </w:rPr>
            </w:pPr>
            <w:r>
              <w:rPr>
                <w:position w:val="1"/>
                <w:sz w:val="24"/>
                <w:szCs w:val="24"/>
              </w:rPr>
              <w:t>1</w:t>
            </w:r>
          </w:p>
        </w:tc>
        <w:tc>
          <w:tcPr>
            <w:tcW w:w="3405" w:type="dxa"/>
            <w:vAlign w:val="center"/>
          </w:tcPr>
          <w:p w14:paraId="4A8FBBCF">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rFonts w:hint="eastAsia" w:ascii="仿宋" w:hAnsi="仿宋" w:eastAsia="仿宋" w:cs="仿宋"/>
                <w:sz w:val="24"/>
                <w:szCs w:val="24"/>
                <w:highlight w:val="none"/>
              </w:rPr>
              <w:t>对供应商提供的磋商函的符合性、完整性进行审查</w:t>
            </w:r>
          </w:p>
        </w:tc>
        <w:tc>
          <w:tcPr>
            <w:tcW w:w="4604" w:type="dxa"/>
            <w:vAlign w:val="center"/>
          </w:tcPr>
          <w:p w14:paraId="275FD967">
            <w:pPr>
              <w:pStyle w:val="77"/>
              <w:keepNext w:val="0"/>
              <w:keepLines w:val="0"/>
              <w:pageBreakBefore w:val="0"/>
              <w:wordWrap/>
              <w:overflowPunct/>
              <w:topLinePunct w:val="0"/>
              <w:bidi w:val="0"/>
              <w:spacing w:line="520" w:lineRule="exact"/>
              <w:jc w:val="both"/>
              <w:rPr>
                <w:sz w:val="24"/>
                <w:szCs w:val="24"/>
              </w:rPr>
            </w:pPr>
            <w:r>
              <w:rPr>
                <w:spacing w:val="6"/>
                <w:sz w:val="24"/>
                <w:szCs w:val="24"/>
              </w:rPr>
              <w:t>内容齐全，签署符合磋商文件要求；</w:t>
            </w:r>
          </w:p>
        </w:tc>
      </w:tr>
      <w:tr w14:paraId="3B0D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20" w:type="dxa"/>
            <w:vAlign w:val="center"/>
          </w:tcPr>
          <w:p w14:paraId="29FA2C13">
            <w:pPr>
              <w:pStyle w:val="77"/>
              <w:keepNext w:val="0"/>
              <w:keepLines w:val="0"/>
              <w:pageBreakBefore w:val="0"/>
              <w:wordWrap/>
              <w:overflowPunct/>
              <w:topLinePunct w:val="0"/>
              <w:bidi w:val="0"/>
              <w:spacing w:line="520" w:lineRule="exact"/>
              <w:jc w:val="center"/>
              <w:rPr>
                <w:sz w:val="24"/>
                <w:szCs w:val="24"/>
              </w:rPr>
            </w:pPr>
            <w:r>
              <w:rPr>
                <w:position w:val="1"/>
                <w:sz w:val="24"/>
                <w:szCs w:val="24"/>
              </w:rPr>
              <w:t>2</w:t>
            </w:r>
          </w:p>
        </w:tc>
        <w:tc>
          <w:tcPr>
            <w:tcW w:w="3405" w:type="dxa"/>
            <w:vAlign w:val="center"/>
          </w:tcPr>
          <w:p w14:paraId="7E29C4D8">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6"/>
                <w:sz w:val="24"/>
                <w:szCs w:val="24"/>
              </w:rPr>
              <w:t>响应文件格式</w:t>
            </w:r>
          </w:p>
        </w:tc>
        <w:tc>
          <w:tcPr>
            <w:tcW w:w="4604" w:type="dxa"/>
            <w:vAlign w:val="center"/>
          </w:tcPr>
          <w:p w14:paraId="6A33CF02">
            <w:pPr>
              <w:pStyle w:val="77"/>
              <w:keepNext w:val="0"/>
              <w:keepLines w:val="0"/>
              <w:pageBreakBefore w:val="0"/>
              <w:wordWrap/>
              <w:overflowPunct/>
              <w:topLinePunct w:val="0"/>
              <w:bidi w:val="0"/>
              <w:spacing w:line="520" w:lineRule="exact"/>
              <w:jc w:val="both"/>
              <w:rPr>
                <w:sz w:val="24"/>
                <w:szCs w:val="24"/>
              </w:rPr>
            </w:pPr>
            <w:r>
              <w:rPr>
                <w:spacing w:val="6"/>
                <w:sz w:val="24"/>
                <w:szCs w:val="24"/>
              </w:rPr>
              <w:t>符合磋商文件要求；</w:t>
            </w:r>
          </w:p>
        </w:tc>
      </w:tr>
      <w:tr w14:paraId="15F3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0" w:type="dxa"/>
            <w:vAlign w:val="center"/>
          </w:tcPr>
          <w:p w14:paraId="13EE102B">
            <w:pPr>
              <w:pStyle w:val="77"/>
              <w:keepNext w:val="0"/>
              <w:keepLines w:val="0"/>
              <w:pageBreakBefore w:val="0"/>
              <w:wordWrap/>
              <w:overflowPunct/>
              <w:topLinePunct w:val="0"/>
              <w:bidi w:val="0"/>
              <w:spacing w:line="520" w:lineRule="exact"/>
              <w:jc w:val="center"/>
              <w:rPr>
                <w:sz w:val="24"/>
                <w:szCs w:val="24"/>
              </w:rPr>
            </w:pPr>
            <w:r>
              <w:rPr>
                <w:position w:val="1"/>
                <w:sz w:val="24"/>
                <w:szCs w:val="24"/>
              </w:rPr>
              <w:t>3</w:t>
            </w:r>
          </w:p>
        </w:tc>
        <w:tc>
          <w:tcPr>
            <w:tcW w:w="3405" w:type="dxa"/>
            <w:vAlign w:val="center"/>
          </w:tcPr>
          <w:p w14:paraId="1063A891">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7"/>
                <w:sz w:val="24"/>
                <w:szCs w:val="24"/>
              </w:rPr>
              <w:t>供应商代表证明</w:t>
            </w:r>
          </w:p>
        </w:tc>
        <w:tc>
          <w:tcPr>
            <w:tcW w:w="4604" w:type="dxa"/>
            <w:vAlign w:val="center"/>
          </w:tcPr>
          <w:p w14:paraId="45FC5987">
            <w:pPr>
              <w:pStyle w:val="77"/>
              <w:keepNext w:val="0"/>
              <w:keepLines w:val="0"/>
              <w:pageBreakBefore w:val="0"/>
              <w:wordWrap/>
              <w:overflowPunct/>
              <w:topLinePunct w:val="0"/>
              <w:bidi w:val="0"/>
              <w:spacing w:line="520" w:lineRule="exact"/>
              <w:jc w:val="both"/>
              <w:rPr>
                <w:sz w:val="24"/>
                <w:szCs w:val="24"/>
              </w:rPr>
            </w:pPr>
            <w:r>
              <w:rPr>
                <w:rFonts w:hint="eastAsia"/>
                <w:spacing w:val="6"/>
                <w:sz w:val="24"/>
                <w:szCs w:val="24"/>
              </w:rPr>
              <w:t>证明文件须内容完整、有效、签署符合要求、加盖电子CA章。否则，响应无效</w:t>
            </w:r>
            <w:r>
              <w:rPr>
                <w:spacing w:val="6"/>
                <w:sz w:val="24"/>
                <w:szCs w:val="24"/>
              </w:rPr>
              <w:t>；</w:t>
            </w:r>
          </w:p>
        </w:tc>
      </w:tr>
      <w:tr w14:paraId="32B5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20" w:type="dxa"/>
            <w:vAlign w:val="center"/>
          </w:tcPr>
          <w:p w14:paraId="5BD5F3F4">
            <w:pPr>
              <w:pStyle w:val="77"/>
              <w:keepNext w:val="0"/>
              <w:keepLines w:val="0"/>
              <w:pageBreakBefore w:val="0"/>
              <w:wordWrap/>
              <w:overflowPunct/>
              <w:topLinePunct w:val="0"/>
              <w:bidi w:val="0"/>
              <w:spacing w:line="520" w:lineRule="exact"/>
              <w:jc w:val="center"/>
              <w:rPr>
                <w:sz w:val="24"/>
                <w:szCs w:val="24"/>
              </w:rPr>
            </w:pPr>
            <w:r>
              <w:rPr>
                <w:position w:val="1"/>
                <w:sz w:val="24"/>
                <w:szCs w:val="24"/>
              </w:rPr>
              <w:t>4</w:t>
            </w:r>
          </w:p>
        </w:tc>
        <w:tc>
          <w:tcPr>
            <w:tcW w:w="3405" w:type="dxa"/>
            <w:vAlign w:val="center"/>
          </w:tcPr>
          <w:p w14:paraId="61A9DFA5">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rFonts w:hint="eastAsia"/>
                <w:spacing w:val="7"/>
                <w:sz w:val="24"/>
                <w:szCs w:val="24"/>
                <w:lang w:eastAsia="zh-CN"/>
              </w:rPr>
              <w:t>报价</w:t>
            </w:r>
            <w:r>
              <w:rPr>
                <w:spacing w:val="7"/>
                <w:sz w:val="24"/>
                <w:szCs w:val="24"/>
              </w:rPr>
              <w:t>一览表</w:t>
            </w:r>
          </w:p>
        </w:tc>
        <w:tc>
          <w:tcPr>
            <w:tcW w:w="4604" w:type="dxa"/>
            <w:vAlign w:val="center"/>
          </w:tcPr>
          <w:p w14:paraId="3EE27013">
            <w:pPr>
              <w:pStyle w:val="77"/>
              <w:keepNext w:val="0"/>
              <w:keepLines w:val="0"/>
              <w:pageBreakBefore w:val="0"/>
              <w:wordWrap/>
              <w:overflowPunct/>
              <w:topLinePunct w:val="0"/>
              <w:bidi w:val="0"/>
              <w:spacing w:line="520" w:lineRule="exact"/>
              <w:ind w:left="120"/>
              <w:jc w:val="both"/>
              <w:rPr>
                <w:sz w:val="24"/>
                <w:szCs w:val="24"/>
              </w:rPr>
            </w:pPr>
            <w:r>
              <w:rPr>
                <w:spacing w:val="8"/>
                <w:sz w:val="24"/>
                <w:szCs w:val="24"/>
              </w:rPr>
              <w:t>按</w:t>
            </w:r>
            <w:r>
              <w:rPr>
                <w:rFonts w:hint="eastAsia"/>
                <w:spacing w:val="8"/>
                <w:sz w:val="24"/>
                <w:szCs w:val="24"/>
                <w:lang w:eastAsia="zh-CN"/>
              </w:rPr>
              <w:t>磋商文件</w:t>
            </w:r>
            <w:r>
              <w:rPr>
                <w:spacing w:val="8"/>
                <w:sz w:val="24"/>
                <w:szCs w:val="24"/>
              </w:rPr>
              <w:t>要求提交报价且不高于最高限价；</w:t>
            </w:r>
          </w:p>
        </w:tc>
      </w:tr>
      <w:tr w14:paraId="2CAA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20" w:type="dxa"/>
            <w:vAlign w:val="center"/>
          </w:tcPr>
          <w:p w14:paraId="5F99EE07">
            <w:pPr>
              <w:pStyle w:val="77"/>
              <w:keepNext w:val="0"/>
              <w:keepLines w:val="0"/>
              <w:pageBreakBefore w:val="0"/>
              <w:wordWrap/>
              <w:overflowPunct/>
              <w:topLinePunct w:val="0"/>
              <w:bidi w:val="0"/>
              <w:spacing w:line="520" w:lineRule="exact"/>
              <w:jc w:val="center"/>
              <w:rPr>
                <w:sz w:val="24"/>
                <w:szCs w:val="24"/>
              </w:rPr>
            </w:pPr>
            <w:r>
              <w:rPr>
                <w:position w:val="2"/>
                <w:sz w:val="24"/>
                <w:szCs w:val="24"/>
              </w:rPr>
              <w:t>5</w:t>
            </w:r>
          </w:p>
        </w:tc>
        <w:tc>
          <w:tcPr>
            <w:tcW w:w="3405" w:type="dxa"/>
            <w:vAlign w:val="center"/>
          </w:tcPr>
          <w:p w14:paraId="2B663185">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7"/>
                <w:sz w:val="24"/>
                <w:szCs w:val="24"/>
              </w:rPr>
              <w:t>响应文件的签署、盖章</w:t>
            </w:r>
            <w:r>
              <w:rPr>
                <w:spacing w:val="4"/>
                <w:sz w:val="24"/>
                <w:szCs w:val="24"/>
              </w:rPr>
              <w:t>及其他</w:t>
            </w:r>
          </w:p>
        </w:tc>
        <w:tc>
          <w:tcPr>
            <w:tcW w:w="4604" w:type="dxa"/>
            <w:vAlign w:val="center"/>
          </w:tcPr>
          <w:p w14:paraId="33A04A09">
            <w:pPr>
              <w:pStyle w:val="77"/>
              <w:keepNext w:val="0"/>
              <w:keepLines w:val="0"/>
              <w:pageBreakBefore w:val="0"/>
              <w:wordWrap/>
              <w:overflowPunct/>
              <w:topLinePunct w:val="0"/>
              <w:bidi w:val="0"/>
              <w:spacing w:line="520" w:lineRule="exact"/>
              <w:jc w:val="both"/>
              <w:rPr>
                <w:sz w:val="24"/>
                <w:szCs w:val="24"/>
              </w:rPr>
            </w:pPr>
            <w:r>
              <w:rPr>
                <w:spacing w:val="6"/>
                <w:sz w:val="24"/>
                <w:szCs w:val="24"/>
              </w:rPr>
              <w:t>内容齐全，签署符合文件要求；</w:t>
            </w:r>
          </w:p>
        </w:tc>
      </w:tr>
      <w:tr w14:paraId="5677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20" w:type="dxa"/>
            <w:vAlign w:val="center"/>
          </w:tcPr>
          <w:p w14:paraId="21B17AD8">
            <w:pPr>
              <w:pStyle w:val="77"/>
              <w:keepNext w:val="0"/>
              <w:keepLines w:val="0"/>
              <w:pageBreakBefore w:val="0"/>
              <w:wordWrap/>
              <w:overflowPunct/>
              <w:topLinePunct w:val="0"/>
              <w:bidi w:val="0"/>
              <w:spacing w:line="520" w:lineRule="exact"/>
              <w:ind w:right="202"/>
              <w:jc w:val="center"/>
              <w:rPr>
                <w:rFonts w:hint="eastAsia" w:eastAsia="仿宋"/>
                <w:spacing w:val="7"/>
                <w:sz w:val="24"/>
                <w:szCs w:val="24"/>
                <w:lang w:eastAsia="zh-CN"/>
              </w:rPr>
            </w:pPr>
            <w:r>
              <w:rPr>
                <w:rFonts w:hint="eastAsia"/>
                <w:spacing w:val="7"/>
                <w:sz w:val="24"/>
                <w:szCs w:val="24"/>
                <w:lang w:val="en-US" w:eastAsia="zh-CN"/>
              </w:rPr>
              <w:t>6</w:t>
            </w:r>
          </w:p>
        </w:tc>
        <w:tc>
          <w:tcPr>
            <w:tcW w:w="3405" w:type="dxa"/>
            <w:vAlign w:val="center"/>
          </w:tcPr>
          <w:p w14:paraId="726DE1D0">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pacing w:val="7"/>
                <w:sz w:val="24"/>
                <w:szCs w:val="24"/>
              </w:rPr>
            </w:pPr>
            <w:r>
              <w:rPr>
                <w:spacing w:val="7"/>
                <w:sz w:val="24"/>
                <w:szCs w:val="24"/>
              </w:rPr>
              <w:t>商务要求响应表</w:t>
            </w:r>
          </w:p>
        </w:tc>
        <w:tc>
          <w:tcPr>
            <w:tcW w:w="4604" w:type="dxa"/>
            <w:vAlign w:val="center"/>
          </w:tcPr>
          <w:p w14:paraId="690A4200">
            <w:pPr>
              <w:pStyle w:val="77"/>
              <w:keepNext w:val="0"/>
              <w:keepLines w:val="0"/>
              <w:pageBreakBefore w:val="0"/>
              <w:wordWrap/>
              <w:overflowPunct/>
              <w:topLinePunct w:val="0"/>
              <w:bidi w:val="0"/>
              <w:spacing w:line="520" w:lineRule="exact"/>
              <w:ind w:right="202"/>
              <w:jc w:val="both"/>
              <w:rPr>
                <w:spacing w:val="7"/>
                <w:sz w:val="24"/>
                <w:szCs w:val="24"/>
              </w:rPr>
            </w:pPr>
            <w:r>
              <w:rPr>
                <w:spacing w:val="7"/>
                <w:sz w:val="24"/>
                <w:szCs w:val="24"/>
              </w:rPr>
              <w:t>符合磋商文件要求；</w:t>
            </w:r>
          </w:p>
        </w:tc>
      </w:tr>
      <w:tr w14:paraId="37E16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20" w:type="dxa"/>
            <w:vAlign w:val="center"/>
          </w:tcPr>
          <w:p w14:paraId="6B91E020">
            <w:pPr>
              <w:pStyle w:val="77"/>
              <w:keepNext w:val="0"/>
              <w:keepLines w:val="0"/>
              <w:pageBreakBefore w:val="0"/>
              <w:wordWrap/>
              <w:overflowPunct/>
              <w:topLinePunct w:val="0"/>
              <w:bidi w:val="0"/>
              <w:spacing w:line="520" w:lineRule="exact"/>
              <w:jc w:val="center"/>
              <w:rPr>
                <w:rFonts w:hint="eastAsia" w:eastAsia="仿宋"/>
                <w:sz w:val="24"/>
                <w:szCs w:val="24"/>
                <w:lang w:eastAsia="zh-CN"/>
              </w:rPr>
            </w:pPr>
            <w:r>
              <w:rPr>
                <w:rFonts w:hint="eastAsia"/>
                <w:position w:val="2"/>
                <w:sz w:val="24"/>
                <w:szCs w:val="24"/>
                <w:lang w:val="en-US" w:eastAsia="zh-CN"/>
              </w:rPr>
              <w:t>7</w:t>
            </w:r>
          </w:p>
        </w:tc>
        <w:tc>
          <w:tcPr>
            <w:tcW w:w="3405" w:type="dxa"/>
            <w:vAlign w:val="center"/>
          </w:tcPr>
          <w:p w14:paraId="080257DF">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8"/>
                <w:sz w:val="24"/>
                <w:szCs w:val="24"/>
              </w:rPr>
              <w:t>技术规范响应及偏离表</w:t>
            </w:r>
          </w:p>
        </w:tc>
        <w:tc>
          <w:tcPr>
            <w:tcW w:w="4604" w:type="dxa"/>
            <w:vAlign w:val="center"/>
          </w:tcPr>
          <w:p w14:paraId="30C6EB53">
            <w:pPr>
              <w:pStyle w:val="77"/>
              <w:keepNext w:val="0"/>
              <w:keepLines w:val="0"/>
              <w:pageBreakBefore w:val="0"/>
              <w:wordWrap/>
              <w:overflowPunct/>
              <w:topLinePunct w:val="0"/>
              <w:bidi w:val="0"/>
              <w:spacing w:line="520" w:lineRule="exact"/>
              <w:ind w:left="125"/>
              <w:jc w:val="both"/>
              <w:rPr>
                <w:sz w:val="24"/>
                <w:szCs w:val="24"/>
              </w:rPr>
            </w:pPr>
            <w:r>
              <w:rPr>
                <w:spacing w:val="6"/>
                <w:sz w:val="24"/>
                <w:szCs w:val="24"/>
              </w:rPr>
              <w:t>符合磋商文件要求；</w:t>
            </w:r>
          </w:p>
        </w:tc>
      </w:tr>
    </w:tbl>
    <w:p w14:paraId="7761F0F8">
      <w:pPr>
        <w:keepNext w:val="0"/>
        <w:keepLines w:val="0"/>
        <w:pageBreakBefore w:val="0"/>
        <w:wordWrap/>
        <w:overflowPunct/>
        <w:topLinePunct w:val="0"/>
        <w:bidi w:val="0"/>
        <w:spacing w:line="520" w:lineRule="exact"/>
        <w:ind w:firstLine="472" w:firstLineChars="196"/>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18.评分细则</w:t>
      </w:r>
    </w:p>
    <w:p w14:paraId="0646BA81">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18.1磋商小组成员应严格按照“评分细则”要素针对响应文件（商务技术部分）客观、公正、审慎地据实、独立打分。</w:t>
      </w:r>
    </w:p>
    <w:p w14:paraId="7E7A24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18.2磋商小组成员未据实打分或超出“评分细则”要素范围的，采购代理机构有权要求该评审专家重新评审。</w:t>
      </w:r>
    </w:p>
    <w:p w14:paraId="716876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18.3如出现某一位评审专家打分畸高畸低，导致评审结论改变的，采购代理机构有权要求该评审专家说明其打分的合理理由，并视具体情况报告山西省财政厅政府采购管理处。</w:t>
      </w:r>
    </w:p>
    <w:p w14:paraId="0D3D17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18.4当出现两个或两个以上相同分值时，按以下顺序排列：</w:t>
      </w:r>
    </w:p>
    <w:p w14:paraId="7D97E5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（1）选定技术质量最好的；</w:t>
      </w:r>
    </w:p>
    <w:p w14:paraId="7F8D63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（2）如技术质量相等时，选定技术支持和服务承诺最好的；</w:t>
      </w:r>
    </w:p>
    <w:p w14:paraId="6D168F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（3）如上述条件相同时，选定报价低的。</w:t>
      </w:r>
    </w:p>
    <w:p w14:paraId="0BD22397">
      <w:pPr>
        <w:pStyle w:val="12"/>
        <w:keepNext w:val="0"/>
        <w:keepLines w:val="0"/>
        <w:pageBreakBefore w:val="0"/>
        <w:wordWrap/>
        <w:overflowPunct/>
        <w:topLinePunct w:val="0"/>
        <w:bidi w:val="0"/>
        <w:spacing w:line="52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18.5评分</w:t>
      </w:r>
    </w:p>
    <w:p w14:paraId="44EE59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shd w:val="clear" w:color="auto" w:fill="FFFFFF"/>
          <w:lang w:val="en-US" w:eastAsia="zh-CN"/>
        </w:rPr>
        <w:t>适用包一、包二、包三</w:t>
      </w:r>
    </w:p>
    <w:tbl>
      <w:tblPr>
        <w:tblStyle w:val="78"/>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049"/>
        <w:gridCol w:w="976"/>
        <w:gridCol w:w="5662"/>
      </w:tblGrid>
      <w:tr w14:paraId="7927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jc w:val="center"/>
        </w:trPr>
        <w:tc>
          <w:tcPr>
            <w:tcW w:w="599" w:type="dxa"/>
            <w:textDirection w:val="tbRlV"/>
            <w:vAlign w:val="top"/>
          </w:tcPr>
          <w:p w14:paraId="6F5D3544">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序</w:t>
            </w:r>
            <w:r>
              <w:rPr>
                <w:rFonts w:hint="eastAsia" w:ascii="仿宋" w:hAnsi="仿宋" w:eastAsia="仿宋" w:cs="仿宋"/>
                <w:spacing w:val="12"/>
                <w:sz w:val="24"/>
                <w:szCs w:val="24"/>
                <w:highlight w:val="none"/>
              </w:rPr>
              <w:t xml:space="preserve">  </w:t>
            </w:r>
            <w:r>
              <w:rPr>
                <w:rFonts w:hint="eastAsia" w:ascii="仿宋" w:hAnsi="仿宋" w:eastAsia="仿宋" w:cs="仿宋"/>
                <w:spacing w:val="13"/>
                <w:sz w:val="24"/>
                <w:szCs w:val="24"/>
                <w:highlight w:val="none"/>
              </w:rPr>
              <w:t>号</w:t>
            </w:r>
          </w:p>
        </w:tc>
        <w:tc>
          <w:tcPr>
            <w:tcW w:w="2049" w:type="dxa"/>
            <w:vAlign w:val="center"/>
          </w:tcPr>
          <w:p w14:paraId="09C3687E">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评定内容</w:t>
            </w:r>
            <w:r>
              <w:rPr>
                <w:rFonts w:hint="eastAsia" w:ascii="仿宋" w:hAnsi="仿宋" w:eastAsia="仿宋" w:cs="仿宋"/>
                <w:spacing w:val="4"/>
                <w:sz w:val="24"/>
                <w:szCs w:val="24"/>
                <w:highlight w:val="none"/>
              </w:rPr>
              <w:t>及标准</w:t>
            </w:r>
          </w:p>
        </w:tc>
        <w:tc>
          <w:tcPr>
            <w:tcW w:w="976" w:type="dxa"/>
            <w:vAlign w:val="center"/>
          </w:tcPr>
          <w:p w14:paraId="3875EF55">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5662" w:type="dxa"/>
            <w:vAlign w:val="center"/>
          </w:tcPr>
          <w:p w14:paraId="0FAA72DC">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打分办法</w:t>
            </w:r>
          </w:p>
        </w:tc>
      </w:tr>
      <w:tr w14:paraId="213E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9286" w:type="dxa"/>
            <w:gridSpan w:val="4"/>
            <w:vAlign w:val="top"/>
          </w:tcPr>
          <w:p w14:paraId="5C254224">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一、磋商报价（</w:t>
            </w:r>
            <w:r>
              <w:rPr>
                <w:rFonts w:hint="eastAsia" w:cs="仿宋"/>
                <w:spacing w:val="4"/>
                <w:sz w:val="24"/>
                <w:szCs w:val="24"/>
                <w:highlight w:val="none"/>
                <w:lang w:val="en-US" w:eastAsia="zh-CN"/>
              </w:rPr>
              <w:t>10</w:t>
            </w:r>
            <w:r>
              <w:rPr>
                <w:rFonts w:hint="eastAsia" w:ascii="仿宋" w:hAnsi="仿宋" w:eastAsia="仿宋" w:cs="仿宋"/>
                <w:spacing w:val="4"/>
                <w:sz w:val="24"/>
                <w:szCs w:val="24"/>
                <w:highlight w:val="none"/>
              </w:rPr>
              <w:t>分）</w:t>
            </w:r>
          </w:p>
        </w:tc>
      </w:tr>
      <w:tr w14:paraId="065E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45304B96">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1</w:t>
            </w:r>
          </w:p>
        </w:tc>
        <w:tc>
          <w:tcPr>
            <w:tcW w:w="2049" w:type="dxa"/>
            <w:vAlign w:val="center"/>
          </w:tcPr>
          <w:p w14:paraId="4DE4A129">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磋商报价</w:t>
            </w:r>
          </w:p>
        </w:tc>
        <w:tc>
          <w:tcPr>
            <w:tcW w:w="976" w:type="dxa"/>
            <w:vAlign w:val="center"/>
          </w:tcPr>
          <w:p w14:paraId="77DFDA99">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cs="仿宋"/>
                <w:sz w:val="24"/>
                <w:szCs w:val="24"/>
                <w:highlight w:val="none"/>
                <w:lang w:val="en-US" w:eastAsia="zh-CN"/>
              </w:rPr>
              <w:t>10</w:t>
            </w:r>
            <w:r>
              <w:rPr>
                <w:rFonts w:hint="eastAsia" w:ascii="仿宋" w:hAnsi="仿宋" w:eastAsia="仿宋" w:cs="仿宋"/>
                <w:sz w:val="24"/>
                <w:szCs w:val="24"/>
                <w:highlight w:val="none"/>
              </w:rPr>
              <w:t>分</w:t>
            </w:r>
          </w:p>
        </w:tc>
        <w:tc>
          <w:tcPr>
            <w:tcW w:w="5662" w:type="dxa"/>
            <w:vAlign w:val="top"/>
          </w:tcPr>
          <w:p w14:paraId="3BEB246B">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各供应商的报价得分统一采用低价优先法计算，即满足磋商文件要求且最后价格最低的报价为评标基准价，其价格分为满分。其他供应商的报价得分统一按照下列公式计算：</w:t>
            </w:r>
          </w:p>
          <w:p w14:paraId="5123309D">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报价得分=（评标基准价/最后报价）×价格权值（即</w:t>
            </w:r>
            <w:r>
              <w:rPr>
                <w:rFonts w:hint="eastAsia" w:cs="仿宋"/>
                <w:spacing w:val="8"/>
                <w:sz w:val="24"/>
                <w:szCs w:val="24"/>
                <w:highlight w:val="none"/>
                <w:lang w:val="en-US" w:eastAsia="zh-CN"/>
              </w:rPr>
              <w:t>1</w:t>
            </w:r>
            <w:r>
              <w:rPr>
                <w:rFonts w:hint="eastAsia" w:ascii="仿宋" w:hAnsi="仿宋" w:eastAsia="仿宋" w:cs="仿宋"/>
                <w:spacing w:val="8"/>
                <w:sz w:val="24"/>
                <w:szCs w:val="24"/>
                <w:highlight w:val="none"/>
              </w:rPr>
              <w:t>0%）×100</w:t>
            </w:r>
          </w:p>
          <w:p w14:paraId="164136F5">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注：本项目属于专门面向中小企业采购，不再执行价格评审优惠</w:t>
            </w:r>
            <w:r>
              <w:rPr>
                <w:rFonts w:hint="eastAsia" w:ascii="仿宋" w:hAnsi="仿宋" w:eastAsia="仿宋" w:cs="仿宋"/>
                <w:b/>
                <w:bCs/>
                <w:spacing w:val="2"/>
                <w:sz w:val="24"/>
                <w:szCs w:val="24"/>
                <w:highlight w:val="none"/>
              </w:rPr>
              <w:t>的扶持政策。</w:t>
            </w:r>
          </w:p>
        </w:tc>
      </w:tr>
      <w:tr w14:paraId="4AB6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9286" w:type="dxa"/>
            <w:gridSpan w:val="4"/>
            <w:vAlign w:val="top"/>
          </w:tcPr>
          <w:p w14:paraId="5B12F969">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二、商务部分（</w:t>
            </w:r>
            <w:r>
              <w:rPr>
                <w:rFonts w:hint="eastAsia" w:cs="仿宋"/>
                <w:spacing w:val="8"/>
                <w:sz w:val="24"/>
                <w:szCs w:val="24"/>
                <w:highlight w:val="none"/>
                <w:lang w:val="en-US" w:eastAsia="zh-CN"/>
              </w:rPr>
              <w:t>23</w:t>
            </w:r>
            <w:r>
              <w:rPr>
                <w:rFonts w:hint="eastAsia" w:ascii="仿宋" w:hAnsi="仿宋" w:eastAsia="仿宋" w:cs="仿宋"/>
                <w:spacing w:val="8"/>
                <w:sz w:val="24"/>
                <w:szCs w:val="24"/>
                <w:highlight w:val="none"/>
              </w:rPr>
              <w:t>分</w:t>
            </w:r>
            <w:r>
              <w:rPr>
                <w:rFonts w:hint="eastAsia" w:ascii="仿宋" w:hAnsi="仿宋" w:eastAsia="仿宋" w:cs="仿宋"/>
                <w:spacing w:val="1"/>
                <w:sz w:val="24"/>
                <w:szCs w:val="24"/>
                <w:highlight w:val="none"/>
              </w:rPr>
              <w:t>）</w:t>
            </w:r>
            <w:r>
              <w:rPr>
                <w:rFonts w:hint="eastAsia" w:ascii="仿宋" w:hAnsi="仿宋" w:eastAsia="仿宋" w:cs="仿宋"/>
                <w:b/>
                <w:bCs/>
                <w:spacing w:val="1"/>
                <w:sz w:val="24"/>
                <w:szCs w:val="24"/>
                <w:highlight w:val="none"/>
              </w:rPr>
              <w:t>（</w:t>
            </w:r>
            <w:r>
              <w:rPr>
                <w:rFonts w:hint="eastAsia" w:ascii="仿宋" w:hAnsi="仿宋" w:eastAsia="仿宋" w:cs="仿宋"/>
                <w:b/>
                <w:bCs/>
                <w:spacing w:val="8"/>
                <w:sz w:val="24"/>
                <w:szCs w:val="24"/>
                <w:highlight w:val="none"/>
              </w:rPr>
              <w:t>由评审委员会共同认定）</w:t>
            </w:r>
          </w:p>
        </w:tc>
      </w:tr>
      <w:tr w14:paraId="3C7D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599" w:type="dxa"/>
            <w:vAlign w:val="center"/>
          </w:tcPr>
          <w:p w14:paraId="353A6891">
            <w:pPr>
              <w:pStyle w:val="77"/>
              <w:keepNext w:val="0"/>
              <w:keepLines w:val="0"/>
              <w:pageBreakBefore w:val="0"/>
              <w:wordWrap/>
              <w:overflowPunct/>
              <w:topLinePunct w:val="0"/>
              <w:bidi w:val="0"/>
              <w:spacing w:line="460" w:lineRule="exact"/>
              <w:ind w:left="0" w:leftChars="0" w:right="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2049" w:type="dxa"/>
            <w:vAlign w:val="center"/>
          </w:tcPr>
          <w:p w14:paraId="067CFAEC">
            <w:pPr>
              <w:pStyle w:val="77"/>
              <w:keepNext w:val="0"/>
              <w:keepLines w:val="0"/>
              <w:pageBreakBefore w:val="0"/>
              <w:wordWrap/>
              <w:overflowPunct/>
              <w:topLinePunct w:val="0"/>
              <w:bidi w:val="0"/>
              <w:spacing w:line="460" w:lineRule="exact"/>
              <w:ind w:left="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供应商业绩</w:t>
            </w:r>
          </w:p>
        </w:tc>
        <w:tc>
          <w:tcPr>
            <w:tcW w:w="976" w:type="dxa"/>
            <w:vAlign w:val="center"/>
          </w:tcPr>
          <w:p w14:paraId="7CA98B4B">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lang w:val="en-US"/>
              </w:rPr>
            </w:pPr>
            <w:r>
              <w:rPr>
                <w:rFonts w:hint="eastAsia" w:cs="仿宋"/>
                <w:spacing w:val="-1"/>
                <w:sz w:val="24"/>
                <w:szCs w:val="24"/>
                <w:highlight w:val="none"/>
                <w:lang w:val="en-US" w:eastAsia="zh-CN"/>
              </w:rPr>
              <w:t>9</w:t>
            </w:r>
            <w:r>
              <w:rPr>
                <w:rFonts w:hint="eastAsia" w:ascii="仿宋" w:hAnsi="仿宋" w:eastAsia="仿宋" w:cs="仿宋"/>
                <w:spacing w:val="-1"/>
                <w:sz w:val="24"/>
                <w:szCs w:val="24"/>
                <w:highlight w:val="none"/>
                <w:lang w:val="en-US" w:eastAsia="zh-CN"/>
              </w:rPr>
              <w:t>分</w:t>
            </w:r>
          </w:p>
        </w:tc>
        <w:tc>
          <w:tcPr>
            <w:tcW w:w="5662" w:type="dxa"/>
            <w:vAlign w:val="center"/>
          </w:tcPr>
          <w:p w14:paraId="5044A69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①供应商近三年（</w:t>
            </w:r>
            <w:r>
              <w:rPr>
                <w:rFonts w:hint="eastAsia" w:cs="仿宋"/>
                <w:spacing w:val="2"/>
                <w:sz w:val="24"/>
                <w:szCs w:val="24"/>
                <w:highlight w:val="none"/>
                <w:lang w:val="en-US" w:eastAsia="zh-CN"/>
              </w:rPr>
              <w:t>2023年5月</w:t>
            </w:r>
            <w:r>
              <w:rPr>
                <w:rFonts w:hint="default" w:cs="仿宋"/>
                <w:spacing w:val="2"/>
                <w:sz w:val="24"/>
                <w:szCs w:val="24"/>
                <w:highlight w:val="none"/>
                <w:lang w:val="en-US" w:eastAsia="zh-CN"/>
              </w:rPr>
              <w:t>至磋商截止时间前）同类型项目业绩，每有1项得</w:t>
            </w:r>
            <w:r>
              <w:rPr>
                <w:rFonts w:hint="eastAsia" w:cs="仿宋"/>
                <w:spacing w:val="2"/>
                <w:sz w:val="24"/>
                <w:szCs w:val="24"/>
                <w:highlight w:val="none"/>
                <w:lang w:val="en-US" w:eastAsia="zh-CN"/>
              </w:rPr>
              <w:t>2</w:t>
            </w:r>
            <w:r>
              <w:rPr>
                <w:rFonts w:hint="default" w:cs="仿宋"/>
                <w:spacing w:val="2"/>
                <w:sz w:val="24"/>
                <w:szCs w:val="24"/>
                <w:highlight w:val="none"/>
                <w:lang w:val="en-US" w:eastAsia="zh-CN"/>
              </w:rPr>
              <w:t>分,该项最高得分为</w:t>
            </w:r>
            <w:r>
              <w:rPr>
                <w:rFonts w:hint="eastAsia" w:cs="仿宋"/>
                <w:spacing w:val="2"/>
                <w:sz w:val="24"/>
                <w:szCs w:val="24"/>
                <w:highlight w:val="none"/>
                <w:lang w:val="en-US" w:eastAsia="zh-CN"/>
              </w:rPr>
              <w:t>6</w:t>
            </w:r>
            <w:r>
              <w:rPr>
                <w:rFonts w:hint="default" w:cs="仿宋"/>
                <w:spacing w:val="2"/>
                <w:sz w:val="24"/>
                <w:szCs w:val="24"/>
                <w:highlight w:val="none"/>
                <w:lang w:val="en-US" w:eastAsia="zh-CN"/>
              </w:rPr>
              <w:t>分；</w:t>
            </w:r>
          </w:p>
          <w:p w14:paraId="0EC967C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注：</w:t>
            </w:r>
            <w:r>
              <w:rPr>
                <w:rFonts w:hint="eastAsia" w:ascii="仿宋" w:hAnsi="仿宋" w:eastAsia="仿宋" w:cs="宋体"/>
                <w:snapToGrid w:val="0"/>
                <w:color w:val="000000"/>
                <w:kern w:val="0"/>
                <w:sz w:val="24"/>
                <w:highlight w:val="none"/>
              </w:rPr>
              <w:t>需在响应文件中提供项目业绩合同（含服务内容页、签字盖章页）等证明材料，未提供或证明材料无法佐证的不得分。</w:t>
            </w:r>
          </w:p>
          <w:p w14:paraId="62BAB9B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②供应商近三年（</w:t>
            </w:r>
            <w:r>
              <w:rPr>
                <w:rFonts w:hint="eastAsia" w:cs="仿宋"/>
                <w:spacing w:val="2"/>
                <w:sz w:val="24"/>
                <w:szCs w:val="24"/>
                <w:highlight w:val="none"/>
                <w:lang w:val="en-US" w:eastAsia="zh-CN"/>
              </w:rPr>
              <w:t>2023年5月</w:t>
            </w:r>
            <w:r>
              <w:rPr>
                <w:rFonts w:hint="default" w:cs="仿宋"/>
                <w:spacing w:val="2"/>
                <w:sz w:val="24"/>
                <w:szCs w:val="24"/>
                <w:highlight w:val="none"/>
                <w:lang w:val="en-US" w:eastAsia="zh-CN"/>
              </w:rPr>
              <w:t>至磋商截止时间前）同类型项目业绩能提供完成该项目后的第三方审计报告或财政绩效评价报告的（每提供一项得</w:t>
            </w:r>
            <w:r>
              <w:rPr>
                <w:rFonts w:hint="eastAsia" w:cs="仿宋"/>
                <w:spacing w:val="2"/>
                <w:sz w:val="24"/>
                <w:szCs w:val="24"/>
                <w:highlight w:val="none"/>
                <w:lang w:val="en-US" w:eastAsia="zh-CN"/>
              </w:rPr>
              <w:t>1</w:t>
            </w:r>
            <w:r>
              <w:rPr>
                <w:rFonts w:hint="default" w:cs="仿宋"/>
                <w:spacing w:val="2"/>
                <w:sz w:val="24"/>
                <w:szCs w:val="24"/>
                <w:highlight w:val="none"/>
                <w:lang w:val="en-US" w:eastAsia="zh-CN"/>
              </w:rPr>
              <w:t>分，最高得分为</w:t>
            </w:r>
            <w:r>
              <w:rPr>
                <w:rFonts w:hint="eastAsia" w:cs="仿宋"/>
                <w:spacing w:val="2"/>
                <w:sz w:val="24"/>
                <w:szCs w:val="24"/>
                <w:highlight w:val="none"/>
                <w:lang w:val="en-US" w:eastAsia="zh-CN"/>
              </w:rPr>
              <w:t>3</w:t>
            </w:r>
            <w:r>
              <w:rPr>
                <w:rFonts w:hint="default" w:cs="仿宋"/>
                <w:spacing w:val="2"/>
                <w:sz w:val="24"/>
                <w:szCs w:val="24"/>
                <w:highlight w:val="none"/>
                <w:lang w:val="en-US" w:eastAsia="zh-CN"/>
              </w:rPr>
              <w:t>分）。</w:t>
            </w:r>
          </w:p>
          <w:p w14:paraId="5202EED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注：此处“审计报告”特指由第三方会计师事务所或审计部门出具的项目专项审计报告，不包含：企业年度财务审计报告、内部自查报告、业主单位出具的付款证明。证明材料无法体现项目具体实施内容或结论为“不合格”的，不得分。</w:t>
            </w:r>
          </w:p>
        </w:tc>
      </w:tr>
      <w:tr w14:paraId="46B2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2111977C">
            <w:pPr>
              <w:pStyle w:val="77"/>
              <w:keepNext w:val="0"/>
              <w:keepLines w:val="0"/>
              <w:pageBreakBefore w:val="0"/>
              <w:wordWrap/>
              <w:overflowPunct/>
              <w:topLinePunct w:val="0"/>
              <w:bidi w:val="0"/>
              <w:spacing w:line="460" w:lineRule="exact"/>
              <w:ind w:left="0" w:leftChars="0" w:right="0" w:firstLine="0" w:firstLineChars="0"/>
              <w:jc w:val="both"/>
              <w:rPr>
                <w:rFonts w:hint="default"/>
                <w:highlight w:val="none"/>
                <w:lang w:val="en-US" w:eastAsia="zh-CN"/>
              </w:rPr>
            </w:pPr>
            <w:r>
              <w:rPr>
                <w:rFonts w:hint="eastAsia" w:ascii="仿宋" w:hAnsi="仿宋" w:eastAsia="仿宋" w:cs="仿宋"/>
                <w:sz w:val="24"/>
                <w:szCs w:val="24"/>
                <w:highlight w:val="none"/>
                <w:lang w:val="en-US" w:eastAsia="zh-CN"/>
              </w:rPr>
              <w:t>2</w:t>
            </w:r>
          </w:p>
        </w:tc>
        <w:tc>
          <w:tcPr>
            <w:tcW w:w="2049" w:type="dxa"/>
            <w:vAlign w:val="center"/>
          </w:tcPr>
          <w:p w14:paraId="5B5B898A">
            <w:pPr>
              <w:pStyle w:val="77"/>
              <w:keepNext w:val="0"/>
              <w:keepLines w:val="0"/>
              <w:pageBreakBefore w:val="0"/>
              <w:wordWrap/>
              <w:overflowPunct/>
              <w:topLinePunct w:val="0"/>
              <w:bidi w:val="0"/>
              <w:spacing w:line="460" w:lineRule="exact"/>
              <w:ind w:left="0" w:leftChars="0" w:right="0" w:firstLine="244" w:firstLineChars="100"/>
              <w:jc w:val="both"/>
              <w:rPr>
                <w:rFonts w:hint="eastAsia" w:cs="仿宋"/>
                <w:spacing w:val="2"/>
                <w:sz w:val="24"/>
                <w:szCs w:val="24"/>
                <w:highlight w:val="none"/>
                <w:lang w:val="en-US" w:eastAsia="zh-CN"/>
              </w:rPr>
            </w:pPr>
            <w:r>
              <w:rPr>
                <w:rFonts w:hint="eastAsia" w:cs="仿宋"/>
                <w:spacing w:val="2"/>
                <w:sz w:val="24"/>
                <w:szCs w:val="24"/>
                <w:highlight w:val="none"/>
                <w:lang w:val="en-US" w:eastAsia="zh-CN"/>
              </w:rPr>
              <w:t>师资配备情况</w:t>
            </w:r>
          </w:p>
        </w:tc>
        <w:tc>
          <w:tcPr>
            <w:tcW w:w="976" w:type="dxa"/>
            <w:vAlign w:val="center"/>
          </w:tcPr>
          <w:p w14:paraId="5BF1768F">
            <w:pPr>
              <w:pStyle w:val="77"/>
              <w:keepNext w:val="0"/>
              <w:keepLines w:val="0"/>
              <w:pageBreakBefore w:val="0"/>
              <w:wordWrap/>
              <w:overflowPunct/>
              <w:topLinePunct w:val="0"/>
              <w:bidi w:val="0"/>
              <w:spacing w:line="460" w:lineRule="exact"/>
              <w:ind w:left="0" w:right="0" w:firstLine="0" w:firstLineChars="0"/>
              <w:jc w:val="center"/>
              <w:rPr>
                <w:rFonts w:hint="default" w:ascii="仿宋" w:hAnsi="仿宋" w:eastAsia="仿宋" w:cs="仿宋"/>
                <w:spacing w:val="-1"/>
                <w:sz w:val="24"/>
                <w:szCs w:val="24"/>
                <w:highlight w:val="none"/>
                <w:lang w:val="en-US" w:eastAsia="zh-CN"/>
              </w:rPr>
            </w:pPr>
            <w:r>
              <w:rPr>
                <w:rFonts w:hint="eastAsia" w:cs="仿宋"/>
                <w:spacing w:val="-1"/>
                <w:sz w:val="24"/>
                <w:szCs w:val="24"/>
                <w:highlight w:val="none"/>
                <w:lang w:val="en-US" w:eastAsia="zh-CN"/>
              </w:rPr>
              <w:t>6分</w:t>
            </w:r>
          </w:p>
        </w:tc>
        <w:tc>
          <w:tcPr>
            <w:tcW w:w="5662" w:type="dxa"/>
            <w:vAlign w:val="center"/>
          </w:tcPr>
          <w:p w14:paraId="66DB2CC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eastAsia" w:cs="仿宋"/>
                <w:spacing w:val="2"/>
                <w:sz w:val="24"/>
                <w:szCs w:val="24"/>
                <w:highlight w:val="none"/>
                <w:lang w:val="en-US" w:eastAsia="zh-CN"/>
              </w:rPr>
            </w:pPr>
            <w:r>
              <w:rPr>
                <w:rFonts w:hint="eastAsia" w:cs="仿宋"/>
                <w:spacing w:val="2"/>
                <w:sz w:val="24"/>
                <w:szCs w:val="24"/>
                <w:highlight w:val="none"/>
                <w:lang w:val="en-US" w:eastAsia="zh-CN"/>
              </w:rPr>
              <w:t>配备稳定优质的专职教育管理人员，拟派授课讲师中具备农业相关专业中级职称或以上的，每提供一位得得2分，最高 6 分;需提供人员身份证、人员职称证书且能够证明该人员为本企业员工的证明材料复印件（社保证明或劳动合同或供应商与该人员的工资流水支付证明）;每缺一项不得分。</w:t>
            </w:r>
          </w:p>
          <w:p w14:paraId="6BA6394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eastAsia" w:ascii="仿宋" w:hAnsi="仿宋" w:eastAsia="仿宋" w:cs="仿宋"/>
                <w:spacing w:val="2"/>
                <w:sz w:val="24"/>
                <w:szCs w:val="24"/>
                <w:highlight w:val="none"/>
                <w:lang w:eastAsia="zh-CN"/>
              </w:rPr>
            </w:pPr>
            <w:r>
              <w:rPr>
                <w:rFonts w:hint="default" w:cs="仿宋"/>
                <w:spacing w:val="2"/>
                <w:sz w:val="24"/>
                <w:szCs w:val="24"/>
                <w:highlight w:val="none"/>
                <w:lang w:val="en-US" w:eastAsia="zh-CN"/>
              </w:rPr>
              <w:t>注：此处“</w:t>
            </w:r>
            <w:r>
              <w:rPr>
                <w:rFonts w:hint="eastAsia" w:cs="仿宋"/>
                <w:spacing w:val="2"/>
                <w:sz w:val="24"/>
                <w:szCs w:val="24"/>
                <w:highlight w:val="none"/>
                <w:lang w:val="en-US" w:eastAsia="zh-CN"/>
              </w:rPr>
              <w:t>社保证明</w:t>
            </w:r>
            <w:r>
              <w:rPr>
                <w:rFonts w:hint="default" w:cs="仿宋"/>
                <w:spacing w:val="2"/>
                <w:sz w:val="24"/>
                <w:szCs w:val="24"/>
                <w:highlight w:val="none"/>
                <w:lang w:val="en-US" w:eastAsia="zh-CN"/>
              </w:rPr>
              <w:t>”提供该人员</w:t>
            </w:r>
            <w:r>
              <w:rPr>
                <w:rFonts w:hint="eastAsia" w:cs="仿宋"/>
                <w:spacing w:val="2"/>
                <w:sz w:val="24"/>
                <w:szCs w:val="24"/>
                <w:highlight w:val="none"/>
                <w:lang w:val="en-US" w:eastAsia="zh-CN"/>
              </w:rPr>
              <w:t>近一年</w:t>
            </w:r>
            <w:r>
              <w:rPr>
                <w:rFonts w:hint="default" w:cs="仿宋"/>
                <w:spacing w:val="2"/>
                <w:sz w:val="24"/>
                <w:szCs w:val="24"/>
                <w:highlight w:val="none"/>
                <w:lang w:val="en-US" w:eastAsia="zh-CN"/>
              </w:rPr>
              <w:t>以来任意3个月的社会保险缴纳证明（以养老或医疗保险为准）。</w:t>
            </w:r>
            <w:r>
              <w:rPr>
                <w:rFonts w:hint="eastAsia" w:cs="仿宋"/>
                <w:spacing w:val="2"/>
                <w:sz w:val="24"/>
                <w:szCs w:val="24"/>
                <w:highlight w:val="none"/>
                <w:lang w:val="en-US" w:eastAsia="zh-CN"/>
              </w:rPr>
              <w:t>“工资流水支付证明”需提供银行工资流水，打款方账户名必须与供应商名称一致，私人转账或现金支付凭证无效</w:t>
            </w:r>
            <w:r>
              <w:rPr>
                <w:rFonts w:hint="default" w:cs="仿宋"/>
                <w:spacing w:val="2"/>
                <w:sz w:val="24"/>
                <w:szCs w:val="24"/>
                <w:highlight w:val="none"/>
                <w:lang w:val="en-US" w:eastAsia="zh-CN"/>
              </w:rPr>
              <w:t>。</w:t>
            </w:r>
          </w:p>
        </w:tc>
      </w:tr>
      <w:tr w14:paraId="16F7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23F43D0D">
            <w:pPr>
              <w:pStyle w:val="77"/>
              <w:keepNext w:val="0"/>
              <w:keepLines w:val="0"/>
              <w:pageBreakBefore w:val="0"/>
              <w:wordWrap/>
              <w:overflowPunct/>
              <w:topLinePunct w:val="0"/>
              <w:bidi w:val="0"/>
              <w:spacing w:line="460" w:lineRule="exact"/>
              <w:ind w:left="0" w:leftChars="0" w:right="0" w:firstLine="0" w:firstLineChars="0"/>
              <w:jc w:val="both"/>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3</w:t>
            </w:r>
          </w:p>
        </w:tc>
        <w:tc>
          <w:tcPr>
            <w:tcW w:w="2049" w:type="dxa"/>
            <w:vAlign w:val="center"/>
          </w:tcPr>
          <w:p w14:paraId="7B7142B5">
            <w:pPr>
              <w:pStyle w:val="77"/>
              <w:keepNext w:val="0"/>
              <w:keepLines w:val="0"/>
              <w:pageBreakBefore w:val="0"/>
              <w:wordWrap/>
              <w:overflowPunct/>
              <w:topLinePunct w:val="0"/>
              <w:bidi w:val="0"/>
              <w:spacing w:line="460" w:lineRule="exact"/>
              <w:ind w:left="0" w:leftChars="0" w:right="0" w:rightChars="0" w:firstLine="0" w:firstLineChars="0"/>
              <w:jc w:val="center"/>
              <w:rPr>
                <w:rFonts w:hint="eastAsia" w:cs="仿宋"/>
                <w:spacing w:val="2"/>
                <w:sz w:val="24"/>
                <w:szCs w:val="24"/>
                <w:highlight w:val="none"/>
                <w:lang w:val="en-US" w:eastAsia="zh-CN"/>
              </w:rPr>
            </w:pPr>
            <w:r>
              <w:rPr>
                <w:rFonts w:hint="eastAsia" w:ascii="仿宋" w:hAnsi="仿宋" w:eastAsia="仿宋" w:cs="仿宋"/>
                <w:sz w:val="24"/>
                <w:szCs w:val="24"/>
                <w:highlight w:val="none"/>
                <w:lang w:eastAsia="zh-CN"/>
              </w:rPr>
              <w:t>教学条件</w:t>
            </w:r>
          </w:p>
        </w:tc>
        <w:tc>
          <w:tcPr>
            <w:tcW w:w="976" w:type="dxa"/>
            <w:vAlign w:val="center"/>
          </w:tcPr>
          <w:p w14:paraId="0208B8F4">
            <w:pPr>
              <w:pStyle w:val="77"/>
              <w:keepNext w:val="0"/>
              <w:keepLines w:val="0"/>
              <w:pageBreakBefore w:val="0"/>
              <w:wordWrap/>
              <w:overflowPunct/>
              <w:topLinePunct w:val="0"/>
              <w:bidi w:val="0"/>
              <w:spacing w:line="460" w:lineRule="exact"/>
              <w:ind w:left="0" w:leftChars="0" w:right="0" w:rightChars="0" w:firstLine="0" w:firstLineChars="0"/>
              <w:jc w:val="center"/>
              <w:rPr>
                <w:rFonts w:hint="eastAsia" w:cs="仿宋"/>
                <w:spacing w:val="-1"/>
                <w:sz w:val="24"/>
                <w:szCs w:val="24"/>
                <w:highlight w:val="none"/>
                <w:lang w:val="en-US" w:eastAsia="zh-CN"/>
              </w:rPr>
            </w:pPr>
            <w:r>
              <w:rPr>
                <w:rFonts w:hint="eastAsia" w:cs="仿宋"/>
                <w:spacing w:val="-1"/>
                <w:sz w:val="24"/>
                <w:szCs w:val="24"/>
                <w:highlight w:val="none"/>
                <w:lang w:val="en-US" w:eastAsia="zh-CN"/>
              </w:rPr>
              <w:t>8分</w:t>
            </w:r>
          </w:p>
        </w:tc>
        <w:tc>
          <w:tcPr>
            <w:tcW w:w="5662" w:type="dxa"/>
            <w:vAlign w:val="center"/>
          </w:tcPr>
          <w:p w14:paraId="0B261DC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① 自有课堂集中教学场所得5分；</w:t>
            </w:r>
          </w:p>
          <w:p w14:paraId="5803016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未提供或无法佐证的不得分。</w:t>
            </w:r>
          </w:p>
          <w:p w14:paraId="6527EA5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② 每有一个合作实习实训基地得1分，最高3分；未提供或无法佐证的不得分。</w:t>
            </w:r>
          </w:p>
          <w:p w14:paraId="12906C1F">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须提供产权证明、合作协议等有效文件。</w:t>
            </w:r>
          </w:p>
        </w:tc>
      </w:tr>
      <w:tr w14:paraId="1583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286" w:type="dxa"/>
            <w:gridSpan w:val="4"/>
            <w:vAlign w:val="top"/>
          </w:tcPr>
          <w:p w14:paraId="3B36B67B">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三、技术服务部分（</w:t>
            </w:r>
            <w:r>
              <w:rPr>
                <w:rFonts w:hint="eastAsia" w:cs="仿宋"/>
                <w:spacing w:val="5"/>
                <w:sz w:val="24"/>
                <w:szCs w:val="24"/>
                <w:highlight w:val="none"/>
                <w:lang w:val="en-US" w:eastAsia="zh-CN"/>
              </w:rPr>
              <w:t>67</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分）</w:t>
            </w:r>
            <w:r>
              <w:rPr>
                <w:rFonts w:hint="eastAsia" w:ascii="仿宋" w:hAnsi="仿宋" w:eastAsia="仿宋" w:cs="仿宋"/>
                <w:b/>
                <w:bCs/>
                <w:spacing w:val="5"/>
                <w:sz w:val="24"/>
                <w:szCs w:val="24"/>
                <w:highlight w:val="none"/>
              </w:rPr>
              <w:t>(磋商小组独立认定)</w:t>
            </w:r>
          </w:p>
        </w:tc>
      </w:tr>
      <w:tr w14:paraId="2EAC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300D434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2"/>
                <w:sz w:val="24"/>
                <w:szCs w:val="24"/>
                <w:highlight w:val="none"/>
                <w:lang w:val="en-US" w:eastAsia="zh-CN"/>
              </w:rPr>
              <w:t>1</w:t>
            </w:r>
          </w:p>
        </w:tc>
        <w:tc>
          <w:tcPr>
            <w:tcW w:w="2049" w:type="dxa"/>
            <w:vAlign w:val="center"/>
          </w:tcPr>
          <w:p w14:paraId="684DA19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供应商针对本项目的培训服务方案</w:t>
            </w:r>
          </w:p>
        </w:tc>
        <w:tc>
          <w:tcPr>
            <w:tcW w:w="976" w:type="dxa"/>
            <w:vAlign w:val="center"/>
          </w:tcPr>
          <w:p w14:paraId="09F614D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z w:val="24"/>
                <w:szCs w:val="24"/>
                <w:highlight w:val="none"/>
              </w:rPr>
            </w:pPr>
            <w:r>
              <w:rPr>
                <w:rFonts w:hint="eastAsia" w:cs="仿宋"/>
                <w:b/>
                <w:bCs/>
                <w:spacing w:val="-5"/>
                <w:sz w:val="24"/>
                <w:szCs w:val="24"/>
                <w:highlight w:val="none"/>
                <w:lang w:val="en-US" w:eastAsia="zh-CN"/>
              </w:rPr>
              <w:t>20</w:t>
            </w:r>
            <w:r>
              <w:rPr>
                <w:rFonts w:hint="eastAsia" w:ascii="仿宋" w:hAnsi="仿宋" w:eastAsia="仿宋" w:cs="仿宋"/>
                <w:b/>
                <w:bCs/>
                <w:spacing w:val="-5"/>
                <w:sz w:val="24"/>
                <w:szCs w:val="24"/>
                <w:highlight w:val="none"/>
              </w:rPr>
              <w:t>分</w:t>
            </w:r>
          </w:p>
        </w:tc>
        <w:tc>
          <w:tcPr>
            <w:tcW w:w="5662" w:type="dxa"/>
            <w:vAlign w:val="center"/>
          </w:tcPr>
          <w:p w14:paraId="1EE3FCD6">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供应商针对本项目的现状和实际需求，制定详细具体、完整实用、科学合理的服务实施方案</w:t>
            </w:r>
            <w:r>
              <w:rPr>
                <w:rFonts w:hint="eastAsia" w:cs="仿宋"/>
                <w:kern w:val="0"/>
                <w:sz w:val="24"/>
                <w:szCs w:val="24"/>
                <w:highlight w:val="none"/>
                <w:lang w:val="en-US" w:eastAsia="zh-CN" w:bidi="ar"/>
              </w:rPr>
              <w:t>：</w:t>
            </w:r>
          </w:p>
          <w:p w14:paraId="4CE4EA6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内容包括但不限于：</w:t>
            </w:r>
          </w:p>
          <w:p w14:paraId="0CF141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①明确的培训目标；</w:t>
            </w:r>
          </w:p>
          <w:p w14:paraId="74BF78A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②培训教学计划；</w:t>
            </w:r>
          </w:p>
          <w:p w14:paraId="4E7F96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③培训对象、时间、步骤安排；</w:t>
            </w:r>
          </w:p>
          <w:p w14:paraId="5CAFDDE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④学员管理服务、考勤、报到等方案</w:t>
            </w:r>
            <w:r>
              <w:rPr>
                <w:rFonts w:hint="eastAsia" w:cs="仿宋"/>
                <w:kern w:val="0"/>
                <w:sz w:val="24"/>
                <w:szCs w:val="24"/>
                <w:highlight w:val="none"/>
                <w:lang w:val="en-US" w:eastAsia="zh-CN" w:bidi="ar"/>
              </w:rPr>
              <w:t>；</w:t>
            </w:r>
          </w:p>
          <w:p w14:paraId="292A0533">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⑤培训效果。</w:t>
            </w:r>
          </w:p>
          <w:p w14:paraId="2EC767B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每提供一项内容全面且完全满足需求得</w:t>
            </w:r>
            <w:r>
              <w:rPr>
                <w:rFonts w:hint="eastAsia" w:cs="仿宋"/>
                <w:sz w:val="24"/>
                <w:szCs w:val="24"/>
                <w:highlight w:val="none"/>
                <w:lang w:val="en-US" w:eastAsia="zh-CN"/>
              </w:rPr>
              <w:t>4</w:t>
            </w:r>
            <w:r>
              <w:rPr>
                <w:rFonts w:hint="eastAsia" w:ascii="仿宋" w:hAnsi="仿宋" w:eastAsia="仿宋" w:cs="仿宋"/>
                <w:sz w:val="24"/>
                <w:szCs w:val="24"/>
                <w:highlight w:val="none"/>
              </w:rPr>
              <w:t>分，每有一处存在缺陷扣</w:t>
            </w:r>
            <w:r>
              <w:rPr>
                <w:rFonts w:hint="eastAsia" w:cs="仿宋"/>
                <w:sz w:val="24"/>
                <w:szCs w:val="24"/>
                <w:highlight w:val="none"/>
                <w:lang w:val="en-US" w:eastAsia="zh-CN"/>
              </w:rPr>
              <w:t>1</w:t>
            </w:r>
            <w:r>
              <w:rPr>
                <w:rFonts w:hint="eastAsia" w:ascii="仿宋" w:hAnsi="仿宋" w:eastAsia="仿宋" w:cs="仿宋"/>
                <w:sz w:val="24"/>
                <w:szCs w:val="24"/>
                <w:highlight w:val="none"/>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20</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3693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6EE5A91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position w:val="1"/>
                <w:sz w:val="24"/>
                <w:szCs w:val="24"/>
                <w:highlight w:val="none"/>
                <w:lang w:val="en-US" w:eastAsia="zh-CN"/>
              </w:rPr>
            </w:pPr>
            <w:r>
              <w:rPr>
                <w:rFonts w:hint="eastAsia" w:ascii="仿宋" w:hAnsi="仿宋" w:eastAsia="仿宋" w:cs="仿宋"/>
                <w:position w:val="1"/>
                <w:sz w:val="24"/>
                <w:szCs w:val="24"/>
                <w:highlight w:val="none"/>
                <w:lang w:val="en-US" w:eastAsia="zh-CN"/>
              </w:rPr>
              <w:t>2</w:t>
            </w:r>
          </w:p>
        </w:tc>
        <w:tc>
          <w:tcPr>
            <w:tcW w:w="2049" w:type="dxa"/>
            <w:shd w:val="clear" w:color="auto" w:fill="auto"/>
            <w:vAlign w:val="center"/>
          </w:tcPr>
          <w:p w14:paraId="35874AE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en-US" w:bidi="ar-SA"/>
              </w:rPr>
            </w:pPr>
            <w:r>
              <w:rPr>
                <w:rFonts w:hint="eastAsia" w:ascii="仿宋" w:hAnsi="仿宋" w:eastAsia="仿宋" w:cs="仿宋"/>
                <w:b/>
                <w:bCs/>
                <w:snapToGrid w:val="0"/>
                <w:color w:val="000000"/>
                <w:kern w:val="0"/>
                <w:sz w:val="24"/>
                <w:szCs w:val="24"/>
                <w:highlight w:val="none"/>
                <w:lang w:val="en-US" w:eastAsia="en-US" w:bidi="ar-SA"/>
              </w:rPr>
              <w:t>供应商针对本项目提供的培训课程方案</w:t>
            </w:r>
          </w:p>
        </w:tc>
        <w:tc>
          <w:tcPr>
            <w:tcW w:w="976" w:type="dxa"/>
            <w:shd w:val="clear" w:color="auto" w:fill="auto"/>
            <w:vAlign w:val="center"/>
          </w:tcPr>
          <w:p w14:paraId="4058810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zh-CN" w:bidi="ar-SA"/>
              </w:rPr>
            </w:pPr>
            <w:r>
              <w:rPr>
                <w:rFonts w:hint="eastAsia" w:cs="仿宋"/>
                <w:b/>
                <w:bCs/>
                <w:spacing w:val="-5"/>
                <w:sz w:val="24"/>
                <w:szCs w:val="24"/>
                <w:highlight w:val="none"/>
                <w:lang w:val="en-US" w:eastAsia="zh-CN"/>
              </w:rPr>
              <w:t>12分</w:t>
            </w:r>
          </w:p>
        </w:tc>
        <w:tc>
          <w:tcPr>
            <w:tcW w:w="5662" w:type="dxa"/>
            <w:shd w:val="clear" w:color="auto" w:fill="auto"/>
            <w:vAlign w:val="center"/>
          </w:tcPr>
          <w:p w14:paraId="5FE0D72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cs="宋体"/>
                <w:snapToGrid w:val="0"/>
                <w:color w:val="000000"/>
                <w:kern w:val="0"/>
                <w:sz w:val="24"/>
                <w:highlight w:val="none"/>
                <w:lang w:eastAsia="zh-CN"/>
              </w:rPr>
            </w:pPr>
            <w:r>
              <w:rPr>
                <w:rFonts w:hint="eastAsia" w:ascii="仿宋" w:hAnsi="仿宋" w:eastAsia="仿宋" w:cs="宋体"/>
                <w:snapToGrid w:val="0"/>
                <w:color w:val="000000"/>
                <w:kern w:val="0"/>
                <w:sz w:val="24"/>
                <w:highlight w:val="none"/>
              </w:rPr>
              <w:t>根据供应商提供的</w:t>
            </w:r>
            <w:r>
              <w:rPr>
                <w:rFonts w:hint="eastAsia" w:ascii="仿宋" w:hAnsi="仿宋" w:eastAsia="仿宋" w:cs="仿宋"/>
                <w:color w:val="000000"/>
                <w:kern w:val="0"/>
                <w:sz w:val="24"/>
                <w:szCs w:val="24"/>
                <w:highlight w:val="none"/>
                <w:lang w:val="en-US" w:eastAsia="zh-CN" w:bidi="ar"/>
              </w:rPr>
              <w:t>培训课程方案</w:t>
            </w:r>
            <w:r>
              <w:rPr>
                <w:rFonts w:hint="eastAsia" w:ascii="仿宋" w:hAnsi="仿宋" w:eastAsia="仿宋" w:cs="宋体"/>
                <w:snapToGrid w:val="0"/>
                <w:color w:val="000000"/>
                <w:kern w:val="0"/>
                <w:sz w:val="24"/>
                <w:highlight w:val="none"/>
              </w:rPr>
              <w:t>综合评审</w:t>
            </w:r>
            <w:r>
              <w:rPr>
                <w:rFonts w:hint="eastAsia" w:cs="宋体"/>
                <w:snapToGrid w:val="0"/>
                <w:color w:val="000000"/>
                <w:kern w:val="0"/>
                <w:sz w:val="24"/>
                <w:highlight w:val="none"/>
                <w:lang w:eastAsia="zh-CN"/>
              </w:rPr>
              <w:t>：</w:t>
            </w:r>
          </w:p>
          <w:p w14:paraId="1400238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包括但不限于：</w:t>
            </w:r>
          </w:p>
          <w:p w14:paraId="063D96A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①培训大纲内容；</w:t>
            </w:r>
          </w:p>
          <w:p w14:paraId="4E046CA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②课程设置；</w:t>
            </w:r>
          </w:p>
          <w:p w14:paraId="32A0C2B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③选用教材、教学安排；</w:t>
            </w:r>
          </w:p>
          <w:p w14:paraId="6844AFF6">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④培训方式。</w:t>
            </w:r>
          </w:p>
          <w:p w14:paraId="26D8002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rPr>
              <w:t>每提供一项内容全面且完全满足需求得</w:t>
            </w:r>
            <w:r>
              <w:rPr>
                <w:rFonts w:hint="eastAsia" w:cs="仿宋"/>
                <w:sz w:val="24"/>
                <w:szCs w:val="24"/>
                <w:highlight w:val="none"/>
                <w:lang w:val="en-US" w:eastAsia="zh-CN"/>
              </w:rPr>
              <w:t>3</w:t>
            </w:r>
            <w:r>
              <w:rPr>
                <w:rFonts w:hint="eastAsia" w:ascii="仿宋" w:hAnsi="仿宋" w:eastAsia="仿宋" w:cs="仿宋"/>
                <w:sz w:val="24"/>
                <w:szCs w:val="24"/>
                <w:highlight w:val="none"/>
              </w:rPr>
              <w:t>分，每有一处存在缺陷扣</w:t>
            </w:r>
            <w:r>
              <w:rPr>
                <w:rFonts w:hint="eastAsia" w:cs="仿宋"/>
                <w:sz w:val="24"/>
                <w:szCs w:val="24"/>
                <w:highlight w:val="none"/>
                <w:lang w:val="en-US" w:eastAsia="zh-CN"/>
              </w:rPr>
              <w:t>1</w:t>
            </w:r>
            <w:r>
              <w:rPr>
                <w:rFonts w:hint="eastAsia" w:ascii="仿宋" w:hAnsi="仿宋" w:eastAsia="仿宋" w:cs="仿宋"/>
                <w:sz w:val="24"/>
                <w:szCs w:val="24"/>
                <w:highlight w:val="none"/>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12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E69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5D60810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1"/>
                <w:sz w:val="24"/>
                <w:szCs w:val="24"/>
                <w:highlight w:val="none"/>
                <w:lang w:val="en-US" w:eastAsia="zh-CN"/>
              </w:rPr>
              <w:t>3</w:t>
            </w:r>
          </w:p>
        </w:tc>
        <w:tc>
          <w:tcPr>
            <w:tcW w:w="2049" w:type="dxa"/>
            <w:shd w:val="clear" w:color="auto" w:fill="auto"/>
            <w:vAlign w:val="center"/>
          </w:tcPr>
          <w:p w14:paraId="6226EDB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kern w:val="0"/>
                <w:sz w:val="24"/>
                <w:szCs w:val="24"/>
                <w:highlight w:val="none"/>
                <w:lang w:val="en-US" w:eastAsia="zh-CN" w:bidi="ar-SA"/>
              </w:rPr>
            </w:pPr>
            <w:r>
              <w:rPr>
                <w:rFonts w:hint="default" w:ascii="仿宋" w:hAnsi="仿宋" w:eastAsia="仿宋" w:cs="仿宋"/>
                <w:b/>
                <w:bCs/>
                <w:snapToGrid w:val="0"/>
                <w:color w:val="000000"/>
                <w:kern w:val="0"/>
                <w:sz w:val="24"/>
                <w:szCs w:val="24"/>
                <w:highlight w:val="none"/>
                <w:lang w:val="en-US" w:eastAsia="zh-CN" w:bidi="ar-SA"/>
              </w:rPr>
              <w:t>培训场地设施设备</w:t>
            </w:r>
          </w:p>
        </w:tc>
        <w:tc>
          <w:tcPr>
            <w:tcW w:w="976" w:type="dxa"/>
            <w:shd w:val="clear" w:color="auto" w:fill="auto"/>
            <w:vAlign w:val="center"/>
          </w:tcPr>
          <w:p w14:paraId="684D001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en-US" w:bidi="ar-SA"/>
              </w:rPr>
            </w:pPr>
            <w:r>
              <w:rPr>
                <w:rFonts w:hint="eastAsia" w:cs="仿宋"/>
                <w:b/>
                <w:bCs/>
                <w:spacing w:val="-5"/>
                <w:sz w:val="24"/>
                <w:szCs w:val="24"/>
                <w:highlight w:val="none"/>
                <w:lang w:val="en-US" w:eastAsia="zh-CN"/>
              </w:rPr>
              <w:t>9分</w:t>
            </w:r>
          </w:p>
        </w:tc>
        <w:tc>
          <w:tcPr>
            <w:tcW w:w="5662" w:type="dxa"/>
            <w:shd w:val="clear" w:color="auto" w:fill="auto"/>
            <w:vAlign w:val="center"/>
          </w:tcPr>
          <w:p w14:paraId="243C47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根据供应商提供的</w:t>
            </w:r>
            <w:r>
              <w:rPr>
                <w:rFonts w:hint="eastAsia" w:ascii="仿宋" w:hAnsi="仿宋" w:eastAsia="仿宋" w:cs="仿宋"/>
                <w:color w:val="000000"/>
                <w:kern w:val="0"/>
                <w:sz w:val="24"/>
                <w:szCs w:val="24"/>
                <w:highlight w:val="none"/>
                <w:lang w:val="en-US" w:eastAsia="zh-CN" w:bidi="ar"/>
              </w:rPr>
              <w:t>培训场地设施设备</w:t>
            </w:r>
            <w:r>
              <w:rPr>
                <w:rFonts w:hint="eastAsia" w:ascii="仿宋" w:hAnsi="仿宋" w:eastAsia="仿宋" w:cs="仿宋"/>
                <w:snapToGrid w:val="0"/>
                <w:color w:val="000000"/>
                <w:kern w:val="0"/>
                <w:sz w:val="24"/>
                <w:szCs w:val="24"/>
                <w:highlight w:val="none"/>
                <w:lang w:val="en-US" w:eastAsia="en-US" w:bidi="ar-SA"/>
              </w:rPr>
              <w:t>进行综合评分，包括但不限于：</w:t>
            </w:r>
          </w:p>
          <w:p w14:paraId="7AE0321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①应有与培训规模相适应的培训场地，通风、干净、整洁、容纳人数；</w:t>
            </w:r>
          </w:p>
          <w:p w14:paraId="21BD8B2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②满足培训项目的教学、实训设备和仪器，有充分的实习工位和必需的实习工具、防护用品；</w:t>
            </w:r>
          </w:p>
          <w:p w14:paraId="254766E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color w:val="000000"/>
                <w:kern w:val="0"/>
                <w:sz w:val="24"/>
                <w:szCs w:val="24"/>
                <w:highlight w:val="none"/>
                <w:lang w:val="en-US" w:eastAsia="zh-CN" w:bidi="ar"/>
              </w:rPr>
              <w:t>③拟投入的设施、设备、器材、教材和学习用品；（需提供证明材料为场地、设施设备的照片、购买或租赁合同）；</w:t>
            </w:r>
          </w:p>
          <w:p w14:paraId="6FC497A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上述内容每有一项缺失扣3分；每有一处存在缺陷扣1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9</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22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jc w:val="center"/>
        </w:trPr>
        <w:tc>
          <w:tcPr>
            <w:tcW w:w="599" w:type="dxa"/>
            <w:vAlign w:val="center"/>
          </w:tcPr>
          <w:p w14:paraId="4D0B72D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1"/>
                <w:sz w:val="24"/>
                <w:szCs w:val="24"/>
                <w:highlight w:val="none"/>
                <w:lang w:val="en-US" w:eastAsia="zh-CN"/>
              </w:rPr>
              <w:t>4</w:t>
            </w:r>
          </w:p>
        </w:tc>
        <w:tc>
          <w:tcPr>
            <w:tcW w:w="2049" w:type="dxa"/>
            <w:shd w:val="clear" w:color="auto" w:fill="auto"/>
            <w:vAlign w:val="center"/>
          </w:tcPr>
          <w:p w14:paraId="2567FC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培训情况考核、鉴定组织方案</w:t>
            </w:r>
          </w:p>
        </w:tc>
        <w:tc>
          <w:tcPr>
            <w:tcW w:w="976" w:type="dxa"/>
            <w:shd w:val="clear" w:color="auto" w:fill="auto"/>
            <w:vAlign w:val="center"/>
          </w:tcPr>
          <w:p w14:paraId="24995F5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5"/>
                <w:kern w:val="0"/>
                <w:sz w:val="24"/>
                <w:szCs w:val="24"/>
                <w:highlight w:val="none"/>
                <w:lang w:val="en-US" w:eastAsia="zh-CN" w:bidi="ar-SA"/>
              </w:rPr>
            </w:pPr>
            <w:r>
              <w:rPr>
                <w:rFonts w:hint="eastAsia" w:cs="仿宋"/>
                <w:b/>
                <w:bCs/>
                <w:spacing w:val="-5"/>
                <w:sz w:val="24"/>
                <w:szCs w:val="24"/>
                <w:highlight w:val="none"/>
                <w:lang w:val="en-US" w:eastAsia="zh-CN"/>
              </w:rPr>
              <w:t>6分</w:t>
            </w:r>
          </w:p>
        </w:tc>
        <w:tc>
          <w:tcPr>
            <w:tcW w:w="5662" w:type="dxa"/>
            <w:shd w:val="clear" w:color="auto" w:fill="auto"/>
            <w:vAlign w:val="center"/>
          </w:tcPr>
          <w:p w14:paraId="2C1E60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根据供应商提供的质量保障措施进行综合评审，包括但不限于：</w:t>
            </w:r>
          </w:p>
          <w:p w14:paraId="3034E20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①培训考核计划、实操考试计划方案；</w:t>
            </w:r>
          </w:p>
          <w:p w14:paraId="1E6E126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color w:val="000000"/>
                <w:kern w:val="0"/>
                <w:sz w:val="24"/>
                <w:szCs w:val="24"/>
                <w:highlight w:val="none"/>
                <w:lang w:val="en-US" w:eastAsia="zh-CN" w:bidi="ar"/>
              </w:rPr>
              <w:t>②培训档案管理方案。</w:t>
            </w: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3</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6</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7E0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599" w:type="dxa"/>
            <w:vAlign w:val="center"/>
          </w:tcPr>
          <w:p w14:paraId="5BAAB06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position w:val="1"/>
                <w:sz w:val="24"/>
                <w:szCs w:val="24"/>
                <w:highlight w:val="none"/>
                <w:lang w:val="en-US" w:eastAsia="zh-CN"/>
              </w:rPr>
            </w:pPr>
            <w:r>
              <w:rPr>
                <w:rFonts w:hint="eastAsia" w:cs="仿宋"/>
                <w:position w:val="1"/>
                <w:sz w:val="24"/>
                <w:szCs w:val="24"/>
                <w:highlight w:val="none"/>
                <w:lang w:val="en-US" w:eastAsia="zh-CN"/>
              </w:rPr>
              <w:t>5</w:t>
            </w:r>
          </w:p>
        </w:tc>
        <w:tc>
          <w:tcPr>
            <w:tcW w:w="2049" w:type="dxa"/>
            <w:shd w:val="clear" w:color="auto" w:fill="auto"/>
            <w:vAlign w:val="center"/>
          </w:tcPr>
          <w:p w14:paraId="04C2FD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档案、资料文件管理及保密工作方案制度</w:t>
            </w:r>
          </w:p>
        </w:tc>
        <w:tc>
          <w:tcPr>
            <w:tcW w:w="976" w:type="dxa"/>
            <w:shd w:val="clear" w:color="auto" w:fill="auto"/>
            <w:vAlign w:val="center"/>
          </w:tcPr>
          <w:p w14:paraId="4EFD115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cs="仿宋"/>
                <w:b/>
                <w:bCs/>
                <w:spacing w:val="-5"/>
                <w:sz w:val="24"/>
                <w:szCs w:val="24"/>
                <w:highlight w:val="none"/>
                <w:lang w:val="en-US" w:eastAsia="zh-CN"/>
              </w:rPr>
            </w:pPr>
            <w:r>
              <w:rPr>
                <w:rFonts w:hint="eastAsia" w:cs="仿宋"/>
                <w:b/>
                <w:bCs/>
                <w:spacing w:val="-5"/>
                <w:sz w:val="24"/>
                <w:szCs w:val="24"/>
                <w:highlight w:val="none"/>
                <w:lang w:val="en-US" w:eastAsia="zh-CN"/>
              </w:rPr>
              <w:t>12分</w:t>
            </w:r>
          </w:p>
        </w:tc>
        <w:tc>
          <w:tcPr>
            <w:tcW w:w="5662" w:type="dxa"/>
            <w:shd w:val="clear" w:color="auto" w:fill="auto"/>
            <w:vAlign w:val="center"/>
          </w:tcPr>
          <w:p w14:paraId="303AF2F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w:t>
            </w:r>
            <w:r>
              <w:rPr>
                <w:rFonts w:hint="eastAsia" w:cs="仿宋"/>
                <w:snapToGrid w:val="0"/>
                <w:color w:val="000000"/>
                <w:spacing w:val="9"/>
                <w:kern w:val="0"/>
                <w:sz w:val="24"/>
                <w:szCs w:val="24"/>
                <w:highlight w:val="none"/>
                <w:lang w:val="en-US" w:eastAsia="zh-CN" w:bidi="ar-SA"/>
              </w:rPr>
              <w:t>提供的档案、资料文件管理及保密工作方案制度</w:t>
            </w:r>
            <w:r>
              <w:rPr>
                <w:rFonts w:hint="eastAsia" w:ascii="仿宋" w:hAnsi="仿宋" w:eastAsia="仿宋" w:cs="仿宋"/>
                <w:snapToGrid w:val="0"/>
                <w:color w:val="000000"/>
                <w:spacing w:val="9"/>
                <w:kern w:val="0"/>
                <w:sz w:val="24"/>
                <w:szCs w:val="24"/>
                <w:highlight w:val="none"/>
                <w:lang w:val="en-US" w:eastAsia="en-US" w:bidi="ar-SA"/>
              </w:rPr>
              <w:t>进行综合评审，包括但不限于：</w:t>
            </w:r>
          </w:p>
          <w:p w14:paraId="6E910CA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①建立完整培育档案(含课程、考核等)；</w:t>
            </w:r>
          </w:p>
          <w:p w14:paraId="2946E5D3">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②</w:t>
            </w:r>
            <w:r>
              <w:rPr>
                <w:rFonts w:hint="eastAsia" w:ascii="仿宋" w:hAnsi="仿宋" w:eastAsia="仿宋" w:cs="仿宋"/>
                <w:snapToGrid w:val="0"/>
                <w:color w:val="000000"/>
                <w:spacing w:val="9"/>
                <w:kern w:val="0"/>
                <w:sz w:val="24"/>
                <w:szCs w:val="24"/>
                <w:highlight w:val="none"/>
                <w:lang w:val="en-US" w:eastAsia="en-US" w:bidi="ar-SA"/>
              </w:rPr>
              <w:t>资料、文件留存管理；</w:t>
            </w:r>
          </w:p>
          <w:p w14:paraId="69160D9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③</w:t>
            </w:r>
            <w:r>
              <w:rPr>
                <w:rFonts w:hint="eastAsia" w:ascii="仿宋" w:hAnsi="仿宋" w:eastAsia="仿宋" w:cs="仿宋"/>
                <w:snapToGrid w:val="0"/>
                <w:color w:val="000000"/>
                <w:spacing w:val="9"/>
                <w:kern w:val="0"/>
                <w:sz w:val="24"/>
                <w:szCs w:val="24"/>
                <w:highlight w:val="none"/>
                <w:lang w:val="en-US" w:eastAsia="en-US" w:bidi="ar-SA"/>
              </w:rPr>
              <w:t>档案、资料保密措施；</w:t>
            </w:r>
          </w:p>
          <w:p w14:paraId="66C50C5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④</w:t>
            </w:r>
            <w:r>
              <w:rPr>
                <w:rFonts w:hint="eastAsia" w:ascii="仿宋" w:hAnsi="仿宋" w:eastAsia="仿宋" w:cs="仿宋"/>
                <w:snapToGrid w:val="0"/>
                <w:color w:val="000000"/>
                <w:spacing w:val="9"/>
                <w:kern w:val="0"/>
                <w:sz w:val="24"/>
                <w:szCs w:val="24"/>
                <w:highlight w:val="none"/>
                <w:lang w:val="en-US" w:eastAsia="en-US" w:bidi="ar-SA"/>
              </w:rPr>
              <w:t>及时录入农业农村部信息系统。</w:t>
            </w:r>
          </w:p>
          <w:p w14:paraId="63C8BCC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3</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12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3947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99" w:type="dxa"/>
            <w:vAlign w:val="center"/>
          </w:tcPr>
          <w:p w14:paraId="5EA9772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zh-CN" w:bidi="ar-SA"/>
              </w:rPr>
            </w:pPr>
            <w:r>
              <w:rPr>
                <w:rFonts w:hint="eastAsia" w:cs="仿宋"/>
                <w:b/>
                <w:bCs/>
                <w:snapToGrid w:val="0"/>
                <w:color w:val="000000"/>
                <w:spacing w:val="11"/>
                <w:kern w:val="0"/>
                <w:sz w:val="24"/>
                <w:szCs w:val="24"/>
                <w:highlight w:val="none"/>
                <w:lang w:val="en-US" w:eastAsia="zh-CN" w:bidi="ar-SA"/>
              </w:rPr>
              <w:t>6</w:t>
            </w:r>
          </w:p>
        </w:tc>
        <w:tc>
          <w:tcPr>
            <w:tcW w:w="2049" w:type="dxa"/>
            <w:shd w:val="clear" w:color="auto" w:fill="auto"/>
            <w:vAlign w:val="center"/>
          </w:tcPr>
          <w:p w14:paraId="148B6B7F">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spacing w:val="11"/>
                <w:kern w:val="0"/>
                <w:sz w:val="24"/>
                <w:szCs w:val="24"/>
                <w:highlight w:val="none"/>
                <w:lang w:val="en-US" w:eastAsia="zh-CN" w:bidi="ar-SA"/>
              </w:rPr>
            </w:pPr>
            <w:bookmarkStart w:id="62" w:name="bookmark17"/>
            <w:bookmarkEnd w:id="62"/>
            <w:r>
              <w:rPr>
                <w:rFonts w:hint="eastAsia" w:cs="仿宋"/>
                <w:b/>
                <w:bCs/>
                <w:snapToGrid w:val="0"/>
                <w:color w:val="000000"/>
                <w:spacing w:val="11"/>
                <w:kern w:val="0"/>
                <w:sz w:val="24"/>
                <w:szCs w:val="24"/>
                <w:highlight w:val="none"/>
                <w:lang w:val="en-US" w:eastAsia="zh-CN" w:bidi="ar-SA"/>
              </w:rPr>
              <w:t>经费支出计划</w:t>
            </w:r>
          </w:p>
        </w:tc>
        <w:tc>
          <w:tcPr>
            <w:tcW w:w="976" w:type="dxa"/>
            <w:shd w:val="clear" w:color="auto" w:fill="auto"/>
            <w:vAlign w:val="center"/>
          </w:tcPr>
          <w:p w14:paraId="15F7083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spacing w:val="-5"/>
                <w:kern w:val="0"/>
                <w:sz w:val="24"/>
                <w:szCs w:val="24"/>
                <w:highlight w:val="none"/>
                <w:lang w:val="en-US" w:eastAsia="zh-CN" w:bidi="ar-SA"/>
              </w:rPr>
            </w:pPr>
            <w:r>
              <w:rPr>
                <w:rFonts w:hint="eastAsia" w:cs="仿宋"/>
                <w:b/>
                <w:bCs/>
                <w:snapToGrid w:val="0"/>
                <w:color w:val="000000"/>
                <w:spacing w:val="-5"/>
                <w:kern w:val="0"/>
                <w:sz w:val="24"/>
                <w:szCs w:val="24"/>
                <w:highlight w:val="none"/>
                <w:lang w:val="en-US" w:eastAsia="zh-CN" w:bidi="ar-SA"/>
              </w:rPr>
              <w:t>6分</w:t>
            </w:r>
          </w:p>
        </w:tc>
        <w:tc>
          <w:tcPr>
            <w:tcW w:w="5662" w:type="dxa"/>
            <w:shd w:val="clear" w:color="auto" w:fill="auto"/>
            <w:vAlign w:val="center"/>
          </w:tcPr>
          <w:p w14:paraId="711DA14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方案须体现专项资金的合规性、精准性及惠农导向，包括：</w:t>
            </w:r>
          </w:p>
          <w:p w14:paraId="422F535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①资金支出科目设置与合规性；</w:t>
            </w:r>
          </w:p>
          <w:p w14:paraId="36EC0EB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②费用标准与测算依据；</w:t>
            </w:r>
          </w:p>
          <w:p w14:paraId="74851A6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③专账管理与跟踪服务费用控制。</w:t>
            </w:r>
          </w:p>
          <w:p w14:paraId="1EECCD8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2</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6</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0D8B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99" w:type="dxa"/>
            <w:vAlign w:val="center"/>
          </w:tcPr>
          <w:p w14:paraId="5CFA449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cs="仿宋"/>
                <w:b/>
                <w:bCs/>
                <w:snapToGrid w:val="0"/>
                <w:color w:val="000000"/>
                <w:spacing w:val="11"/>
                <w:kern w:val="0"/>
                <w:sz w:val="24"/>
                <w:szCs w:val="24"/>
                <w:highlight w:val="none"/>
                <w:lang w:val="en-US" w:eastAsia="zh-CN" w:bidi="ar-SA"/>
              </w:rPr>
            </w:pPr>
            <w:r>
              <w:rPr>
                <w:rFonts w:hint="eastAsia" w:cs="仿宋"/>
                <w:b/>
                <w:bCs/>
                <w:snapToGrid w:val="0"/>
                <w:color w:val="000000"/>
                <w:spacing w:val="11"/>
                <w:kern w:val="0"/>
                <w:sz w:val="24"/>
                <w:szCs w:val="24"/>
                <w:highlight w:val="none"/>
                <w:lang w:val="en-US" w:eastAsia="zh-CN" w:bidi="ar-SA"/>
              </w:rPr>
              <w:t>7</w:t>
            </w:r>
          </w:p>
        </w:tc>
        <w:tc>
          <w:tcPr>
            <w:tcW w:w="2049" w:type="dxa"/>
            <w:shd w:val="clear" w:color="auto" w:fill="auto"/>
            <w:vAlign w:val="center"/>
          </w:tcPr>
          <w:p w14:paraId="31DE530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跟踪服务</w:t>
            </w:r>
          </w:p>
        </w:tc>
        <w:tc>
          <w:tcPr>
            <w:tcW w:w="976" w:type="dxa"/>
            <w:shd w:val="clear" w:color="auto" w:fill="auto"/>
            <w:vAlign w:val="center"/>
          </w:tcPr>
          <w:p w14:paraId="480A5FD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5"/>
                <w:kern w:val="0"/>
                <w:sz w:val="24"/>
                <w:szCs w:val="24"/>
                <w:highlight w:val="none"/>
                <w:lang w:val="en-US" w:eastAsia="zh-CN" w:bidi="ar-SA"/>
              </w:rPr>
            </w:pPr>
            <w:r>
              <w:rPr>
                <w:rFonts w:hint="eastAsia" w:cs="仿宋"/>
                <w:b/>
                <w:bCs/>
                <w:spacing w:val="-5"/>
                <w:sz w:val="24"/>
                <w:szCs w:val="24"/>
                <w:highlight w:val="none"/>
                <w:lang w:val="en-US" w:eastAsia="zh-CN"/>
              </w:rPr>
              <w:t>2 分</w:t>
            </w:r>
          </w:p>
        </w:tc>
        <w:tc>
          <w:tcPr>
            <w:tcW w:w="5662" w:type="dxa"/>
            <w:shd w:val="clear" w:color="auto" w:fill="auto"/>
            <w:vAlign w:val="center"/>
          </w:tcPr>
          <w:p w14:paraId="2FF4871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根据供应商提供的</w:t>
            </w:r>
            <w:r>
              <w:rPr>
                <w:rFonts w:hint="eastAsia" w:ascii="仿宋" w:hAnsi="仿宋" w:eastAsia="仿宋" w:cs="仿宋"/>
                <w:b/>
                <w:bCs/>
                <w:snapToGrid w:val="0"/>
                <w:color w:val="000000"/>
                <w:spacing w:val="11"/>
                <w:kern w:val="0"/>
                <w:sz w:val="24"/>
                <w:szCs w:val="24"/>
                <w:highlight w:val="none"/>
                <w:lang w:val="en-US" w:eastAsia="en-US" w:bidi="ar-SA"/>
              </w:rPr>
              <w:t>跟踪服务</w:t>
            </w:r>
            <w:r>
              <w:rPr>
                <w:rFonts w:hint="eastAsia" w:ascii="仿宋" w:hAnsi="仿宋" w:eastAsia="仿宋" w:cs="仿宋"/>
                <w:snapToGrid w:val="0"/>
                <w:color w:val="000000"/>
                <w:spacing w:val="9"/>
                <w:kern w:val="0"/>
                <w:sz w:val="24"/>
                <w:szCs w:val="24"/>
                <w:highlight w:val="none"/>
                <w:lang w:val="en-US" w:eastAsia="en-US" w:bidi="ar-SA"/>
              </w:rPr>
              <w:t>进行综合评审，包括但不限于：</w:t>
            </w:r>
          </w:p>
          <w:p w14:paraId="0E4990E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zh-CN" w:bidi="ar-SA"/>
              </w:rPr>
            </w:pPr>
            <w:r>
              <w:rPr>
                <w:rFonts w:hint="eastAsia" w:ascii="仿宋" w:hAnsi="仿宋" w:eastAsia="仿宋" w:cs="仿宋"/>
                <w:snapToGrid w:val="0"/>
                <w:color w:val="000000"/>
                <w:spacing w:val="9"/>
                <w:kern w:val="0"/>
                <w:sz w:val="24"/>
                <w:szCs w:val="24"/>
                <w:highlight w:val="none"/>
                <w:lang w:val="en-US" w:eastAsia="zh-CN" w:bidi="ar-SA"/>
              </w:rPr>
              <w:t>①跟踪服务形式；</w:t>
            </w:r>
          </w:p>
          <w:p w14:paraId="1DE5B298">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zh-CN" w:bidi="ar-SA"/>
              </w:rPr>
            </w:pPr>
            <w:r>
              <w:rPr>
                <w:rFonts w:hint="eastAsia" w:ascii="仿宋" w:hAnsi="仿宋" w:eastAsia="仿宋" w:cs="仿宋"/>
                <w:snapToGrid w:val="0"/>
                <w:color w:val="000000"/>
                <w:spacing w:val="9"/>
                <w:kern w:val="0"/>
                <w:sz w:val="24"/>
                <w:szCs w:val="24"/>
                <w:highlight w:val="none"/>
                <w:lang w:val="en-US" w:eastAsia="zh-CN" w:bidi="ar-SA"/>
              </w:rPr>
              <w:t>②服务人员安排及质量保证；</w:t>
            </w:r>
          </w:p>
          <w:p w14:paraId="261A1FB8">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ascii="仿宋" w:hAnsi="仿宋" w:eastAsia="仿宋"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ascii="仿宋" w:hAnsi="仿宋" w:eastAsia="仿宋" w:cs="仿宋"/>
                <w:snapToGrid w:val="0"/>
                <w:color w:val="000000"/>
                <w:spacing w:val="9"/>
                <w:kern w:val="0"/>
                <w:sz w:val="24"/>
                <w:szCs w:val="24"/>
                <w:highlight w:val="none"/>
                <w:lang w:val="en-US" w:eastAsia="zh-CN" w:bidi="ar-SA"/>
              </w:rPr>
              <w:t>0.5</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bl>
    <w:p w14:paraId="3EFAE0B8">
      <w:pPr>
        <w:spacing w:line="360" w:lineRule="auto"/>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19.磋商小组及其成员不得有下列行为</w:t>
      </w:r>
    </w:p>
    <w:p w14:paraId="32F7D137">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19.1未按照采购代理机构的要求将通讯工具存入指定地点的；</w:t>
      </w:r>
    </w:p>
    <w:p w14:paraId="3A05BD8E">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19.2确定参与评审至评审结束前私自接触供应商；</w:t>
      </w:r>
    </w:p>
    <w:p w14:paraId="7138C5F3">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19.3接受供应商提出的与响应文件不一致的澄清或者说明，按照磋商文件规定进行澄清的情形除外；</w:t>
      </w:r>
    </w:p>
    <w:p w14:paraId="46B8E7C6">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19.4违反评审纪律发表倾向性意见或者征询采购人的倾向性意见；</w:t>
      </w:r>
    </w:p>
    <w:p w14:paraId="5D596B2A">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19.5对需要专业判断的主观评审因素协商评分；</w:t>
      </w:r>
    </w:p>
    <w:p w14:paraId="2CBDEC94">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19.6在评审过程中擅离职守，影响评审程序正常进行的；</w:t>
      </w:r>
    </w:p>
    <w:p w14:paraId="504DE14D">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19.7记录、复制或者带走任何评审资料；</w:t>
      </w:r>
    </w:p>
    <w:p w14:paraId="10ABD76F">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19.8其他不遵守评审纪律的行为。</w:t>
      </w:r>
    </w:p>
    <w:p w14:paraId="456CF798">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磋商小组成员有“19.1—19.6”行为之一的，其评审意见无效，采购代理机构将不予支付评审劳务报酬；磋商小组成员有上述行为之一的，由财政部门责令限期改正；情节严重的，给予警告，并对其不良行为予以记录；给他人造成损失的，依法承担民事责任。</w:t>
      </w:r>
      <w:bookmarkStart w:id="63" w:name="_Toc104232633"/>
    </w:p>
    <w:p w14:paraId="79173EAD">
      <w:pP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br w:type="page"/>
      </w:r>
    </w:p>
    <w:p w14:paraId="4A886099">
      <w:pPr>
        <w:pStyle w:val="12"/>
        <w:spacing w:before="172" w:line="222" w:lineRule="auto"/>
        <w:ind w:left="2996"/>
        <w:outlineLvl w:val="0"/>
        <w:rPr>
          <w:sz w:val="30"/>
          <w:szCs w:val="30"/>
        </w:rPr>
      </w:pPr>
      <w:bookmarkStart w:id="64" w:name="_Toc14528"/>
      <w:bookmarkStart w:id="65" w:name="_Toc12143"/>
      <w:r>
        <w:rPr>
          <w:b/>
          <w:bCs/>
          <w:spacing w:val="-11"/>
          <w:sz w:val="30"/>
          <w:szCs w:val="30"/>
        </w:rPr>
        <w:t>第四章</w:t>
      </w:r>
      <w:r>
        <w:rPr>
          <w:spacing w:val="13"/>
          <w:sz w:val="30"/>
          <w:szCs w:val="30"/>
        </w:rPr>
        <w:t xml:space="preserve">  </w:t>
      </w:r>
      <w:r>
        <w:rPr>
          <w:b/>
          <w:bCs/>
          <w:spacing w:val="-11"/>
          <w:sz w:val="30"/>
          <w:szCs w:val="30"/>
        </w:rPr>
        <w:t>采购需求</w:t>
      </w:r>
      <w:bookmarkEnd w:id="64"/>
      <w:bookmarkEnd w:id="65"/>
    </w:p>
    <w:p w14:paraId="7A2F102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8" w:firstLineChars="200"/>
        <w:textAlignment w:val="baseline"/>
        <w:rPr>
          <w:rFonts w:hint="eastAsia" w:ascii="仿宋" w:hAnsi="仿宋" w:eastAsia="仿宋" w:cs="仿宋"/>
          <w:sz w:val="24"/>
          <w:szCs w:val="24"/>
        </w:rPr>
      </w:pPr>
      <w:r>
        <w:rPr>
          <w:rFonts w:hint="eastAsia" w:ascii="仿宋" w:hAnsi="仿宋" w:eastAsia="仿宋" w:cs="仿宋"/>
          <w:b/>
          <w:bCs/>
          <w:spacing w:val="-6"/>
          <w:sz w:val="24"/>
          <w:szCs w:val="24"/>
        </w:rPr>
        <w:t>一、项目概况</w:t>
      </w:r>
    </w:p>
    <w:p w14:paraId="71A69C5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1.项目名称：</w:t>
      </w:r>
      <w:r>
        <w:rPr>
          <w:rFonts w:hint="eastAsia" w:ascii="仿宋" w:hAnsi="仿宋" w:eastAsia="仿宋" w:cs="仿宋"/>
          <w:b w:val="0"/>
          <w:bCs w:val="0"/>
          <w:spacing w:val="-4"/>
          <w:sz w:val="24"/>
          <w:szCs w:val="24"/>
          <w:lang w:eastAsia="zh-CN"/>
        </w:rPr>
        <w:t>孝义市</w:t>
      </w:r>
      <w:r>
        <w:rPr>
          <w:rFonts w:hint="eastAsia" w:ascii="仿宋" w:hAnsi="仿宋" w:eastAsia="仿宋" w:cs="仿宋"/>
          <w:spacing w:val="-4"/>
          <w:sz w:val="24"/>
          <w:szCs w:val="24"/>
        </w:rPr>
        <w:t>2026年高素质农民培育</w:t>
      </w:r>
    </w:p>
    <w:p w14:paraId="47801B0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highlight w:val="none"/>
          <w:shd w:val="clear" w:fill="FFFF00"/>
        </w:rPr>
      </w:pPr>
      <w:r>
        <w:rPr>
          <w:rFonts w:hint="eastAsia" w:ascii="仿宋" w:hAnsi="仿宋" w:eastAsia="仿宋" w:cs="仿宋"/>
          <w:b/>
          <w:bCs/>
          <w:spacing w:val="-4"/>
          <w:sz w:val="24"/>
          <w:szCs w:val="24"/>
        </w:rPr>
        <w:t>2.项目编号：</w:t>
      </w:r>
      <w:r>
        <w:rPr>
          <w:rFonts w:hint="eastAsia" w:ascii="仿宋" w:hAnsi="仿宋" w:eastAsia="仿宋" w:cs="仿宋"/>
          <w:spacing w:val="-11"/>
          <w:sz w:val="24"/>
          <w:szCs w:val="24"/>
          <w:highlight w:val="none"/>
        </w:rPr>
        <w:t>1411812026CCS00089</w:t>
      </w:r>
    </w:p>
    <w:p w14:paraId="5BA12CC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3.采购方式：</w:t>
      </w:r>
      <w:r>
        <w:rPr>
          <w:rFonts w:hint="eastAsia" w:ascii="仿宋" w:hAnsi="仿宋" w:eastAsia="仿宋" w:cs="仿宋"/>
          <w:spacing w:val="-3"/>
          <w:sz w:val="24"/>
          <w:szCs w:val="24"/>
          <w:highlight w:val="none"/>
        </w:rPr>
        <w:t>竞争性磋商</w:t>
      </w:r>
    </w:p>
    <w:p w14:paraId="1A6CE92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38"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4.预算金额：</w:t>
      </w:r>
      <w:r>
        <w:rPr>
          <w:rFonts w:hint="eastAsia" w:ascii="仿宋" w:hAnsi="仿宋" w:eastAsia="仿宋" w:cs="仿宋"/>
          <w:spacing w:val="-11"/>
          <w:sz w:val="24"/>
          <w:szCs w:val="24"/>
          <w:highlight w:val="none"/>
        </w:rPr>
        <w:t>510000.00元，本项目分三包，包一：170000元；包二：170000</w:t>
      </w:r>
      <w:r>
        <w:rPr>
          <w:rFonts w:hint="eastAsia" w:ascii="仿宋" w:hAnsi="仿宋" w:eastAsia="仿宋" w:cs="仿宋"/>
          <w:spacing w:val="-4"/>
          <w:sz w:val="24"/>
          <w:szCs w:val="24"/>
          <w:highlight w:val="none"/>
        </w:rPr>
        <w:t>元；包三：170000元。</w:t>
      </w:r>
    </w:p>
    <w:p w14:paraId="0EEB8778">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38"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5.最高限价：</w:t>
      </w:r>
      <w:r>
        <w:rPr>
          <w:rFonts w:hint="eastAsia" w:ascii="仿宋" w:hAnsi="仿宋" w:eastAsia="仿宋" w:cs="仿宋"/>
          <w:spacing w:val="-11"/>
          <w:sz w:val="24"/>
          <w:szCs w:val="24"/>
          <w:highlight w:val="none"/>
        </w:rPr>
        <w:t>510000.00元，本项目分三包，包一：170000元；包二：170000</w:t>
      </w:r>
      <w:r>
        <w:rPr>
          <w:rFonts w:hint="eastAsia" w:ascii="仿宋" w:hAnsi="仿宋" w:eastAsia="仿宋" w:cs="仿宋"/>
          <w:spacing w:val="-4"/>
          <w:sz w:val="24"/>
          <w:szCs w:val="24"/>
          <w:highlight w:val="none"/>
        </w:rPr>
        <w:t>元；包三：170000元。</w:t>
      </w:r>
    </w:p>
    <w:p w14:paraId="5BBFEA8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6.行业划分：</w:t>
      </w:r>
      <w:r>
        <w:rPr>
          <w:rFonts w:hint="eastAsia" w:ascii="仿宋" w:hAnsi="仿宋" w:eastAsia="仿宋" w:cs="仿宋"/>
          <w:spacing w:val="-2"/>
          <w:sz w:val="24"/>
          <w:szCs w:val="24"/>
          <w:highlight w:val="none"/>
        </w:rPr>
        <w:t>其他未列明行业</w:t>
      </w:r>
    </w:p>
    <w:p w14:paraId="10E0B6A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2" w:firstLineChars="200"/>
        <w:textAlignment w:val="baseline"/>
        <w:rPr>
          <w:rFonts w:hint="eastAsia" w:ascii="仿宋" w:hAnsi="仿宋" w:eastAsia="仿宋" w:cs="仿宋"/>
          <w:spacing w:val="-2"/>
          <w:sz w:val="24"/>
          <w:szCs w:val="24"/>
          <w:highlight w:val="none"/>
        </w:rPr>
      </w:pPr>
      <w:r>
        <w:rPr>
          <w:rFonts w:hint="eastAsia" w:ascii="仿宋" w:hAnsi="仿宋" w:eastAsia="仿宋" w:cs="仿宋"/>
          <w:b/>
          <w:bCs/>
          <w:sz w:val="24"/>
          <w:szCs w:val="24"/>
          <w:highlight w:val="none"/>
        </w:rPr>
        <w:t>7.项目概况：</w:t>
      </w:r>
      <w:r>
        <w:rPr>
          <w:rFonts w:hint="eastAsia" w:ascii="仿宋" w:hAnsi="仿宋" w:eastAsia="仿宋" w:cs="仿宋"/>
          <w:sz w:val="24"/>
          <w:szCs w:val="24"/>
          <w:highlight w:val="none"/>
        </w:rPr>
        <w:t>根据《山西省农业农村厅关于提前下达2026年中央农业相关</w:t>
      </w:r>
      <w:r>
        <w:rPr>
          <w:rFonts w:hint="eastAsia" w:ascii="仿宋" w:hAnsi="仿宋" w:eastAsia="仿宋" w:cs="仿宋"/>
          <w:spacing w:val="-2"/>
          <w:sz w:val="24"/>
          <w:szCs w:val="24"/>
          <w:highlight w:val="none"/>
        </w:rPr>
        <w:t>转移支付资金使用计划及任务清单的通知》(晋农函【2025】319号)、《吕梁市</w:t>
      </w:r>
      <w:r>
        <w:rPr>
          <w:rFonts w:hint="eastAsia" w:ascii="仿宋" w:hAnsi="仿宋" w:eastAsia="仿宋" w:cs="仿宋"/>
          <w:spacing w:val="1"/>
          <w:sz w:val="24"/>
          <w:szCs w:val="24"/>
          <w:highlight w:val="none"/>
        </w:rPr>
        <w:t>市农业农村局关于印发吕梁市2026年高素质</w:t>
      </w:r>
      <w:r>
        <w:rPr>
          <w:rFonts w:hint="eastAsia" w:ascii="仿宋" w:hAnsi="仿宋" w:eastAsia="仿宋" w:cs="仿宋"/>
          <w:sz w:val="24"/>
          <w:szCs w:val="24"/>
          <w:highlight w:val="none"/>
        </w:rPr>
        <w:t>农民培育工作(提前批次)实施方案</w:t>
      </w:r>
      <w:r>
        <w:rPr>
          <w:rFonts w:hint="eastAsia" w:ascii="仿宋" w:hAnsi="仿宋" w:eastAsia="仿宋" w:cs="仿宋"/>
          <w:spacing w:val="-2"/>
          <w:sz w:val="24"/>
          <w:szCs w:val="24"/>
          <w:highlight w:val="none"/>
        </w:rPr>
        <w:t>的通知》(吕农发【2026】4号)要求，孝义市下达高素质农民培育，前半年开展粮油和重要农产品生产经营主体培育150人，要求6月底前完成培训。</w:t>
      </w:r>
    </w:p>
    <w:p w14:paraId="03080D77">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highlight w:val="none"/>
        </w:rPr>
        <w:t>注：所有采购服务内容各项标准应当符合国家强制性标准，具体响应范围、</w:t>
      </w:r>
      <w:r>
        <w:rPr>
          <w:rFonts w:hint="eastAsia" w:ascii="仿宋" w:hAnsi="仿宋" w:eastAsia="仿宋" w:cs="仿宋"/>
          <w:spacing w:val="-3"/>
          <w:sz w:val="24"/>
          <w:szCs w:val="24"/>
        </w:rPr>
        <w:t>服务范围及所应达到的具体要求，以本采购文件中商务、技术和服务</w:t>
      </w:r>
      <w:r>
        <w:rPr>
          <w:rFonts w:hint="eastAsia" w:ascii="仿宋" w:hAnsi="仿宋" w:eastAsia="仿宋" w:cs="仿宋"/>
          <w:spacing w:val="-4"/>
          <w:sz w:val="24"/>
          <w:szCs w:val="24"/>
        </w:rPr>
        <w:t>的相应规定</w:t>
      </w:r>
      <w:r>
        <w:rPr>
          <w:rFonts w:hint="eastAsia" w:ascii="仿宋" w:hAnsi="仿宋" w:eastAsia="仿宋" w:cs="仿宋"/>
          <w:spacing w:val="-6"/>
          <w:sz w:val="24"/>
          <w:szCs w:val="24"/>
        </w:rPr>
        <w:t>为准。</w:t>
      </w:r>
    </w:p>
    <w:p w14:paraId="46A81E7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二、</w:t>
      </w:r>
      <w:r>
        <w:rPr>
          <w:rFonts w:hint="eastAsia" w:ascii="仿宋" w:hAnsi="仿宋" w:eastAsia="仿宋" w:cs="仿宋"/>
          <w:b/>
          <w:bCs/>
          <w:spacing w:val="-4"/>
          <w:sz w:val="24"/>
          <w:szCs w:val="24"/>
        </w:rPr>
        <w:t>技术要求（包一、包二、包三</w:t>
      </w:r>
      <w:r>
        <w:rPr>
          <w:rFonts w:hint="eastAsia" w:ascii="仿宋" w:hAnsi="仿宋" w:eastAsia="仿宋" w:cs="仿宋"/>
          <w:b/>
          <w:bCs/>
          <w:spacing w:val="-64"/>
          <w:sz w:val="24"/>
          <w:szCs w:val="24"/>
        </w:rPr>
        <w:t>）：</w:t>
      </w:r>
    </w:p>
    <w:p w14:paraId="5BC3C06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（一）培育专业及对象</w:t>
      </w:r>
    </w:p>
    <w:p w14:paraId="77B44DC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（1）培育专业：包一：玉米种植；包二：</w:t>
      </w:r>
      <w:r>
        <w:rPr>
          <w:rFonts w:hint="eastAsia" w:ascii="仿宋" w:hAnsi="仿宋" w:eastAsia="仿宋" w:cs="仿宋"/>
          <w:spacing w:val="-1"/>
          <w:sz w:val="24"/>
          <w:szCs w:val="24"/>
          <w:lang w:eastAsia="zh-CN"/>
        </w:rPr>
        <w:t>设施</w:t>
      </w:r>
      <w:r>
        <w:rPr>
          <w:rFonts w:hint="eastAsia" w:ascii="仿宋" w:hAnsi="仿宋" w:eastAsia="仿宋" w:cs="仿宋"/>
          <w:spacing w:val="-1"/>
          <w:sz w:val="24"/>
          <w:szCs w:val="24"/>
        </w:rPr>
        <w:t>蔬菜种植；包三：小麦种植。</w:t>
      </w:r>
    </w:p>
    <w:p w14:paraId="3713F43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b/>
          <w:bCs/>
          <w:spacing w:val="-5"/>
          <w:sz w:val="24"/>
          <w:szCs w:val="24"/>
        </w:rPr>
      </w:pPr>
      <w:r>
        <w:rPr>
          <w:rFonts w:hint="eastAsia" w:ascii="仿宋" w:hAnsi="仿宋" w:eastAsia="仿宋" w:cs="仿宋"/>
          <w:spacing w:val="-5"/>
          <w:sz w:val="24"/>
          <w:szCs w:val="24"/>
        </w:rPr>
        <w:t>（2）培育对象：</w:t>
      </w:r>
      <w:r>
        <w:rPr>
          <w:rFonts w:hint="eastAsia" w:ascii="仿宋" w:hAnsi="仿宋" w:eastAsia="仿宋" w:cs="仿宋"/>
          <w:b/>
          <w:bCs/>
          <w:spacing w:val="-5"/>
          <w:sz w:val="24"/>
          <w:szCs w:val="24"/>
        </w:rPr>
        <w:t>培育对象应</w:t>
      </w:r>
      <w:r>
        <w:rPr>
          <w:rFonts w:hint="eastAsia" w:ascii="仿宋" w:hAnsi="仿宋" w:eastAsia="仿宋" w:cs="仿宋"/>
          <w:b/>
          <w:bCs/>
          <w:spacing w:val="-5"/>
          <w:sz w:val="24"/>
          <w:szCs w:val="24"/>
          <w:lang w:val="en-US" w:eastAsia="zh-CN"/>
        </w:rPr>
        <w:t>为当地</w:t>
      </w:r>
      <w:r>
        <w:rPr>
          <w:rFonts w:hint="eastAsia" w:ascii="仿宋" w:hAnsi="仿宋" w:eastAsia="仿宋" w:cs="仿宋"/>
          <w:b/>
          <w:bCs/>
          <w:spacing w:val="-5"/>
          <w:sz w:val="24"/>
          <w:szCs w:val="24"/>
        </w:rPr>
        <w:t>正在从事或有意愿从事农业农村领域生产、经营、服务的农民和返乡人员，主要培育新型农业经营主体带头人和乡村振兴骨干人员。</w:t>
      </w:r>
    </w:p>
    <w:p w14:paraId="126C743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能力</w:t>
      </w:r>
      <w:r>
        <w:rPr>
          <w:rFonts w:hint="eastAsia" w:ascii="仿宋" w:hAnsi="仿宋" w:eastAsia="仿宋" w:cs="仿宋"/>
          <w:sz w:val="24"/>
          <w:szCs w:val="24"/>
        </w:rPr>
        <w:t>提升培训150人（包一：玉米种植单产提升班培育50人；包二：</w:t>
      </w:r>
      <w:r>
        <w:rPr>
          <w:rFonts w:hint="eastAsia" w:ascii="仿宋" w:hAnsi="仿宋" w:eastAsia="仿宋" w:cs="仿宋"/>
          <w:sz w:val="24"/>
          <w:szCs w:val="24"/>
          <w:lang w:eastAsia="zh-CN"/>
        </w:rPr>
        <w:t>设施</w:t>
      </w:r>
      <w:r>
        <w:rPr>
          <w:rFonts w:hint="eastAsia" w:ascii="仿宋" w:hAnsi="仿宋" w:eastAsia="仿宋" w:cs="仿宋"/>
          <w:sz w:val="24"/>
          <w:szCs w:val="24"/>
        </w:rPr>
        <w:t>蔬菜种植</w:t>
      </w:r>
      <w:r>
        <w:rPr>
          <w:rFonts w:hint="eastAsia" w:ascii="仿宋" w:hAnsi="仿宋" w:eastAsia="仿宋" w:cs="仿宋"/>
          <w:spacing w:val="-1"/>
          <w:sz w:val="24"/>
          <w:szCs w:val="24"/>
        </w:rPr>
        <w:t>技术</w:t>
      </w:r>
      <w:r>
        <w:rPr>
          <w:rFonts w:hint="eastAsia" w:ascii="仿宋" w:hAnsi="仿宋" w:eastAsia="仿宋" w:cs="仿宋"/>
          <w:spacing w:val="-9"/>
          <w:sz w:val="24"/>
          <w:szCs w:val="24"/>
        </w:rPr>
        <w:t>班培育50人；小麦种植技术培训50人）。</w:t>
      </w:r>
    </w:p>
    <w:p w14:paraId="67C9713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（二）培育目标</w:t>
      </w:r>
    </w:p>
    <w:p w14:paraId="6262087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（1）任务指标：严格按照省市下达的培育计划，由成交供应商完成培育任务，确保培育覆盖率、学员合格率均达到100%，学员满意度不低于90%。</w:t>
      </w:r>
    </w:p>
    <w:p w14:paraId="3F6C4888">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（2）培育目标：聚焦产业主线，围绕重要农产品稳产保供要求，以粮油领域新品种、新技术、新装备应用等为主要内容，聚焦玉米等作物开展主体产能提升培育。以</w:t>
      </w:r>
      <w:r>
        <w:rPr>
          <w:rFonts w:hint="eastAsia" w:ascii="仿宋" w:hAnsi="仿宋" w:eastAsia="仿宋" w:cs="仿宋"/>
          <w:spacing w:val="-5"/>
          <w:sz w:val="24"/>
          <w:szCs w:val="24"/>
          <w:lang w:eastAsia="zh-CN"/>
        </w:rPr>
        <w:t>种植</w:t>
      </w:r>
      <w:r>
        <w:rPr>
          <w:rFonts w:hint="eastAsia" w:ascii="仿宋" w:hAnsi="仿宋" w:eastAsia="仿宋" w:cs="仿宋"/>
          <w:spacing w:val="-5"/>
          <w:sz w:val="24"/>
          <w:szCs w:val="24"/>
        </w:rPr>
        <w:t>理论、生产技术、质量安全、绿色发展等为主要内容开展针对性强、实用可行的培育工作，培育一批高素质农民，推动产业提质增效，助力乡村振兴。</w:t>
      </w:r>
    </w:p>
    <w:p w14:paraId="565A0FD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三</w:t>
      </w:r>
      <w:r>
        <w:rPr>
          <w:rFonts w:hint="eastAsia" w:ascii="仿宋" w:hAnsi="仿宋" w:eastAsia="仿宋" w:cs="仿宋"/>
          <w:b/>
          <w:bCs/>
          <w:spacing w:val="-4"/>
          <w:sz w:val="24"/>
          <w:szCs w:val="24"/>
        </w:rPr>
        <w:t>）培育方式</w:t>
      </w:r>
    </w:p>
    <w:p w14:paraId="32FFBF3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z w:val="24"/>
          <w:szCs w:val="24"/>
        </w:rPr>
      </w:pPr>
      <w:r>
        <w:rPr>
          <w:rFonts w:hint="eastAsia" w:ascii="仿宋" w:hAnsi="仿宋" w:eastAsia="仿宋" w:cs="仿宋"/>
          <w:spacing w:val="-6"/>
          <w:sz w:val="24"/>
          <w:szCs w:val="24"/>
        </w:rPr>
        <w:t>（1）多元融合教学。本次培育采用课堂教学（包含线上线下）、实践教学、</w:t>
      </w:r>
      <w:r>
        <w:rPr>
          <w:rFonts w:hint="eastAsia" w:ascii="仿宋" w:hAnsi="仿宋" w:eastAsia="仿宋" w:cs="仿宋"/>
          <w:spacing w:val="-3"/>
          <w:sz w:val="24"/>
          <w:szCs w:val="24"/>
        </w:rPr>
        <w:t>观摩交流等多种教学方式相结合的方式开展，确保学员能够全面、</w:t>
      </w:r>
      <w:r>
        <w:rPr>
          <w:rFonts w:hint="eastAsia" w:ascii="仿宋" w:hAnsi="仿宋" w:eastAsia="仿宋" w:cs="仿宋"/>
          <w:spacing w:val="-4"/>
          <w:sz w:val="24"/>
          <w:szCs w:val="24"/>
        </w:rPr>
        <w:t>深入掌握相关</w:t>
      </w:r>
      <w:r>
        <w:rPr>
          <w:rFonts w:hint="eastAsia" w:ascii="仿宋" w:hAnsi="仿宋" w:eastAsia="仿宋" w:cs="仿宋"/>
          <w:spacing w:val="-3"/>
          <w:sz w:val="24"/>
          <w:szCs w:val="24"/>
        </w:rPr>
        <w:t>知识和实操技能，实现“学用结合、学以致用”</w:t>
      </w:r>
      <w:r>
        <w:rPr>
          <w:rFonts w:hint="eastAsia" w:ascii="仿宋" w:hAnsi="仿宋" w:eastAsia="仿宋" w:cs="仿宋"/>
          <w:spacing w:val="-3"/>
          <w:sz w:val="24"/>
          <w:szCs w:val="24"/>
          <w:lang w:eastAsia="zh-CN"/>
        </w:rPr>
        <w:t>，</w:t>
      </w:r>
      <w:r>
        <w:rPr>
          <w:rFonts w:hint="eastAsia" w:ascii="仿宋" w:hAnsi="仿宋" w:eastAsia="仿宋" w:cs="仿宋"/>
          <w:b/>
          <w:bCs/>
          <w:spacing w:val="-3"/>
          <w:sz w:val="24"/>
          <w:szCs w:val="24"/>
        </w:rPr>
        <w:t>其中，线上学习学时数不超过总学时数的15%。</w:t>
      </w:r>
    </w:p>
    <w:p w14:paraId="60EE21A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0" w:firstLineChars="200"/>
        <w:textAlignment w:val="baseline"/>
        <w:rPr>
          <w:rFonts w:hint="eastAsia" w:ascii="仿宋" w:hAnsi="仿宋" w:eastAsia="仿宋" w:cs="仿宋"/>
          <w:spacing w:val="-6"/>
          <w:sz w:val="24"/>
          <w:szCs w:val="24"/>
        </w:rPr>
      </w:pPr>
      <w:r>
        <w:rPr>
          <w:rFonts w:hint="eastAsia" w:ascii="仿宋" w:hAnsi="仿宋" w:eastAsia="仿宋" w:cs="仿宋"/>
          <w:sz w:val="24"/>
          <w:szCs w:val="24"/>
        </w:rPr>
        <w:t>（2）严格考核颁证。培育结束后，采取理论知识考试与现场答辩考核相结</w:t>
      </w:r>
      <w:r>
        <w:rPr>
          <w:rFonts w:hint="eastAsia" w:ascii="仿宋" w:hAnsi="仿宋" w:eastAsia="仿宋" w:cs="仿宋"/>
          <w:spacing w:val="-3"/>
          <w:sz w:val="24"/>
          <w:szCs w:val="24"/>
        </w:rPr>
        <w:t>合的方式，对参训学员进行考试考核，培育机构根据课程考核和考勤情况,综合</w:t>
      </w:r>
      <w:r>
        <w:rPr>
          <w:rFonts w:hint="eastAsia" w:ascii="仿宋" w:hAnsi="仿宋" w:eastAsia="仿宋" w:cs="仿宋"/>
          <w:spacing w:val="-6"/>
          <w:sz w:val="24"/>
          <w:szCs w:val="24"/>
        </w:rPr>
        <w:t>评价学员学习成果,对完成学习任务的培育对象颁发结业证书。</w:t>
      </w:r>
    </w:p>
    <w:p w14:paraId="1216D73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3）强化效果评价。培育期间，组织参训学员对培育教师授课质量、实训基地条件、培育班组织管理、培育效果等进行综合在线评价，建立评价反馈机制，对评价中发现的问题及时整改，确保学员满意度不低于90%。</w:t>
      </w:r>
    </w:p>
    <w:p w14:paraId="11D9BD0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pacing w:val="-3"/>
          <w:sz w:val="24"/>
          <w:szCs w:val="24"/>
        </w:rPr>
      </w:pP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4</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跟踪服务</w:t>
      </w:r>
      <w:r>
        <w:rPr>
          <w:rFonts w:hint="eastAsia" w:ascii="仿宋" w:hAnsi="仿宋" w:eastAsia="仿宋" w:cs="仿宋"/>
          <w:spacing w:val="-6"/>
          <w:sz w:val="24"/>
          <w:szCs w:val="24"/>
          <w:lang w:eastAsia="zh-CN"/>
        </w:rPr>
        <w:t>。</w:t>
      </w:r>
      <w:r>
        <w:rPr>
          <w:rFonts w:hint="eastAsia" w:ascii="仿宋" w:hAnsi="仿宋" w:eastAsia="仿宋" w:cs="仿宋"/>
          <w:b/>
          <w:bCs/>
          <w:spacing w:val="-6"/>
          <w:sz w:val="24"/>
          <w:szCs w:val="24"/>
        </w:rPr>
        <w:t>培育机构应在课堂教学、实践教学和交流观摩全部完成</w:t>
      </w:r>
      <w:r>
        <w:rPr>
          <w:rFonts w:hint="eastAsia" w:ascii="仿宋" w:hAnsi="仿宋" w:eastAsia="仿宋" w:cs="仿宋"/>
          <w:b/>
          <w:bCs/>
          <w:spacing w:val="-3"/>
          <w:sz w:val="24"/>
          <w:szCs w:val="24"/>
        </w:rPr>
        <w:t>后对学员开展跟踪服务,时长不超过1年,次数不少于2次。跟踪服务人数不少于培训班总人数的30%。</w:t>
      </w:r>
      <w:r>
        <w:rPr>
          <w:rFonts w:hint="eastAsia" w:ascii="仿宋" w:hAnsi="仿宋" w:eastAsia="仿宋" w:cs="仿宋"/>
          <w:spacing w:val="-3"/>
          <w:sz w:val="24"/>
          <w:szCs w:val="24"/>
        </w:rPr>
        <w:t>跟踪服务形式可包括技术指导、政策推介、发展帮扶、组织交流互助、组织参加与培育主题相关的展会和技能竞赛等。</w:t>
      </w:r>
    </w:p>
    <w:p w14:paraId="2A07DF2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四</w:t>
      </w:r>
      <w:r>
        <w:rPr>
          <w:rFonts w:hint="eastAsia" w:ascii="仿宋" w:hAnsi="仿宋" w:eastAsia="仿宋" w:cs="仿宋"/>
          <w:b/>
          <w:bCs/>
          <w:spacing w:val="-4"/>
          <w:sz w:val="24"/>
          <w:szCs w:val="24"/>
        </w:rPr>
        <w:t>）培育事宜</w:t>
      </w:r>
    </w:p>
    <w:p w14:paraId="4295ED81">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（1）培育安排</w:t>
      </w:r>
    </w:p>
    <w:p w14:paraId="07CF9C4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孝义</w:t>
      </w:r>
      <w:r>
        <w:rPr>
          <w:rFonts w:hint="eastAsia" w:ascii="仿宋" w:hAnsi="仿宋" w:eastAsia="仿宋" w:cs="仿宋"/>
          <w:spacing w:val="1"/>
          <w:sz w:val="24"/>
          <w:szCs w:val="24"/>
          <w:lang w:eastAsia="zh-CN"/>
        </w:rPr>
        <w:t>市</w:t>
      </w:r>
      <w:r>
        <w:rPr>
          <w:rFonts w:hint="eastAsia" w:ascii="仿宋" w:hAnsi="仿宋" w:eastAsia="仿宋" w:cs="仿宋"/>
          <w:spacing w:val="1"/>
          <w:sz w:val="24"/>
          <w:szCs w:val="24"/>
        </w:rPr>
        <w:t>2026年高素质农民培育围绕粮油和重要农产品生产经营主体提升主体</w:t>
      </w:r>
      <w:r>
        <w:rPr>
          <w:rFonts w:hint="eastAsia" w:ascii="仿宋" w:hAnsi="仿宋" w:eastAsia="仿宋" w:cs="仿宋"/>
          <w:spacing w:val="-2"/>
          <w:sz w:val="24"/>
          <w:szCs w:val="24"/>
        </w:rPr>
        <w:t>能力提升培训150人，其中包一：玉米种植单产提升班培育50人；包二：</w:t>
      </w:r>
      <w:r>
        <w:rPr>
          <w:rFonts w:hint="eastAsia" w:ascii="仿宋" w:hAnsi="仿宋" w:eastAsia="仿宋" w:cs="仿宋"/>
          <w:spacing w:val="-2"/>
          <w:sz w:val="24"/>
          <w:szCs w:val="24"/>
          <w:lang w:eastAsia="zh-CN"/>
        </w:rPr>
        <w:t>设施</w:t>
      </w:r>
      <w:r>
        <w:rPr>
          <w:rFonts w:hint="eastAsia" w:ascii="仿宋" w:hAnsi="仿宋" w:eastAsia="仿宋" w:cs="仿宋"/>
          <w:spacing w:val="-2"/>
          <w:sz w:val="24"/>
          <w:szCs w:val="24"/>
        </w:rPr>
        <w:t>蔬菜</w:t>
      </w:r>
      <w:r>
        <w:rPr>
          <w:rFonts w:hint="eastAsia" w:ascii="仿宋" w:hAnsi="仿宋" w:eastAsia="仿宋" w:cs="仿宋"/>
          <w:spacing w:val="1"/>
          <w:sz w:val="24"/>
          <w:szCs w:val="24"/>
        </w:rPr>
        <w:t>种植技术班培育50人；小麦种植技术培训50人。</w:t>
      </w:r>
    </w:p>
    <w:p w14:paraId="1A3EC04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6" w:firstLineChars="200"/>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根据培育主题实际需要确定培训班总学时，每个培训班原则上不少于40个学时（不包含报到、返程时间）。1学时为45分钟，每天不超过8个学时。</w:t>
      </w:r>
    </w:p>
    <w:p w14:paraId="2FD3A8E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综合素养课包括思想政治、政策法规、职业素养和文化素养类等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w:t>
      </w:r>
    </w:p>
    <w:p w14:paraId="6B9452A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b/>
          <w:bCs/>
          <w:spacing w:val="1"/>
          <w:sz w:val="24"/>
          <w:szCs w:val="24"/>
        </w:rPr>
      </w:pPr>
      <w:r>
        <w:rPr>
          <w:rFonts w:hint="eastAsia" w:ascii="仿宋" w:hAnsi="仿宋" w:eastAsia="仿宋" w:cs="仿宋"/>
          <w:spacing w:val="1"/>
          <w:sz w:val="24"/>
          <w:szCs w:val="24"/>
        </w:rPr>
        <w:t>原则上，</w:t>
      </w:r>
      <w:r>
        <w:rPr>
          <w:rFonts w:hint="eastAsia" w:ascii="仿宋" w:hAnsi="仿宋" w:eastAsia="仿宋" w:cs="仿宋"/>
          <w:b/>
          <w:bCs/>
          <w:spacing w:val="1"/>
          <w:sz w:val="24"/>
          <w:szCs w:val="24"/>
        </w:rPr>
        <w:t>综合素养课学时不低于总学时数的10%。专业技能课学时数应不低于总学时数的70%，其中，采取实践教学的比例不低于专业技能课学时数的50%。能力拓展课学时数应不高于总学时数的20%。全部专业技能课程结束后应进行课程考核。</w:t>
      </w:r>
    </w:p>
    <w:p w14:paraId="3EDE6261">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配合重大农业灾害、动物疫病应急处置等开展的应急性培训，学时要求可不受此限制。</w:t>
      </w:r>
    </w:p>
    <w:p w14:paraId="6C6A96E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（2）培育师资及教材</w:t>
      </w:r>
    </w:p>
    <w:p w14:paraId="7696A1E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pacing w:val="-2"/>
          <w:sz w:val="24"/>
          <w:szCs w:val="24"/>
        </w:rPr>
      </w:pPr>
      <w:r>
        <w:rPr>
          <w:rFonts w:hint="eastAsia" w:ascii="仿宋" w:hAnsi="仿宋" w:eastAsia="仿宋" w:cs="仿宋"/>
          <w:spacing w:val="-4"/>
          <w:sz w:val="24"/>
          <w:szCs w:val="24"/>
        </w:rPr>
        <w:t>师资队伍：</w:t>
      </w:r>
      <w:r>
        <w:rPr>
          <w:rFonts w:hint="eastAsia" w:ascii="仿宋" w:hAnsi="仿宋" w:eastAsia="仿宋" w:cs="仿宋"/>
          <w:spacing w:val="-2"/>
          <w:sz w:val="24"/>
          <w:szCs w:val="24"/>
        </w:rPr>
        <w:t>培育师资应具备相应课程的专业条件,授课符合课程主题需求,授课方式易于农民接受,教案内容通俗实用。综合素养课程师资原则上应来自政府及所属事业单位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大中专院校、科研院所等公益性机构。鼓励聘请农业企业、新型农业经营主体管理人员等“土专家”以及实操经验丰富的专业人员、技术能手讲授实践课程。</w:t>
      </w:r>
    </w:p>
    <w:p w14:paraId="0132266A">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2" w:firstLineChars="20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教材资料</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培育教材包括正式出版物和各级农业农村部门组织编制的培育手册。培育机构应严把教材质量关,经主管部门审核,选用规范、先进、实用的培育教材。优先选用农业农村部、教育部规划教材和各级农业农村部门推荐教材。鼓励文字教材和视频教材配合使用。</w:t>
      </w:r>
    </w:p>
    <w:p w14:paraId="565E1A2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）教学要求</w:t>
      </w:r>
    </w:p>
    <w:p w14:paraId="71E5C86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1.强化班务与考勤管理：</w:t>
      </w:r>
      <w:r>
        <w:rPr>
          <w:rFonts w:hint="eastAsia" w:ascii="仿宋" w:hAnsi="仿宋" w:eastAsia="仿宋" w:cs="仿宋"/>
          <w:b/>
          <w:bCs/>
          <w:spacing w:val="-4"/>
          <w:sz w:val="24"/>
          <w:szCs w:val="24"/>
        </w:rPr>
        <w:t>配备1名班主任和1名助教</w:t>
      </w:r>
      <w:r>
        <w:rPr>
          <w:rFonts w:hint="eastAsia" w:ascii="仿宋" w:hAnsi="仿宋" w:eastAsia="仿宋" w:cs="仿宋"/>
          <w:spacing w:val="-4"/>
          <w:sz w:val="24"/>
          <w:szCs w:val="24"/>
        </w:rPr>
        <w:t>，全程跟进班级管理。</w:t>
      </w:r>
      <w:r>
        <w:rPr>
          <w:rFonts w:hint="eastAsia" w:ascii="仿宋" w:hAnsi="仿宋" w:eastAsia="仿宋" w:cs="仿宋"/>
          <w:spacing w:val="-8"/>
          <w:sz w:val="24"/>
          <w:szCs w:val="24"/>
        </w:rPr>
        <w:t>班主任统筹日常管理、学员对接及需求反馈，助教协助开展课堂服务、资料发放、学员答疑和考勤登记。培育期间实行签到制度，班主任与助教协同维护课堂纪律，</w:t>
      </w:r>
      <w:r>
        <w:rPr>
          <w:rFonts w:hint="eastAsia" w:ascii="仿宋" w:hAnsi="仿宋" w:eastAsia="仿宋" w:cs="仿宋"/>
          <w:spacing w:val="-1"/>
          <w:sz w:val="24"/>
          <w:szCs w:val="24"/>
        </w:rPr>
        <w:t>跟踪学员听课情况，督促缺勤、迟到学员，保障学习参与度和效果。</w:t>
      </w:r>
    </w:p>
    <w:p w14:paraId="08FEECB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2.严明纪律要求：参训学员须严格遵守培育班规章制度，服从培训</w:t>
      </w:r>
      <w:r>
        <w:rPr>
          <w:rFonts w:hint="eastAsia" w:ascii="仿宋" w:hAnsi="仿宋" w:eastAsia="仿宋" w:cs="仿宋"/>
          <w:spacing w:val="-4"/>
          <w:sz w:val="24"/>
          <w:szCs w:val="24"/>
        </w:rPr>
        <w:t>机构统一</w:t>
      </w:r>
      <w:r>
        <w:rPr>
          <w:rFonts w:hint="eastAsia" w:ascii="仿宋" w:hAnsi="仿宋" w:eastAsia="仿宋" w:cs="仿宋"/>
          <w:spacing w:val="-2"/>
          <w:sz w:val="24"/>
          <w:szCs w:val="24"/>
        </w:rPr>
        <w:t>管理，遵守课堂纪律，杜绝旷课、迟到早退；外出实训时，严格遵守基地规定，</w:t>
      </w:r>
      <w:r>
        <w:rPr>
          <w:rFonts w:hint="eastAsia" w:ascii="仿宋" w:hAnsi="仿宋" w:eastAsia="仿宋" w:cs="仿宋"/>
          <w:spacing w:val="-1"/>
          <w:sz w:val="24"/>
          <w:szCs w:val="24"/>
        </w:rPr>
        <w:t>服从带队老师安排，注重人身和财产安全。</w:t>
      </w:r>
    </w:p>
    <w:p w14:paraId="352372D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3.落实教学与实训职责：授课教师结合农业教学内容，注重理论与实践</w:t>
      </w:r>
      <w:r>
        <w:rPr>
          <w:rFonts w:hint="eastAsia" w:ascii="仿宋" w:hAnsi="仿宋" w:eastAsia="仿宋" w:cs="仿宋"/>
          <w:spacing w:val="-9"/>
          <w:sz w:val="24"/>
          <w:szCs w:val="24"/>
        </w:rPr>
        <w:t>结合，</w:t>
      </w:r>
      <w:r>
        <w:rPr>
          <w:rFonts w:hint="eastAsia" w:ascii="仿宋" w:hAnsi="仿宋" w:eastAsia="仿宋" w:cs="仿宋"/>
          <w:spacing w:val="-3"/>
          <w:sz w:val="24"/>
          <w:szCs w:val="24"/>
        </w:rPr>
        <w:t>以通俗方式引导学员主动学习。深化实践教学，组织学员</w:t>
      </w:r>
      <w:r>
        <w:rPr>
          <w:rFonts w:hint="eastAsia" w:ascii="仿宋" w:hAnsi="仿宋" w:eastAsia="仿宋" w:cs="仿宋"/>
          <w:spacing w:val="-4"/>
          <w:sz w:val="24"/>
          <w:szCs w:val="24"/>
          <w:lang w:eastAsia="zh-CN"/>
        </w:rPr>
        <w:t>进行实习</w:t>
      </w:r>
      <w:r>
        <w:rPr>
          <w:rFonts w:hint="eastAsia" w:ascii="仿宋" w:hAnsi="仿宋" w:eastAsia="仿宋" w:cs="仿宋"/>
          <w:spacing w:val="-3"/>
          <w:sz w:val="24"/>
          <w:szCs w:val="24"/>
        </w:rPr>
        <w:t>实训，通过实地观摩、实操交流，学习先进技术和</w:t>
      </w:r>
      <w:r>
        <w:rPr>
          <w:rFonts w:hint="eastAsia" w:ascii="仿宋" w:hAnsi="仿宋" w:eastAsia="仿宋" w:cs="仿宋"/>
          <w:spacing w:val="-4"/>
          <w:sz w:val="24"/>
          <w:szCs w:val="24"/>
        </w:rPr>
        <w:t>经营模式，提升综合能</w:t>
      </w:r>
      <w:r>
        <w:rPr>
          <w:rFonts w:hint="eastAsia" w:ascii="仿宋" w:hAnsi="仿宋" w:eastAsia="仿宋" w:cs="仿宋"/>
          <w:spacing w:val="-10"/>
          <w:sz w:val="24"/>
          <w:szCs w:val="24"/>
        </w:rPr>
        <w:t>力。</w:t>
      </w:r>
    </w:p>
    <w:p w14:paraId="3A000885">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五</w:t>
      </w:r>
      <w:r>
        <w:rPr>
          <w:rFonts w:hint="eastAsia" w:ascii="仿宋" w:hAnsi="仿宋" w:eastAsia="仿宋" w:cs="仿宋"/>
          <w:b/>
          <w:bCs/>
          <w:spacing w:val="-4"/>
          <w:sz w:val="24"/>
          <w:szCs w:val="24"/>
        </w:rPr>
        <w:t>）管理措施</w:t>
      </w:r>
    </w:p>
    <w:p w14:paraId="717A5C6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2"/>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lang w:eastAsia="zh-CN"/>
        </w:rPr>
        <w:t>）加强组织管理。</w:t>
      </w:r>
      <w:r>
        <w:rPr>
          <w:rFonts w:hint="eastAsia" w:ascii="仿宋" w:hAnsi="仿宋" w:eastAsia="仿宋" w:cs="仿宋"/>
          <w:spacing w:val="-3"/>
          <w:sz w:val="24"/>
          <w:szCs w:val="24"/>
        </w:rPr>
        <w:t>培育机构加强</w:t>
      </w:r>
      <w:r>
        <w:rPr>
          <w:rFonts w:hint="eastAsia" w:ascii="仿宋" w:hAnsi="仿宋" w:eastAsia="仿宋" w:cs="仿宋"/>
          <w:spacing w:val="-3"/>
          <w:sz w:val="24"/>
          <w:szCs w:val="24"/>
          <w:lang w:eastAsia="zh-CN"/>
        </w:rPr>
        <w:t>对</w:t>
      </w:r>
      <w:r>
        <w:rPr>
          <w:rFonts w:hint="eastAsia" w:ascii="仿宋" w:hAnsi="仿宋" w:eastAsia="仿宋" w:cs="仿宋"/>
          <w:spacing w:val="-3"/>
          <w:sz w:val="24"/>
          <w:szCs w:val="24"/>
        </w:rPr>
        <w:t>培育对象</w:t>
      </w:r>
      <w:r>
        <w:rPr>
          <w:rFonts w:hint="eastAsia" w:ascii="仿宋" w:hAnsi="仿宋" w:eastAsia="仿宋" w:cs="仿宋"/>
          <w:spacing w:val="-3"/>
          <w:sz w:val="24"/>
          <w:szCs w:val="24"/>
          <w:lang w:eastAsia="zh-CN"/>
        </w:rPr>
        <w:t>的</w:t>
      </w:r>
      <w:r>
        <w:rPr>
          <w:rFonts w:hint="eastAsia" w:ascii="仿宋" w:hAnsi="仿宋" w:eastAsia="仿宋" w:cs="仿宋"/>
          <w:spacing w:val="-3"/>
          <w:sz w:val="24"/>
          <w:szCs w:val="24"/>
        </w:rPr>
        <w:t>管理,</w:t>
      </w:r>
      <w:r>
        <w:rPr>
          <w:rFonts w:hint="eastAsia" w:ascii="仿宋" w:hAnsi="仿宋" w:eastAsia="仿宋" w:cs="仿宋"/>
          <w:spacing w:val="-3"/>
          <w:sz w:val="24"/>
          <w:szCs w:val="24"/>
          <w:lang w:eastAsia="zh-CN"/>
        </w:rPr>
        <w:t>建立规范的</w:t>
      </w:r>
      <w:r>
        <w:rPr>
          <w:rFonts w:hint="eastAsia" w:ascii="仿宋" w:hAnsi="仿宋" w:eastAsia="仿宋" w:cs="仿宋"/>
          <w:spacing w:val="-3"/>
          <w:sz w:val="24"/>
          <w:szCs w:val="24"/>
        </w:rPr>
        <w:t>班级管理制度</w:t>
      </w:r>
      <w:r>
        <w:rPr>
          <w:rFonts w:hint="eastAsia" w:ascii="仿宋" w:hAnsi="仿宋" w:eastAsia="仿宋" w:cs="仿宋"/>
          <w:spacing w:val="-3"/>
          <w:sz w:val="24"/>
          <w:szCs w:val="24"/>
          <w:lang w:eastAsia="zh-CN"/>
        </w:rPr>
        <w:t>，组织专人</w:t>
      </w:r>
      <w:r>
        <w:rPr>
          <w:rFonts w:hint="eastAsia" w:ascii="仿宋" w:hAnsi="仿宋" w:eastAsia="仿宋" w:cs="仿宋"/>
          <w:spacing w:val="-4"/>
          <w:sz w:val="24"/>
          <w:szCs w:val="24"/>
        </w:rPr>
        <w:t>全面负责培育工作的统筹规划、组织协调和整体管理：负责教学计划制定、师资对接、课程安排、课堂管理、</w:t>
      </w:r>
      <w:r>
        <w:rPr>
          <w:rFonts w:hint="eastAsia" w:ascii="仿宋" w:hAnsi="仿宋" w:eastAsia="仿宋" w:cs="仿宋"/>
          <w:spacing w:val="-4"/>
          <w:sz w:val="24"/>
          <w:szCs w:val="24"/>
          <w:lang w:eastAsia="zh-CN"/>
        </w:rPr>
        <w:t>信息录入、</w:t>
      </w:r>
      <w:r>
        <w:rPr>
          <w:rFonts w:hint="eastAsia" w:ascii="仿宋" w:hAnsi="仿宋" w:eastAsia="仿宋" w:cs="仿宋"/>
          <w:spacing w:val="-4"/>
          <w:sz w:val="24"/>
          <w:szCs w:val="24"/>
        </w:rPr>
        <w:t>考核组织</w:t>
      </w:r>
      <w:r>
        <w:rPr>
          <w:rFonts w:hint="eastAsia" w:ascii="仿宋" w:hAnsi="仿宋" w:eastAsia="仿宋" w:cs="仿宋"/>
          <w:spacing w:val="-4"/>
          <w:sz w:val="24"/>
          <w:szCs w:val="24"/>
          <w:lang w:eastAsia="zh-CN"/>
        </w:rPr>
        <w:t>、档案建设</w:t>
      </w:r>
      <w:r>
        <w:rPr>
          <w:rFonts w:hint="eastAsia" w:ascii="仿宋" w:hAnsi="仿宋" w:eastAsia="仿宋" w:cs="仿宋"/>
          <w:spacing w:val="-4"/>
          <w:sz w:val="24"/>
          <w:szCs w:val="24"/>
        </w:rPr>
        <w:t>等工作；</w:t>
      </w:r>
      <w:r>
        <w:rPr>
          <w:rFonts w:hint="eastAsia" w:ascii="仿宋" w:hAnsi="仿宋" w:eastAsia="仿宋" w:cs="仿宋"/>
          <w:spacing w:val="-2"/>
          <w:sz w:val="24"/>
          <w:szCs w:val="24"/>
          <w:lang w:eastAsia="zh-CN"/>
        </w:rPr>
        <w:t>做好</w:t>
      </w:r>
      <w:r>
        <w:rPr>
          <w:rFonts w:hint="eastAsia" w:ascii="仿宋" w:hAnsi="仿宋" w:eastAsia="仿宋" w:cs="仿宋"/>
          <w:spacing w:val="-3"/>
          <w:sz w:val="24"/>
          <w:szCs w:val="24"/>
        </w:rPr>
        <w:t>外出实训基地的联络、对接，实训期间的组织、带队，以及</w:t>
      </w:r>
      <w:r>
        <w:rPr>
          <w:rFonts w:hint="eastAsia" w:ascii="仿宋" w:hAnsi="仿宋" w:eastAsia="仿宋" w:cs="仿宋"/>
          <w:spacing w:val="-2"/>
          <w:sz w:val="24"/>
          <w:szCs w:val="24"/>
        </w:rPr>
        <w:t>学员实训安全保障和实训效果跟踪工作。</w:t>
      </w:r>
    </w:p>
    <w:p w14:paraId="43245B1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（2）加强安全保障。提前制定完善的后勤保障和安全防控方案，严格落实</w:t>
      </w:r>
      <w:r>
        <w:rPr>
          <w:rFonts w:hint="eastAsia" w:ascii="仿宋" w:hAnsi="仿宋" w:eastAsia="仿宋" w:cs="仿宋"/>
          <w:spacing w:val="-3"/>
          <w:sz w:val="24"/>
          <w:szCs w:val="24"/>
        </w:rPr>
        <w:t>安全防控措施，周密部署、细致安排，高质量做好学员报到、培育</w:t>
      </w:r>
      <w:r>
        <w:rPr>
          <w:rFonts w:hint="eastAsia" w:ascii="仿宋" w:hAnsi="仿宋" w:eastAsia="仿宋" w:cs="仿宋"/>
          <w:spacing w:val="-4"/>
          <w:sz w:val="24"/>
          <w:szCs w:val="24"/>
        </w:rPr>
        <w:t>学习、车辆调</w:t>
      </w:r>
      <w:r>
        <w:rPr>
          <w:rFonts w:hint="eastAsia" w:ascii="仿宋" w:hAnsi="仿宋" w:eastAsia="仿宋" w:cs="仿宋"/>
          <w:spacing w:val="-2"/>
          <w:sz w:val="24"/>
          <w:szCs w:val="24"/>
        </w:rPr>
        <w:t>度、外出实训等工作，确保学员培育期间的安全。同时，加强餐饮、住宿管</w:t>
      </w:r>
      <w:r>
        <w:rPr>
          <w:rFonts w:hint="eastAsia" w:ascii="仿宋" w:hAnsi="仿宋" w:eastAsia="仿宋" w:cs="仿宋"/>
          <w:spacing w:val="-3"/>
          <w:sz w:val="24"/>
          <w:szCs w:val="24"/>
        </w:rPr>
        <w:t>理，确保食堂、宿舍、教室等场地干净、整洁、卫生，为学员提供良好</w:t>
      </w:r>
      <w:r>
        <w:rPr>
          <w:rFonts w:hint="eastAsia" w:ascii="仿宋" w:hAnsi="仿宋" w:eastAsia="仿宋" w:cs="仿宋"/>
          <w:spacing w:val="-4"/>
          <w:sz w:val="24"/>
          <w:szCs w:val="24"/>
        </w:rPr>
        <w:t>的学习生活环</w:t>
      </w:r>
      <w:r>
        <w:rPr>
          <w:rFonts w:hint="eastAsia" w:ascii="仿宋" w:hAnsi="仿宋" w:eastAsia="仿宋" w:cs="仿宋"/>
          <w:spacing w:val="-8"/>
          <w:sz w:val="24"/>
          <w:szCs w:val="24"/>
        </w:rPr>
        <w:t>境。</w:t>
      </w:r>
    </w:p>
    <w:p w14:paraId="5C65240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（3）加强项目管理、规范资金使用，</w:t>
      </w:r>
    </w:p>
    <w:p w14:paraId="761925B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en-US"/>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lang w:val="en-US" w:eastAsia="en-US"/>
        </w:rPr>
        <w:t>培育机构</w:t>
      </w:r>
      <w:r>
        <w:rPr>
          <w:rFonts w:hint="eastAsia" w:ascii="仿宋" w:hAnsi="仿宋" w:eastAsia="仿宋" w:cs="仿宋"/>
          <w:spacing w:val="-3"/>
          <w:sz w:val="24"/>
          <w:szCs w:val="24"/>
          <w:lang w:val="en-US" w:eastAsia="zh-CN"/>
        </w:rPr>
        <w:t>严格按照《</w:t>
      </w:r>
      <w:r>
        <w:rPr>
          <w:rFonts w:hint="eastAsia" w:ascii="仿宋" w:hAnsi="仿宋" w:eastAsia="仿宋" w:cs="仿宋"/>
          <w:spacing w:val="-3"/>
          <w:sz w:val="24"/>
          <w:szCs w:val="24"/>
          <w:lang w:val="en-US" w:eastAsia="en-US"/>
        </w:rPr>
        <w:t>山西省农业农村厅山西省财政厅关于进一步加强和规范全省高素质农民培育项目资金管理使用的通知</w:t>
      </w:r>
      <w:r>
        <w:rPr>
          <w:rFonts w:hint="eastAsia" w:ascii="仿宋" w:hAnsi="仿宋" w:eastAsia="仿宋" w:cs="仿宋"/>
          <w:spacing w:val="-3"/>
          <w:sz w:val="24"/>
          <w:szCs w:val="24"/>
          <w:lang w:val="en-US" w:eastAsia="zh-CN"/>
        </w:rPr>
        <w:t>》（</w:t>
      </w:r>
      <w:r>
        <w:rPr>
          <w:rFonts w:hint="eastAsia" w:ascii="仿宋" w:hAnsi="仿宋" w:eastAsia="仿宋" w:cs="仿宋"/>
          <w:spacing w:val="-3"/>
          <w:sz w:val="24"/>
          <w:szCs w:val="24"/>
          <w:lang w:val="en-US" w:eastAsia="en-US"/>
        </w:rPr>
        <w:t>晋农发〔2026〕4号</w:t>
      </w:r>
      <w:r>
        <w:rPr>
          <w:rFonts w:hint="eastAsia" w:ascii="仿宋" w:hAnsi="仿宋" w:eastAsia="仿宋" w:cs="仿宋"/>
          <w:spacing w:val="-3"/>
          <w:sz w:val="24"/>
          <w:szCs w:val="24"/>
          <w:lang w:val="en-US" w:eastAsia="zh-CN"/>
        </w:rPr>
        <w:t>）要求，规范资金使用用途和标准。</w:t>
      </w:r>
      <w:r>
        <w:rPr>
          <w:rFonts w:hint="eastAsia" w:ascii="仿宋" w:hAnsi="仿宋" w:eastAsia="仿宋" w:cs="仿宋"/>
          <w:spacing w:val="-3"/>
          <w:sz w:val="24"/>
          <w:szCs w:val="24"/>
          <w:lang w:val="en-US" w:eastAsia="en-US"/>
        </w:rPr>
        <w:t>按照“谁使用谁负责”的原则,规范资金使用。不得擅自改变资金用途或擅自转拨资金,不得给培育对象发放补助。</w:t>
      </w:r>
    </w:p>
    <w:p w14:paraId="57DE098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en-US"/>
        </w:rPr>
      </w:pPr>
      <w:r>
        <w:rPr>
          <w:rFonts w:hint="eastAsia" w:ascii="仿宋" w:hAnsi="仿宋" w:eastAsia="仿宋" w:cs="仿宋"/>
          <w:spacing w:val="-3"/>
          <w:sz w:val="24"/>
          <w:szCs w:val="24"/>
          <w:lang w:val="en-US" w:eastAsia="en-US"/>
        </w:rPr>
        <w:t>2.高素质农民培育项目资金使用对象为参训人员及培育机构跟班人员,培育机构跟班人员控制在学员数量的5%以内。</w:t>
      </w:r>
      <w:r>
        <w:rPr>
          <w:rFonts w:hint="eastAsia" w:ascii="仿宋" w:hAnsi="仿宋" w:eastAsia="仿宋" w:cs="仿宋"/>
          <w:b/>
          <w:bCs/>
          <w:spacing w:val="-3"/>
          <w:sz w:val="24"/>
          <w:szCs w:val="24"/>
          <w:lang w:val="en-US" w:eastAsia="en-US"/>
        </w:rPr>
        <w:t>具体包括集中培训期间的师资费、伙食费、住宿费、培训场地费(含实践教学和观摩交流场所租金)、教材资料费、交通费(含城市间交通费)、实践实训费、线上学习费、设备租赁费、文体活动费、医药费、保险费等费用,开展需求摸底、档案管理、跟踪服务等培育环节必需费用和验收费用。</w:t>
      </w:r>
      <w:r>
        <w:rPr>
          <w:rFonts w:hint="eastAsia" w:ascii="仿宋" w:hAnsi="仿宋" w:eastAsia="仿宋" w:cs="仿宋"/>
          <w:spacing w:val="-3"/>
          <w:sz w:val="24"/>
          <w:szCs w:val="24"/>
          <w:lang w:val="en-US" w:eastAsia="en-US"/>
        </w:rPr>
        <w:t>不得给培育对象发放补助,不得列支招投标、第三方评估、审计和项目主管单位人员差旅食宿等费用。</w:t>
      </w:r>
    </w:p>
    <w:p w14:paraId="6B82EB2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w:t>
      </w:r>
      <w:r>
        <w:rPr>
          <w:rFonts w:hint="eastAsia" w:ascii="仿宋" w:hAnsi="仿宋" w:eastAsia="仿宋" w:cs="仿宋"/>
          <w:b/>
          <w:bCs/>
          <w:spacing w:val="-3"/>
          <w:sz w:val="24"/>
          <w:szCs w:val="24"/>
          <w:lang w:val="en-US" w:eastAsia="zh-CN"/>
        </w:rPr>
        <w:t>课堂教学日均费用一般不高于培训地干部培训标准。实践教学和跟踪服务费用应按实际支出，原则上，用于跟踪服务的费用不得超过项目金额的10%。</w:t>
      </w:r>
      <w:r>
        <w:rPr>
          <w:rFonts w:hint="eastAsia" w:ascii="仿宋" w:hAnsi="仿宋" w:eastAsia="仿宋" w:cs="仿宋"/>
          <w:spacing w:val="-3"/>
          <w:sz w:val="24"/>
          <w:szCs w:val="24"/>
          <w:lang w:val="en-US" w:eastAsia="zh-CN"/>
        </w:rPr>
        <w:t>根据特点，城市间交通费、师资费可在项目经费中单独列支。公务员(含参公人员)、技术职称专业人员受邀为培育教学授课，讲课费标准原则上参照《山西省财政厅关于省直机关行政性经费支出有关问题解释的通知》(晋财行[2020]25号)、《省直机关培训费管理办法》(晋财行[2024]15号);“田秀才”、“土专家”、乡村能人骨干等无技术职称人员受邀为培育教学授课，讲课费标准原则上参照副高级技术职称及以下专业人员标准执行。</w:t>
      </w:r>
    </w:p>
    <w:p w14:paraId="230B166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5"/>
          <w:sz w:val="24"/>
          <w:szCs w:val="24"/>
        </w:rPr>
        <w:t>（</w:t>
      </w:r>
      <w:r>
        <w:rPr>
          <w:rFonts w:hint="eastAsia" w:ascii="仿宋" w:hAnsi="仿宋" w:eastAsia="仿宋" w:cs="仿宋"/>
          <w:b/>
          <w:bCs/>
          <w:spacing w:val="-5"/>
          <w:sz w:val="24"/>
          <w:szCs w:val="24"/>
          <w:lang w:eastAsia="zh-CN"/>
        </w:rPr>
        <w:t>六</w:t>
      </w:r>
      <w:r>
        <w:rPr>
          <w:rFonts w:hint="eastAsia" w:ascii="仿宋" w:hAnsi="仿宋" w:eastAsia="仿宋" w:cs="仿宋"/>
          <w:b/>
          <w:bCs/>
          <w:spacing w:val="-5"/>
          <w:sz w:val="24"/>
          <w:szCs w:val="24"/>
        </w:rPr>
        <w:t>）考试考核制度</w:t>
      </w:r>
    </w:p>
    <w:p w14:paraId="2565E97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为保障培训学习效果，严格实行考试考核制度，培育结束后对全体参训学员进行统一考试考核。考核分为理论考试和答辩考核两个方面，具体要求如下：</w:t>
      </w:r>
    </w:p>
    <w:p w14:paraId="341A7E4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（1）理论考试：采取课堂笔试形式，出题范围以专家授课核心内容为主要依据，侧重考查学员对基础理论知识的掌握情况。</w:t>
      </w:r>
    </w:p>
    <w:p w14:paraId="071B1A6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（2）答辩考核：采用现场答辩的方式，参训学员从评审专家拟定的题库中现场抽取题目作答，专家结合学员现场回答的准确度、逻辑度打分。</w:t>
      </w:r>
    </w:p>
    <w:p w14:paraId="21484AB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w:t>
      </w:r>
      <w:r>
        <w:rPr>
          <w:rFonts w:hint="eastAsia" w:ascii="仿宋" w:hAnsi="仿宋" w:eastAsia="仿宋" w:cs="仿宋"/>
          <w:b/>
          <w:bCs/>
          <w:spacing w:val="-5"/>
          <w:sz w:val="24"/>
          <w:szCs w:val="24"/>
          <w:lang w:eastAsia="zh-CN"/>
        </w:rPr>
        <w:t>七</w:t>
      </w:r>
      <w:r>
        <w:rPr>
          <w:rFonts w:hint="eastAsia" w:ascii="仿宋" w:hAnsi="仿宋" w:eastAsia="仿宋" w:cs="仿宋"/>
          <w:b/>
          <w:bCs/>
          <w:spacing w:val="-5"/>
          <w:sz w:val="24"/>
          <w:szCs w:val="24"/>
        </w:rPr>
        <w:t>）建立培育档案、信息填报专人负责制度</w:t>
      </w:r>
    </w:p>
    <w:p w14:paraId="44A06D9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培育机构指定专人负责学员信息收集、整理和录入，将开班计划、培育对象信息、课程、师资、跟踪服务情况全部录入农民教育培训信息管理系统,及时更新相关培育、课程考核和结业证书颁发情况，做到信息可查可溯。建立培育档案,包括开班计划、培育对象信息、课程及考核结果记录、资金支出票据复印件、结业证书发放情况和其他必要培育信息。</w:t>
      </w:r>
      <w:r>
        <w:rPr>
          <w:rFonts w:hint="eastAsia" w:ascii="仿宋" w:hAnsi="仿宋" w:eastAsia="仿宋" w:cs="仿宋"/>
          <w:b/>
          <w:bCs/>
          <w:spacing w:val="-3"/>
          <w:sz w:val="24"/>
          <w:szCs w:val="24"/>
          <w:lang w:val="en-US" w:eastAsia="zh-CN"/>
        </w:rPr>
        <w:t>培育档案至少保存5年。</w:t>
      </w:r>
    </w:p>
    <w:p w14:paraId="0A584AC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三、商务要求（包一、包二、包三）</w:t>
      </w:r>
    </w:p>
    <w:p w14:paraId="38C28FB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1.合同履约期限（服务期限</w:t>
      </w:r>
      <w:r>
        <w:rPr>
          <w:rFonts w:hint="eastAsia" w:ascii="仿宋" w:hAnsi="仿宋" w:eastAsia="仿宋" w:cs="仿宋"/>
          <w:b/>
          <w:bCs/>
          <w:spacing w:val="-70"/>
          <w:sz w:val="24"/>
          <w:szCs w:val="24"/>
        </w:rPr>
        <w:t>）：</w:t>
      </w:r>
      <w:r>
        <w:rPr>
          <w:rFonts w:hint="eastAsia" w:ascii="仿宋" w:hAnsi="仿宋" w:eastAsia="仿宋" w:cs="仿宋"/>
          <w:spacing w:val="-3"/>
          <w:sz w:val="24"/>
          <w:szCs w:val="24"/>
        </w:rPr>
        <w:t>签订合同后至2026年6</w:t>
      </w:r>
      <w:r>
        <w:rPr>
          <w:rFonts w:hint="eastAsia" w:ascii="仿宋" w:hAnsi="仿宋" w:eastAsia="仿宋" w:cs="仿宋"/>
          <w:spacing w:val="-4"/>
          <w:sz w:val="24"/>
          <w:szCs w:val="24"/>
        </w:rPr>
        <w:t>月底完成培训任务及</w:t>
      </w:r>
      <w:r>
        <w:rPr>
          <w:rFonts w:hint="eastAsia" w:ascii="仿宋" w:hAnsi="仿宋" w:eastAsia="仿宋" w:cs="仿宋"/>
          <w:spacing w:val="-6"/>
          <w:sz w:val="24"/>
          <w:szCs w:val="24"/>
        </w:rPr>
        <w:t>资料归档。</w:t>
      </w:r>
    </w:p>
    <w:p w14:paraId="16E9809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2.服务地点：</w:t>
      </w:r>
      <w:r>
        <w:rPr>
          <w:rFonts w:hint="eastAsia" w:ascii="仿宋" w:hAnsi="仿宋" w:eastAsia="仿宋" w:cs="仿宋"/>
          <w:spacing w:val="-2"/>
          <w:sz w:val="24"/>
          <w:szCs w:val="24"/>
        </w:rPr>
        <w:t>供应商提供的培育场地。</w:t>
      </w:r>
    </w:p>
    <w:p w14:paraId="0E61CE5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3.付款方式：</w:t>
      </w:r>
      <w:r>
        <w:rPr>
          <w:rFonts w:hint="eastAsia" w:ascii="仿宋" w:hAnsi="仿宋" w:eastAsia="仿宋" w:cs="仿宋"/>
          <w:spacing w:val="-2"/>
          <w:sz w:val="24"/>
          <w:szCs w:val="24"/>
        </w:rPr>
        <w:t>以签订正式合同为准。</w:t>
      </w:r>
    </w:p>
    <w:p w14:paraId="7111F4A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8" w:firstLineChars="200"/>
        <w:textAlignment w:val="baseline"/>
        <w:rPr>
          <w:rFonts w:hint="eastAsia" w:ascii="仿宋" w:hAnsi="仿宋" w:eastAsia="仿宋" w:cs="仿宋"/>
          <w:sz w:val="24"/>
          <w:szCs w:val="24"/>
        </w:rPr>
      </w:pPr>
      <w:r>
        <w:rPr>
          <w:rFonts w:hint="eastAsia" w:ascii="仿宋" w:hAnsi="仿宋" w:eastAsia="仿宋" w:cs="仿宋"/>
          <w:b/>
          <w:bCs/>
          <w:spacing w:val="-1"/>
          <w:sz w:val="24"/>
          <w:szCs w:val="24"/>
        </w:rPr>
        <w:t>4.服务标准：</w:t>
      </w:r>
      <w:r>
        <w:rPr>
          <w:rFonts w:hint="eastAsia" w:ascii="仿宋" w:hAnsi="仿宋" w:eastAsia="仿宋" w:cs="仿宋"/>
          <w:spacing w:val="-1"/>
          <w:sz w:val="24"/>
          <w:szCs w:val="24"/>
        </w:rPr>
        <w:t>符合国家及行业相关标准并满足采购人要求。</w:t>
      </w:r>
    </w:p>
    <w:p w14:paraId="11DE1751">
      <w:pPr>
        <w:keepNext w:val="0"/>
        <w:keepLines w:val="0"/>
        <w:pageBreakBefore w:val="0"/>
        <w:wordWrap/>
        <w:overflowPunct/>
        <w:topLinePunct w:val="0"/>
        <w:bidi w:val="0"/>
        <w:spacing w:line="520" w:lineRule="exact"/>
        <w:ind w:firstLine="474" w:firstLineChars="200"/>
        <w:rPr>
          <w:rFonts w:hint="eastAsia"/>
        </w:rPr>
      </w:pPr>
      <w:r>
        <w:rPr>
          <w:rFonts w:hint="eastAsia" w:ascii="仿宋" w:hAnsi="仿宋" w:eastAsia="仿宋" w:cs="仿宋"/>
          <w:b/>
          <w:bCs/>
          <w:spacing w:val="-2"/>
          <w:sz w:val="24"/>
          <w:szCs w:val="24"/>
        </w:rPr>
        <w:t>5.履约验收：</w:t>
      </w:r>
      <w:r>
        <w:rPr>
          <w:rFonts w:hint="eastAsia" w:ascii="仿宋" w:hAnsi="仿宋" w:eastAsia="仿宋" w:cs="仿宋"/>
          <w:spacing w:val="-2"/>
          <w:sz w:val="24"/>
          <w:szCs w:val="24"/>
        </w:rPr>
        <w:t>采购人自行组织验收。</w:t>
      </w:r>
      <w:r>
        <w:rPr>
          <w:rFonts w:hint="eastAsia"/>
        </w:rPr>
        <w:br w:type="page"/>
      </w:r>
    </w:p>
    <w:p w14:paraId="2493E245">
      <w:pPr>
        <w:pStyle w:val="2"/>
        <w:numPr>
          <w:ilvl w:val="0"/>
          <w:numId w:val="0"/>
        </w:numPr>
        <w:bidi w:val="0"/>
        <w:ind w:leftChars="0"/>
        <w:jc w:val="center"/>
      </w:pPr>
      <w:bookmarkStart w:id="66" w:name="_Toc22430"/>
      <w:bookmarkStart w:id="67" w:name="_Toc32610"/>
      <w:r>
        <w:rPr>
          <w:rFonts w:hint="eastAsia"/>
        </w:rPr>
        <w:t>第</w:t>
      </w:r>
      <w:r>
        <w:rPr>
          <w:rFonts w:hint="eastAsia"/>
          <w:lang w:eastAsia="zh-CN"/>
        </w:rPr>
        <w:t>五章</w:t>
      </w:r>
      <w:r>
        <w:rPr>
          <w:rFonts w:hint="eastAsia"/>
        </w:rPr>
        <w:t xml:space="preserve">  合同文本（参考文本）</w:t>
      </w:r>
      <w:bookmarkEnd w:id="63"/>
      <w:bookmarkEnd w:id="66"/>
      <w:bookmarkEnd w:id="67"/>
    </w:p>
    <w:p w14:paraId="01040EB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bookmarkStart w:id="68" w:name="_Toc104232648"/>
    </w:p>
    <w:p w14:paraId="66D7C08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lang w:eastAsia="zh-CN"/>
        </w:rPr>
        <w:t>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6D119B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default" w:ascii="仿宋" w:hAnsi="仿宋" w:eastAsia="仿宋" w:cs="仿宋"/>
          <w:bCs/>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bCs/>
          <w:sz w:val="24"/>
          <w:szCs w:val="24"/>
          <w:u w:val="single"/>
          <w:lang w:val="en-US" w:eastAsia="zh-CN"/>
        </w:rPr>
        <w:t xml:space="preserve">                       </w:t>
      </w:r>
    </w:p>
    <w:p w14:paraId="580642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供</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33BE6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2BF4039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sz w:val="24"/>
          <w:szCs w:val="24"/>
          <w:u w:val="single"/>
        </w:rPr>
        <w:t xml:space="preserve">             </w:t>
      </w:r>
      <w:r>
        <w:rPr>
          <w:rFonts w:hint="eastAsia" w:ascii="仿宋" w:hAnsi="仿宋" w:eastAsia="仿宋" w:cs="仿宋"/>
          <w:sz w:val="24"/>
          <w:szCs w:val="24"/>
        </w:rPr>
        <w:t>项目达成如下合同,以兹共同遵守：</w:t>
      </w:r>
    </w:p>
    <w:p w14:paraId="4B3B87E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一、项目名称及内容</w:t>
      </w:r>
    </w:p>
    <w:p w14:paraId="45D9D96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lang w:val="en-US"/>
        </w:rPr>
      </w:pPr>
      <w:r>
        <w:rPr>
          <w:rFonts w:hint="eastAsia" w:ascii="仿宋" w:hAnsi="仿宋" w:eastAsia="仿宋" w:cs="仿宋"/>
          <w:sz w:val="24"/>
          <w:szCs w:val="24"/>
        </w:rPr>
        <w:t>（一）项目名称:</w:t>
      </w:r>
      <w:r>
        <w:rPr>
          <w:rFonts w:hint="eastAsia" w:ascii="仿宋" w:hAnsi="仿宋" w:eastAsia="仿宋" w:cs="仿宋"/>
          <w:sz w:val="24"/>
          <w:szCs w:val="24"/>
          <w:u w:val="single"/>
          <w:lang w:val="en-US" w:eastAsia="zh-CN"/>
        </w:rPr>
        <w:t xml:space="preserve">                      </w:t>
      </w:r>
    </w:p>
    <w:p w14:paraId="517508A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（二）项目内容: </w:t>
      </w:r>
      <w:r>
        <w:rPr>
          <w:rFonts w:hint="eastAsia" w:ascii="仿宋" w:hAnsi="仿宋" w:eastAsia="仿宋" w:cs="仿宋"/>
          <w:sz w:val="24"/>
          <w:szCs w:val="24"/>
          <w:u w:val="single"/>
        </w:rPr>
        <w:t xml:space="preserve">                     </w:t>
      </w:r>
    </w:p>
    <w:p w14:paraId="11D99AC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二、服务项目及要求</w:t>
      </w:r>
    </w:p>
    <w:p w14:paraId="08CC1FC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一</w:t>
      </w:r>
      <w:r>
        <w:rPr>
          <w:rFonts w:hint="eastAsia" w:ascii="仿宋" w:hAnsi="仿宋" w:eastAsia="仿宋" w:cs="仿宋"/>
          <w:sz w:val="24"/>
          <w:szCs w:val="24"/>
        </w:rPr>
        <w:t>）服务时间：</w:t>
      </w:r>
    </w:p>
    <w:p w14:paraId="19EAB7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）服务数量：</w:t>
      </w:r>
    </w:p>
    <w:p w14:paraId="5C8BD7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）服务标准：</w:t>
      </w:r>
    </w:p>
    <w:p w14:paraId="7BC4AF68">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）提供服务的地点：</w:t>
      </w:r>
    </w:p>
    <w:p w14:paraId="438A2B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 xml:space="preserve">）提供服务的形式： </w:t>
      </w:r>
    </w:p>
    <w:p w14:paraId="26BD78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三、合同金额</w:t>
      </w:r>
    </w:p>
    <w:p w14:paraId="4DC214B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本合同服务费总金额为人民币（大写）：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元），上述费用包含了本合同所需的全部费用，甲方无需另行支付其他任何费用，且为含税价，税费由乙方自行承担。</w:t>
      </w:r>
    </w:p>
    <w:p w14:paraId="29A0800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四、付款方式</w:t>
      </w:r>
    </w:p>
    <w:p w14:paraId="0D5C491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（一）甲乙双方协商一致，采取以下第（ ）种付款方式：</w:t>
      </w:r>
    </w:p>
    <w:p w14:paraId="286CA1D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1.一次性付款：</w:t>
      </w:r>
    </w:p>
    <w:p w14:paraId="6A898E91">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乙方履约完毕经甲方验收合格后</w:t>
      </w:r>
      <w:r>
        <w:rPr>
          <w:rFonts w:hint="eastAsia" w:ascii="仿宋" w:hAnsi="仿宋" w:eastAsia="仿宋" w:cs="仿宋"/>
          <w:sz w:val="24"/>
          <w:szCs w:val="24"/>
          <w:u w:val="single"/>
        </w:rPr>
        <w:t xml:space="preserve">  </w:t>
      </w:r>
      <w:r>
        <w:rPr>
          <w:rFonts w:hint="eastAsia" w:ascii="仿宋" w:hAnsi="仿宋" w:eastAsia="仿宋" w:cs="仿宋"/>
          <w:sz w:val="24"/>
          <w:szCs w:val="24"/>
        </w:rPr>
        <w:t>日内，一次性支付全部服务费。</w:t>
      </w:r>
    </w:p>
    <w:p w14:paraId="3A2F4C3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2.分期支付：</w:t>
      </w:r>
    </w:p>
    <w:p w14:paraId="438C616E">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firstLine="602"/>
        <w:textAlignment w:val="baseline"/>
        <w:rPr>
          <w:rFonts w:hint="eastAsia" w:ascii="仿宋" w:hAnsi="仿宋" w:eastAsia="仿宋" w:cs="仿宋"/>
          <w:sz w:val="24"/>
          <w:szCs w:val="24"/>
        </w:rPr>
      </w:pPr>
      <w:r>
        <w:rPr>
          <w:rFonts w:hint="eastAsia" w:ascii="仿宋" w:hAnsi="仿宋" w:eastAsia="仿宋" w:cs="仿宋"/>
          <w:sz w:val="24"/>
          <w:szCs w:val="24"/>
        </w:rPr>
        <w:t>（1）按年/按季度/按月支付等额的服务费；</w:t>
      </w:r>
    </w:p>
    <w:p w14:paraId="7B82854F">
      <w:pPr>
        <w:keepNext w:val="0"/>
        <w:keepLines w:val="0"/>
        <w:pageBreakBefore w:val="0"/>
        <w:widowControl/>
        <w:kinsoku w:val="0"/>
        <w:wordWrap/>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（2）合同签订后日</w:t>
      </w:r>
      <w:r>
        <w:rPr>
          <w:rFonts w:hint="eastAsia" w:ascii="仿宋" w:hAnsi="仿宋" w:eastAsia="仿宋" w:cs="仿宋"/>
          <w:sz w:val="24"/>
          <w:szCs w:val="24"/>
          <w:u w:val="single"/>
        </w:rPr>
        <w:t xml:space="preserve">   </w:t>
      </w:r>
      <w:r>
        <w:rPr>
          <w:rFonts w:hint="eastAsia" w:ascii="仿宋" w:hAnsi="仿宋" w:eastAsia="仿宋" w:cs="仿宋"/>
          <w:sz w:val="24"/>
          <w:szCs w:val="24"/>
        </w:rPr>
        <w:t>内，甲方向乙方支付</w:t>
      </w:r>
      <w:r>
        <w:rPr>
          <w:rFonts w:hint="eastAsia" w:ascii="仿宋" w:hAnsi="仿宋" w:eastAsia="仿宋" w:cs="仿宋"/>
          <w:sz w:val="24"/>
          <w:szCs w:val="24"/>
          <w:u w:val="single"/>
        </w:rPr>
        <w:t xml:space="preserve">   </w:t>
      </w:r>
      <w:r>
        <w:rPr>
          <w:rFonts w:hint="eastAsia" w:ascii="仿宋" w:hAnsi="仿宋" w:eastAsia="仿宋" w:cs="仿宋"/>
          <w:sz w:val="24"/>
          <w:szCs w:val="24"/>
        </w:rPr>
        <w:t>元（或合同总额的</w:t>
      </w:r>
      <w:r>
        <w:rPr>
          <w:rFonts w:hint="eastAsia" w:ascii="仿宋" w:hAnsi="仿宋" w:eastAsia="仿宋" w:cs="仿宋"/>
          <w:sz w:val="24"/>
          <w:szCs w:val="24"/>
          <w:u w:val="single"/>
        </w:rPr>
        <w:t xml:space="preserve">   </w:t>
      </w:r>
      <w:r>
        <w:rPr>
          <w:rFonts w:hint="eastAsia" w:ascii="仿宋" w:hAnsi="仿宋" w:eastAsia="仿宋" w:cs="仿宋"/>
          <w:sz w:val="24"/>
          <w:szCs w:val="24"/>
        </w:rPr>
        <w:t>%）；在交成果后</w:t>
      </w:r>
      <w:r>
        <w:rPr>
          <w:rFonts w:hint="eastAsia" w:ascii="仿宋" w:hAnsi="仿宋" w:eastAsia="仿宋" w:cs="仿宋"/>
          <w:sz w:val="24"/>
          <w:szCs w:val="24"/>
          <w:u w:val="single"/>
        </w:rPr>
        <w:t xml:space="preserve">   </w:t>
      </w:r>
      <w:r>
        <w:rPr>
          <w:rFonts w:hint="eastAsia" w:ascii="仿宋" w:hAnsi="仿宋" w:eastAsia="仿宋" w:cs="仿宋"/>
          <w:sz w:val="24"/>
          <w:szCs w:val="24"/>
        </w:rPr>
        <w:t>日内，支付服务总额的</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9412B6C">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（3）按进度支付服务费。</w:t>
      </w:r>
    </w:p>
    <w:p w14:paraId="342BB4A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3.甲方每次付款前 ，乙方均应向甲方开具合格发票，否则甲方付款的时间相应顺延。</w:t>
      </w:r>
    </w:p>
    <w:p w14:paraId="0BBE9CDA">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（本条款内容可根据政府购买服务内容予以细化）</w:t>
      </w:r>
    </w:p>
    <w:p w14:paraId="2A94086D">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（二）支付方式:</w:t>
      </w:r>
    </w:p>
    <w:p w14:paraId="0C13FE0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1.支付方式：</w:t>
      </w:r>
      <w:r>
        <w:rPr>
          <w:rFonts w:hint="eastAsia" w:ascii="仿宋" w:hAnsi="仿宋" w:eastAsia="仿宋" w:cs="仿宋"/>
          <w:sz w:val="24"/>
          <w:szCs w:val="24"/>
        </w:rPr>
        <w:t>银行转账。</w:t>
      </w:r>
    </w:p>
    <w:p w14:paraId="76058133">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2.乙方账户信息如下</w:t>
      </w:r>
      <w:r>
        <w:rPr>
          <w:rFonts w:hint="eastAsia" w:ascii="仿宋" w:hAnsi="仿宋" w:eastAsia="仿宋" w:cs="仿宋"/>
          <w:sz w:val="24"/>
          <w:szCs w:val="24"/>
        </w:rPr>
        <w:t>：</w:t>
      </w:r>
    </w:p>
    <w:p w14:paraId="4C3A6AE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收款人名称：</w:t>
      </w:r>
      <w:r>
        <w:rPr>
          <w:rFonts w:hint="eastAsia" w:ascii="仿宋" w:hAnsi="仿宋" w:eastAsia="仿宋" w:cs="仿宋"/>
          <w:sz w:val="24"/>
          <w:szCs w:val="24"/>
          <w:u w:val="single"/>
        </w:rPr>
        <w:t xml:space="preserve">                     </w:t>
      </w:r>
    </w:p>
    <w:p w14:paraId="7822FC3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1320EC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14:paraId="286E225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3.甲方付款前，乙方应向甲方开具合格发票，否则甲方付款的时间相应顺延。</w:t>
      </w:r>
    </w:p>
    <w:p w14:paraId="29A287C4">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、需方责任</w:t>
      </w:r>
    </w:p>
    <w:p w14:paraId="0431C93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1、负责提供工作场地，协助供方办理有关事宜。</w:t>
      </w:r>
    </w:p>
    <w:p w14:paraId="75AA3FB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2、服务运行正常后及时进行验收工作。</w:t>
      </w:r>
    </w:p>
    <w:p w14:paraId="5CB9423D">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3、需方验收通过后及时办理付款手续。</w:t>
      </w:r>
    </w:p>
    <w:p w14:paraId="2F5A78D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4、对合同条款及价格负有保密义务。</w:t>
      </w:r>
    </w:p>
    <w:p w14:paraId="2DF1146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、供方责任</w:t>
      </w:r>
    </w:p>
    <w:p w14:paraId="5D3FF40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1、提供全部合格服务，满足磋商文件的要求和响应文件中所作承诺。</w:t>
      </w:r>
    </w:p>
    <w:p w14:paraId="2F8507DC">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2、保证服务质量。</w:t>
      </w:r>
    </w:p>
    <w:p w14:paraId="2A7CC875">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14:paraId="08DCC2E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1、需方无正当理由拒付服务费用的，需方向供方赔偿合同总额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60F3B6C7">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2、供方所提供的服务质量不符合合同规定标准，需方有权拒收。同时，供方向需方支付合同款总额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5D8F2F63">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3、供方在签约后至服务期满前不能提供服务时，供方向需方偿付合同款总额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2BFC5EB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4、因需方错告或变更到服务点而给供方造成的损失，由需方负担。</w:t>
      </w:r>
    </w:p>
    <w:p w14:paraId="63881CDB">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5、合同执行过程中，供、需双方中一方要求中止或变更合同，需书面通知对方（公函、电报、传真----下同），对方接通知后应在十五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2BA5944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、不可抗力</w:t>
      </w:r>
    </w:p>
    <w:p w14:paraId="3082868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56A5A5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、争议解决</w:t>
      </w:r>
    </w:p>
    <w:p w14:paraId="7A557F88">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供需双方在执行合同中发生争议，应通过协商解决。如协商不成，可以向合同签署所在地法院提出诉讼。</w:t>
      </w:r>
    </w:p>
    <w:p w14:paraId="4304AC25">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十、其他</w:t>
      </w:r>
    </w:p>
    <w:p w14:paraId="254CD60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（一）本合同中的保密条款、知识产权条款、争议解决条款长期有效，不随本合同的终止、无效、被撤销而失效。</w:t>
      </w:r>
    </w:p>
    <w:p w14:paraId="0FBBD038">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（二）本合同所有附件及政府采购文件均为合同的有效组成部分，与本合同具有同等法律效力。</w:t>
      </w:r>
    </w:p>
    <w:p w14:paraId="332FA99E">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（三）本合同自甲乙双方法人代表或其授权代表签字盖章后生效。</w:t>
      </w:r>
    </w:p>
    <w:p w14:paraId="468AF1DB">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240" w:firstLineChars="100"/>
        <w:textAlignment w:val="baseline"/>
        <w:rPr>
          <w:rFonts w:hint="eastAsia" w:ascii="仿宋" w:hAnsi="仿宋" w:eastAsia="仿宋" w:cs="仿宋"/>
          <w:sz w:val="24"/>
          <w:szCs w:val="24"/>
        </w:rPr>
      </w:pPr>
      <w:r>
        <w:rPr>
          <w:rFonts w:hint="eastAsia" w:ascii="仿宋" w:hAnsi="仿宋" w:eastAsia="仿宋" w:cs="仿宋"/>
          <w:sz w:val="24"/>
          <w:szCs w:val="24"/>
        </w:rPr>
        <w:t>（四）本合同一式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份，其中，甲方执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14:paraId="5B6D4822">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（五）（其他需要约定的事项）</w:t>
      </w:r>
    </w:p>
    <w:p w14:paraId="0A751792">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一</w:t>
      </w:r>
      <w:r>
        <w:rPr>
          <w:rFonts w:hint="eastAsia" w:ascii="仿宋" w:hAnsi="仿宋" w:eastAsia="仿宋" w:cs="仿宋"/>
          <w:sz w:val="24"/>
          <w:szCs w:val="24"/>
        </w:rPr>
        <w:t>、合同附件（若有附件应注明，并注明附件名称）</w:t>
      </w:r>
    </w:p>
    <w:p w14:paraId="4916000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p>
    <w:p w14:paraId="6C0AD02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甲方（公章）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乙方（公章）：</w:t>
      </w:r>
    </w:p>
    <w:p w14:paraId="75E10F7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单位名称：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单位名称：</w:t>
      </w:r>
    </w:p>
    <w:p w14:paraId="561AF5D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法定代表人或授权代表：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法定代表人或授权代表：                 </w:t>
      </w:r>
    </w:p>
    <w:p w14:paraId="6356EA9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联系方式：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p>
    <w:p w14:paraId="18726B64">
      <w:pPr>
        <w:keepNext w:val="0"/>
        <w:keepLines w:val="0"/>
        <w:pageBreakBefore w:val="0"/>
        <w:widowControl/>
        <w:kinsoku w:val="0"/>
        <w:wordWrap/>
        <w:topLinePunct w:val="0"/>
        <w:autoSpaceDE w:val="0"/>
        <w:autoSpaceDN w:val="0"/>
        <w:bidi w:val="0"/>
        <w:adjustRightInd w:val="0"/>
        <w:snapToGrid w:val="0"/>
        <w:spacing w:line="360" w:lineRule="auto"/>
        <w:ind w:left="0" w:leftChars="0" w:firstLine="531"/>
        <w:textAlignment w:val="baseline"/>
        <w:rPr>
          <w:rFonts w:hint="eastAsia" w:ascii="仿宋" w:hAnsi="仿宋" w:eastAsia="仿宋" w:cs="仿宋"/>
          <w:spacing w:val="-28"/>
          <w:sz w:val="24"/>
          <w:szCs w:val="24"/>
        </w:rPr>
      </w:pPr>
      <w:r>
        <w:rPr>
          <w:rFonts w:hint="eastAsia" w:ascii="仿宋" w:hAnsi="仿宋" w:eastAsia="仿宋" w:cs="仿宋"/>
          <w:spacing w:val="-28"/>
          <w:sz w:val="24"/>
          <w:szCs w:val="24"/>
        </w:rPr>
        <w:t>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日</w:t>
      </w:r>
      <w:r>
        <w:rPr>
          <w:rFonts w:hint="eastAsia" w:ascii="仿宋" w:hAnsi="仿宋" w:eastAsia="仿宋" w:cs="仿宋"/>
          <w:spacing w:val="-28"/>
          <w:sz w:val="24"/>
          <w:szCs w:val="24"/>
        </w:rPr>
        <w:t xml:space="preserve">          </w:t>
      </w:r>
      <w:r>
        <w:rPr>
          <w:rFonts w:hint="eastAsia" w:ascii="仿宋" w:hAnsi="仿宋" w:eastAsia="仿宋" w:cs="仿宋"/>
          <w:spacing w:val="-28"/>
          <w:sz w:val="24"/>
          <w:szCs w:val="24"/>
          <w:lang w:val="en-US" w:eastAsia="zh-CN"/>
        </w:rPr>
        <w:t xml:space="preserve">                             </w:t>
      </w:r>
      <w:r>
        <w:rPr>
          <w:rFonts w:hint="eastAsia" w:ascii="仿宋" w:hAnsi="仿宋" w:eastAsia="仿宋" w:cs="仿宋"/>
          <w:spacing w:val="-28"/>
          <w:sz w:val="24"/>
          <w:szCs w:val="24"/>
        </w:rPr>
        <w:t xml:space="preserve"> 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日</w:t>
      </w:r>
    </w:p>
    <w:p w14:paraId="6F203EF3">
      <w:pPr>
        <w:pStyle w:val="12"/>
        <w:spacing w:line="255" w:lineRule="auto"/>
      </w:pPr>
    </w:p>
    <w:p w14:paraId="246401BB">
      <w:pPr>
        <w:spacing w:before="79" w:line="219" w:lineRule="auto"/>
        <w:ind w:left="491"/>
        <w:rPr>
          <w:rFonts w:ascii="仿宋" w:hAnsi="仿宋" w:eastAsia="仿宋" w:cs="仿宋"/>
          <w:b/>
          <w:bCs/>
          <w:spacing w:val="-2"/>
          <w:sz w:val="24"/>
          <w:szCs w:val="24"/>
        </w:rPr>
      </w:pPr>
    </w:p>
    <w:p w14:paraId="3CF95182">
      <w:pPr>
        <w:rPr>
          <w:rFonts w:hint="eastAsia"/>
          <w:highlight w:val="none"/>
        </w:rPr>
      </w:pPr>
      <w:r>
        <w:rPr>
          <w:rFonts w:ascii="仿宋" w:hAnsi="仿宋" w:eastAsia="仿宋" w:cs="仿宋"/>
          <w:b/>
          <w:bCs/>
          <w:spacing w:val="-2"/>
          <w:sz w:val="24"/>
          <w:szCs w:val="24"/>
        </w:rPr>
        <w:t>注：经双方协商，在不改变合同实质性内容的基</w:t>
      </w:r>
      <w:r>
        <w:rPr>
          <w:rFonts w:ascii="仿宋" w:hAnsi="仿宋" w:eastAsia="仿宋" w:cs="仿宋"/>
          <w:b/>
          <w:bCs/>
          <w:spacing w:val="-3"/>
          <w:sz w:val="24"/>
          <w:szCs w:val="24"/>
        </w:rPr>
        <w:t>础上，可采用其他合同格式。</w:t>
      </w:r>
    </w:p>
    <w:p w14:paraId="7CC9B23D">
      <w:pPr>
        <w:rPr>
          <w:rFonts w:hint="eastAsia"/>
          <w:highlight w:val="none"/>
        </w:rPr>
      </w:pPr>
    </w:p>
    <w:p w14:paraId="57595D86">
      <w:pPr>
        <w:bidi w:val="0"/>
        <w:rPr>
          <w:rFonts w:hint="eastAsia"/>
        </w:rPr>
      </w:pPr>
    </w:p>
    <w:p w14:paraId="0AE05337">
      <w:pPr>
        <w:rPr>
          <w:rFonts w:hint="eastAsia"/>
        </w:rPr>
      </w:pPr>
      <w:r>
        <w:rPr>
          <w:rFonts w:hint="eastAsia"/>
        </w:rPr>
        <w:br w:type="page"/>
      </w:r>
    </w:p>
    <w:p w14:paraId="2F1BAD69">
      <w:pPr>
        <w:bidi w:val="0"/>
        <w:rPr>
          <w:rFonts w:hint="eastAsia"/>
          <w:lang w:val="en-US" w:eastAsia="zh-CN"/>
        </w:rPr>
      </w:pPr>
    </w:p>
    <w:p w14:paraId="7EFA9C8F">
      <w:pPr>
        <w:pStyle w:val="2"/>
        <w:keepNext/>
        <w:keepLines w:val="0"/>
        <w:pageBreakBefore w:val="0"/>
        <w:widowControl w:val="0"/>
        <w:numPr>
          <w:ilvl w:val="0"/>
          <w:numId w:val="0"/>
        </w:numPr>
        <w:kinsoku/>
        <w:wordWrap/>
        <w:overflowPunct/>
        <w:topLinePunct w:val="0"/>
        <w:autoSpaceDE/>
        <w:autoSpaceDN/>
        <w:bidi w:val="0"/>
        <w:adjustRightInd/>
        <w:snapToGrid/>
        <w:spacing w:before="4993" w:beforeLines="1600"/>
        <w:ind w:leftChars="0"/>
        <w:jc w:val="center"/>
        <w:textAlignment w:val="auto"/>
      </w:pPr>
      <w:bookmarkStart w:id="69" w:name="_Toc30529"/>
      <w:bookmarkStart w:id="70" w:name="_Toc31694"/>
      <w:r>
        <w:rPr>
          <w:rFonts w:hint="eastAsia"/>
        </w:rPr>
        <w:t>第</w:t>
      </w:r>
      <w:r>
        <w:rPr>
          <w:rFonts w:hint="eastAsia"/>
          <w:lang w:eastAsia="zh-CN"/>
        </w:rPr>
        <w:t>六章</w:t>
      </w:r>
      <w:r>
        <w:rPr>
          <w:rFonts w:hint="eastAsia"/>
        </w:rPr>
        <w:t>　响应文件格式</w:t>
      </w:r>
      <w:bookmarkEnd w:id="68"/>
      <w:bookmarkEnd w:id="69"/>
      <w:bookmarkEnd w:id="70"/>
    </w:p>
    <w:p w14:paraId="37EA9EEC">
      <w:pPr>
        <w:rPr>
          <w:rFonts w:hint="eastAsia" w:ascii="仿宋" w:hAnsi="仿宋" w:eastAsia="仿宋" w:cs="宋体"/>
          <w:b/>
          <w:sz w:val="28"/>
          <w:szCs w:val="28"/>
          <w:highlight w:val="none"/>
        </w:rPr>
      </w:pPr>
      <w:r>
        <w:rPr>
          <w:rFonts w:hint="eastAsia" w:ascii="仿宋" w:hAnsi="仿宋" w:eastAsia="仿宋" w:cs="宋体"/>
          <w:b/>
          <w:sz w:val="28"/>
          <w:szCs w:val="28"/>
          <w:highlight w:val="none"/>
        </w:rPr>
        <w:br w:type="page"/>
      </w:r>
    </w:p>
    <w:p w14:paraId="73113C75">
      <w:pPr>
        <w:spacing w:line="440" w:lineRule="exact"/>
        <w:rPr>
          <w:rFonts w:hint="eastAsia" w:ascii="仿宋" w:hAnsi="仿宋" w:eastAsia="仿宋" w:cs="宋体"/>
          <w:b/>
          <w:sz w:val="28"/>
          <w:szCs w:val="28"/>
          <w:highlight w:val="none"/>
        </w:rPr>
      </w:pPr>
    </w:p>
    <w:p w14:paraId="4F78E3E9">
      <w:pPr>
        <w:spacing w:line="440" w:lineRule="exact"/>
        <w:rPr>
          <w:rFonts w:hint="eastAsia" w:ascii="仿宋" w:hAnsi="仿宋" w:eastAsia="仿宋" w:cs="宋体"/>
          <w:b/>
          <w:sz w:val="28"/>
          <w:szCs w:val="28"/>
          <w:highlight w:val="none"/>
          <w:lang w:eastAsia="zh-CN"/>
        </w:rPr>
      </w:pPr>
      <w:r>
        <w:rPr>
          <w:rFonts w:hint="eastAsia" w:ascii="仿宋" w:hAnsi="仿宋" w:eastAsia="仿宋" w:cs="宋体"/>
          <w:b/>
          <w:sz w:val="28"/>
          <w:szCs w:val="28"/>
          <w:highlight w:val="none"/>
          <w:lang w:eastAsia="zh-CN"/>
        </w:rPr>
        <w:t>响</w:t>
      </w:r>
      <w:r>
        <w:rPr>
          <w:rFonts w:hint="eastAsia" w:ascii="仿宋" w:hAnsi="仿宋" w:eastAsia="仿宋" w:cs="宋体"/>
          <w:b/>
          <w:sz w:val="28"/>
          <w:szCs w:val="28"/>
          <w:highlight w:val="none"/>
        </w:rPr>
        <w:t>应文件封面（封皮）格式</w:t>
      </w:r>
      <w:r>
        <w:rPr>
          <w:rFonts w:hint="eastAsia" w:ascii="仿宋" w:hAnsi="仿宋" w:eastAsia="仿宋" w:cs="宋体"/>
          <w:b/>
          <w:sz w:val="28"/>
          <w:szCs w:val="28"/>
          <w:highlight w:val="none"/>
          <w:lang w:eastAsia="zh-CN"/>
        </w:rPr>
        <w:t>（包一、包二、包三）</w:t>
      </w:r>
    </w:p>
    <w:p w14:paraId="4F93294F">
      <w:pPr>
        <w:spacing w:line="800" w:lineRule="exact"/>
        <w:jc w:val="center"/>
        <w:rPr>
          <w:rFonts w:ascii="仿宋" w:hAnsi="仿宋" w:eastAsia="仿宋" w:cs="宋体"/>
          <w:bCs/>
          <w:sz w:val="28"/>
          <w:szCs w:val="28"/>
          <w:highlight w:val="none"/>
        </w:rPr>
      </w:pPr>
    </w:p>
    <w:p w14:paraId="32CEC2AD">
      <w:pPr>
        <w:spacing w:line="800" w:lineRule="exact"/>
        <w:jc w:val="center"/>
        <w:rPr>
          <w:rFonts w:ascii="仿宋" w:hAnsi="仿宋" w:eastAsia="仿宋" w:cs="宋体"/>
          <w:b/>
          <w:spacing w:val="78"/>
          <w:sz w:val="28"/>
          <w:szCs w:val="28"/>
          <w:highlight w:val="none"/>
        </w:rPr>
      </w:pPr>
    </w:p>
    <w:p w14:paraId="443EBB38">
      <w:pPr>
        <w:spacing w:line="1000" w:lineRule="exact"/>
        <w:jc w:val="center"/>
        <w:rPr>
          <w:rFonts w:ascii="仿宋" w:hAnsi="仿宋" w:eastAsia="仿宋" w:cs="宋体"/>
          <w:b/>
          <w:spacing w:val="78"/>
          <w:sz w:val="96"/>
          <w:szCs w:val="96"/>
          <w:highlight w:val="none"/>
        </w:rPr>
      </w:pPr>
      <w:r>
        <w:rPr>
          <w:rFonts w:hint="eastAsia" w:ascii="仿宋" w:hAnsi="仿宋" w:eastAsia="仿宋" w:cs="宋体"/>
          <w:b/>
          <w:spacing w:val="78"/>
          <w:sz w:val="96"/>
          <w:szCs w:val="96"/>
          <w:highlight w:val="none"/>
        </w:rPr>
        <w:t>响 应 文 件</w:t>
      </w:r>
    </w:p>
    <w:p w14:paraId="74E110FF">
      <w:pPr>
        <w:spacing w:line="500" w:lineRule="exact"/>
        <w:jc w:val="center"/>
        <w:rPr>
          <w:rFonts w:ascii="仿宋" w:hAnsi="仿宋" w:eastAsia="仿宋" w:cs="宋体"/>
          <w:b/>
          <w:bCs/>
          <w:sz w:val="28"/>
          <w:szCs w:val="28"/>
          <w:highlight w:val="none"/>
        </w:rPr>
      </w:pPr>
    </w:p>
    <w:p w14:paraId="515669AF">
      <w:pPr>
        <w:spacing w:line="500" w:lineRule="exact"/>
        <w:jc w:val="center"/>
        <w:rPr>
          <w:rFonts w:ascii="仿宋" w:hAnsi="仿宋" w:eastAsia="仿宋" w:cs="宋体"/>
          <w:b/>
          <w:bCs/>
          <w:sz w:val="28"/>
          <w:szCs w:val="28"/>
          <w:highlight w:val="none"/>
        </w:rPr>
      </w:pPr>
    </w:p>
    <w:p w14:paraId="3C283CAC">
      <w:pPr>
        <w:spacing w:line="500" w:lineRule="exact"/>
        <w:jc w:val="center"/>
        <w:rPr>
          <w:rFonts w:ascii="仿宋" w:hAnsi="仿宋" w:eastAsia="仿宋" w:cs="宋体"/>
          <w:b/>
          <w:bCs/>
          <w:sz w:val="28"/>
          <w:szCs w:val="28"/>
          <w:highlight w:val="none"/>
        </w:rPr>
      </w:pPr>
    </w:p>
    <w:p w14:paraId="0E5B3BFC">
      <w:pPr>
        <w:spacing w:line="500" w:lineRule="exact"/>
        <w:jc w:val="center"/>
        <w:rPr>
          <w:rFonts w:ascii="仿宋" w:hAnsi="仿宋" w:eastAsia="仿宋" w:cs="宋体"/>
          <w:b/>
          <w:bCs/>
          <w:sz w:val="28"/>
          <w:szCs w:val="28"/>
          <w:highlight w:val="none"/>
        </w:rPr>
      </w:pPr>
    </w:p>
    <w:p w14:paraId="08F4F06E">
      <w:pPr>
        <w:spacing w:line="500" w:lineRule="exact"/>
        <w:jc w:val="center"/>
        <w:rPr>
          <w:rFonts w:ascii="仿宋" w:hAnsi="仿宋" w:eastAsia="仿宋" w:cs="宋体"/>
          <w:b/>
          <w:bCs/>
          <w:sz w:val="28"/>
          <w:szCs w:val="28"/>
          <w:highlight w:val="none"/>
        </w:rPr>
      </w:pPr>
    </w:p>
    <w:p w14:paraId="6EEF6748">
      <w:pPr>
        <w:spacing w:line="500" w:lineRule="exact"/>
        <w:jc w:val="center"/>
        <w:rPr>
          <w:rFonts w:ascii="仿宋" w:hAnsi="仿宋" w:eastAsia="仿宋" w:cs="宋体"/>
          <w:b/>
          <w:bCs/>
          <w:sz w:val="28"/>
          <w:szCs w:val="28"/>
          <w:highlight w:val="none"/>
        </w:rPr>
      </w:pPr>
    </w:p>
    <w:p w14:paraId="18B96D91">
      <w:pPr>
        <w:spacing w:line="420" w:lineRule="exact"/>
        <w:ind w:left="1260" w:leftChars="600" w:firstLine="278" w:firstLineChars="99"/>
        <w:jc w:val="left"/>
        <w:rPr>
          <w:rFonts w:ascii="仿宋" w:hAnsi="仿宋" w:eastAsia="仿宋" w:cs="宋体"/>
          <w:b/>
          <w:bCs/>
          <w:sz w:val="28"/>
          <w:szCs w:val="28"/>
          <w:highlight w:val="none"/>
          <w:u w:val="single"/>
        </w:rPr>
      </w:pPr>
      <w:r>
        <w:rPr>
          <w:rFonts w:hint="eastAsia" w:ascii="仿宋" w:hAnsi="仿宋" w:eastAsia="仿宋" w:cs="宋体"/>
          <w:b/>
          <w:bCs/>
          <w:sz w:val="28"/>
          <w:szCs w:val="28"/>
          <w:highlight w:val="none"/>
        </w:rPr>
        <w:t>项目编号：</w:t>
      </w:r>
      <w:r>
        <w:rPr>
          <w:rFonts w:hint="eastAsia" w:ascii="仿宋" w:hAnsi="仿宋" w:eastAsia="仿宋" w:cs="宋体"/>
          <w:b/>
          <w:bCs/>
          <w:sz w:val="28"/>
          <w:szCs w:val="28"/>
          <w:highlight w:val="none"/>
          <w:u w:val="single"/>
        </w:rPr>
        <w:t xml:space="preserve">                            </w:t>
      </w:r>
    </w:p>
    <w:p w14:paraId="6CDBEC87">
      <w:pPr>
        <w:spacing w:line="420" w:lineRule="exact"/>
        <w:ind w:left="1260" w:leftChars="600" w:firstLine="278" w:firstLineChars="99"/>
        <w:jc w:val="left"/>
        <w:rPr>
          <w:rFonts w:ascii="仿宋" w:hAnsi="仿宋" w:eastAsia="仿宋" w:cs="宋体"/>
          <w:b/>
          <w:bCs/>
          <w:sz w:val="28"/>
          <w:szCs w:val="28"/>
          <w:highlight w:val="none"/>
          <w:u w:val="single"/>
        </w:rPr>
      </w:pPr>
    </w:p>
    <w:p w14:paraId="0CEFDE2D">
      <w:pPr>
        <w:spacing w:line="420" w:lineRule="exact"/>
        <w:ind w:left="1260" w:leftChars="600" w:firstLine="278" w:firstLineChars="99"/>
        <w:jc w:val="left"/>
        <w:rPr>
          <w:rFonts w:ascii="仿宋" w:hAnsi="仿宋" w:eastAsia="仿宋" w:cs="宋体"/>
          <w:b/>
          <w:bCs/>
          <w:sz w:val="28"/>
          <w:szCs w:val="28"/>
          <w:highlight w:val="none"/>
          <w:u w:val="single"/>
        </w:rPr>
      </w:pPr>
      <w:r>
        <w:rPr>
          <w:rFonts w:hint="eastAsia" w:ascii="仿宋" w:hAnsi="仿宋" w:eastAsia="仿宋" w:cs="宋体"/>
          <w:b/>
          <w:bCs/>
          <w:sz w:val="28"/>
          <w:szCs w:val="28"/>
          <w:highlight w:val="none"/>
        </w:rPr>
        <w:t>项目名称：</w:t>
      </w:r>
      <w:r>
        <w:rPr>
          <w:rFonts w:hint="eastAsia" w:ascii="仿宋" w:hAnsi="仿宋" w:eastAsia="仿宋" w:cs="宋体"/>
          <w:b/>
          <w:bCs/>
          <w:sz w:val="28"/>
          <w:szCs w:val="28"/>
          <w:highlight w:val="none"/>
          <w:u w:val="single"/>
        </w:rPr>
        <w:t xml:space="preserve">                            </w:t>
      </w:r>
    </w:p>
    <w:p w14:paraId="521AB18A">
      <w:pPr>
        <w:pStyle w:val="14"/>
        <w:ind w:firstLine="1124" w:firstLineChars="400"/>
        <w:rPr>
          <w:rFonts w:hint="eastAsia" w:ascii="仿宋" w:hAnsi="仿宋" w:eastAsia="仿宋" w:cs="宋体"/>
          <w:b/>
          <w:bCs/>
          <w:kern w:val="2"/>
          <w:sz w:val="28"/>
          <w:szCs w:val="28"/>
          <w:highlight w:val="none"/>
          <w:lang w:val="en-US" w:eastAsia="zh-CN" w:bidi="ar-SA"/>
        </w:rPr>
      </w:pPr>
    </w:p>
    <w:p w14:paraId="2AA198BC">
      <w:pPr>
        <w:pStyle w:val="14"/>
        <w:ind w:firstLine="1124" w:firstLineChars="400"/>
        <w:rPr>
          <w:rFonts w:hint="default" w:ascii="仿宋" w:hAnsi="仿宋" w:eastAsia="仿宋" w:cs="宋体"/>
          <w:sz w:val="28"/>
          <w:szCs w:val="28"/>
          <w:highlight w:val="none"/>
          <w:u w:val="single"/>
          <w:lang w:val="en-US"/>
        </w:rPr>
      </w:pPr>
      <w:r>
        <w:rPr>
          <w:rFonts w:hint="eastAsia" w:ascii="仿宋" w:hAnsi="仿宋" w:eastAsia="仿宋" w:cs="宋体"/>
          <w:b/>
          <w:bCs/>
          <w:kern w:val="2"/>
          <w:sz w:val="28"/>
          <w:szCs w:val="28"/>
          <w:highlight w:val="none"/>
          <w:lang w:val="en-US" w:eastAsia="zh-CN" w:bidi="ar-SA"/>
        </w:rPr>
        <w:t>包    号：</w:t>
      </w:r>
      <w:r>
        <w:rPr>
          <w:rFonts w:hint="eastAsia" w:ascii="仿宋" w:hAnsi="仿宋" w:eastAsia="仿宋" w:cs="宋体"/>
          <w:sz w:val="28"/>
          <w:szCs w:val="28"/>
          <w:highlight w:val="none"/>
          <w:u w:val="single"/>
          <w:lang w:val="en-US" w:eastAsia="zh-CN"/>
        </w:rPr>
        <w:t xml:space="preserve">                           </w:t>
      </w:r>
    </w:p>
    <w:p w14:paraId="30601CFB">
      <w:pPr>
        <w:rPr>
          <w:rFonts w:ascii="仿宋" w:hAnsi="仿宋" w:eastAsia="仿宋" w:cs="宋体"/>
          <w:sz w:val="28"/>
          <w:szCs w:val="28"/>
          <w:highlight w:val="none"/>
        </w:rPr>
      </w:pPr>
    </w:p>
    <w:p w14:paraId="557F93EC">
      <w:pPr>
        <w:spacing w:line="420" w:lineRule="exact"/>
        <w:rPr>
          <w:rFonts w:ascii="仿宋" w:hAnsi="仿宋" w:eastAsia="仿宋" w:cs="宋体"/>
          <w:b/>
          <w:bCs/>
          <w:sz w:val="28"/>
          <w:szCs w:val="28"/>
          <w:highlight w:val="none"/>
        </w:rPr>
      </w:pPr>
    </w:p>
    <w:p w14:paraId="53A3A212">
      <w:pPr>
        <w:spacing w:line="420" w:lineRule="exact"/>
        <w:jc w:val="center"/>
        <w:rPr>
          <w:rFonts w:ascii="仿宋" w:hAnsi="仿宋" w:eastAsia="仿宋" w:cs="宋体"/>
          <w:b/>
          <w:bCs/>
          <w:sz w:val="28"/>
          <w:szCs w:val="28"/>
          <w:highlight w:val="none"/>
        </w:rPr>
      </w:pPr>
    </w:p>
    <w:p w14:paraId="1AFEAA1D">
      <w:pPr>
        <w:pStyle w:val="22"/>
        <w:rPr>
          <w:highlight w:val="none"/>
        </w:rPr>
      </w:pPr>
    </w:p>
    <w:p w14:paraId="55BD8C08">
      <w:pPr>
        <w:spacing w:line="360" w:lineRule="auto"/>
        <w:ind w:firstLine="843" w:firstLineChars="3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供应商全称（公章或电子签章）：</w:t>
      </w:r>
      <w:r>
        <w:rPr>
          <w:rFonts w:hint="eastAsia" w:ascii="仿宋" w:hAnsi="仿宋" w:eastAsia="仿宋" w:cs="宋体"/>
          <w:b/>
          <w:bCs/>
          <w:sz w:val="28"/>
          <w:szCs w:val="28"/>
          <w:highlight w:val="none"/>
          <w:u w:val="single"/>
        </w:rPr>
        <w:t xml:space="preserve">               </w:t>
      </w:r>
    </w:p>
    <w:p w14:paraId="29F275EA">
      <w:pPr>
        <w:spacing w:line="360" w:lineRule="auto"/>
        <w:ind w:firstLine="843" w:firstLineChars="3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法定代表人</w:t>
      </w:r>
      <w:r>
        <w:rPr>
          <w:rFonts w:hint="eastAsia" w:ascii="仿宋" w:hAnsi="仿宋" w:eastAsia="仿宋" w:cs="宋体"/>
          <w:b/>
          <w:bCs/>
          <w:sz w:val="28"/>
          <w:szCs w:val="28"/>
          <w:highlight w:val="none"/>
          <w:lang w:val="en-US" w:eastAsia="zh-CN"/>
        </w:rPr>
        <w:t>/负责人</w:t>
      </w:r>
      <w:r>
        <w:rPr>
          <w:rFonts w:hint="eastAsia" w:ascii="仿宋" w:hAnsi="仿宋" w:eastAsia="仿宋" w:cs="宋体"/>
          <w:b/>
          <w:bCs/>
          <w:sz w:val="28"/>
          <w:szCs w:val="28"/>
          <w:highlight w:val="none"/>
        </w:rPr>
        <w:t>：</w:t>
      </w:r>
      <w:r>
        <w:rPr>
          <w:rFonts w:hint="eastAsia" w:ascii="仿宋" w:hAnsi="仿宋" w:eastAsia="仿宋" w:cs="宋体"/>
          <w:b/>
          <w:bCs/>
          <w:sz w:val="28"/>
          <w:szCs w:val="28"/>
          <w:highlight w:val="none"/>
          <w:u w:val="single"/>
        </w:rPr>
        <w:t xml:space="preserve">      （签字或盖章）</w:t>
      </w:r>
    </w:p>
    <w:p w14:paraId="76E15F39">
      <w:pPr>
        <w:spacing w:line="360" w:lineRule="auto"/>
        <w:ind w:firstLine="843" w:firstLineChars="300"/>
        <w:rPr>
          <w:rFonts w:ascii="仿宋" w:hAnsi="仿宋" w:eastAsia="仿宋" w:cs="宋体"/>
          <w:b/>
          <w:bCs/>
          <w:sz w:val="28"/>
          <w:szCs w:val="28"/>
          <w:highlight w:val="none"/>
        </w:rPr>
      </w:pPr>
      <w:r>
        <w:rPr>
          <w:rFonts w:hint="eastAsia" w:ascii="仿宋" w:hAnsi="仿宋" w:eastAsia="仿宋" w:cs="宋体"/>
          <w:b/>
          <w:bCs/>
          <w:sz w:val="28"/>
          <w:szCs w:val="28"/>
          <w:highlight w:val="none"/>
        </w:rPr>
        <w:t>日       期：</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年</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月</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日</w:t>
      </w:r>
    </w:p>
    <w:p w14:paraId="22419CB0">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br w:type="page"/>
      </w:r>
      <w:r>
        <w:rPr>
          <w:rFonts w:hint="eastAsia" w:ascii="仿宋" w:hAnsi="仿宋" w:eastAsia="仿宋" w:cs="宋体"/>
          <w:b/>
          <w:sz w:val="28"/>
          <w:szCs w:val="28"/>
          <w:highlight w:val="none"/>
        </w:rPr>
        <w:t>响应文件目录</w:t>
      </w:r>
    </w:p>
    <w:p w14:paraId="21689D87">
      <w:pPr>
        <w:spacing w:line="360" w:lineRule="auto"/>
        <w:jc w:val="center"/>
        <w:rPr>
          <w:rFonts w:ascii="仿宋" w:hAnsi="仿宋" w:eastAsia="仿宋" w:cs="宋体"/>
          <w:b/>
          <w:sz w:val="28"/>
          <w:szCs w:val="28"/>
          <w:highlight w:val="none"/>
        </w:rPr>
      </w:pPr>
      <w:r>
        <w:rPr>
          <w:rFonts w:ascii="仿宋" w:hAnsi="仿宋" w:eastAsia="仿宋" w:cs="宋体"/>
          <w:b/>
          <w:sz w:val="28"/>
          <w:szCs w:val="28"/>
          <w:highlight w:val="none"/>
        </w:rPr>
        <w:t>资格证明文件</w:t>
      </w:r>
    </w:p>
    <w:p w14:paraId="357E66D2">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具有独立承担民事责任的能力</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2D33659A">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具有良好的商业信誉和健全的财务会计制度</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24C17139">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具有履行合同能力</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35200713">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依法缴纳税收和社会保障资金</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159F8745">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参加政府采购活动前三年内，在经营活动中没有重大违法记录</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141503FD">
      <w:pPr>
        <w:pStyle w:val="15"/>
        <w:snapToGrid w:val="0"/>
        <w:spacing w:line="360" w:lineRule="auto"/>
        <w:ind w:firstLine="420" w:firstLineChars="20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6.提供落实政府采购政策资格要求的证明文件</w:t>
      </w:r>
      <w:r>
        <w:rPr>
          <w:rFonts w:hint="eastAsia" w:ascii="仿宋" w:hAnsi="仿宋" w:eastAsia="仿宋" w:cs="仿宋"/>
          <w:szCs w:val="21"/>
          <w:highlight w:val="none"/>
        </w:rPr>
        <w:t>……</w:t>
      </w:r>
    </w:p>
    <w:p w14:paraId="00B52F34">
      <w:pPr>
        <w:pStyle w:val="15"/>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7.特定资质</w:t>
      </w:r>
      <w:r>
        <w:rPr>
          <w:rFonts w:hint="eastAsia" w:ascii="仿宋" w:hAnsi="仿宋" w:eastAsia="仿宋" w:cs="仿宋"/>
          <w:szCs w:val="21"/>
          <w:highlight w:val="none"/>
        </w:rPr>
        <w:t>……</w:t>
      </w:r>
    </w:p>
    <w:p w14:paraId="37C6A404">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磋商保证金提交凭证……………………………………</w:t>
      </w:r>
    </w:p>
    <w:p w14:paraId="501E5933">
      <w:pPr>
        <w:pStyle w:val="15"/>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供应商廉洁自律承诺书………………………………………………………</w:t>
      </w:r>
    </w:p>
    <w:p w14:paraId="439A24FC">
      <w:pPr>
        <w:pStyle w:val="12"/>
        <w:ind w:firstLine="420" w:firstLineChars="200"/>
        <w:rPr>
          <w:rFonts w:ascii="仿宋" w:hAnsi="仿宋" w:eastAsia="仿宋" w:cs="仿宋"/>
          <w:szCs w:val="21"/>
          <w:highlight w:val="none"/>
        </w:rPr>
      </w:pP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.供应商需提交的其他资格证明文件………………………………………………………</w:t>
      </w:r>
    </w:p>
    <w:p w14:paraId="6CECF33D">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商务、技术文件</w:t>
      </w:r>
    </w:p>
    <w:p w14:paraId="47C6495D">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1．法定代表人（代表人）身份证明文件………………………………………………………</w:t>
      </w:r>
    </w:p>
    <w:p w14:paraId="3F74AAEA">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2．法定代表人（代表人）授权委托文件……………………………………………………</w:t>
      </w:r>
    </w:p>
    <w:p w14:paraId="04BD3A81">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3．磋商函………………………………………………………………………</w:t>
      </w:r>
    </w:p>
    <w:p w14:paraId="4421CAEE">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4．报价一览表…………………………………………………………………</w:t>
      </w:r>
    </w:p>
    <w:p w14:paraId="4966869C">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5．商务条款响应表……………………………………………………………</w:t>
      </w:r>
    </w:p>
    <w:p w14:paraId="177D8DF8">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6．技术规范响应及偏离表…………………………………………………</w:t>
      </w:r>
    </w:p>
    <w:p w14:paraId="16C538B3">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szCs w:val="21"/>
          <w:highlight w:val="none"/>
        </w:rPr>
        <w:t>7．</w:t>
      </w:r>
      <w:r>
        <w:rPr>
          <w:rFonts w:hint="eastAsia" w:ascii="仿宋" w:hAnsi="仿宋" w:eastAsia="仿宋" w:cs="仿宋"/>
          <w:kern w:val="0"/>
          <w:highlight w:val="none"/>
        </w:rPr>
        <w:t>响应文件</w:t>
      </w:r>
      <w:r>
        <w:rPr>
          <w:rFonts w:hint="eastAsia" w:ascii="仿宋" w:hAnsi="仿宋" w:eastAsia="仿宋" w:cs="仿宋"/>
          <w:kern w:val="0"/>
          <w:szCs w:val="21"/>
          <w:highlight w:val="none"/>
        </w:rPr>
        <w:t>递交截</w:t>
      </w:r>
      <w:r>
        <w:rPr>
          <w:rFonts w:hint="eastAsia" w:ascii="仿宋" w:hAnsi="仿宋" w:eastAsia="仿宋" w:cs="仿宋"/>
          <w:kern w:val="0"/>
          <w:highlight w:val="none"/>
        </w:rPr>
        <w:t>止日前三年内完成的</w:t>
      </w:r>
      <w:r>
        <w:rPr>
          <w:rFonts w:hint="eastAsia" w:ascii="仿宋" w:hAnsi="仿宋" w:eastAsia="仿宋" w:cs="仿宋"/>
          <w:kern w:val="0"/>
          <w:szCs w:val="21"/>
          <w:highlight w:val="none"/>
        </w:rPr>
        <w:t>类似项目合同案例列表及相关证明资料</w:t>
      </w:r>
      <w:r>
        <w:rPr>
          <w:rFonts w:hint="eastAsia" w:ascii="仿宋" w:hAnsi="仿宋" w:eastAsia="仿宋" w:cs="仿宋"/>
          <w:highlight w:val="none"/>
        </w:rPr>
        <w:t>………</w:t>
      </w:r>
    </w:p>
    <w:p w14:paraId="7A64B0B8">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8</w:t>
      </w:r>
      <w:r>
        <w:rPr>
          <w:rFonts w:hint="eastAsia" w:ascii="仿宋" w:hAnsi="仿宋" w:eastAsia="仿宋" w:cs="仿宋"/>
          <w:kern w:val="0"/>
          <w:highlight w:val="none"/>
        </w:rPr>
        <w:t>．拟投入本项目的专业技术人员等情况……………………………………</w:t>
      </w:r>
    </w:p>
    <w:p w14:paraId="731A7E40">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9</w:t>
      </w:r>
      <w:r>
        <w:rPr>
          <w:rFonts w:hint="eastAsia" w:ascii="仿宋" w:hAnsi="仿宋" w:eastAsia="仿宋" w:cs="仿宋"/>
          <w:kern w:val="0"/>
          <w:highlight w:val="none"/>
        </w:rPr>
        <w:t>. 服务方案……………………………………</w:t>
      </w:r>
    </w:p>
    <w:p w14:paraId="66F6205C">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 政策要求……………………………………</w:t>
      </w:r>
    </w:p>
    <w:p w14:paraId="5A87A297">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供应商认为需要提供的其他商务、技术材料……………………………………</w:t>
      </w:r>
    </w:p>
    <w:p w14:paraId="0FDAE4DA">
      <w:pPr>
        <w:spacing w:line="360" w:lineRule="auto"/>
        <w:rPr>
          <w:rFonts w:ascii="仿宋" w:hAnsi="仿宋" w:eastAsia="仿宋" w:cs="宋体"/>
          <w:b/>
          <w:sz w:val="28"/>
          <w:szCs w:val="28"/>
          <w:highlight w:val="none"/>
        </w:rPr>
      </w:pPr>
    </w:p>
    <w:p w14:paraId="1CED920E">
      <w:pPr>
        <w:pStyle w:val="22"/>
        <w:rPr>
          <w:rFonts w:ascii="仿宋" w:hAnsi="仿宋" w:eastAsia="仿宋" w:cs="宋体"/>
          <w:b/>
          <w:sz w:val="28"/>
          <w:szCs w:val="28"/>
          <w:highlight w:val="none"/>
        </w:rPr>
      </w:pPr>
    </w:p>
    <w:p w14:paraId="2BE34D93">
      <w:pPr>
        <w:pStyle w:val="22"/>
        <w:rPr>
          <w:rFonts w:ascii="仿宋" w:hAnsi="仿宋" w:eastAsia="仿宋" w:cs="宋体"/>
          <w:b/>
          <w:sz w:val="28"/>
          <w:szCs w:val="28"/>
          <w:highlight w:val="none"/>
        </w:rPr>
      </w:pPr>
    </w:p>
    <w:p w14:paraId="5934F061">
      <w:pPr>
        <w:spacing w:line="360" w:lineRule="auto"/>
        <w:jc w:val="both"/>
        <w:rPr>
          <w:rFonts w:hint="eastAsia" w:ascii="仿宋" w:hAnsi="仿宋" w:eastAsia="仿宋" w:cs="宋体"/>
          <w:b/>
          <w:sz w:val="28"/>
          <w:szCs w:val="28"/>
          <w:highlight w:val="none"/>
        </w:rPr>
      </w:pPr>
    </w:p>
    <w:p w14:paraId="52C41780">
      <w:pPr>
        <w:rPr>
          <w:rFonts w:hint="eastAsia" w:ascii="仿宋" w:hAnsi="仿宋" w:eastAsia="仿宋" w:cs="宋体"/>
          <w:b/>
          <w:sz w:val="28"/>
          <w:szCs w:val="28"/>
          <w:highlight w:val="none"/>
        </w:rPr>
      </w:pPr>
      <w:r>
        <w:rPr>
          <w:rFonts w:hint="eastAsia" w:ascii="仿宋" w:hAnsi="仿宋" w:eastAsia="仿宋" w:cs="宋体"/>
          <w:b/>
          <w:sz w:val="28"/>
          <w:szCs w:val="28"/>
          <w:highlight w:val="none"/>
        </w:rPr>
        <w:br w:type="page"/>
      </w:r>
    </w:p>
    <w:p w14:paraId="5520E9EA">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资格证明文件</w:t>
      </w:r>
    </w:p>
    <w:p w14:paraId="60256B09">
      <w:pPr>
        <w:snapToGrid w:val="0"/>
        <w:spacing w:line="360" w:lineRule="auto"/>
        <w:rPr>
          <w:rFonts w:ascii="仿宋" w:hAnsi="仿宋" w:eastAsia="仿宋" w:cs="仿宋"/>
          <w:b/>
          <w:kern w:val="0"/>
          <w:sz w:val="24"/>
          <w:highlight w:val="none"/>
        </w:rPr>
      </w:pPr>
    </w:p>
    <w:p w14:paraId="60AD1668">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1.具有独立承担民事责任的能力</w:t>
      </w:r>
      <w:r>
        <w:rPr>
          <w:rFonts w:hint="eastAsia" w:ascii="仿宋" w:hAnsi="仿宋" w:eastAsia="仿宋" w:cs="仿宋"/>
          <w:b/>
          <w:sz w:val="24"/>
          <w:highlight w:val="none"/>
          <w:lang w:val="en-US" w:eastAsia="zh-CN"/>
        </w:rPr>
        <w:t>的信用承诺书</w:t>
      </w:r>
    </w:p>
    <w:p w14:paraId="675C89A0">
      <w:pPr>
        <w:snapToGrid w:val="0"/>
        <w:spacing w:line="360" w:lineRule="auto"/>
        <w:rPr>
          <w:rFonts w:ascii="Times New Roman" w:hAnsi="Times New Roman"/>
          <w:b/>
          <w:kern w:val="0"/>
          <w:sz w:val="24"/>
          <w:highlight w:val="none"/>
        </w:rPr>
      </w:pPr>
    </w:p>
    <w:p w14:paraId="1C8A742E">
      <w:pPr>
        <w:snapToGrid w:val="0"/>
        <w:spacing w:line="360" w:lineRule="auto"/>
        <w:rPr>
          <w:rFonts w:ascii="Times New Roman" w:hAnsi="Times New Roman"/>
          <w:b/>
          <w:kern w:val="0"/>
          <w:sz w:val="24"/>
          <w:highlight w:val="none"/>
        </w:rPr>
      </w:pPr>
    </w:p>
    <w:p w14:paraId="7E68C4CC">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具有独立承担民事责任的能力</w:t>
      </w:r>
      <w:r>
        <w:rPr>
          <w:rFonts w:hint="eastAsia" w:ascii="仿宋" w:hAnsi="仿宋" w:eastAsia="仿宋" w:cs="仿宋"/>
          <w:b/>
          <w:sz w:val="24"/>
          <w:szCs w:val="24"/>
          <w:highlight w:val="none"/>
          <w:lang w:val="en-US" w:eastAsia="zh-CN"/>
        </w:rPr>
        <w:t>的信用承诺书</w:t>
      </w:r>
    </w:p>
    <w:p w14:paraId="4B22F2FF">
      <w:pPr>
        <w:rPr>
          <w:rFonts w:ascii="仿宋" w:hAnsi="仿宋" w:eastAsia="仿宋" w:cs="仿宋"/>
          <w:sz w:val="24"/>
          <w:highlight w:val="none"/>
        </w:rPr>
      </w:pPr>
    </w:p>
    <w:p w14:paraId="1B1DB876">
      <w:pPr>
        <w:rPr>
          <w:rFonts w:ascii="仿宋" w:hAnsi="仿宋" w:eastAsia="仿宋" w:cs="仿宋"/>
          <w:highlight w:val="none"/>
        </w:rPr>
      </w:pPr>
    </w:p>
    <w:p w14:paraId="48249DF5">
      <w:pPr>
        <w:snapToGrid w:val="0"/>
        <w:spacing w:line="360" w:lineRule="auto"/>
        <w:rPr>
          <w:rFonts w:ascii="仿宋" w:hAnsi="仿宋" w:eastAsia="仿宋" w:cs="仿宋"/>
          <w:sz w:val="24"/>
          <w:highlight w:val="none"/>
        </w:rPr>
      </w:pPr>
      <w:r>
        <w:rPr>
          <w:rFonts w:hint="eastAsia" w:ascii="仿宋" w:hAnsi="仿宋" w:eastAsia="仿宋" w:cs="仿宋"/>
          <w:sz w:val="24"/>
          <w:highlight w:val="none"/>
          <w:u w:val="single"/>
        </w:rPr>
        <w:t>采购人名称：</w:t>
      </w:r>
    </w:p>
    <w:p w14:paraId="06C15BC3">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）的政府采购活动，依据磋商文件相关规定，郑重承诺：我公司具有有效的营业执照或事业单位法人证书或自然人身份证明或其他非企业组织证明，证件号为：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5B9D3E1">
      <w:pPr>
        <w:pStyle w:val="65"/>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基本开户行为：</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（账户号码为：</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），具有独立承担民事责任的能力，符合本项目磋商文件规定的供应商资格要求。</w:t>
      </w:r>
    </w:p>
    <w:p w14:paraId="51EA5619">
      <w:pPr>
        <w:pStyle w:val="65"/>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如有虚假或隐瞒，我方愿意承担一切后果，并不再寻求任何旨在减轻或免除法律责任的辩解。</w:t>
      </w:r>
    </w:p>
    <w:p w14:paraId="356C0FEE">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301F57AF">
      <w:pPr>
        <w:ind w:firstLine="480" w:firstLineChars="200"/>
        <w:rPr>
          <w:rFonts w:ascii="仿宋" w:hAnsi="仿宋" w:eastAsia="仿宋" w:cs="仿宋"/>
          <w:sz w:val="24"/>
          <w:highlight w:val="none"/>
        </w:rPr>
      </w:pPr>
    </w:p>
    <w:p w14:paraId="46B75C8F">
      <w:pPr>
        <w:ind w:firstLine="480" w:firstLineChars="200"/>
        <w:rPr>
          <w:rFonts w:ascii="仿宋" w:hAnsi="仿宋" w:eastAsia="仿宋" w:cs="仿宋"/>
          <w:sz w:val="24"/>
          <w:highlight w:val="none"/>
        </w:rPr>
      </w:pPr>
    </w:p>
    <w:p w14:paraId="7CC89BC0">
      <w:pPr>
        <w:ind w:firstLine="480" w:firstLineChars="200"/>
        <w:rPr>
          <w:rFonts w:ascii="仿宋" w:hAnsi="仿宋" w:eastAsia="仿宋" w:cs="仿宋"/>
          <w:sz w:val="24"/>
          <w:highlight w:val="none"/>
        </w:rPr>
      </w:pPr>
    </w:p>
    <w:p w14:paraId="2AC12910">
      <w:pPr>
        <w:ind w:firstLine="480" w:firstLineChars="200"/>
        <w:rPr>
          <w:rFonts w:ascii="仿宋" w:hAnsi="仿宋" w:eastAsia="仿宋" w:cs="仿宋"/>
          <w:sz w:val="24"/>
          <w:highlight w:val="none"/>
        </w:rPr>
      </w:pPr>
    </w:p>
    <w:p w14:paraId="52F68A8E">
      <w:pPr>
        <w:ind w:firstLine="480" w:firstLineChars="200"/>
        <w:rPr>
          <w:rFonts w:ascii="仿宋" w:hAnsi="仿宋" w:eastAsia="仿宋" w:cs="仿宋"/>
          <w:sz w:val="24"/>
          <w:highlight w:val="none"/>
        </w:rPr>
      </w:pPr>
    </w:p>
    <w:p w14:paraId="1C524149">
      <w:pPr>
        <w:ind w:firstLine="3369" w:firstLineChars="1404"/>
        <w:rPr>
          <w:rFonts w:ascii="仿宋" w:hAnsi="仿宋" w:eastAsia="仿宋" w:cs="仿宋"/>
          <w:sz w:val="24"/>
          <w:highlight w:val="none"/>
        </w:rPr>
      </w:pPr>
    </w:p>
    <w:p w14:paraId="7BDAAC88">
      <w:pPr>
        <w:ind w:firstLine="3369" w:firstLineChars="1404"/>
        <w:rPr>
          <w:rFonts w:ascii="仿宋" w:hAnsi="仿宋" w:eastAsia="仿宋" w:cs="仿宋"/>
          <w:sz w:val="24"/>
          <w:highlight w:val="none"/>
        </w:rPr>
      </w:pPr>
    </w:p>
    <w:p w14:paraId="71AE1870">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030F2D23">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14:paraId="652A0732">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2733E587">
      <w:pPr>
        <w:pStyle w:val="12"/>
        <w:rPr>
          <w:highlight w:val="none"/>
        </w:rPr>
      </w:pPr>
    </w:p>
    <w:p w14:paraId="42EB29BE">
      <w:pPr>
        <w:spacing w:line="480" w:lineRule="exact"/>
        <w:rPr>
          <w:rFonts w:ascii="仿宋" w:hAnsi="仿宋" w:eastAsia="仿宋" w:cs="仿宋"/>
          <w:b/>
          <w:sz w:val="24"/>
          <w:highlight w:val="none"/>
        </w:rPr>
      </w:pPr>
      <w:r>
        <w:rPr>
          <w:rFonts w:hint="eastAsia" w:ascii="仿宋" w:hAnsi="仿宋" w:eastAsia="仿宋" w:cs="仿宋"/>
          <w:sz w:val="24"/>
          <w:highlight w:val="none"/>
        </w:rPr>
        <w:br w:type="page"/>
      </w:r>
    </w:p>
    <w:p w14:paraId="6FE90678">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rPr>
        <w:t>2.具有良好的商业信誉和健全的财务会计制度</w:t>
      </w:r>
      <w:r>
        <w:rPr>
          <w:rFonts w:hint="eastAsia" w:ascii="仿宋" w:hAnsi="仿宋" w:eastAsia="仿宋" w:cs="仿宋"/>
          <w:b/>
          <w:sz w:val="24"/>
          <w:szCs w:val="24"/>
          <w:highlight w:val="none"/>
          <w:lang w:val="en-US" w:eastAsia="zh-CN"/>
        </w:rPr>
        <w:t>的信用承诺书</w:t>
      </w:r>
    </w:p>
    <w:p w14:paraId="749BA85E">
      <w:pPr>
        <w:snapToGrid w:val="0"/>
        <w:spacing w:line="360" w:lineRule="auto"/>
        <w:rPr>
          <w:rFonts w:ascii="仿宋" w:hAnsi="仿宋" w:eastAsia="仿宋" w:cs="仿宋"/>
          <w:b/>
          <w:kern w:val="0"/>
          <w:sz w:val="24"/>
          <w:highlight w:val="none"/>
        </w:rPr>
      </w:pPr>
    </w:p>
    <w:p w14:paraId="46EEDE43">
      <w:pPr>
        <w:snapToGrid w:val="0"/>
        <w:spacing w:line="360" w:lineRule="auto"/>
        <w:rPr>
          <w:rFonts w:ascii="仿宋" w:hAnsi="仿宋" w:eastAsia="仿宋" w:cs="仿宋"/>
          <w:b/>
          <w:kern w:val="0"/>
          <w:sz w:val="24"/>
          <w:highlight w:val="none"/>
        </w:rPr>
      </w:pPr>
    </w:p>
    <w:p w14:paraId="6CF64A85">
      <w:pPr>
        <w:jc w:val="center"/>
        <w:rPr>
          <w:rFonts w:ascii="仿宋" w:hAnsi="仿宋" w:eastAsia="仿宋" w:cs="仿宋"/>
          <w:b/>
          <w:sz w:val="24"/>
          <w:highlight w:val="none"/>
        </w:rPr>
      </w:pPr>
      <w:r>
        <w:rPr>
          <w:rFonts w:hint="eastAsia" w:ascii="仿宋" w:hAnsi="仿宋" w:eastAsia="仿宋" w:cs="仿宋"/>
          <w:b/>
          <w:sz w:val="24"/>
          <w:highlight w:val="none"/>
        </w:rPr>
        <w:t>供应商具有良好的商业信誉和健全的财务会计制度</w:t>
      </w:r>
      <w:r>
        <w:rPr>
          <w:rFonts w:hint="eastAsia" w:ascii="仿宋" w:hAnsi="仿宋" w:eastAsia="仿宋" w:cs="仿宋"/>
          <w:b/>
          <w:sz w:val="24"/>
          <w:szCs w:val="24"/>
          <w:highlight w:val="none"/>
          <w:lang w:val="en-US" w:eastAsia="zh-CN"/>
        </w:rPr>
        <w:t>的信用承诺书</w:t>
      </w:r>
    </w:p>
    <w:p w14:paraId="65CBBBA0">
      <w:pPr>
        <w:rPr>
          <w:rFonts w:ascii="仿宋" w:hAnsi="仿宋" w:eastAsia="仿宋" w:cs="仿宋"/>
          <w:sz w:val="24"/>
          <w:highlight w:val="none"/>
        </w:rPr>
      </w:pPr>
    </w:p>
    <w:p w14:paraId="7C90F104">
      <w:pPr>
        <w:rPr>
          <w:rFonts w:ascii="仿宋" w:hAnsi="仿宋" w:eastAsia="仿宋" w:cs="仿宋"/>
          <w:sz w:val="24"/>
          <w:highlight w:val="none"/>
          <w:u w:val="single"/>
        </w:rPr>
      </w:pPr>
    </w:p>
    <w:p w14:paraId="7536A32A">
      <w:pPr>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w:t>
      </w:r>
    </w:p>
    <w:p w14:paraId="19F14ACD">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）的政府采购活动，依据磋商文件相关规定，郑重承诺：我公司具有有效的具备审计资格的第三方出具的202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年度</w:t>
      </w:r>
      <w:r>
        <w:rPr>
          <w:rFonts w:hint="eastAsia" w:ascii="仿宋" w:hAnsi="仿宋" w:eastAsia="仿宋" w:cs="仿宋"/>
          <w:sz w:val="24"/>
          <w:highlight w:val="none"/>
          <w:lang w:val="en-US" w:eastAsia="zh-CN"/>
        </w:rPr>
        <w:t>或2025年度</w:t>
      </w:r>
      <w:r>
        <w:rPr>
          <w:rFonts w:hint="eastAsia" w:ascii="仿宋" w:hAnsi="仿宋" w:eastAsia="仿宋" w:cs="仿宋"/>
          <w:sz w:val="24"/>
          <w:highlight w:val="none"/>
        </w:rPr>
        <w:t>合格的财务审计报告或基本户开户银行出具的无不良记录的资信证明等文件，具有良好的商业信誉和健全的财务会计制度，符合本项目磋商文件规定的供应商资格要求。</w:t>
      </w:r>
    </w:p>
    <w:p w14:paraId="7D84FD68">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2775B831">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64444B5E">
      <w:pPr>
        <w:ind w:firstLine="480" w:firstLineChars="200"/>
        <w:rPr>
          <w:rFonts w:ascii="仿宋" w:hAnsi="仿宋" w:eastAsia="仿宋" w:cs="仿宋"/>
          <w:sz w:val="24"/>
          <w:highlight w:val="none"/>
        </w:rPr>
      </w:pPr>
    </w:p>
    <w:p w14:paraId="2B0C9A57">
      <w:pPr>
        <w:ind w:firstLine="480" w:firstLineChars="200"/>
        <w:rPr>
          <w:rFonts w:ascii="仿宋" w:hAnsi="仿宋" w:eastAsia="仿宋" w:cs="仿宋"/>
          <w:sz w:val="24"/>
          <w:highlight w:val="none"/>
        </w:rPr>
      </w:pPr>
    </w:p>
    <w:p w14:paraId="06A3D696">
      <w:pPr>
        <w:ind w:firstLine="480" w:firstLineChars="200"/>
        <w:rPr>
          <w:rFonts w:ascii="仿宋" w:hAnsi="仿宋" w:eastAsia="仿宋" w:cs="仿宋"/>
          <w:sz w:val="24"/>
          <w:highlight w:val="none"/>
        </w:rPr>
      </w:pPr>
    </w:p>
    <w:p w14:paraId="605C874C">
      <w:pPr>
        <w:ind w:firstLine="480" w:firstLineChars="200"/>
        <w:rPr>
          <w:rFonts w:ascii="仿宋" w:hAnsi="仿宋" w:eastAsia="仿宋" w:cs="仿宋"/>
          <w:sz w:val="24"/>
          <w:highlight w:val="none"/>
        </w:rPr>
      </w:pPr>
    </w:p>
    <w:p w14:paraId="0F7DA8E7">
      <w:pPr>
        <w:ind w:firstLine="480" w:firstLineChars="200"/>
        <w:rPr>
          <w:rFonts w:ascii="仿宋" w:hAnsi="仿宋" w:eastAsia="仿宋" w:cs="仿宋"/>
          <w:sz w:val="24"/>
          <w:highlight w:val="none"/>
        </w:rPr>
      </w:pPr>
    </w:p>
    <w:p w14:paraId="06CDE9CF">
      <w:pPr>
        <w:ind w:firstLine="3369" w:firstLineChars="1404"/>
        <w:rPr>
          <w:rFonts w:ascii="仿宋" w:hAnsi="仿宋" w:eastAsia="仿宋" w:cs="仿宋"/>
          <w:sz w:val="24"/>
          <w:highlight w:val="none"/>
        </w:rPr>
      </w:pPr>
    </w:p>
    <w:p w14:paraId="4CBE6B92">
      <w:pPr>
        <w:ind w:firstLine="3369" w:firstLineChars="1404"/>
        <w:rPr>
          <w:rFonts w:ascii="仿宋" w:hAnsi="仿宋" w:eastAsia="仿宋" w:cs="仿宋"/>
          <w:sz w:val="24"/>
          <w:highlight w:val="none"/>
        </w:rPr>
      </w:pPr>
    </w:p>
    <w:p w14:paraId="7CC2DED8">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54D60D57">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4DD1934E">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10F5FC63">
      <w:pPr>
        <w:snapToGrid w:val="0"/>
        <w:spacing w:line="360" w:lineRule="auto"/>
        <w:rPr>
          <w:rFonts w:ascii="仿宋" w:hAnsi="仿宋" w:eastAsia="仿宋" w:cs="仿宋"/>
          <w:b/>
          <w:kern w:val="0"/>
          <w:sz w:val="24"/>
          <w:highlight w:val="none"/>
        </w:rPr>
      </w:pPr>
    </w:p>
    <w:p w14:paraId="6E2661DB">
      <w:pPr>
        <w:snapToGrid w:val="0"/>
        <w:spacing w:line="360" w:lineRule="auto"/>
        <w:rPr>
          <w:rFonts w:ascii="Times New Roman" w:hAnsi="Times New Roman"/>
          <w:b/>
          <w:kern w:val="0"/>
          <w:sz w:val="24"/>
          <w:highlight w:val="none"/>
        </w:rPr>
      </w:pPr>
    </w:p>
    <w:p w14:paraId="49682BFB">
      <w:pPr>
        <w:widowControl/>
        <w:snapToGrid w:val="0"/>
        <w:spacing w:line="360" w:lineRule="auto"/>
        <w:rPr>
          <w:rFonts w:ascii="Times New Roman" w:hAnsi="Times New Roman"/>
          <w:b/>
          <w:kern w:val="0"/>
          <w:szCs w:val="21"/>
          <w:highlight w:val="none"/>
        </w:rPr>
      </w:pPr>
    </w:p>
    <w:p w14:paraId="5D306EE2">
      <w:pPr>
        <w:pStyle w:val="22"/>
        <w:rPr>
          <w:rFonts w:ascii="Times New Roman" w:hAnsi="Times New Roman" w:cs="Times New Roman"/>
          <w:b/>
          <w:highlight w:val="none"/>
        </w:rPr>
      </w:pPr>
    </w:p>
    <w:p w14:paraId="7099D2A0">
      <w:pPr>
        <w:widowControl/>
        <w:snapToGrid w:val="0"/>
        <w:spacing w:line="360" w:lineRule="auto"/>
        <w:rPr>
          <w:rFonts w:ascii="Times New Roman" w:hAnsi="Times New Roman"/>
          <w:b/>
          <w:kern w:val="0"/>
          <w:szCs w:val="21"/>
          <w:highlight w:val="none"/>
        </w:rPr>
      </w:pPr>
    </w:p>
    <w:p w14:paraId="4098A509">
      <w:pPr>
        <w:widowControl/>
        <w:snapToGrid w:val="0"/>
        <w:spacing w:line="360" w:lineRule="auto"/>
        <w:rPr>
          <w:rFonts w:ascii="Times New Roman" w:hAnsi="Times New Roman"/>
          <w:b/>
          <w:kern w:val="0"/>
          <w:szCs w:val="21"/>
          <w:highlight w:val="none"/>
        </w:rPr>
      </w:pPr>
    </w:p>
    <w:p w14:paraId="019F38CE">
      <w:pPr>
        <w:pStyle w:val="12"/>
        <w:rPr>
          <w:rFonts w:ascii="Times New Roman" w:hAnsi="Times New Roman"/>
          <w:b/>
          <w:kern w:val="0"/>
          <w:szCs w:val="21"/>
          <w:highlight w:val="none"/>
        </w:rPr>
      </w:pPr>
    </w:p>
    <w:p w14:paraId="10C9D087">
      <w:pPr>
        <w:rPr>
          <w:rFonts w:ascii="Times New Roman" w:hAnsi="Times New Roman"/>
          <w:b/>
          <w:kern w:val="0"/>
          <w:szCs w:val="21"/>
          <w:highlight w:val="none"/>
        </w:rPr>
      </w:pPr>
    </w:p>
    <w:p w14:paraId="7DA297BC">
      <w:pPr>
        <w:rPr>
          <w:rFonts w:ascii="仿宋" w:hAnsi="仿宋" w:eastAsia="仿宋" w:cs="仿宋"/>
          <w:b/>
          <w:kern w:val="0"/>
          <w:sz w:val="24"/>
          <w:highlight w:val="none"/>
        </w:rPr>
      </w:pPr>
      <w:r>
        <w:rPr>
          <w:rFonts w:hint="eastAsia" w:ascii="仿宋" w:hAnsi="仿宋" w:eastAsia="仿宋" w:cs="仿宋"/>
          <w:b/>
          <w:kern w:val="0"/>
          <w:sz w:val="24"/>
          <w:highlight w:val="none"/>
        </w:rPr>
        <w:br w:type="page"/>
      </w:r>
    </w:p>
    <w:p w14:paraId="1D4DD0CD">
      <w:pPr>
        <w:widowControl/>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lang w:val="en-US" w:eastAsia="zh-CN"/>
        </w:rPr>
        <w:t>3</w:t>
      </w:r>
      <w:r>
        <w:rPr>
          <w:rFonts w:hint="eastAsia" w:ascii="仿宋" w:hAnsi="仿宋" w:eastAsia="仿宋" w:cs="仿宋"/>
          <w:b/>
          <w:kern w:val="0"/>
          <w:sz w:val="24"/>
          <w:highlight w:val="none"/>
        </w:rPr>
        <w:t>. 具有履行合同所必需的设备和专业技术能力</w:t>
      </w:r>
      <w:r>
        <w:rPr>
          <w:rFonts w:hint="eastAsia" w:ascii="仿宋" w:hAnsi="仿宋" w:eastAsia="仿宋" w:cs="仿宋"/>
          <w:b/>
          <w:sz w:val="24"/>
          <w:szCs w:val="24"/>
          <w:highlight w:val="none"/>
          <w:lang w:val="en-US" w:eastAsia="zh-CN"/>
        </w:rPr>
        <w:t>的信用承诺书</w:t>
      </w:r>
    </w:p>
    <w:p w14:paraId="59BEC092">
      <w:pPr>
        <w:jc w:val="center"/>
        <w:rPr>
          <w:rFonts w:ascii="仿宋" w:hAnsi="仿宋" w:eastAsia="仿宋" w:cs="仿宋"/>
          <w:b/>
          <w:sz w:val="24"/>
          <w:highlight w:val="none"/>
        </w:rPr>
      </w:pPr>
    </w:p>
    <w:p w14:paraId="4CC04EE3">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具有履行合同所必需的设备和专业技术能力</w:t>
      </w:r>
      <w:r>
        <w:rPr>
          <w:rFonts w:hint="eastAsia" w:ascii="仿宋" w:hAnsi="仿宋" w:eastAsia="仿宋" w:cs="仿宋"/>
          <w:b/>
          <w:sz w:val="24"/>
          <w:szCs w:val="24"/>
          <w:highlight w:val="none"/>
          <w:lang w:val="en-US" w:eastAsia="zh-CN"/>
        </w:rPr>
        <w:t>的信用承诺书</w:t>
      </w:r>
    </w:p>
    <w:p w14:paraId="74CB5FC8">
      <w:pPr>
        <w:rPr>
          <w:rFonts w:ascii="仿宋" w:hAnsi="仿宋" w:eastAsia="仿宋" w:cs="仿宋"/>
          <w:sz w:val="24"/>
          <w:highlight w:val="none"/>
        </w:rPr>
      </w:pPr>
    </w:p>
    <w:p w14:paraId="268785E0">
      <w:pPr>
        <w:rPr>
          <w:rFonts w:ascii="仿宋" w:hAnsi="仿宋" w:eastAsia="仿宋" w:cs="仿宋"/>
          <w:sz w:val="24"/>
          <w:highlight w:val="none"/>
          <w:u w:val="single"/>
        </w:rPr>
      </w:pPr>
    </w:p>
    <w:p w14:paraId="58E43009">
      <w:pPr>
        <w:rPr>
          <w:rFonts w:ascii="仿宋" w:hAnsi="仿宋" w:eastAsia="仿宋" w:cs="仿宋"/>
          <w:sz w:val="24"/>
          <w:highlight w:val="none"/>
          <w:u w:val="single"/>
        </w:rPr>
      </w:pPr>
      <w:r>
        <w:rPr>
          <w:rFonts w:hint="eastAsia" w:ascii="仿宋" w:hAnsi="仿宋" w:eastAsia="仿宋" w:cs="仿宋"/>
          <w:sz w:val="24"/>
          <w:highlight w:val="none"/>
          <w:u w:val="single"/>
        </w:rPr>
        <w:t>采购人名称：</w:t>
      </w:r>
    </w:p>
    <w:p w14:paraId="1305E3B9">
      <w:pPr>
        <w:snapToGrid w:val="0"/>
        <w:spacing w:line="480" w:lineRule="exact"/>
        <w:rPr>
          <w:rFonts w:ascii="仿宋" w:hAnsi="仿宋" w:eastAsia="仿宋" w:cs="仿宋"/>
          <w:sz w:val="24"/>
          <w:highlight w:val="none"/>
        </w:rPr>
      </w:pPr>
      <w:r>
        <w:rPr>
          <w:rFonts w:hint="eastAsia" w:ascii="仿宋" w:hAnsi="仿宋" w:eastAsia="仿宋" w:cs="仿宋"/>
          <w:sz w:val="24"/>
          <w:highlight w:val="none"/>
        </w:rPr>
        <w:t xml:space="preserve">     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）的政府采购活动，依据磋商文件相关规定，郑重承诺：我公司具有履行合同所必需的设备和专业技术能力，符合本项目磋商文件规定的供应商资格要求。</w:t>
      </w:r>
    </w:p>
    <w:p w14:paraId="344C9D50">
      <w:pPr>
        <w:snapToGrid w:val="0"/>
        <w:spacing w:line="480" w:lineRule="exact"/>
        <w:rPr>
          <w:rFonts w:ascii="仿宋" w:hAnsi="仿宋" w:eastAsia="仿宋" w:cs="仿宋"/>
          <w:sz w:val="24"/>
          <w:highlight w:val="none"/>
        </w:rPr>
      </w:pPr>
      <w:r>
        <w:rPr>
          <w:rFonts w:hint="eastAsia" w:ascii="仿宋" w:hAnsi="仿宋" w:eastAsia="仿宋" w:cs="仿宋"/>
          <w:sz w:val="24"/>
          <w:highlight w:val="none"/>
        </w:rPr>
        <w:t xml:space="preserve">     如上述承诺不真实，愿意按照政府采购有关法律法规的规定接受处罚。</w:t>
      </w:r>
    </w:p>
    <w:p w14:paraId="648C46F6">
      <w:pPr>
        <w:snapToGrid w:val="0"/>
        <w:spacing w:line="480"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特此承诺</w:t>
      </w:r>
    </w:p>
    <w:p w14:paraId="58A1E74C">
      <w:pPr>
        <w:ind w:firstLine="3369" w:firstLineChars="1404"/>
        <w:rPr>
          <w:rFonts w:ascii="仿宋" w:hAnsi="仿宋" w:eastAsia="仿宋" w:cs="仿宋"/>
          <w:sz w:val="24"/>
          <w:highlight w:val="none"/>
        </w:rPr>
      </w:pPr>
    </w:p>
    <w:p w14:paraId="384315BC">
      <w:pPr>
        <w:ind w:firstLine="3369" w:firstLineChars="1404"/>
        <w:rPr>
          <w:rFonts w:ascii="仿宋" w:hAnsi="仿宋" w:eastAsia="仿宋" w:cs="仿宋"/>
          <w:sz w:val="24"/>
          <w:highlight w:val="none"/>
        </w:rPr>
      </w:pPr>
    </w:p>
    <w:p w14:paraId="6E50EB42">
      <w:pPr>
        <w:ind w:firstLine="3369" w:firstLineChars="1404"/>
        <w:rPr>
          <w:rFonts w:ascii="仿宋" w:hAnsi="仿宋" w:eastAsia="仿宋" w:cs="仿宋"/>
          <w:sz w:val="24"/>
          <w:highlight w:val="none"/>
        </w:rPr>
      </w:pPr>
    </w:p>
    <w:p w14:paraId="2013CE12">
      <w:pPr>
        <w:ind w:firstLine="3369" w:firstLineChars="1404"/>
        <w:rPr>
          <w:rFonts w:ascii="仿宋" w:hAnsi="仿宋" w:eastAsia="仿宋" w:cs="仿宋"/>
          <w:sz w:val="24"/>
          <w:highlight w:val="none"/>
        </w:rPr>
      </w:pPr>
    </w:p>
    <w:p w14:paraId="15DCAF5A">
      <w:pPr>
        <w:ind w:firstLine="3369" w:firstLineChars="1404"/>
        <w:rPr>
          <w:rFonts w:ascii="仿宋" w:hAnsi="仿宋" w:eastAsia="仿宋" w:cs="仿宋"/>
          <w:sz w:val="24"/>
          <w:highlight w:val="none"/>
        </w:rPr>
      </w:pPr>
    </w:p>
    <w:p w14:paraId="1165A2A0">
      <w:pPr>
        <w:ind w:firstLine="3369" w:firstLineChars="1404"/>
        <w:rPr>
          <w:rFonts w:ascii="仿宋" w:hAnsi="仿宋" w:eastAsia="仿宋" w:cs="仿宋"/>
          <w:sz w:val="24"/>
          <w:highlight w:val="none"/>
        </w:rPr>
      </w:pPr>
    </w:p>
    <w:p w14:paraId="5565D832">
      <w:pPr>
        <w:ind w:firstLine="3369" w:firstLineChars="1404"/>
        <w:rPr>
          <w:rFonts w:ascii="仿宋" w:hAnsi="仿宋" w:eastAsia="仿宋" w:cs="仿宋"/>
          <w:sz w:val="24"/>
          <w:highlight w:val="none"/>
        </w:rPr>
      </w:pPr>
    </w:p>
    <w:p w14:paraId="4BBB536B">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166C5E2">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0012879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05E0F53D">
      <w:pPr>
        <w:widowControl/>
        <w:snapToGrid w:val="0"/>
        <w:spacing w:line="360" w:lineRule="auto"/>
        <w:rPr>
          <w:rFonts w:ascii="Times New Roman" w:hAnsi="Times New Roman"/>
          <w:szCs w:val="21"/>
          <w:highlight w:val="none"/>
        </w:rPr>
      </w:pPr>
    </w:p>
    <w:p w14:paraId="0A4E92A5">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lang w:val="en-US" w:eastAsia="zh-CN"/>
        </w:rPr>
        <w:br w:type="page"/>
      </w:r>
      <w:r>
        <w:rPr>
          <w:rFonts w:hint="eastAsia" w:ascii="仿宋" w:hAnsi="仿宋" w:eastAsia="仿宋" w:cs="仿宋"/>
          <w:b/>
          <w:kern w:val="0"/>
          <w:sz w:val="24"/>
          <w:highlight w:val="none"/>
          <w:lang w:val="en-US" w:eastAsia="zh-CN"/>
        </w:rPr>
        <w:t>4</w:t>
      </w:r>
      <w:r>
        <w:rPr>
          <w:rFonts w:hint="eastAsia" w:ascii="仿宋" w:hAnsi="仿宋" w:eastAsia="仿宋" w:cs="仿宋"/>
          <w:b/>
          <w:kern w:val="0"/>
          <w:sz w:val="24"/>
          <w:highlight w:val="none"/>
        </w:rPr>
        <w:t>.有依法缴纳税收和社会保障资金的良好记录</w:t>
      </w:r>
      <w:r>
        <w:rPr>
          <w:rFonts w:hint="eastAsia" w:ascii="仿宋" w:hAnsi="仿宋" w:eastAsia="仿宋" w:cs="仿宋"/>
          <w:b/>
          <w:sz w:val="24"/>
          <w:szCs w:val="24"/>
          <w:highlight w:val="none"/>
          <w:lang w:val="en-US" w:eastAsia="zh-CN"/>
        </w:rPr>
        <w:t>的信用承诺书</w:t>
      </w:r>
    </w:p>
    <w:p w14:paraId="3C946460">
      <w:pPr>
        <w:snapToGrid w:val="0"/>
        <w:spacing w:line="360" w:lineRule="auto"/>
        <w:rPr>
          <w:rFonts w:ascii="仿宋" w:hAnsi="仿宋" w:eastAsia="仿宋" w:cs="仿宋"/>
          <w:b/>
          <w:kern w:val="0"/>
          <w:sz w:val="24"/>
          <w:highlight w:val="none"/>
        </w:rPr>
      </w:pPr>
    </w:p>
    <w:p w14:paraId="4A13E1AB">
      <w:pPr>
        <w:snapToGrid w:val="0"/>
        <w:spacing w:line="360" w:lineRule="auto"/>
        <w:rPr>
          <w:rFonts w:ascii="仿宋" w:hAnsi="仿宋" w:eastAsia="仿宋" w:cs="仿宋"/>
          <w:b/>
          <w:kern w:val="0"/>
          <w:sz w:val="24"/>
          <w:highlight w:val="none"/>
        </w:rPr>
      </w:pPr>
    </w:p>
    <w:p w14:paraId="442D5DBB">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有依法缴纳税收和社会保障资金的良好记录</w:t>
      </w:r>
      <w:r>
        <w:rPr>
          <w:rFonts w:hint="eastAsia" w:ascii="仿宋" w:hAnsi="仿宋" w:eastAsia="仿宋" w:cs="仿宋"/>
          <w:b/>
          <w:sz w:val="24"/>
          <w:szCs w:val="24"/>
          <w:highlight w:val="none"/>
          <w:lang w:val="en-US" w:eastAsia="zh-CN"/>
        </w:rPr>
        <w:t>的信用承诺书</w:t>
      </w:r>
    </w:p>
    <w:p w14:paraId="68583A61">
      <w:pPr>
        <w:rPr>
          <w:rFonts w:ascii="仿宋" w:hAnsi="仿宋" w:eastAsia="仿宋" w:cs="仿宋"/>
          <w:sz w:val="24"/>
          <w:highlight w:val="none"/>
        </w:rPr>
      </w:pPr>
    </w:p>
    <w:p w14:paraId="6EDB0209">
      <w:pPr>
        <w:rPr>
          <w:rFonts w:ascii="仿宋" w:hAnsi="仿宋" w:eastAsia="仿宋" w:cs="仿宋"/>
          <w:sz w:val="24"/>
          <w:highlight w:val="none"/>
          <w:u w:val="single"/>
        </w:rPr>
      </w:pPr>
    </w:p>
    <w:p w14:paraId="180FE028">
      <w:pPr>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w:t>
      </w:r>
    </w:p>
    <w:p w14:paraId="588D4560">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31D2449C">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5EE61C8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534CB590">
      <w:pPr>
        <w:ind w:firstLine="480" w:firstLineChars="200"/>
        <w:rPr>
          <w:rFonts w:ascii="仿宋" w:hAnsi="仿宋" w:eastAsia="仿宋" w:cs="仿宋"/>
          <w:sz w:val="24"/>
          <w:highlight w:val="none"/>
        </w:rPr>
      </w:pPr>
    </w:p>
    <w:p w14:paraId="46305800">
      <w:pPr>
        <w:ind w:firstLine="480" w:firstLineChars="200"/>
        <w:rPr>
          <w:rFonts w:ascii="仿宋" w:hAnsi="仿宋" w:eastAsia="仿宋" w:cs="仿宋"/>
          <w:sz w:val="24"/>
          <w:highlight w:val="none"/>
        </w:rPr>
      </w:pPr>
    </w:p>
    <w:p w14:paraId="2798CFCF">
      <w:pPr>
        <w:ind w:firstLine="480" w:firstLineChars="200"/>
        <w:rPr>
          <w:rFonts w:ascii="仿宋" w:hAnsi="仿宋" w:eastAsia="仿宋" w:cs="仿宋"/>
          <w:sz w:val="24"/>
          <w:highlight w:val="none"/>
        </w:rPr>
      </w:pPr>
    </w:p>
    <w:p w14:paraId="086BBE14">
      <w:pPr>
        <w:ind w:firstLine="480" w:firstLineChars="200"/>
        <w:rPr>
          <w:rFonts w:ascii="仿宋" w:hAnsi="仿宋" w:eastAsia="仿宋" w:cs="仿宋"/>
          <w:sz w:val="24"/>
          <w:highlight w:val="none"/>
        </w:rPr>
      </w:pPr>
    </w:p>
    <w:p w14:paraId="06E519C3">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75D7B9A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1F087B0F">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43304624">
      <w:pPr>
        <w:snapToGrid w:val="0"/>
        <w:spacing w:line="360" w:lineRule="auto"/>
        <w:rPr>
          <w:rFonts w:ascii="仿宋" w:hAnsi="仿宋" w:eastAsia="仿宋" w:cs="仿宋"/>
          <w:b/>
          <w:kern w:val="0"/>
          <w:sz w:val="24"/>
          <w:highlight w:val="none"/>
        </w:rPr>
      </w:pPr>
    </w:p>
    <w:p w14:paraId="15A81934">
      <w:pPr>
        <w:snapToGrid w:val="0"/>
        <w:spacing w:line="360" w:lineRule="auto"/>
        <w:rPr>
          <w:rFonts w:hint="eastAsia" w:ascii="仿宋" w:hAnsi="仿宋" w:eastAsia="仿宋" w:cs="仿宋"/>
          <w:b/>
          <w:kern w:val="0"/>
          <w:sz w:val="24"/>
          <w:highlight w:val="none"/>
        </w:rPr>
      </w:pPr>
    </w:p>
    <w:p w14:paraId="72BC9F29">
      <w:pPr>
        <w:snapToGrid w:val="0"/>
        <w:spacing w:line="360" w:lineRule="auto"/>
        <w:rPr>
          <w:rFonts w:hint="eastAsia" w:ascii="仿宋" w:hAnsi="仿宋" w:eastAsia="仿宋" w:cs="仿宋"/>
          <w:b/>
          <w:kern w:val="0"/>
          <w:sz w:val="24"/>
          <w:highlight w:val="none"/>
        </w:rPr>
      </w:pPr>
    </w:p>
    <w:p w14:paraId="117EB97F">
      <w:pPr>
        <w:snapToGrid w:val="0"/>
        <w:spacing w:line="360" w:lineRule="auto"/>
        <w:rPr>
          <w:rFonts w:hint="eastAsia" w:ascii="仿宋" w:hAnsi="仿宋" w:eastAsia="仿宋" w:cs="仿宋"/>
          <w:b/>
          <w:kern w:val="0"/>
          <w:sz w:val="24"/>
          <w:highlight w:val="none"/>
        </w:rPr>
      </w:pPr>
    </w:p>
    <w:p w14:paraId="736EEBB3">
      <w:pPr>
        <w:snapToGrid w:val="0"/>
        <w:spacing w:line="360" w:lineRule="auto"/>
        <w:rPr>
          <w:rFonts w:hint="eastAsia" w:ascii="仿宋" w:hAnsi="仿宋" w:eastAsia="仿宋" w:cs="仿宋"/>
          <w:b/>
          <w:kern w:val="0"/>
          <w:sz w:val="24"/>
          <w:highlight w:val="none"/>
        </w:rPr>
      </w:pPr>
    </w:p>
    <w:p w14:paraId="65892EB6">
      <w:pPr>
        <w:snapToGrid w:val="0"/>
        <w:spacing w:line="360" w:lineRule="auto"/>
        <w:rPr>
          <w:rFonts w:hint="eastAsia" w:ascii="仿宋" w:hAnsi="仿宋" w:eastAsia="仿宋" w:cs="仿宋"/>
          <w:b/>
          <w:kern w:val="0"/>
          <w:sz w:val="24"/>
          <w:highlight w:val="none"/>
        </w:rPr>
      </w:pPr>
    </w:p>
    <w:p w14:paraId="1DD82E4E">
      <w:pPr>
        <w:snapToGrid w:val="0"/>
        <w:spacing w:line="360" w:lineRule="auto"/>
        <w:rPr>
          <w:rFonts w:hint="eastAsia" w:ascii="仿宋" w:hAnsi="仿宋" w:eastAsia="仿宋" w:cs="仿宋"/>
          <w:b/>
          <w:kern w:val="0"/>
          <w:sz w:val="24"/>
          <w:highlight w:val="none"/>
        </w:rPr>
      </w:pPr>
    </w:p>
    <w:p w14:paraId="1A888CA7">
      <w:pPr>
        <w:snapToGrid w:val="0"/>
        <w:spacing w:line="360" w:lineRule="auto"/>
        <w:rPr>
          <w:rFonts w:hint="eastAsia" w:ascii="仿宋" w:hAnsi="仿宋" w:eastAsia="仿宋" w:cs="仿宋"/>
          <w:b/>
          <w:kern w:val="0"/>
          <w:sz w:val="24"/>
          <w:highlight w:val="none"/>
        </w:rPr>
      </w:pPr>
    </w:p>
    <w:p w14:paraId="080882BC">
      <w:pPr>
        <w:snapToGrid w:val="0"/>
        <w:spacing w:line="360" w:lineRule="auto"/>
        <w:rPr>
          <w:rFonts w:hint="eastAsia" w:ascii="仿宋" w:hAnsi="仿宋" w:eastAsia="仿宋" w:cs="仿宋"/>
          <w:b/>
          <w:kern w:val="0"/>
          <w:sz w:val="24"/>
          <w:highlight w:val="none"/>
        </w:rPr>
      </w:pPr>
    </w:p>
    <w:p w14:paraId="73B5D4D7">
      <w:pPr>
        <w:snapToGrid w:val="0"/>
        <w:spacing w:line="360" w:lineRule="auto"/>
        <w:rPr>
          <w:rFonts w:hint="eastAsia" w:ascii="仿宋" w:hAnsi="仿宋" w:eastAsia="仿宋" w:cs="仿宋"/>
          <w:b/>
          <w:kern w:val="0"/>
          <w:sz w:val="24"/>
          <w:highlight w:val="none"/>
        </w:rPr>
      </w:pPr>
    </w:p>
    <w:p w14:paraId="77BE48CF">
      <w:pPr>
        <w:snapToGrid w:val="0"/>
        <w:spacing w:line="360" w:lineRule="auto"/>
        <w:rPr>
          <w:rFonts w:hint="eastAsia" w:ascii="仿宋" w:hAnsi="仿宋" w:eastAsia="仿宋" w:cs="仿宋"/>
          <w:b/>
          <w:kern w:val="0"/>
          <w:sz w:val="24"/>
          <w:highlight w:val="none"/>
        </w:rPr>
      </w:pPr>
    </w:p>
    <w:p w14:paraId="15B35734">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rPr>
        <w:t>5．参加政府采购活动前三年内，在经营活动中没有重大违法记录</w:t>
      </w:r>
      <w:r>
        <w:rPr>
          <w:rFonts w:hint="eastAsia" w:ascii="仿宋" w:hAnsi="仿宋" w:eastAsia="仿宋" w:cs="仿宋"/>
          <w:b/>
          <w:sz w:val="24"/>
          <w:szCs w:val="24"/>
          <w:highlight w:val="none"/>
          <w:lang w:val="en-US" w:eastAsia="zh-CN"/>
        </w:rPr>
        <w:t>的信用承诺书</w:t>
      </w:r>
    </w:p>
    <w:p w14:paraId="5FCF3D2E">
      <w:pPr>
        <w:snapToGrid w:val="0"/>
        <w:spacing w:line="360" w:lineRule="auto"/>
        <w:rPr>
          <w:rFonts w:ascii="仿宋" w:hAnsi="仿宋" w:eastAsia="仿宋" w:cs="仿宋"/>
          <w:b/>
          <w:kern w:val="0"/>
          <w:sz w:val="24"/>
          <w:highlight w:val="none"/>
        </w:rPr>
      </w:pPr>
    </w:p>
    <w:p w14:paraId="0784FF51">
      <w:pPr>
        <w:snapToGrid w:val="0"/>
        <w:spacing w:line="360" w:lineRule="auto"/>
        <w:rPr>
          <w:rFonts w:ascii="仿宋" w:hAnsi="仿宋" w:eastAsia="仿宋" w:cs="仿宋"/>
          <w:b/>
          <w:kern w:val="0"/>
          <w:sz w:val="24"/>
          <w:highlight w:val="none"/>
        </w:rPr>
      </w:pPr>
    </w:p>
    <w:p w14:paraId="67865904">
      <w:pPr>
        <w:spacing w:line="360" w:lineRule="auto"/>
        <w:jc w:val="center"/>
        <w:rPr>
          <w:rFonts w:ascii="仿宋" w:hAnsi="仿宋" w:eastAsia="仿宋" w:cs="仿宋"/>
          <w:b/>
          <w:kern w:val="0"/>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参加政府采购活动前三年内，在经营活动中</w:t>
      </w:r>
    </w:p>
    <w:p w14:paraId="22FD9B1B">
      <w:pPr>
        <w:spacing w:line="360" w:lineRule="auto"/>
        <w:jc w:val="center"/>
        <w:rPr>
          <w:rFonts w:ascii="仿宋" w:hAnsi="仿宋" w:eastAsia="仿宋" w:cs="仿宋"/>
          <w:b/>
          <w:sz w:val="24"/>
          <w:highlight w:val="none"/>
        </w:rPr>
      </w:pPr>
      <w:r>
        <w:rPr>
          <w:rFonts w:hint="eastAsia" w:ascii="仿宋" w:hAnsi="仿宋" w:eastAsia="仿宋" w:cs="仿宋"/>
          <w:b/>
          <w:kern w:val="0"/>
          <w:sz w:val="24"/>
          <w:highlight w:val="none"/>
        </w:rPr>
        <w:t>没有重大违法记录</w:t>
      </w:r>
      <w:r>
        <w:rPr>
          <w:rFonts w:hint="eastAsia" w:ascii="仿宋" w:hAnsi="仿宋" w:eastAsia="仿宋" w:cs="仿宋"/>
          <w:b/>
          <w:sz w:val="24"/>
          <w:szCs w:val="24"/>
          <w:highlight w:val="none"/>
          <w:lang w:val="en-US" w:eastAsia="zh-CN"/>
        </w:rPr>
        <w:t>的信用承诺书</w:t>
      </w:r>
    </w:p>
    <w:p w14:paraId="6F7128C3">
      <w:pPr>
        <w:spacing w:line="540" w:lineRule="exact"/>
        <w:rPr>
          <w:rFonts w:ascii="仿宋" w:hAnsi="仿宋" w:eastAsia="仿宋" w:cs="仿宋"/>
          <w:sz w:val="24"/>
          <w:highlight w:val="none"/>
          <w:u w:val="single"/>
        </w:rPr>
      </w:pPr>
    </w:p>
    <w:p w14:paraId="58180A53">
      <w:pPr>
        <w:spacing w:line="540" w:lineRule="exact"/>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 ：</w:t>
      </w:r>
    </w:p>
    <w:p w14:paraId="6D3383ED">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在参加本次政府采购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w:t>
      </w:r>
      <w:r>
        <w:rPr>
          <w:rFonts w:hint="eastAsia" w:ascii="仿宋" w:hAnsi="仿宋" w:eastAsia="仿宋" w:cs="仿宋"/>
          <w:sz w:val="24"/>
          <w:highlight w:val="none"/>
          <w:lang w:val="en-US" w:eastAsia="zh-CN"/>
        </w:rPr>
        <w:t>失信主体</w:t>
      </w:r>
      <w:r>
        <w:rPr>
          <w:rFonts w:hint="eastAsia" w:ascii="仿宋" w:hAnsi="仿宋" w:eastAsia="仿宋" w:cs="仿宋"/>
          <w:sz w:val="24"/>
          <w:highlight w:val="none"/>
        </w:rPr>
        <w:t>名单均为0记录；查询了本公司在中国政府采购网（http://www.ccgp.gov.cn）中的政府采购严重违法失信行为信息记录为0记录。</w:t>
      </w:r>
    </w:p>
    <w:p w14:paraId="430E80F7">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如上述承诺不真实，愿意按照政府采购有关法律法规的规定接受处罚。</w:t>
      </w:r>
    </w:p>
    <w:p w14:paraId="5DBEE6F3">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特此承诺</w:t>
      </w:r>
    </w:p>
    <w:p w14:paraId="0989F5A3">
      <w:pPr>
        <w:snapToGrid w:val="0"/>
        <w:spacing w:line="540" w:lineRule="exact"/>
        <w:ind w:firstLine="480" w:firstLineChars="200"/>
        <w:jc w:val="left"/>
        <w:rPr>
          <w:rFonts w:ascii="仿宋" w:hAnsi="仿宋" w:eastAsia="仿宋" w:cs="仿宋"/>
          <w:sz w:val="24"/>
          <w:highlight w:val="none"/>
        </w:rPr>
      </w:pPr>
    </w:p>
    <w:p w14:paraId="61C8EE1F">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68685F4C">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34846B5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141EE703">
      <w:pPr>
        <w:spacing w:line="480" w:lineRule="exact"/>
        <w:ind w:left="4620" w:leftChars="2200"/>
        <w:rPr>
          <w:rFonts w:ascii="仿宋" w:hAnsi="仿宋" w:eastAsia="仿宋" w:cs="仿宋"/>
          <w:b/>
          <w:sz w:val="24"/>
          <w:highlight w:val="none"/>
        </w:rPr>
      </w:pPr>
    </w:p>
    <w:p w14:paraId="69E4BCE0">
      <w:pPr>
        <w:snapToGrid w:val="0"/>
        <w:spacing w:line="360" w:lineRule="auto"/>
        <w:rPr>
          <w:rFonts w:ascii="仿宋" w:hAnsi="仿宋" w:eastAsia="仿宋" w:cs="仿宋"/>
          <w:sz w:val="24"/>
          <w:highlight w:val="none"/>
        </w:rPr>
      </w:pPr>
    </w:p>
    <w:p w14:paraId="612432FD">
      <w:pPr>
        <w:snapToGrid w:val="0"/>
        <w:spacing w:line="360" w:lineRule="auto"/>
        <w:rPr>
          <w:rFonts w:ascii="仿宋" w:hAnsi="仿宋" w:eastAsia="仿宋" w:cs="仿宋"/>
          <w:sz w:val="24"/>
          <w:highlight w:val="none"/>
        </w:rPr>
      </w:pPr>
    </w:p>
    <w:p w14:paraId="74D8133D">
      <w:pPr>
        <w:snapToGrid w:val="0"/>
        <w:spacing w:line="360" w:lineRule="auto"/>
        <w:ind w:firstLine="480" w:firstLineChars="200"/>
        <w:rPr>
          <w:rFonts w:ascii="仿宋" w:hAnsi="仿宋" w:eastAsia="仿宋" w:cs="仿宋"/>
          <w:sz w:val="24"/>
          <w:highlight w:val="none"/>
        </w:rPr>
      </w:pPr>
    </w:p>
    <w:p w14:paraId="3CB31DD2">
      <w:pPr>
        <w:spacing w:line="360" w:lineRule="auto"/>
        <w:outlineLvl w:val="9"/>
        <w:rPr>
          <w:rFonts w:hint="eastAsia" w:ascii="仿宋" w:hAnsi="仿宋" w:eastAsia="仿宋" w:cs="仿宋"/>
          <w:b/>
          <w:kern w:val="0"/>
          <w:sz w:val="24"/>
          <w:szCs w:val="24"/>
          <w:highlight w:val="none"/>
          <w:u w:val="none"/>
          <w:lang w:val="en-US" w:eastAsia="zh-CN"/>
        </w:rPr>
      </w:pPr>
      <w:r>
        <w:rPr>
          <w:rFonts w:hint="eastAsia" w:ascii="仿宋" w:hAnsi="仿宋" w:eastAsia="仿宋" w:cs="仿宋"/>
          <w:b/>
          <w:kern w:val="0"/>
          <w:sz w:val="24"/>
          <w:szCs w:val="24"/>
          <w:highlight w:val="none"/>
          <w:u w:val="none"/>
          <w:lang w:val="en-US" w:eastAsia="zh-CN"/>
        </w:rPr>
        <w:br w:type="page"/>
      </w:r>
      <w:r>
        <w:rPr>
          <w:rFonts w:hint="eastAsia" w:ascii="仿宋" w:hAnsi="仿宋" w:eastAsia="仿宋" w:cs="仿宋"/>
          <w:b/>
          <w:kern w:val="0"/>
          <w:sz w:val="24"/>
          <w:szCs w:val="24"/>
          <w:highlight w:val="none"/>
          <w:u w:val="none"/>
          <w:lang w:val="en-US" w:eastAsia="zh-CN"/>
        </w:rPr>
        <w:t>6.提供落实政府采购政策资格要求的证明材料</w:t>
      </w:r>
    </w:p>
    <w:p w14:paraId="47975B53">
      <w:pPr>
        <w:spacing w:line="360" w:lineRule="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供应商提供有效的《中小企业声明函》或《残疾人福利性单位声明函》或属于监狱企业的证明文件。</w:t>
      </w:r>
    </w:p>
    <w:p w14:paraId="6E1A4111">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highlight w:val="none"/>
          <w:lang w:val="en-US"/>
        </w:rPr>
      </w:pP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1</w:t>
      </w: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rPr>
        <w:t>中小企业声明</w:t>
      </w:r>
      <w:r>
        <w:rPr>
          <w:rFonts w:hint="eastAsia" w:ascii="仿宋" w:hAnsi="仿宋" w:eastAsia="仿宋" w:cs="仿宋"/>
          <w:b/>
          <w:kern w:val="0"/>
          <w:sz w:val="24"/>
          <w:szCs w:val="24"/>
          <w:highlight w:val="none"/>
          <w:lang w:val="en-US" w:eastAsia="zh-CN"/>
        </w:rPr>
        <w:t>函格式</w:t>
      </w:r>
      <w:r>
        <w:rPr>
          <w:rFonts w:hint="eastAsia" w:ascii="仿宋" w:hAnsi="仿宋" w:eastAsia="仿宋" w:cs="仿宋"/>
          <w:b/>
          <w:kern w:val="0"/>
          <w:sz w:val="24"/>
          <w:szCs w:val="24"/>
          <w:highlight w:val="none"/>
        </w:rPr>
        <w:t>（如不涉及，此函可不提供）</w:t>
      </w:r>
    </w:p>
    <w:p w14:paraId="6EA32C2A">
      <w:pPr>
        <w:pStyle w:val="2"/>
        <w:numPr>
          <w:ilvl w:val="0"/>
          <w:numId w:val="0"/>
        </w:numPr>
        <w:spacing w:line="240" w:lineRule="auto"/>
        <w:jc w:val="center"/>
        <w:rPr>
          <w:rFonts w:ascii="仿宋" w:hAnsi="仿宋" w:eastAsia="仿宋" w:cs="仿宋"/>
          <w:b/>
          <w:color w:val="000000" w:themeColor="text1"/>
          <w:sz w:val="24"/>
          <w:szCs w:val="24"/>
          <w:highlight w:val="none"/>
          <w14:textFill>
            <w14:solidFill>
              <w14:schemeClr w14:val="tx1"/>
            </w14:solidFill>
          </w14:textFill>
        </w:rPr>
      </w:pPr>
      <w:bookmarkStart w:id="71" w:name="_Toc18819"/>
      <w:bookmarkStart w:id="72" w:name="_Toc19895"/>
      <w:r>
        <w:rPr>
          <w:rFonts w:hint="eastAsia" w:ascii="仿宋" w:hAnsi="仿宋" w:eastAsia="仿宋" w:cs="仿宋"/>
          <w:b/>
          <w:color w:val="000000" w:themeColor="text1"/>
          <w:sz w:val="24"/>
          <w:szCs w:val="24"/>
          <w:highlight w:val="none"/>
          <w14:textFill>
            <w14:solidFill>
              <w14:schemeClr w14:val="tx1"/>
            </w14:solidFill>
          </w14:textFill>
        </w:rPr>
        <w:t>中小企业声明函（服务）</w:t>
      </w:r>
      <w:bookmarkEnd w:id="71"/>
      <w:bookmarkEnd w:id="72"/>
    </w:p>
    <w:p w14:paraId="6220CC11">
      <w:pPr>
        <w:pStyle w:val="12"/>
        <w:spacing w:line="302" w:lineRule="auto"/>
        <w:ind w:right="355" w:firstLine="64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2"/>
          <w:sz w:val="24"/>
          <w:highlight w:val="none"/>
          <w14:textFill>
            <w14:solidFill>
              <w14:schemeClr w14:val="tx1"/>
            </w14:solidFill>
          </w14:textFill>
        </w:rPr>
        <w:t>本公司</w:t>
      </w:r>
      <w:r>
        <w:rPr>
          <w:rFonts w:hint="eastAsia" w:ascii="仿宋" w:hAnsi="仿宋" w:eastAsia="仿宋" w:cs="仿宋"/>
          <w:color w:val="000000" w:themeColor="text1"/>
          <w:sz w:val="24"/>
          <w:highlight w:val="none"/>
          <w14:textFill>
            <w14:solidFill>
              <w14:schemeClr w14:val="tx1"/>
            </w14:solidFill>
          </w14:textFill>
        </w:rPr>
        <w:t>（联合体</w:t>
      </w:r>
      <w:r>
        <w:rPr>
          <w:rFonts w:hint="eastAsia" w:ascii="仿宋" w:hAnsi="仿宋" w:eastAsia="仿宋" w:cs="仿宋"/>
          <w:color w:val="000000" w:themeColor="text1"/>
          <w:spacing w:val="-5"/>
          <w:sz w:val="24"/>
          <w:highlight w:val="none"/>
          <w14:textFill>
            <w14:solidFill>
              <w14:schemeClr w14:val="tx1"/>
            </w14:solidFill>
          </w14:textFill>
        </w:rPr>
        <w:t>）</w:t>
      </w:r>
      <w:r>
        <w:rPr>
          <w:rFonts w:hint="eastAsia" w:ascii="仿宋" w:hAnsi="仿宋" w:eastAsia="仿宋" w:cs="仿宋"/>
          <w:color w:val="000000" w:themeColor="text1"/>
          <w:spacing w:val="-2"/>
          <w:sz w:val="24"/>
          <w:highlight w:val="none"/>
          <w14:textFill>
            <w14:solidFill>
              <w14:schemeClr w14:val="tx1"/>
            </w14:solidFill>
          </w14:textFill>
        </w:rPr>
        <w:t>郑重声明，根据</w:t>
      </w:r>
      <w:r>
        <w:rPr>
          <w:rFonts w:hint="eastAsia" w:ascii="仿宋" w:hAnsi="仿宋" w:eastAsia="仿宋" w:cs="仿宋"/>
          <w:color w:val="000000" w:themeColor="text1"/>
          <w:sz w:val="24"/>
          <w:highlight w:val="none"/>
          <w14:textFill>
            <w14:solidFill>
              <w14:schemeClr w14:val="tx1"/>
            </w14:solidFill>
          </w14:textFill>
        </w:rPr>
        <w:t>《政府采购促进中小企业发展管理办法》（财库﹝2020﹞46号）的规定，本公司（联合体）</w:t>
      </w:r>
      <w:r>
        <w:rPr>
          <w:rFonts w:hint="eastAsia" w:ascii="仿宋" w:hAnsi="仿宋" w:eastAsia="仿宋" w:cs="仿宋"/>
          <w:color w:val="000000" w:themeColor="text1"/>
          <w:spacing w:val="-8"/>
          <w:sz w:val="24"/>
          <w:highlight w:val="none"/>
          <w14:textFill>
            <w14:solidFill>
              <w14:schemeClr w14:val="tx1"/>
            </w14:solidFill>
          </w14:textFill>
        </w:rPr>
        <w:t xml:space="preserve">参加 </w:t>
      </w:r>
      <w:r>
        <w:rPr>
          <w:rFonts w:hint="eastAsia" w:ascii="仿宋" w:hAnsi="仿宋" w:eastAsia="仿宋" w:cs="仿宋"/>
          <w:color w:val="000000" w:themeColor="text1"/>
          <w:spacing w:val="-8"/>
          <w:sz w:val="24"/>
          <w:highlight w:val="none"/>
          <w:u w:val="single"/>
          <w14:textFill>
            <w14:solidFill>
              <w14:schemeClr w14:val="tx1"/>
            </w14:solidFill>
          </w14:textFill>
        </w:rPr>
        <w:t xml:space="preserve">      （单位名称）  </w:t>
      </w:r>
      <w:r>
        <w:rPr>
          <w:rFonts w:hint="eastAsia" w:ascii="仿宋" w:hAnsi="仿宋" w:eastAsia="仿宋" w:cs="仿宋"/>
          <w:color w:val="000000" w:themeColor="text1"/>
          <w:spacing w:val="-15"/>
          <w:sz w:val="24"/>
          <w:highlight w:val="none"/>
          <w14:textFill>
            <w14:solidFill>
              <w14:schemeClr w14:val="tx1"/>
            </w14:solidFill>
          </w14:textFill>
        </w:rPr>
        <w:t>的</w:t>
      </w:r>
      <w:r>
        <w:rPr>
          <w:rFonts w:hint="eastAsia" w:ascii="仿宋" w:hAnsi="仿宋" w:eastAsia="仿宋" w:cs="仿宋"/>
          <w:color w:val="000000" w:themeColor="text1"/>
          <w:spacing w:val="-15"/>
          <w:sz w:val="24"/>
          <w:highlight w:val="none"/>
          <w:u w:val="single"/>
          <w14:textFill>
            <w14:solidFill>
              <w14:schemeClr w14:val="tx1"/>
            </w14:solidFill>
          </w14:textFill>
        </w:rPr>
        <w:t xml:space="preserve">  （项目名称、项目编号）  </w:t>
      </w:r>
      <w:r>
        <w:rPr>
          <w:rFonts w:hint="eastAsia" w:ascii="仿宋" w:hAnsi="仿宋" w:eastAsia="仿宋" w:cs="仿宋"/>
          <w:color w:val="000000" w:themeColor="text1"/>
          <w:spacing w:val="-1"/>
          <w:sz w:val="24"/>
          <w:highlight w:val="none"/>
          <w14:textFill>
            <w14:solidFill>
              <w14:schemeClr w14:val="tx1"/>
            </w14:solidFill>
          </w14:textFill>
        </w:rPr>
        <w:t>采购活动，服务全部由符合政策要求的中小企业承接</w:t>
      </w:r>
      <w:r>
        <w:rPr>
          <w:rFonts w:hint="eastAsia" w:ascii="仿宋" w:hAnsi="仿宋" w:eastAsia="仿宋" w:cs="仿宋"/>
          <w:color w:val="000000" w:themeColor="text1"/>
          <w:spacing w:val="-2"/>
          <w:sz w:val="24"/>
          <w:highlight w:val="none"/>
          <w14:textFill>
            <w14:solidFill>
              <w14:schemeClr w14:val="tx1"/>
            </w14:solidFill>
          </w14:textFill>
        </w:rPr>
        <w:t>。相关企业（含联合体中的中小企业、签订分包意向协议的中小企业）</w:t>
      </w:r>
      <w:r>
        <w:rPr>
          <w:rFonts w:hint="eastAsia" w:ascii="仿宋" w:hAnsi="仿宋" w:eastAsia="仿宋" w:cs="仿宋"/>
          <w:color w:val="000000" w:themeColor="text1"/>
          <w:sz w:val="24"/>
          <w:highlight w:val="none"/>
          <w14:textFill>
            <w14:solidFill>
              <w14:schemeClr w14:val="tx1"/>
            </w14:solidFill>
          </w14:textFill>
        </w:rPr>
        <w:t>的具体情况如下：</w:t>
      </w:r>
    </w:p>
    <w:p w14:paraId="3DCE6926">
      <w:pPr>
        <w:pStyle w:val="12"/>
        <w:spacing w:line="304" w:lineRule="auto"/>
        <w:ind w:right="355" w:firstLine="480" w:firstLineChars="2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u w:val="single"/>
          <w14:textFill>
            <w14:solidFill>
              <w14:schemeClr w14:val="tx1"/>
            </w14:solidFill>
          </w14:textFill>
        </w:rPr>
        <w:t xml:space="preserve">  （标的名称）    </w:t>
      </w:r>
      <w:r>
        <w:rPr>
          <w:rFonts w:hint="eastAsia" w:ascii="仿宋" w:hAnsi="仿宋" w:eastAsia="仿宋" w:cs="仿宋"/>
          <w:color w:val="000000" w:themeColor="text1"/>
          <w:sz w:val="24"/>
          <w:highlight w:val="none"/>
          <w14:textFill>
            <w14:solidFill>
              <w14:schemeClr w14:val="tx1"/>
            </w14:solidFill>
          </w14:textFill>
        </w:rPr>
        <w:t>，属于</w:t>
      </w:r>
      <w:r>
        <w:rPr>
          <w:rFonts w:hint="eastAsia" w:ascii="仿宋" w:hAnsi="仿宋" w:eastAsia="仿宋" w:cs="仿宋"/>
          <w:color w:val="000000" w:themeColor="text1"/>
          <w:sz w:val="24"/>
          <w:highlight w:val="none"/>
          <w:u w:val="single"/>
          <w14:textFill>
            <w14:solidFill>
              <w14:schemeClr w14:val="tx1"/>
            </w14:solidFill>
          </w14:textFill>
        </w:rPr>
        <w:t xml:space="preserve"> （采购文件中明确的所属行业） </w:t>
      </w:r>
      <w:r>
        <w:rPr>
          <w:rFonts w:hint="eastAsia" w:ascii="仿宋" w:hAnsi="仿宋" w:eastAsia="仿宋" w:cs="仿宋"/>
          <w:color w:val="000000" w:themeColor="text1"/>
          <w:sz w:val="24"/>
          <w:highlight w:val="none"/>
          <w14:textFill>
            <w14:solidFill>
              <w14:schemeClr w14:val="tx1"/>
            </w14:solidFill>
          </w14:textFill>
        </w:rPr>
        <w:t>；承接企业为</w:t>
      </w:r>
      <w:r>
        <w:rPr>
          <w:rFonts w:hint="eastAsia" w:ascii="仿宋" w:hAnsi="仿宋" w:eastAsia="仿宋" w:cs="仿宋"/>
          <w:color w:val="000000" w:themeColor="text1"/>
          <w:sz w:val="24"/>
          <w:highlight w:val="none"/>
          <w:u w:val="single"/>
          <w14:textFill>
            <w14:solidFill>
              <w14:schemeClr w14:val="tx1"/>
            </w14:solidFill>
          </w14:textFill>
        </w:rPr>
        <w:t xml:space="preserve">  （企业名称）  </w:t>
      </w:r>
      <w:r>
        <w:rPr>
          <w:rFonts w:hint="eastAsia" w:ascii="仿宋" w:hAnsi="仿宋" w:eastAsia="仿宋" w:cs="仿宋"/>
          <w:color w:val="000000" w:themeColor="text1"/>
          <w:sz w:val="24"/>
          <w:highlight w:val="none"/>
          <w14:textFill>
            <w14:solidFill>
              <w14:schemeClr w14:val="tx1"/>
            </w14:solidFill>
          </w14:textFill>
        </w:rPr>
        <w:t>，从业人员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highlight w:val="none"/>
          <w14:textFill>
            <w14:solidFill>
              <w14:schemeClr w14:val="tx1"/>
            </w14:solidFill>
          </w14:textFill>
        </w:rPr>
        <w:t>；</w:t>
      </w:r>
    </w:p>
    <w:p w14:paraId="31FF314D">
      <w:pPr>
        <w:pStyle w:val="12"/>
        <w:spacing w:line="304" w:lineRule="auto"/>
        <w:ind w:right="355" w:firstLine="480" w:firstLineChars="2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u w:val="single"/>
          <w14:textFill>
            <w14:solidFill>
              <w14:schemeClr w14:val="tx1"/>
            </w14:solidFill>
          </w14:textFill>
        </w:rPr>
        <w:t xml:space="preserve">  （标的名称）    </w:t>
      </w:r>
      <w:r>
        <w:rPr>
          <w:rFonts w:hint="eastAsia" w:ascii="仿宋" w:hAnsi="仿宋" w:eastAsia="仿宋" w:cs="仿宋"/>
          <w:color w:val="000000" w:themeColor="text1"/>
          <w:sz w:val="24"/>
          <w:highlight w:val="none"/>
          <w14:textFill>
            <w14:solidFill>
              <w14:schemeClr w14:val="tx1"/>
            </w14:solidFill>
          </w14:textFill>
        </w:rPr>
        <w:t>，属于</w:t>
      </w:r>
      <w:r>
        <w:rPr>
          <w:rFonts w:hint="eastAsia" w:ascii="仿宋" w:hAnsi="仿宋" w:eastAsia="仿宋" w:cs="仿宋"/>
          <w:color w:val="000000" w:themeColor="text1"/>
          <w:sz w:val="24"/>
          <w:highlight w:val="none"/>
          <w:u w:val="single"/>
          <w14:textFill>
            <w14:solidFill>
              <w14:schemeClr w14:val="tx1"/>
            </w14:solidFill>
          </w14:textFill>
        </w:rPr>
        <w:t xml:space="preserve"> （采购文件中明确的所属行业） </w:t>
      </w:r>
      <w:r>
        <w:rPr>
          <w:rFonts w:hint="eastAsia" w:ascii="仿宋" w:hAnsi="仿宋" w:eastAsia="仿宋" w:cs="仿宋"/>
          <w:color w:val="000000" w:themeColor="text1"/>
          <w:sz w:val="24"/>
          <w:highlight w:val="none"/>
          <w14:textFill>
            <w14:solidFill>
              <w14:schemeClr w14:val="tx1"/>
            </w14:solidFill>
          </w14:textFill>
        </w:rPr>
        <w:t>； 承接企业为</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highlight w:val="none"/>
          <w14:textFill>
            <w14:solidFill>
              <w14:schemeClr w14:val="tx1"/>
            </w14:solidFill>
          </w14:textFill>
        </w:rPr>
        <w:t>；</w:t>
      </w:r>
    </w:p>
    <w:p w14:paraId="27538364">
      <w:pPr>
        <w:pStyle w:val="12"/>
        <w:spacing w:line="304" w:lineRule="auto"/>
        <w:ind w:right="355"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0D0F71D3">
      <w:pPr>
        <w:pStyle w:val="12"/>
        <w:spacing w:before="108" w:line="304" w:lineRule="auto"/>
        <w:ind w:right="357" w:firstLine="645"/>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3"/>
          <w:sz w:val="24"/>
          <w:highlight w:val="none"/>
          <w14:textFill>
            <w14:solidFill>
              <w14:schemeClr w14:val="tx1"/>
            </w14:solidFill>
          </w14:textFill>
        </w:rPr>
        <w:t>以上企业，不属于大企业的分支机构，不存在控股股东</w:t>
      </w:r>
      <w:r>
        <w:rPr>
          <w:rFonts w:hint="eastAsia" w:ascii="仿宋" w:hAnsi="仿宋" w:eastAsia="仿宋" w:cs="仿宋"/>
          <w:color w:val="000000" w:themeColor="text1"/>
          <w:spacing w:val="-5"/>
          <w:sz w:val="24"/>
          <w:highlight w:val="none"/>
          <w14:textFill>
            <w14:solidFill>
              <w14:schemeClr w14:val="tx1"/>
            </w14:solidFill>
          </w14:textFill>
        </w:rPr>
        <w:t>为大企业的情形，也不存在与大企业的负责人为同一人的情形。</w:t>
      </w:r>
    </w:p>
    <w:p w14:paraId="5FB17D76">
      <w:pPr>
        <w:pStyle w:val="12"/>
        <w:spacing w:line="304" w:lineRule="auto"/>
        <w:ind w:right="315" w:firstLine="64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14:paraId="55C4E380">
      <w:pPr>
        <w:spacing w:line="360" w:lineRule="auto"/>
        <w:ind w:firstLine="600" w:firstLineChars="25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注：从业人员、营业收入、资产总额填报上一年度数据，无上一年度数据的新成立企业可不填报。</w:t>
      </w:r>
    </w:p>
    <w:p w14:paraId="598F5F9B">
      <w:pPr>
        <w:spacing w:line="360" w:lineRule="auto"/>
        <w:ind w:firstLine="2409" w:firstLineChars="1000"/>
        <w:rPr>
          <w:rFonts w:ascii="仿宋" w:hAnsi="仿宋" w:eastAsia="仿宋" w:cs="仿宋"/>
          <w:b/>
          <w:color w:val="000000" w:themeColor="text1"/>
          <w:sz w:val="24"/>
          <w:highlight w:val="none"/>
          <w14:textFill>
            <w14:solidFill>
              <w14:schemeClr w14:val="tx1"/>
            </w14:solidFill>
          </w14:textFill>
        </w:rPr>
      </w:pPr>
    </w:p>
    <w:p w14:paraId="5015E20F">
      <w:pPr>
        <w:spacing w:line="360" w:lineRule="auto"/>
        <w:ind w:firstLine="2409" w:firstLineChars="1000"/>
        <w:rPr>
          <w:rFonts w:ascii="仿宋" w:hAnsi="仿宋" w:eastAsia="仿宋" w:cs="仿宋"/>
          <w:b/>
          <w:color w:val="000000" w:themeColor="text1"/>
          <w:sz w:val="24"/>
          <w:highlight w:val="none"/>
          <w14:textFill>
            <w14:solidFill>
              <w14:schemeClr w14:val="tx1"/>
            </w14:solidFill>
          </w14:textFill>
        </w:rPr>
      </w:pPr>
    </w:p>
    <w:p w14:paraId="61572A59">
      <w:pPr>
        <w:spacing w:line="360" w:lineRule="auto"/>
        <w:ind w:firstLine="2891" w:firstLineChars="1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供应商名称（</w:t>
      </w:r>
      <w:r>
        <w:rPr>
          <w:rFonts w:hint="eastAsia" w:ascii="仿宋" w:hAnsi="仿宋" w:eastAsia="仿宋" w:cs="仿宋"/>
          <w:b/>
          <w:bCs/>
          <w:color w:val="000000" w:themeColor="text1"/>
          <w:sz w:val="24"/>
          <w:highlight w:val="none"/>
          <w14:textFill>
            <w14:solidFill>
              <w14:schemeClr w14:val="tx1"/>
            </w14:solidFill>
          </w14:textFill>
        </w:rPr>
        <w:t>公章或电子签章</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14:paraId="4A7895C4">
      <w:pPr>
        <w:spacing w:line="360" w:lineRule="auto"/>
        <w:ind w:firstLine="2891" w:firstLineChars="1200"/>
        <w:rPr>
          <w:rFonts w:hint="eastAsia" w:ascii="仿宋" w:hAnsi="仿宋" w:eastAsia="仿宋" w:cs="仿宋"/>
          <w:b/>
          <w:spacing w:val="6"/>
          <w:sz w:val="24"/>
          <w:szCs w:val="24"/>
          <w:highlight w:val="none"/>
        </w:rPr>
      </w:pPr>
      <w:r>
        <w:rPr>
          <w:rFonts w:hint="eastAsia" w:ascii="仿宋" w:hAnsi="仿宋" w:eastAsia="仿宋" w:cs="仿宋"/>
          <w:b/>
          <w:color w:val="000000" w:themeColor="text1"/>
          <w:sz w:val="24"/>
          <w:highlight w:val="none"/>
          <w14:textFill>
            <w14:solidFill>
              <w14:schemeClr w14:val="tx1"/>
            </w14:solidFill>
          </w14:textFill>
        </w:rPr>
        <w:t>日    期：</w:t>
      </w:r>
      <w:r>
        <w:rPr>
          <w:rFonts w:hint="eastAsia" w:ascii="仿宋" w:hAnsi="仿宋" w:eastAsia="仿宋" w:cs="仿宋"/>
          <w:b/>
          <w:color w:val="000000" w:themeColor="text1"/>
          <w:sz w:val="24"/>
          <w:highlight w:val="none"/>
          <w:u w:val="single"/>
          <w14:textFill>
            <w14:solidFill>
              <w14:schemeClr w14:val="tx1"/>
            </w14:solidFill>
          </w14:textFill>
        </w:rPr>
        <w:t xml:space="preserve">                             </w:t>
      </w:r>
      <w:r>
        <w:rPr>
          <w:rFonts w:hint="eastAsia" w:ascii="仿宋" w:hAnsi="仿宋" w:eastAsia="仿宋" w:cs="仿宋"/>
          <w:b/>
          <w:color w:val="000000" w:themeColor="text1"/>
          <w:sz w:val="24"/>
          <w:highlight w:val="none"/>
          <w:u w:val="single"/>
          <w14:textFill>
            <w14:solidFill>
              <w14:schemeClr w14:val="tx1"/>
            </w14:solidFill>
          </w14:textFill>
        </w:rPr>
        <w:br w:type="page"/>
      </w:r>
      <w:r>
        <w:rPr>
          <w:rFonts w:hint="eastAsia" w:ascii="仿宋" w:hAnsi="仿宋" w:eastAsia="仿宋" w:cs="仿宋"/>
          <w:b/>
          <w:spacing w:val="6"/>
          <w:sz w:val="24"/>
          <w:szCs w:val="24"/>
          <w:highlight w:val="none"/>
        </w:rPr>
        <w:t>（</w:t>
      </w:r>
      <w:r>
        <w:rPr>
          <w:rFonts w:hint="eastAsia" w:ascii="仿宋" w:hAnsi="仿宋" w:eastAsia="仿宋" w:cs="仿宋"/>
          <w:b/>
          <w:spacing w:val="6"/>
          <w:sz w:val="24"/>
          <w:szCs w:val="24"/>
          <w:highlight w:val="none"/>
          <w:lang w:val="en-US" w:eastAsia="zh-CN"/>
        </w:rPr>
        <w:t>2</w:t>
      </w:r>
      <w:r>
        <w:rPr>
          <w:rFonts w:hint="eastAsia" w:ascii="仿宋" w:hAnsi="仿宋" w:eastAsia="仿宋" w:cs="仿宋"/>
          <w:b/>
          <w:spacing w:val="6"/>
          <w:sz w:val="24"/>
          <w:szCs w:val="24"/>
          <w:highlight w:val="none"/>
        </w:rPr>
        <w:t>）残疾人福利性单位声明函格式（如不涉及，此函可不提供）</w:t>
      </w:r>
    </w:p>
    <w:p w14:paraId="0B8A809C">
      <w:pPr>
        <w:keepNext w:val="0"/>
        <w:keepLines w:val="0"/>
        <w:pageBreakBefore w:val="0"/>
        <w:widowControl w:val="0"/>
        <w:kinsoku/>
        <w:wordWrap/>
        <w:overflowPunct/>
        <w:topLinePunct w:val="0"/>
        <w:autoSpaceDE/>
        <w:autoSpaceDN/>
        <w:bidi w:val="0"/>
        <w:adjustRightInd/>
        <w:spacing w:line="360" w:lineRule="auto"/>
        <w:ind w:firstLine="506" w:firstLineChars="200"/>
        <w:jc w:val="center"/>
        <w:textAlignment w:val="auto"/>
        <w:outlineLvl w:val="9"/>
        <w:rPr>
          <w:rFonts w:hint="eastAsia" w:ascii="仿宋" w:hAnsi="仿宋" w:eastAsia="仿宋" w:cs="仿宋"/>
          <w:b/>
          <w:spacing w:val="6"/>
          <w:sz w:val="24"/>
          <w:szCs w:val="24"/>
          <w:highlight w:val="none"/>
        </w:rPr>
      </w:pPr>
    </w:p>
    <w:p w14:paraId="59BF1AF9">
      <w:pPr>
        <w:keepNext w:val="0"/>
        <w:keepLines w:val="0"/>
        <w:pageBreakBefore w:val="0"/>
        <w:widowControl w:val="0"/>
        <w:kinsoku/>
        <w:wordWrap/>
        <w:overflowPunct/>
        <w:topLinePunct w:val="0"/>
        <w:autoSpaceDE/>
        <w:autoSpaceDN/>
        <w:bidi w:val="0"/>
        <w:adjustRightInd/>
        <w:spacing w:line="360" w:lineRule="auto"/>
        <w:ind w:firstLine="506" w:firstLineChars="200"/>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2D622143">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仿宋" w:hAnsi="仿宋" w:eastAsia="仿宋" w:cs="仿宋"/>
          <w:b/>
          <w:sz w:val="24"/>
          <w:szCs w:val="24"/>
          <w:highlight w:val="none"/>
        </w:rPr>
      </w:pPr>
    </w:p>
    <w:p w14:paraId="3E6F7D44">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8D9CE9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8C94356">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727520FF">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131AB904">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供应商名称：</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（盖章）</w:t>
      </w:r>
    </w:p>
    <w:p w14:paraId="25619F0E">
      <w:pPr>
        <w:keepNext w:val="0"/>
        <w:keepLines w:val="0"/>
        <w:pageBreakBefore w:val="0"/>
        <w:widowControl w:val="0"/>
        <w:kinsoku/>
        <w:wordWrap/>
        <w:overflowPunct/>
        <w:topLinePunct w:val="0"/>
        <w:autoSpaceDE/>
        <w:autoSpaceDN/>
        <w:bidi w:val="0"/>
        <w:adjustRightInd/>
        <w:spacing w:line="360" w:lineRule="auto"/>
        <w:ind w:firstLine="4560" w:firstLineChars="1900"/>
        <w:jc w:val="both"/>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p>
    <w:p w14:paraId="10F3CE2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sz w:val="24"/>
          <w:szCs w:val="24"/>
          <w:highlight w:val="none"/>
        </w:rPr>
      </w:pPr>
    </w:p>
    <w:p w14:paraId="154855D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val="en-US" w:eastAsia="zh-CN"/>
        </w:rPr>
        <w:t>成交</w:t>
      </w:r>
      <w:r>
        <w:rPr>
          <w:rFonts w:hint="eastAsia" w:ascii="仿宋" w:hAnsi="仿宋" w:eastAsia="仿宋" w:cs="仿宋"/>
          <w:b/>
          <w:sz w:val="24"/>
          <w:szCs w:val="24"/>
          <w:highlight w:val="none"/>
        </w:rPr>
        <w:t>供应商为残疾人福利性单位的，代理机构随中标结果同时公告其《残疾人福利性单位声明函》</w:t>
      </w:r>
    </w:p>
    <w:p w14:paraId="163B99B1">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4CD88A0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7ADB83A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71F03D9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543DD745">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35DAD046">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92FCE82">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931898E">
      <w:pPr>
        <w:widowControl w:val="0"/>
        <w:jc w:val="both"/>
        <w:outlineLvl w:val="9"/>
        <w:rPr>
          <w:rFonts w:hint="eastAsia" w:ascii="仿宋" w:hAnsi="仿宋" w:eastAsia="仿宋" w:cs="仿宋"/>
          <w:b/>
          <w:color w:val="000000"/>
          <w:kern w:val="0"/>
          <w:sz w:val="24"/>
          <w:szCs w:val="24"/>
          <w:highlight w:val="none"/>
          <w:lang w:val="en-US" w:eastAsia="zh-CN" w:bidi="ar-SA"/>
        </w:rPr>
      </w:pPr>
    </w:p>
    <w:p w14:paraId="4D49D8BB">
      <w:pPr>
        <w:widowControl w:val="0"/>
        <w:jc w:val="both"/>
        <w:outlineLvl w:val="9"/>
        <w:rPr>
          <w:rFonts w:hint="eastAsia" w:ascii="仿宋" w:hAnsi="仿宋" w:eastAsia="仿宋" w:cs="仿宋"/>
          <w:b/>
          <w:color w:val="000000"/>
          <w:kern w:val="0"/>
          <w:sz w:val="24"/>
          <w:szCs w:val="24"/>
          <w:highlight w:val="none"/>
          <w:lang w:val="en-US" w:eastAsia="zh-CN" w:bidi="ar-SA"/>
        </w:rPr>
      </w:pPr>
    </w:p>
    <w:p w14:paraId="76B09541">
      <w:pPr>
        <w:widowControl w:val="0"/>
        <w:jc w:val="both"/>
        <w:outlineLvl w:val="9"/>
        <w:rPr>
          <w:rFonts w:hint="eastAsia" w:ascii="仿宋" w:hAnsi="仿宋" w:eastAsia="仿宋" w:cs="仿宋"/>
          <w:b/>
          <w:color w:val="000000"/>
          <w:kern w:val="0"/>
          <w:sz w:val="24"/>
          <w:szCs w:val="24"/>
          <w:highlight w:val="none"/>
          <w:lang w:val="en-US" w:eastAsia="zh-CN" w:bidi="ar-SA"/>
        </w:rPr>
      </w:pPr>
    </w:p>
    <w:p w14:paraId="040272F4">
      <w:pPr>
        <w:widowControl w:val="0"/>
        <w:jc w:val="both"/>
        <w:outlineLvl w:val="9"/>
        <w:rPr>
          <w:rFonts w:hint="eastAsia" w:ascii="仿宋" w:hAnsi="仿宋" w:eastAsia="仿宋" w:cs="仿宋"/>
          <w:b/>
          <w:color w:val="000000"/>
          <w:kern w:val="0"/>
          <w:sz w:val="24"/>
          <w:szCs w:val="24"/>
          <w:highlight w:val="none"/>
          <w:lang w:val="en-US" w:eastAsia="zh-CN" w:bidi="ar-SA"/>
        </w:rPr>
      </w:pPr>
    </w:p>
    <w:p w14:paraId="676E6053">
      <w:pPr>
        <w:pStyle w:val="22"/>
        <w:outlineLvl w:val="9"/>
        <w:rPr>
          <w:rFonts w:hint="eastAsia" w:ascii="仿宋" w:hAnsi="仿宋" w:eastAsia="仿宋" w:cs="仿宋"/>
          <w:b/>
          <w:kern w:val="0"/>
          <w:sz w:val="24"/>
          <w:szCs w:val="24"/>
          <w:highlight w:val="none"/>
          <w:lang w:val="en-US" w:eastAsia="zh-CN"/>
        </w:rPr>
      </w:pPr>
    </w:p>
    <w:p w14:paraId="5D2A6A09">
      <w:pPr>
        <w:rPr>
          <w:rFonts w:hint="eastAsia" w:ascii="仿宋" w:hAnsi="仿宋" w:eastAsia="仿宋" w:cs="仿宋"/>
          <w:b/>
          <w:kern w:val="0"/>
          <w:sz w:val="24"/>
          <w:szCs w:val="24"/>
          <w:highlight w:val="none"/>
          <w:lang w:val="en-US" w:eastAsia="zh-CN"/>
        </w:rPr>
      </w:pPr>
    </w:p>
    <w:p w14:paraId="073BFF2C">
      <w:pPr>
        <w:pStyle w:val="14"/>
        <w:rPr>
          <w:rFonts w:hint="eastAsia"/>
          <w:highlight w:val="none"/>
          <w:lang w:val="en-US" w:eastAsia="zh-CN"/>
        </w:rPr>
      </w:pPr>
    </w:p>
    <w:p w14:paraId="5F275D0E">
      <w:pPr>
        <w:pStyle w:val="22"/>
        <w:jc w:val="both"/>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（3）属于监狱企业的证明文件</w:t>
      </w:r>
      <w:r>
        <w:rPr>
          <w:rFonts w:hint="eastAsia" w:ascii="仿宋" w:hAnsi="仿宋" w:eastAsia="仿宋" w:cs="仿宋"/>
          <w:b/>
          <w:spacing w:val="6"/>
          <w:sz w:val="24"/>
          <w:szCs w:val="24"/>
          <w:highlight w:val="none"/>
        </w:rPr>
        <w:t>（如不涉及，此函可不提供）</w:t>
      </w:r>
    </w:p>
    <w:p w14:paraId="0BE1F69E">
      <w:pPr>
        <w:pStyle w:val="22"/>
        <w:outlineLvl w:val="9"/>
        <w:rPr>
          <w:rFonts w:hint="eastAsia" w:ascii="仿宋" w:hAnsi="仿宋" w:eastAsia="仿宋" w:cs="仿宋"/>
          <w:b/>
          <w:kern w:val="0"/>
          <w:sz w:val="24"/>
          <w:szCs w:val="24"/>
          <w:highlight w:val="none"/>
          <w:lang w:val="en-US" w:eastAsia="zh-CN"/>
        </w:rPr>
      </w:pPr>
    </w:p>
    <w:p w14:paraId="5495575C">
      <w:pPr>
        <w:pStyle w:val="22"/>
        <w:ind w:firstLine="720" w:firstLineChars="300"/>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监狱企业须提供由省级以上监狱管理局、戒毒管理局（含新疆生产建设兵团）出具的“属于监狱企业的证明文件”。</w:t>
      </w:r>
    </w:p>
    <w:p w14:paraId="2D6B16B8">
      <w:pPr>
        <w:pStyle w:val="22"/>
        <w:outlineLvl w:val="9"/>
        <w:rPr>
          <w:rFonts w:hint="eastAsia" w:ascii="仿宋" w:hAnsi="仿宋" w:eastAsia="仿宋" w:cs="仿宋"/>
          <w:b/>
          <w:kern w:val="0"/>
          <w:sz w:val="24"/>
          <w:szCs w:val="24"/>
          <w:highlight w:val="none"/>
          <w:lang w:val="en-US" w:eastAsia="zh-CN"/>
        </w:rPr>
      </w:pPr>
    </w:p>
    <w:p w14:paraId="42C2FAB9">
      <w:pPr>
        <w:pStyle w:val="22"/>
        <w:outlineLvl w:val="9"/>
        <w:rPr>
          <w:rFonts w:hint="eastAsia" w:ascii="仿宋" w:hAnsi="仿宋" w:eastAsia="仿宋" w:cs="仿宋"/>
          <w:b/>
          <w:kern w:val="0"/>
          <w:sz w:val="24"/>
          <w:szCs w:val="24"/>
          <w:highlight w:val="none"/>
          <w:lang w:val="en-US" w:eastAsia="zh-CN"/>
        </w:rPr>
      </w:pPr>
    </w:p>
    <w:p w14:paraId="7161D252">
      <w:pPr>
        <w:pStyle w:val="22"/>
        <w:outlineLvl w:val="9"/>
        <w:rPr>
          <w:rFonts w:hint="eastAsia" w:ascii="仿宋" w:hAnsi="仿宋" w:eastAsia="仿宋" w:cs="仿宋"/>
          <w:b/>
          <w:kern w:val="0"/>
          <w:sz w:val="24"/>
          <w:szCs w:val="24"/>
          <w:highlight w:val="none"/>
          <w:lang w:val="en-US" w:eastAsia="zh-CN"/>
        </w:rPr>
      </w:pPr>
    </w:p>
    <w:p w14:paraId="28DA773A">
      <w:pPr>
        <w:pStyle w:val="22"/>
        <w:outlineLvl w:val="9"/>
        <w:rPr>
          <w:rFonts w:hint="eastAsia" w:ascii="仿宋" w:hAnsi="仿宋" w:eastAsia="仿宋" w:cs="仿宋"/>
          <w:b/>
          <w:kern w:val="0"/>
          <w:sz w:val="24"/>
          <w:szCs w:val="24"/>
          <w:highlight w:val="none"/>
          <w:lang w:val="en-US" w:eastAsia="zh-CN"/>
        </w:rPr>
      </w:pPr>
    </w:p>
    <w:p w14:paraId="05B1BF25">
      <w:pPr>
        <w:pStyle w:val="22"/>
        <w:outlineLvl w:val="9"/>
        <w:rPr>
          <w:rFonts w:hint="eastAsia" w:ascii="仿宋" w:hAnsi="仿宋" w:eastAsia="仿宋" w:cs="仿宋"/>
          <w:b/>
          <w:kern w:val="0"/>
          <w:sz w:val="24"/>
          <w:szCs w:val="24"/>
          <w:highlight w:val="none"/>
          <w:lang w:val="en-US" w:eastAsia="zh-CN"/>
        </w:rPr>
      </w:pPr>
    </w:p>
    <w:p w14:paraId="241B6155">
      <w:pPr>
        <w:pStyle w:val="22"/>
        <w:outlineLvl w:val="9"/>
        <w:rPr>
          <w:rFonts w:hint="eastAsia" w:ascii="仿宋" w:hAnsi="仿宋" w:eastAsia="仿宋" w:cs="仿宋"/>
          <w:b/>
          <w:kern w:val="0"/>
          <w:sz w:val="24"/>
          <w:szCs w:val="24"/>
          <w:highlight w:val="none"/>
          <w:lang w:val="en-US" w:eastAsia="zh-CN"/>
        </w:rPr>
      </w:pPr>
    </w:p>
    <w:p w14:paraId="422877EC">
      <w:pPr>
        <w:pStyle w:val="22"/>
        <w:outlineLvl w:val="9"/>
        <w:rPr>
          <w:rFonts w:hint="eastAsia" w:ascii="仿宋" w:hAnsi="仿宋" w:eastAsia="仿宋" w:cs="仿宋"/>
          <w:b/>
          <w:kern w:val="0"/>
          <w:sz w:val="24"/>
          <w:szCs w:val="24"/>
          <w:highlight w:val="none"/>
          <w:lang w:val="en-US" w:eastAsia="zh-CN"/>
        </w:rPr>
      </w:pPr>
    </w:p>
    <w:p w14:paraId="60C3EBB2">
      <w:pPr>
        <w:pStyle w:val="22"/>
        <w:outlineLvl w:val="9"/>
        <w:rPr>
          <w:rFonts w:hint="eastAsia" w:ascii="仿宋" w:hAnsi="仿宋" w:eastAsia="仿宋" w:cs="仿宋"/>
          <w:b/>
          <w:kern w:val="0"/>
          <w:sz w:val="24"/>
          <w:szCs w:val="24"/>
          <w:highlight w:val="none"/>
          <w:lang w:val="en-US" w:eastAsia="zh-CN"/>
        </w:rPr>
      </w:pPr>
    </w:p>
    <w:p w14:paraId="24D07C5A">
      <w:pPr>
        <w:pStyle w:val="22"/>
        <w:outlineLvl w:val="9"/>
        <w:rPr>
          <w:rFonts w:hint="eastAsia" w:ascii="仿宋" w:hAnsi="仿宋" w:eastAsia="仿宋" w:cs="仿宋"/>
          <w:b/>
          <w:kern w:val="0"/>
          <w:sz w:val="24"/>
          <w:szCs w:val="24"/>
          <w:highlight w:val="none"/>
          <w:lang w:val="en-US" w:eastAsia="zh-CN"/>
        </w:rPr>
      </w:pPr>
    </w:p>
    <w:p w14:paraId="71382C41">
      <w:pPr>
        <w:pStyle w:val="22"/>
        <w:outlineLvl w:val="9"/>
        <w:rPr>
          <w:rFonts w:hint="eastAsia" w:ascii="仿宋" w:hAnsi="仿宋" w:eastAsia="仿宋" w:cs="仿宋"/>
          <w:b/>
          <w:kern w:val="0"/>
          <w:sz w:val="24"/>
          <w:szCs w:val="24"/>
          <w:highlight w:val="none"/>
          <w:lang w:val="en-US" w:eastAsia="zh-CN"/>
        </w:rPr>
      </w:pPr>
    </w:p>
    <w:p w14:paraId="34CC4C11">
      <w:pPr>
        <w:pStyle w:val="22"/>
        <w:outlineLvl w:val="9"/>
        <w:rPr>
          <w:rFonts w:hint="eastAsia" w:ascii="仿宋" w:hAnsi="仿宋" w:eastAsia="仿宋" w:cs="仿宋"/>
          <w:b/>
          <w:kern w:val="0"/>
          <w:sz w:val="24"/>
          <w:szCs w:val="24"/>
          <w:highlight w:val="none"/>
          <w:lang w:val="en-US" w:eastAsia="zh-CN"/>
        </w:rPr>
      </w:pPr>
    </w:p>
    <w:p w14:paraId="17A2FC57">
      <w:pPr>
        <w:pStyle w:val="22"/>
        <w:outlineLvl w:val="9"/>
        <w:rPr>
          <w:rFonts w:hint="eastAsia" w:ascii="仿宋" w:hAnsi="仿宋" w:eastAsia="仿宋" w:cs="仿宋"/>
          <w:b/>
          <w:kern w:val="0"/>
          <w:sz w:val="24"/>
          <w:szCs w:val="24"/>
          <w:highlight w:val="none"/>
          <w:lang w:val="en-US" w:eastAsia="zh-CN"/>
        </w:rPr>
      </w:pPr>
    </w:p>
    <w:p w14:paraId="5375E5AE">
      <w:pPr>
        <w:pStyle w:val="22"/>
        <w:outlineLvl w:val="9"/>
        <w:rPr>
          <w:rFonts w:hint="eastAsia" w:ascii="仿宋" w:hAnsi="仿宋" w:eastAsia="仿宋" w:cs="仿宋"/>
          <w:b/>
          <w:kern w:val="0"/>
          <w:sz w:val="24"/>
          <w:szCs w:val="24"/>
          <w:highlight w:val="none"/>
          <w:lang w:val="en-US" w:eastAsia="zh-CN"/>
        </w:rPr>
      </w:pPr>
    </w:p>
    <w:p w14:paraId="1239989D">
      <w:pPr>
        <w:pStyle w:val="22"/>
        <w:outlineLvl w:val="9"/>
        <w:rPr>
          <w:rFonts w:hint="eastAsia" w:ascii="仿宋" w:hAnsi="仿宋" w:eastAsia="仿宋" w:cs="仿宋"/>
          <w:b/>
          <w:kern w:val="0"/>
          <w:sz w:val="24"/>
          <w:szCs w:val="24"/>
          <w:highlight w:val="none"/>
          <w:lang w:val="en-US" w:eastAsia="zh-CN"/>
        </w:rPr>
      </w:pPr>
    </w:p>
    <w:p w14:paraId="030006FF">
      <w:pPr>
        <w:pStyle w:val="22"/>
        <w:outlineLvl w:val="9"/>
        <w:rPr>
          <w:rFonts w:hint="eastAsia" w:ascii="仿宋" w:hAnsi="仿宋" w:eastAsia="仿宋" w:cs="仿宋"/>
          <w:b/>
          <w:kern w:val="0"/>
          <w:sz w:val="24"/>
          <w:szCs w:val="24"/>
          <w:highlight w:val="none"/>
          <w:lang w:val="en-US" w:eastAsia="zh-CN"/>
        </w:rPr>
      </w:pPr>
    </w:p>
    <w:p w14:paraId="38805789">
      <w:pPr>
        <w:pStyle w:val="22"/>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 xml:space="preserve">供应商全称（公章）：                     </w:t>
      </w:r>
    </w:p>
    <w:p w14:paraId="0432DC37">
      <w:pPr>
        <w:pStyle w:val="22"/>
        <w:outlineLvl w:val="9"/>
        <w:rPr>
          <w:rFonts w:hint="eastAsia" w:ascii="仿宋" w:hAnsi="仿宋" w:eastAsia="仿宋" w:cs="仿宋"/>
          <w:b/>
          <w:kern w:val="0"/>
          <w:sz w:val="24"/>
          <w:szCs w:val="24"/>
          <w:highlight w:val="none"/>
          <w:lang w:val="en-US" w:eastAsia="zh-CN"/>
        </w:rPr>
      </w:pPr>
    </w:p>
    <w:p w14:paraId="3B00F7E2">
      <w:pPr>
        <w:pStyle w:val="22"/>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签署日期：       年       月      日</w:t>
      </w:r>
    </w:p>
    <w:p w14:paraId="05D77E83">
      <w:pPr>
        <w:spacing w:line="360" w:lineRule="auto"/>
        <w:outlineLvl w:val="9"/>
        <w:rPr>
          <w:rFonts w:hint="default" w:ascii="仿宋" w:hAnsi="仿宋" w:eastAsia="仿宋" w:cs="仿宋"/>
          <w:b/>
          <w:kern w:val="0"/>
          <w:sz w:val="24"/>
          <w:szCs w:val="24"/>
          <w:highlight w:val="none"/>
          <w:u w:val="none"/>
          <w:lang w:val="en-US" w:eastAsia="zh-CN"/>
        </w:rPr>
      </w:pPr>
    </w:p>
    <w:p w14:paraId="6F44CD71">
      <w:pPr>
        <w:spacing w:line="360" w:lineRule="auto"/>
        <w:outlineLvl w:val="9"/>
        <w:rPr>
          <w:rFonts w:hint="eastAsia" w:ascii="仿宋" w:hAnsi="仿宋" w:eastAsia="仿宋" w:cs="仿宋"/>
          <w:b/>
          <w:kern w:val="0"/>
          <w:sz w:val="24"/>
          <w:szCs w:val="24"/>
          <w:highlight w:val="none"/>
          <w:u w:val="none"/>
          <w:lang w:val="en-US" w:eastAsia="zh-CN"/>
        </w:rPr>
      </w:pPr>
    </w:p>
    <w:p w14:paraId="03DE4771">
      <w:pPr>
        <w:spacing w:line="360" w:lineRule="auto"/>
        <w:outlineLvl w:val="9"/>
        <w:rPr>
          <w:rFonts w:hint="eastAsia" w:ascii="仿宋" w:hAnsi="仿宋" w:eastAsia="仿宋" w:cs="仿宋"/>
          <w:b/>
          <w:kern w:val="0"/>
          <w:sz w:val="24"/>
          <w:szCs w:val="24"/>
          <w:highlight w:val="none"/>
          <w:u w:val="none"/>
          <w:lang w:val="en-US" w:eastAsia="zh-CN"/>
        </w:rPr>
      </w:pPr>
    </w:p>
    <w:p w14:paraId="704A4539">
      <w:pPr>
        <w:spacing w:line="360" w:lineRule="auto"/>
        <w:outlineLvl w:val="9"/>
        <w:rPr>
          <w:rFonts w:hint="eastAsia" w:ascii="仿宋" w:hAnsi="仿宋" w:eastAsia="仿宋" w:cs="仿宋"/>
          <w:b/>
          <w:kern w:val="0"/>
          <w:sz w:val="24"/>
          <w:szCs w:val="24"/>
          <w:highlight w:val="none"/>
          <w:u w:val="none"/>
          <w:lang w:val="en-US" w:eastAsia="zh-CN"/>
        </w:rPr>
      </w:pPr>
    </w:p>
    <w:p w14:paraId="7984AD04">
      <w:pPr>
        <w:spacing w:line="360" w:lineRule="auto"/>
        <w:outlineLvl w:val="9"/>
        <w:rPr>
          <w:rFonts w:hint="eastAsia" w:ascii="仿宋" w:hAnsi="仿宋" w:eastAsia="仿宋" w:cs="仿宋"/>
          <w:b/>
          <w:kern w:val="0"/>
          <w:sz w:val="24"/>
          <w:szCs w:val="24"/>
          <w:highlight w:val="none"/>
          <w:u w:val="none"/>
          <w:lang w:val="en-US" w:eastAsia="zh-CN"/>
        </w:rPr>
      </w:pPr>
    </w:p>
    <w:p w14:paraId="2C4F6ED6">
      <w:pPr>
        <w:spacing w:line="360" w:lineRule="auto"/>
        <w:outlineLvl w:val="9"/>
        <w:rPr>
          <w:rFonts w:hint="eastAsia" w:ascii="仿宋" w:hAnsi="仿宋" w:eastAsia="仿宋" w:cs="仿宋"/>
          <w:b/>
          <w:kern w:val="0"/>
          <w:sz w:val="24"/>
          <w:szCs w:val="24"/>
          <w:highlight w:val="none"/>
          <w:u w:val="none"/>
          <w:lang w:val="en-US" w:eastAsia="zh-CN"/>
        </w:rPr>
      </w:pPr>
    </w:p>
    <w:p w14:paraId="20FC71C8">
      <w:pPr>
        <w:spacing w:line="360" w:lineRule="auto"/>
        <w:outlineLvl w:val="9"/>
        <w:rPr>
          <w:rFonts w:hint="eastAsia" w:ascii="仿宋" w:hAnsi="仿宋" w:eastAsia="仿宋" w:cs="仿宋"/>
          <w:b/>
          <w:kern w:val="0"/>
          <w:sz w:val="24"/>
          <w:szCs w:val="24"/>
          <w:highlight w:val="none"/>
          <w:u w:val="none"/>
          <w:lang w:val="en-US" w:eastAsia="zh-CN"/>
        </w:rPr>
      </w:pPr>
    </w:p>
    <w:p w14:paraId="762C6B63">
      <w:pPr>
        <w:spacing w:line="360" w:lineRule="auto"/>
        <w:outlineLvl w:val="9"/>
        <w:rPr>
          <w:rFonts w:hint="eastAsia" w:ascii="仿宋" w:hAnsi="仿宋" w:eastAsia="仿宋" w:cs="仿宋"/>
          <w:b/>
          <w:kern w:val="0"/>
          <w:sz w:val="24"/>
          <w:szCs w:val="24"/>
          <w:highlight w:val="none"/>
          <w:u w:val="none"/>
          <w:lang w:val="en-US" w:eastAsia="zh-CN"/>
        </w:rPr>
      </w:pPr>
    </w:p>
    <w:p w14:paraId="2905297A">
      <w:pPr>
        <w:spacing w:line="360" w:lineRule="auto"/>
        <w:outlineLvl w:val="9"/>
        <w:rPr>
          <w:rFonts w:hint="eastAsia" w:ascii="仿宋" w:hAnsi="仿宋" w:eastAsia="仿宋" w:cs="仿宋"/>
          <w:b/>
          <w:kern w:val="0"/>
          <w:sz w:val="24"/>
          <w:szCs w:val="24"/>
          <w:highlight w:val="none"/>
          <w:u w:val="none"/>
          <w:lang w:val="en-US" w:eastAsia="zh-CN"/>
        </w:rPr>
      </w:pPr>
    </w:p>
    <w:p w14:paraId="33689BD0">
      <w:pPr>
        <w:spacing w:line="360" w:lineRule="auto"/>
        <w:outlineLvl w:val="9"/>
        <w:rPr>
          <w:rFonts w:hint="eastAsia" w:ascii="仿宋" w:hAnsi="仿宋" w:eastAsia="仿宋" w:cs="仿宋"/>
          <w:b/>
          <w:kern w:val="0"/>
          <w:sz w:val="24"/>
          <w:szCs w:val="24"/>
          <w:highlight w:val="none"/>
          <w:u w:val="none"/>
          <w:lang w:val="en-US" w:eastAsia="zh-CN"/>
        </w:rPr>
      </w:pPr>
    </w:p>
    <w:p w14:paraId="5669F9EA">
      <w:pPr>
        <w:spacing w:line="360" w:lineRule="auto"/>
        <w:outlineLvl w:val="9"/>
        <w:rPr>
          <w:rFonts w:hint="eastAsia" w:ascii="仿宋" w:hAnsi="仿宋" w:eastAsia="仿宋" w:cs="仿宋"/>
          <w:b/>
          <w:kern w:val="0"/>
          <w:sz w:val="24"/>
          <w:szCs w:val="24"/>
          <w:highlight w:val="none"/>
          <w:u w:val="none"/>
          <w:lang w:val="en-US" w:eastAsia="zh-CN"/>
        </w:rPr>
      </w:pPr>
    </w:p>
    <w:p w14:paraId="0CEDCB1C">
      <w:pPr>
        <w:spacing w:line="360" w:lineRule="auto"/>
        <w:outlineLvl w:val="9"/>
        <w:rPr>
          <w:rFonts w:hint="eastAsia" w:ascii="仿宋" w:hAnsi="仿宋" w:eastAsia="仿宋" w:cs="仿宋"/>
          <w:b/>
          <w:kern w:val="0"/>
          <w:sz w:val="24"/>
          <w:szCs w:val="24"/>
          <w:highlight w:val="none"/>
          <w:u w:val="none"/>
          <w:lang w:val="en-US" w:eastAsia="zh-CN"/>
        </w:rPr>
      </w:pPr>
    </w:p>
    <w:p w14:paraId="3AA047FE">
      <w:pPr>
        <w:spacing w:line="360" w:lineRule="auto"/>
        <w:outlineLvl w:val="9"/>
        <w:rPr>
          <w:rFonts w:hint="eastAsia" w:ascii="仿宋" w:hAnsi="仿宋" w:eastAsia="仿宋" w:cs="仿宋"/>
          <w:b/>
          <w:kern w:val="0"/>
          <w:sz w:val="24"/>
          <w:szCs w:val="24"/>
          <w:highlight w:val="none"/>
          <w:u w:val="none"/>
          <w:lang w:val="en-US" w:eastAsia="zh-CN"/>
        </w:rPr>
      </w:pPr>
    </w:p>
    <w:p w14:paraId="01DAB653">
      <w:pPr>
        <w:spacing w:line="360" w:lineRule="auto"/>
        <w:outlineLvl w:val="9"/>
        <w:rPr>
          <w:rFonts w:hint="eastAsia" w:ascii="仿宋" w:hAnsi="仿宋" w:eastAsia="仿宋" w:cs="仿宋"/>
          <w:b/>
          <w:kern w:val="0"/>
          <w:sz w:val="24"/>
          <w:szCs w:val="24"/>
          <w:highlight w:val="none"/>
          <w:u w:val="none"/>
          <w:lang w:val="en-US" w:eastAsia="zh-CN"/>
        </w:rPr>
      </w:pPr>
    </w:p>
    <w:p w14:paraId="6FC117D9">
      <w:pPr>
        <w:spacing w:line="360" w:lineRule="auto"/>
        <w:outlineLvl w:val="9"/>
        <w:rPr>
          <w:rFonts w:hint="eastAsia" w:ascii="仿宋" w:hAnsi="仿宋" w:eastAsia="仿宋" w:cs="仿宋"/>
          <w:b/>
          <w:kern w:val="0"/>
          <w:sz w:val="24"/>
          <w:szCs w:val="24"/>
          <w:highlight w:val="none"/>
          <w:u w:val="none"/>
          <w:lang w:val="en-US" w:eastAsia="zh-CN"/>
        </w:rPr>
      </w:pPr>
      <w:r>
        <w:rPr>
          <w:rFonts w:hint="eastAsia" w:ascii="仿宋" w:hAnsi="仿宋" w:eastAsia="仿宋" w:cs="仿宋"/>
          <w:b/>
          <w:kern w:val="0"/>
          <w:sz w:val="24"/>
          <w:szCs w:val="24"/>
          <w:highlight w:val="none"/>
          <w:u w:val="none"/>
          <w:lang w:val="en-US" w:eastAsia="zh-CN"/>
        </w:rPr>
        <w:t>7．特定资质</w:t>
      </w:r>
    </w:p>
    <w:p w14:paraId="4C6D4381">
      <w:pPr>
        <w:spacing w:line="360" w:lineRule="auto"/>
        <w:outlineLvl w:val="9"/>
        <w:rPr>
          <w:rFonts w:hint="eastAsia" w:ascii="仿宋" w:hAnsi="仿宋" w:eastAsia="仿宋" w:cs="仿宋"/>
          <w:sz w:val="24"/>
          <w:szCs w:val="24"/>
          <w:highlight w:val="none"/>
        </w:rPr>
      </w:pPr>
    </w:p>
    <w:p w14:paraId="4B03A19E">
      <w:pPr>
        <w:snapToGrid w:val="0"/>
        <w:spacing w:line="360" w:lineRule="auto"/>
        <w:rPr>
          <w:rFonts w:hint="eastAsia" w:ascii="仿宋" w:hAnsi="仿宋" w:eastAsia="仿宋" w:cs="仿宋"/>
          <w:b/>
          <w:bCs/>
          <w:sz w:val="24"/>
          <w:highlight w:val="none"/>
        </w:rPr>
      </w:pPr>
    </w:p>
    <w:p w14:paraId="39EDAEFF">
      <w:pPr>
        <w:snapToGrid w:val="0"/>
        <w:spacing w:line="360" w:lineRule="auto"/>
        <w:rPr>
          <w:rFonts w:hint="eastAsia" w:ascii="仿宋" w:hAnsi="仿宋" w:eastAsia="仿宋" w:cs="仿宋"/>
          <w:b/>
          <w:bCs/>
          <w:sz w:val="24"/>
          <w:highlight w:val="none"/>
        </w:rPr>
      </w:pPr>
    </w:p>
    <w:p w14:paraId="016549CA">
      <w:pPr>
        <w:snapToGrid w:val="0"/>
        <w:spacing w:line="360" w:lineRule="auto"/>
        <w:rPr>
          <w:rFonts w:hint="eastAsia" w:ascii="仿宋" w:hAnsi="仿宋" w:eastAsia="仿宋" w:cs="仿宋"/>
          <w:b/>
          <w:bCs/>
          <w:sz w:val="24"/>
          <w:highlight w:val="none"/>
        </w:rPr>
      </w:pPr>
    </w:p>
    <w:p w14:paraId="3E6033CA">
      <w:pPr>
        <w:snapToGrid w:val="0"/>
        <w:spacing w:line="360" w:lineRule="auto"/>
        <w:rPr>
          <w:rFonts w:hint="eastAsia" w:ascii="仿宋" w:hAnsi="仿宋" w:eastAsia="仿宋" w:cs="仿宋"/>
          <w:b/>
          <w:bCs/>
          <w:sz w:val="24"/>
          <w:highlight w:val="none"/>
        </w:rPr>
      </w:pPr>
    </w:p>
    <w:p w14:paraId="3FF1BDA6">
      <w:pPr>
        <w:snapToGrid w:val="0"/>
        <w:spacing w:line="360" w:lineRule="auto"/>
        <w:rPr>
          <w:rFonts w:hint="eastAsia" w:ascii="仿宋" w:hAnsi="仿宋" w:eastAsia="仿宋" w:cs="仿宋"/>
          <w:b/>
          <w:bCs/>
          <w:sz w:val="24"/>
          <w:highlight w:val="none"/>
        </w:rPr>
      </w:pPr>
    </w:p>
    <w:p w14:paraId="5AEA7EB2">
      <w:pPr>
        <w:snapToGrid w:val="0"/>
        <w:spacing w:line="360" w:lineRule="auto"/>
        <w:rPr>
          <w:rFonts w:hint="eastAsia" w:ascii="仿宋" w:hAnsi="仿宋" w:eastAsia="仿宋" w:cs="仿宋"/>
          <w:b/>
          <w:bCs/>
          <w:sz w:val="24"/>
          <w:highlight w:val="none"/>
        </w:rPr>
      </w:pPr>
    </w:p>
    <w:p w14:paraId="16B58205">
      <w:pPr>
        <w:snapToGrid w:val="0"/>
        <w:spacing w:line="360" w:lineRule="auto"/>
        <w:rPr>
          <w:rFonts w:hint="eastAsia" w:ascii="仿宋" w:hAnsi="仿宋" w:eastAsia="仿宋" w:cs="仿宋"/>
          <w:b/>
          <w:bCs/>
          <w:sz w:val="24"/>
          <w:highlight w:val="none"/>
        </w:rPr>
      </w:pPr>
    </w:p>
    <w:p w14:paraId="0248768C">
      <w:pPr>
        <w:snapToGrid w:val="0"/>
        <w:spacing w:line="360" w:lineRule="auto"/>
        <w:rPr>
          <w:rFonts w:hint="eastAsia" w:ascii="仿宋" w:hAnsi="仿宋" w:eastAsia="仿宋" w:cs="仿宋"/>
          <w:b/>
          <w:bCs/>
          <w:sz w:val="24"/>
          <w:highlight w:val="none"/>
        </w:rPr>
      </w:pPr>
    </w:p>
    <w:p w14:paraId="325BEC91">
      <w:pPr>
        <w:snapToGrid w:val="0"/>
        <w:spacing w:line="360" w:lineRule="auto"/>
        <w:rPr>
          <w:rFonts w:hint="eastAsia" w:ascii="仿宋" w:hAnsi="仿宋" w:eastAsia="仿宋" w:cs="仿宋"/>
          <w:b/>
          <w:bCs/>
          <w:sz w:val="24"/>
          <w:highlight w:val="none"/>
        </w:rPr>
      </w:pPr>
    </w:p>
    <w:p w14:paraId="7C5AB44B">
      <w:pPr>
        <w:snapToGrid w:val="0"/>
        <w:spacing w:line="360" w:lineRule="auto"/>
        <w:rPr>
          <w:rFonts w:hint="eastAsia" w:ascii="仿宋" w:hAnsi="仿宋" w:eastAsia="仿宋" w:cs="仿宋"/>
          <w:b/>
          <w:bCs/>
          <w:sz w:val="24"/>
          <w:highlight w:val="none"/>
        </w:rPr>
      </w:pPr>
    </w:p>
    <w:p w14:paraId="34698CA3">
      <w:pPr>
        <w:snapToGrid w:val="0"/>
        <w:spacing w:line="360" w:lineRule="auto"/>
        <w:rPr>
          <w:rFonts w:hint="eastAsia" w:ascii="仿宋" w:hAnsi="仿宋" w:eastAsia="仿宋" w:cs="仿宋"/>
          <w:b/>
          <w:bCs/>
          <w:sz w:val="24"/>
          <w:highlight w:val="none"/>
        </w:rPr>
      </w:pPr>
    </w:p>
    <w:p w14:paraId="62A8895E">
      <w:pPr>
        <w:snapToGrid w:val="0"/>
        <w:spacing w:line="360" w:lineRule="auto"/>
        <w:rPr>
          <w:rFonts w:hint="eastAsia" w:ascii="仿宋" w:hAnsi="仿宋" w:eastAsia="仿宋" w:cs="仿宋"/>
          <w:b/>
          <w:bCs/>
          <w:sz w:val="24"/>
          <w:highlight w:val="none"/>
        </w:rPr>
      </w:pPr>
    </w:p>
    <w:p w14:paraId="090BE90B">
      <w:pPr>
        <w:snapToGrid w:val="0"/>
        <w:spacing w:line="360" w:lineRule="auto"/>
        <w:rPr>
          <w:rFonts w:hint="eastAsia" w:ascii="仿宋" w:hAnsi="仿宋" w:eastAsia="仿宋" w:cs="仿宋"/>
          <w:b/>
          <w:bCs/>
          <w:sz w:val="24"/>
          <w:highlight w:val="none"/>
        </w:rPr>
      </w:pPr>
    </w:p>
    <w:p w14:paraId="3F1DA024">
      <w:pPr>
        <w:snapToGrid w:val="0"/>
        <w:spacing w:line="360" w:lineRule="auto"/>
        <w:rPr>
          <w:rFonts w:hint="eastAsia" w:ascii="仿宋" w:hAnsi="仿宋" w:eastAsia="仿宋" w:cs="仿宋"/>
          <w:b/>
          <w:bCs/>
          <w:sz w:val="24"/>
          <w:highlight w:val="none"/>
          <w:lang w:val="en-US" w:eastAsia="zh-CN"/>
        </w:rPr>
      </w:pPr>
    </w:p>
    <w:p w14:paraId="0BD7300E">
      <w:pPr>
        <w:snapToGrid w:val="0"/>
        <w:spacing w:line="360" w:lineRule="auto"/>
        <w:rPr>
          <w:rFonts w:hint="eastAsia" w:ascii="仿宋" w:hAnsi="仿宋" w:eastAsia="仿宋" w:cs="仿宋"/>
          <w:b/>
          <w:bCs/>
          <w:sz w:val="24"/>
          <w:highlight w:val="none"/>
          <w:lang w:val="en-US" w:eastAsia="zh-CN"/>
        </w:rPr>
      </w:pPr>
    </w:p>
    <w:p w14:paraId="43C8964E">
      <w:pPr>
        <w:snapToGrid w:val="0"/>
        <w:spacing w:line="360" w:lineRule="auto"/>
        <w:rPr>
          <w:rFonts w:hint="eastAsia" w:ascii="仿宋" w:hAnsi="仿宋" w:eastAsia="仿宋" w:cs="仿宋"/>
          <w:b/>
          <w:bCs/>
          <w:sz w:val="24"/>
          <w:highlight w:val="none"/>
          <w:lang w:val="en-US" w:eastAsia="zh-CN"/>
        </w:rPr>
      </w:pPr>
    </w:p>
    <w:p w14:paraId="65CF54AE">
      <w:pPr>
        <w:snapToGrid w:val="0"/>
        <w:spacing w:line="360" w:lineRule="auto"/>
        <w:rPr>
          <w:rFonts w:hint="eastAsia" w:ascii="仿宋" w:hAnsi="仿宋" w:eastAsia="仿宋" w:cs="仿宋"/>
          <w:b/>
          <w:bCs/>
          <w:sz w:val="24"/>
          <w:highlight w:val="none"/>
          <w:lang w:val="en-US" w:eastAsia="zh-CN"/>
        </w:rPr>
      </w:pPr>
    </w:p>
    <w:p w14:paraId="126FF203">
      <w:pPr>
        <w:snapToGrid w:val="0"/>
        <w:spacing w:line="360" w:lineRule="auto"/>
        <w:rPr>
          <w:rFonts w:hint="eastAsia" w:ascii="仿宋" w:hAnsi="仿宋" w:eastAsia="仿宋" w:cs="仿宋"/>
          <w:b/>
          <w:bCs/>
          <w:sz w:val="24"/>
          <w:highlight w:val="none"/>
          <w:lang w:val="en-US" w:eastAsia="zh-CN"/>
        </w:rPr>
      </w:pPr>
    </w:p>
    <w:p w14:paraId="0D67ACFD">
      <w:pPr>
        <w:snapToGrid w:val="0"/>
        <w:spacing w:line="360" w:lineRule="auto"/>
        <w:rPr>
          <w:rFonts w:hint="eastAsia" w:ascii="仿宋" w:hAnsi="仿宋" w:eastAsia="仿宋" w:cs="仿宋"/>
          <w:b/>
          <w:bCs/>
          <w:sz w:val="24"/>
          <w:highlight w:val="none"/>
          <w:lang w:val="en-US" w:eastAsia="zh-CN"/>
        </w:rPr>
      </w:pPr>
    </w:p>
    <w:p w14:paraId="20EC283E">
      <w:pPr>
        <w:snapToGrid w:val="0"/>
        <w:spacing w:line="360" w:lineRule="auto"/>
        <w:rPr>
          <w:rFonts w:hint="eastAsia" w:ascii="仿宋" w:hAnsi="仿宋" w:eastAsia="仿宋" w:cs="仿宋"/>
          <w:b/>
          <w:bCs/>
          <w:sz w:val="24"/>
          <w:highlight w:val="none"/>
          <w:lang w:val="en-US" w:eastAsia="zh-CN"/>
        </w:rPr>
      </w:pPr>
    </w:p>
    <w:p w14:paraId="5B0596A0">
      <w:pPr>
        <w:snapToGrid w:val="0"/>
        <w:spacing w:line="360" w:lineRule="auto"/>
        <w:rPr>
          <w:rFonts w:hint="eastAsia" w:ascii="仿宋" w:hAnsi="仿宋" w:eastAsia="仿宋" w:cs="仿宋"/>
          <w:b/>
          <w:bCs/>
          <w:sz w:val="24"/>
          <w:highlight w:val="none"/>
          <w:lang w:val="en-US" w:eastAsia="zh-CN"/>
        </w:rPr>
      </w:pPr>
    </w:p>
    <w:p w14:paraId="305AA763">
      <w:pPr>
        <w:snapToGrid w:val="0"/>
        <w:spacing w:line="360" w:lineRule="auto"/>
        <w:rPr>
          <w:rFonts w:hint="eastAsia" w:ascii="仿宋" w:hAnsi="仿宋" w:eastAsia="仿宋" w:cs="仿宋"/>
          <w:b/>
          <w:bCs/>
          <w:sz w:val="24"/>
          <w:highlight w:val="none"/>
          <w:lang w:val="en-US" w:eastAsia="zh-CN"/>
        </w:rPr>
      </w:pPr>
    </w:p>
    <w:p w14:paraId="1B8AA8DA">
      <w:pPr>
        <w:snapToGrid w:val="0"/>
        <w:spacing w:line="360" w:lineRule="auto"/>
        <w:rPr>
          <w:rFonts w:hint="eastAsia" w:ascii="仿宋" w:hAnsi="仿宋" w:eastAsia="仿宋" w:cs="仿宋"/>
          <w:b/>
          <w:bCs/>
          <w:sz w:val="24"/>
          <w:highlight w:val="none"/>
          <w:lang w:val="en-US" w:eastAsia="zh-CN"/>
        </w:rPr>
      </w:pPr>
    </w:p>
    <w:p w14:paraId="4696AF61">
      <w:pPr>
        <w:snapToGrid w:val="0"/>
        <w:spacing w:line="360" w:lineRule="auto"/>
        <w:rPr>
          <w:rFonts w:hint="eastAsia" w:ascii="仿宋" w:hAnsi="仿宋" w:eastAsia="仿宋" w:cs="仿宋"/>
          <w:b/>
          <w:bCs/>
          <w:sz w:val="24"/>
          <w:highlight w:val="none"/>
          <w:lang w:val="en-US" w:eastAsia="zh-CN"/>
        </w:rPr>
      </w:pPr>
    </w:p>
    <w:p w14:paraId="24C6DF1F">
      <w:pPr>
        <w:snapToGrid w:val="0"/>
        <w:spacing w:line="360" w:lineRule="auto"/>
        <w:rPr>
          <w:rFonts w:hint="eastAsia" w:ascii="仿宋" w:hAnsi="仿宋" w:eastAsia="仿宋" w:cs="仿宋"/>
          <w:b/>
          <w:bCs/>
          <w:sz w:val="24"/>
          <w:highlight w:val="none"/>
          <w:lang w:val="en-US" w:eastAsia="zh-CN"/>
        </w:rPr>
      </w:pPr>
    </w:p>
    <w:p w14:paraId="3500BC4D">
      <w:pPr>
        <w:snapToGrid w:val="0"/>
        <w:spacing w:line="360" w:lineRule="auto"/>
        <w:rPr>
          <w:rFonts w:hint="eastAsia" w:ascii="仿宋" w:hAnsi="仿宋" w:eastAsia="仿宋" w:cs="仿宋"/>
          <w:b/>
          <w:bCs/>
          <w:sz w:val="24"/>
          <w:highlight w:val="none"/>
          <w:lang w:val="en-US" w:eastAsia="zh-CN"/>
        </w:rPr>
      </w:pPr>
    </w:p>
    <w:p w14:paraId="6DB206BE">
      <w:pPr>
        <w:snapToGrid w:val="0"/>
        <w:spacing w:line="360" w:lineRule="auto"/>
        <w:rPr>
          <w:rFonts w:hint="eastAsia" w:ascii="仿宋" w:hAnsi="仿宋" w:eastAsia="仿宋" w:cs="仿宋"/>
          <w:b/>
          <w:bCs/>
          <w:sz w:val="24"/>
          <w:highlight w:val="none"/>
          <w:lang w:val="en-US" w:eastAsia="zh-CN"/>
        </w:rPr>
      </w:pPr>
    </w:p>
    <w:p w14:paraId="558167CE">
      <w:pPr>
        <w:snapToGrid w:val="0"/>
        <w:spacing w:line="360" w:lineRule="auto"/>
        <w:rPr>
          <w:rFonts w:hint="eastAsia" w:ascii="仿宋" w:hAnsi="仿宋" w:eastAsia="仿宋" w:cs="仿宋"/>
          <w:b/>
          <w:bCs/>
          <w:sz w:val="24"/>
          <w:highlight w:val="none"/>
          <w:lang w:val="en-US" w:eastAsia="zh-CN"/>
        </w:rPr>
      </w:pPr>
    </w:p>
    <w:p w14:paraId="69A124EB">
      <w:pPr>
        <w:snapToGrid w:val="0"/>
        <w:spacing w:line="360" w:lineRule="auto"/>
        <w:rPr>
          <w:rFonts w:ascii="仿宋" w:hAnsi="仿宋" w:eastAsia="仿宋" w:cs="仿宋"/>
          <w:b/>
          <w:bCs/>
          <w:sz w:val="24"/>
          <w:highlight w:val="none"/>
        </w:rPr>
      </w:pPr>
      <w:r>
        <w:rPr>
          <w:rFonts w:hint="eastAsia" w:ascii="仿宋" w:hAnsi="仿宋" w:eastAsia="仿宋" w:cs="仿宋"/>
          <w:b/>
          <w:bCs/>
          <w:sz w:val="24"/>
          <w:highlight w:val="none"/>
          <w:lang w:val="en-US" w:eastAsia="zh-CN"/>
        </w:rPr>
        <w:t>8</w:t>
      </w:r>
      <w:r>
        <w:rPr>
          <w:rFonts w:hint="eastAsia" w:ascii="仿宋" w:hAnsi="仿宋" w:eastAsia="仿宋" w:cs="仿宋"/>
          <w:b/>
          <w:bCs/>
          <w:sz w:val="24"/>
          <w:highlight w:val="none"/>
        </w:rPr>
        <w:t>.磋商保证金缴纳凭证</w:t>
      </w:r>
    </w:p>
    <w:p w14:paraId="4587EB35">
      <w:pPr>
        <w:snapToGrid w:val="0"/>
        <w:spacing w:line="360" w:lineRule="auto"/>
        <w:ind w:firstLine="470" w:firstLineChars="196"/>
        <w:rPr>
          <w:rFonts w:ascii="仿宋" w:hAnsi="仿宋" w:eastAsia="仿宋" w:cs="仿宋"/>
          <w:b/>
          <w:bCs/>
          <w:sz w:val="24"/>
          <w:highlight w:val="none"/>
        </w:rPr>
      </w:pPr>
      <w:r>
        <w:rPr>
          <w:rFonts w:hint="eastAsia" w:ascii="仿宋" w:hAnsi="仿宋" w:eastAsia="仿宋" w:cs="仿宋"/>
          <w:bCs/>
          <w:sz w:val="24"/>
          <w:highlight w:val="none"/>
        </w:rPr>
        <w:t>需提供磋商保证金缴纳凭证扫描件或影印件（须加盖供应商公章）。</w:t>
      </w:r>
    </w:p>
    <w:p w14:paraId="76D5621F">
      <w:pPr>
        <w:snapToGrid w:val="0"/>
        <w:spacing w:line="360" w:lineRule="auto"/>
        <w:rPr>
          <w:rFonts w:ascii="仿宋" w:hAnsi="仿宋" w:eastAsia="仿宋" w:cs="仿宋"/>
          <w:b/>
          <w:bCs/>
          <w:kern w:val="0"/>
          <w:sz w:val="24"/>
          <w:highlight w:val="none"/>
        </w:rPr>
      </w:pPr>
    </w:p>
    <w:p w14:paraId="6010F4DC">
      <w:pPr>
        <w:snapToGrid w:val="0"/>
        <w:spacing w:line="360" w:lineRule="auto"/>
        <w:rPr>
          <w:rFonts w:ascii="仿宋" w:hAnsi="仿宋" w:eastAsia="仿宋" w:cs="仿宋"/>
          <w:b/>
          <w:kern w:val="0"/>
          <w:sz w:val="24"/>
          <w:highlight w:val="none"/>
        </w:rPr>
      </w:pPr>
      <w:r>
        <w:rPr>
          <w:rFonts w:hint="eastAsia" w:ascii="仿宋" w:hAnsi="仿宋" w:eastAsia="仿宋" w:cs="仿宋"/>
          <w:b/>
          <w:bCs/>
          <w:kern w:val="0"/>
          <w:sz w:val="24"/>
          <w:highlight w:val="none"/>
          <w:lang w:val="en-US" w:eastAsia="zh-CN"/>
        </w:rPr>
        <w:br w:type="page"/>
      </w:r>
      <w:r>
        <w:rPr>
          <w:rFonts w:hint="eastAsia" w:ascii="仿宋" w:hAnsi="仿宋" w:eastAsia="仿宋" w:cs="仿宋"/>
          <w:b/>
          <w:bCs/>
          <w:kern w:val="0"/>
          <w:sz w:val="24"/>
          <w:highlight w:val="none"/>
          <w:lang w:val="en-US" w:eastAsia="zh-CN"/>
        </w:rPr>
        <w:t>9</w:t>
      </w:r>
      <w:r>
        <w:rPr>
          <w:rFonts w:hint="eastAsia" w:ascii="仿宋" w:hAnsi="仿宋" w:eastAsia="仿宋" w:cs="仿宋"/>
          <w:b/>
          <w:bCs/>
          <w:kern w:val="0"/>
          <w:sz w:val="24"/>
          <w:highlight w:val="none"/>
        </w:rPr>
        <w:t>.</w:t>
      </w:r>
      <w:r>
        <w:rPr>
          <w:rFonts w:hint="eastAsia" w:ascii="仿宋" w:hAnsi="仿宋" w:eastAsia="仿宋" w:cs="仿宋"/>
          <w:b/>
          <w:kern w:val="0"/>
          <w:sz w:val="24"/>
          <w:highlight w:val="none"/>
        </w:rPr>
        <w:t>供应商廉洁自律承诺书</w:t>
      </w:r>
    </w:p>
    <w:p w14:paraId="53529C46">
      <w:pPr>
        <w:spacing w:before="120" w:beforeLines="50" w:after="120" w:afterLines="50" w:line="480" w:lineRule="exact"/>
        <w:jc w:val="center"/>
        <w:rPr>
          <w:rFonts w:ascii="仿宋" w:hAnsi="仿宋" w:eastAsia="仿宋" w:cs="仿宋"/>
          <w:b/>
          <w:kern w:val="0"/>
          <w:sz w:val="24"/>
          <w:highlight w:val="none"/>
        </w:rPr>
      </w:pPr>
      <w:r>
        <w:rPr>
          <w:rFonts w:hint="eastAsia" w:ascii="仿宋" w:hAnsi="仿宋" w:eastAsia="仿宋" w:cs="仿宋"/>
          <w:b/>
          <w:kern w:val="0"/>
          <w:sz w:val="24"/>
          <w:highlight w:val="none"/>
        </w:rPr>
        <w:t>供应商廉洁自律承诺书</w:t>
      </w:r>
    </w:p>
    <w:p w14:paraId="73A4F60A">
      <w:pPr>
        <w:spacing w:line="360" w:lineRule="auto"/>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 ：</w:t>
      </w:r>
    </w:p>
    <w:p w14:paraId="37B058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为维护本次磋商工作的正常秩序，本公司特郑重承诺如下： </w:t>
      </w:r>
    </w:p>
    <w:p w14:paraId="44E20AC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一、严格按照《中华人民共和国政府采购法》、《中华人民共和国政府采购法实施条例》、</w:t>
      </w:r>
      <w:r>
        <w:rPr>
          <w:rFonts w:hint="eastAsia" w:ascii="仿宋" w:hAnsi="仿宋" w:eastAsia="仿宋" w:cs="仿宋"/>
          <w:kern w:val="0"/>
          <w:sz w:val="24"/>
          <w:highlight w:val="none"/>
        </w:rPr>
        <w:t>《政府采购竞争性磋商采购方式管理暂行办法》</w:t>
      </w:r>
      <w:r>
        <w:rPr>
          <w:rFonts w:hint="eastAsia" w:ascii="仿宋" w:hAnsi="仿宋" w:eastAsia="仿宋" w:cs="仿宋"/>
          <w:sz w:val="24"/>
          <w:highlight w:val="none"/>
        </w:rPr>
        <w:t>等有关法律法规、政策及《磋商文件》的规定，规范本公司的磋商行为，保证做到合法磋商、正当竞争、廉洁经营。</w:t>
      </w:r>
    </w:p>
    <w:p w14:paraId="7A198F5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二、本公司保证在本次磋商采购工作中做到： </w:t>
      </w:r>
    </w:p>
    <w:p w14:paraId="67022D5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1．不与其他供应商相互串通参与磋商、陪标，损害贵单位的合法权益； </w:t>
      </w:r>
    </w:p>
    <w:p w14:paraId="63879B4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2．不与用户串通参与磋商，损害</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利益或他人的合法权益；</w:t>
      </w:r>
    </w:p>
    <w:p w14:paraId="1A56D42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不以向用户、代理机构或者磋商小组成员行贿的手段谋取中标；（包括送礼金礼品、有价证券、购物券、回扣、佣金、咨询费、劳务费、赞助费、宣传费、支付旅游费用、报销各种消费凭证、宴请、娱乐等）；</w:t>
      </w:r>
    </w:p>
    <w:p w14:paraId="4DED18C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4．不利用他人名义参与磋商或者以其他方式弄虚作假，谋取成交；</w:t>
      </w:r>
    </w:p>
    <w:p w14:paraId="1681B9A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5．保证不以其他任何方式扰乱本次磋商工作；</w:t>
      </w:r>
    </w:p>
    <w:p w14:paraId="6A1A137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6．保证严格遵守磋商会议纪律。</w:t>
      </w:r>
    </w:p>
    <w:p w14:paraId="1BEF9A3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三、我公司承诺在本次磋商采购活动中，如有违反以上第二条中的行为，同意贵方按《中华人民共和国政府采购法》、《中华人民共和国政府采购法实施条例》、</w:t>
      </w:r>
      <w:r>
        <w:rPr>
          <w:rFonts w:hint="eastAsia" w:ascii="仿宋" w:hAnsi="仿宋" w:eastAsia="仿宋" w:cs="仿宋"/>
          <w:kern w:val="0"/>
          <w:sz w:val="24"/>
          <w:highlight w:val="none"/>
        </w:rPr>
        <w:t>《政府采购竞争性磋商采购方式管理暂行办法》</w:t>
      </w:r>
      <w:r>
        <w:rPr>
          <w:rFonts w:hint="eastAsia" w:ascii="仿宋" w:hAnsi="仿宋" w:eastAsia="仿宋" w:cs="仿宋"/>
          <w:sz w:val="24"/>
          <w:highlight w:val="none"/>
        </w:rPr>
        <w:t>等有关法律法规和磋商文件之规定上报省级主管部门给予进入不良信誉记录、扣除保证金等惩罚，我公司及项目参与人员完全接受。</w:t>
      </w:r>
    </w:p>
    <w:p w14:paraId="1822A4C5">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3A426427">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263B7F59">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217DDA5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611E6C96">
      <w:pPr>
        <w:snapToGrid w:val="0"/>
        <w:spacing w:line="360" w:lineRule="auto"/>
        <w:ind w:left="3780" w:leftChars="1800"/>
        <w:rPr>
          <w:rFonts w:ascii="仿宋" w:hAnsi="仿宋" w:eastAsia="仿宋" w:cs="仿宋"/>
          <w:b/>
          <w:bCs/>
          <w:kern w:val="0"/>
          <w:sz w:val="24"/>
          <w:highlight w:val="none"/>
        </w:rPr>
      </w:pPr>
    </w:p>
    <w:p w14:paraId="57CCC3AE">
      <w:pPr>
        <w:widowControl/>
        <w:spacing w:line="520" w:lineRule="atLeast"/>
        <w:rPr>
          <w:rFonts w:hint="eastAsia" w:ascii="仿宋" w:hAnsi="仿宋" w:eastAsia="仿宋" w:cs="仿宋"/>
          <w:b/>
          <w:kern w:val="0"/>
          <w:sz w:val="24"/>
          <w:highlight w:val="none"/>
          <w:lang w:val="en-US" w:eastAsia="zh-CN"/>
        </w:rPr>
      </w:pPr>
    </w:p>
    <w:p w14:paraId="273F51DF">
      <w:pPr>
        <w:widowControl/>
        <w:spacing w:line="520" w:lineRule="atLeast"/>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10. 供应商需提交的其他资格证明文件</w:t>
      </w:r>
    </w:p>
    <w:p w14:paraId="6758F576">
      <w:pPr>
        <w:rPr>
          <w:rFonts w:ascii="宋体" w:hAnsi="宋体" w:cs="宋体"/>
          <w:b/>
          <w:kern w:val="0"/>
          <w:szCs w:val="21"/>
          <w:highlight w:val="none"/>
        </w:rPr>
      </w:pPr>
      <w:r>
        <w:rPr>
          <w:rFonts w:ascii="Times New Roman" w:hAnsi="Times New Roman"/>
          <w:kern w:val="0"/>
          <w:sz w:val="24"/>
          <w:highlight w:val="none"/>
        </w:rPr>
        <w:br w:type="page"/>
      </w:r>
    </w:p>
    <w:p w14:paraId="052080BC">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商务、技术文件</w:t>
      </w:r>
    </w:p>
    <w:p w14:paraId="099C4D9C">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1．法定代表人（负责人）身份证明书格式</w:t>
      </w:r>
    </w:p>
    <w:p w14:paraId="76B028F1">
      <w:pPr>
        <w:snapToGrid w:val="0"/>
        <w:spacing w:line="360" w:lineRule="auto"/>
        <w:ind w:left="482" w:hanging="482" w:hangingChars="200"/>
        <w:jc w:val="center"/>
        <w:rPr>
          <w:rFonts w:ascii="仿宋" w:hAnsi="仿宋" w:eastAsia="仿宋" w:cs="仿宋"/>
          <w:b/>
          <w:kern w:val="0"/>
          <w:sz w:val="24"/>
          <w:highlight w:val="none"/>
        </w:rPr>
      </w:pPr>
    </w:p>
    <w:p w14:paraId="0A7C64A0">
      <w:pPr>
        <w:snapToGrid w:val="0"/>
        <w:spacing w:line="360" w:lineRule="auto"/>
        <w:ind w:left="482" w:hanging="482" w:hangingChars="200"/>
        <w:jc w:val="center"/>
        <w:rPr>
          <w:rFonts w:ascii="仿宋" w:hAnsi="仿宋" w:eastAsia="仿宋" w:cs="仿宋"/>
          <w:b/>
          <w:kern w:val="0"/>
          <w:sz w:val="24"/>
          <w:highlight w:val="none"/>
        </w:rPr>
      </w:pPr>
      <w:r>
        <w:rPr>
          <w:rFonts w:hint="eastAsia" w:ascii="仿宋" w:hAnsi="仿宋" w:eastAsia="仿宋" w:cs="仿宋"/>
          <w:b/>
          <w:kern w:val="0"/>
          <w:sz w:val="24"/>
          <w:highlight w:val="none"/>
        </w:rPr>
        <w:t xml:space="preserve">法定代表人（负责人）身份证明书 </w:t>
      </w:r>
    </w:p>
    <w:p w14:paraId="5A736436">
      <w:pPr>
        <w:snapToGrid w:val="0"/>
        <w:spacing w:line="360" w:lineRule="auto"/>
        <w:ind w:firstLine="480" w:firstLineChars="200"/>
        <w:jc w:val="left"/>
        <w:rPr>
          <w:rFonts w:ascii="仿宋" w:hAnsi="仿宋" w:eastAsia="仿宋" w:cs="仿宋"/>
          <w:kern w:val="0"/>
          <w:sz w:val="24"/>
          <w:highlight w:val="none"/>
          <w:u w:val="single"/>
        </w:rPr>
      </w:pPr>
      <w:r>
        <w:rPr>
          <w:rFonts w:hint="eastAsia" w:ascii="仿宋" w:hAnsi="仿宋" w:eastAsia="仿宋" w:cs="仿宋"/>
          <w:kern w:val="0"/>
          <w:sz w:val="24"/>
          <w:highlight w:val="none"/>
        </w:rPr>
        <w:t>单位名称：</w:t>
      </w:r>
      <w:r>
        <w:rPr>
          <w:rFonts w:hint="eastAsia" w:ascii="仿宋" w:hAnsi="仿宋" w:eastAsia="仿宋" w:cs="仿宋"/>
          <w:kern w:val="0"/>
          <w:sz w:val="24"/>
          <w:highlight w:val="none"/>
          <w:u w:val="single"/>
        </w:rPr>
        <w:t xml:space="preserve">                                                    </w:t>
      </w:r>
    </w:p>
    <w:p w14:paraId="5A7B9880">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182245</wp:posOffset>
                </wp:positionV>
                <wp:extent cx="41148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5pt;height:0pt;width:324pt;z-index:251661312;mso-width-relative:page;mso-height-relative:page;" filled="f" stroked="t" coordsize="21600,21600" o:gfxdata="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Pg/s&#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单位性质：</w:t>
      </w:r>
    </w:p>
    <w:p w14:paraId="051C9D79">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917575</wp:posOffset>
                </wp:positionH>
                <wp:positionV relativeFrom="paragraph">
                  <wp:posOffset>210820</wp:posOffset>
                </wp:positionV>
                <wp:extent cx="41148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6pt;height:0pt;width:324pt;z-index:251662336;mso-width-relative:page;mso-height-relative:page;" filled="f" stroked="t" coordsize="21600,21600" o:gfxdata="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EObMOXMgqGJ&#10;33/6/vPjl18/PtN5/+0rIw/J1LtQUfTCrnwiKvb21t2g+BCYxUUHdiNzu3cHRxBlyij+SklGcFRs&#10;3b/BhmJgGzFrtm+9SZCkBtvn0RzOo5H7yAQ9XpTlxeWYpiYGXwHVkOh8iK8lGpYuNdfKJtWggt1N&#10;iKkRqIaQ9GzxWmmdJ68t62v+ajqZ5oSAWjXJmcKC36wX2rMdpN3JX2ZFnodhHre2ORbRNuXJvHan&#10;ygPro35rbA4rP0hDI829ndYv7cxDOwv455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4QdU&#10;1gAAAAkBAAAPAAAAAAAAAAEAIAAAACIAAABkcnMvZG93bnJldi54bWxQSwECFAAUAAAACACHTuJA&#10;zXzjhO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地    址：</w:t>
      </w:r>
    </w:p>
    <w:p w14:paraId="0A4FA62C">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193675</wp:posOffset>
                </wp:positionV>
                <wp:extent cx="4114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5pt;height:0pt;width:324pt;z-index:251663360;mso-width-relative:page;mso-height-relative:page;" filled="f" stroked="t" coordsize="21600,21600" o:gfxdata="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SBDr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成立时间：               年    月    日</w:t>
      </w:r>
    </w:p>
    <w:p w14:paraId="314D1FA7">
      <w:pPr>
        <w:snapToGrid w:val="0"/>
        <w:spacing w:line="360" w:lineRule="auto"/>
        <w:jc w:val="left"/>
        <w:rPr>
          <w:rFonts w:ascii="仿宋" w:hAnsi="仿宋" w:eastAsia="仿宋" w:cs="仿宋"/>
          <w:kern w:val="0"/>
          <w:sz w:val="24"/>
          <w:highlight w:val="none"/>
          <w:u w:val="single"/>
        </w:rPr>
      </w:pPr>
      <w:r>
        <w:rPr>
          <w:rFonts w:hint="eastAsia" w:ascii="仿宋" w:hAnsi="仿宋" w:eastAsia="仿宋" w:cs="仿宋"/>
          <w:sz w:val="24"/>
          <w:highlight w:val="none"/>
        </w:rPr>
        <mc:AlternateContent>
          <mc:Choice Requires="wps">
            <w:drawing>
              <wp:anchor distT="0" distB="0" distL="114300" distR="114300" simplePos="0" relativeHeight="251664384" behindDoc="0" locked="0" layoutInCell="1" allowOverlap="1">
                <wp:simplePos x="0" y="0"/>
                <wp:positionH relativeFrom="column">
                  <wp:posOffset>923925</wp:posOffset>
                </wp:positionH>
                <wp:positionV relativeFrom="paragraph">
                  <wp:posOffset>198120</wp:posOffset>
                </wp:positionV>
                <wp:extent cx="41148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6pt;height:0pt;width:324pt;z-index:251664384;mso-width-relative:page;mso-height-relative:page;" filled="f" stroked="t" coordsize="21600,21600" o:gfxdata="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anvm&#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经营期限：</w:t>
      </w:r>
    </w:p>
    <w:p w14:paraId="0CAEA00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6432" behindDoc="0" locked="0" layoutInCell="1" allowOverlap="1">
                <wp:simplePos x="0" y="0"/>
                <wp:positionH relativeFrom="column">
                  <wp:posOffset>928370</wp:posOffset>
                </wp:positionH>
                <wp:positionV relativeFrom="paragraph">
                  <wp:posOffset>190500</wp:posOffset>
                </wp:positionV>
                <wp:extent cx="41148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5pt;height:0pt;width:324pt;z-index:251666432;mso-width-relative:page;mso-height-relative:page;" filled="f" stroked="t" coordsize="21600,21600" o:gfxdata="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NB7n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姓    名：              性  别：                </w:t>
      </w:r>
    </w:p>
    <w:p w14:paraId="3D33D622">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161925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5pt;height:0pt;width:324pt;z-index:251665408;mso-width-relative:page;mso-height-relative:page;" filled="f" stroked="t" coordsize="21600,21600" o:gfxdata="UEsDBAoAAAAAAIdO4kAAAAAAAAAAAAAAAAAEAAAAZHJzL1BLAwQUAAAACACHTuJAVfC91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2VLNJBmGSgJLG8zMba/&#10;hi4L/X9B+Q1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wvdb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年    龄：              职  务： </w:t>
      </w:r>
    </w:p>
    <w:p w14:paraId="3EEE2C54">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系       （供应商名称）          的法定代表人</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负责人</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w:t>
      </w:r>
    </w:p>
    <w:p w14:paraId="2D7D0EFD">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w:t>
      </w:r>
    </w:p>
    <w:p w14:paraId="614BEF95">
      <w:pPr>
        <w:snapToGrid w:val="0"/>
        <w:spacing w:line="360" w:lineRule="auto"/>
        <w:ind w:firstLine="960" w:firstLineChars="400"/>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特此证明。</w:t>
      </w:r>
    </w:p>
    <w:p w14:paraId="71A491E4">
      <w:pPr>
        <w:widowControl/>
        <w:spacing w:line="330" w:lineRule="atLeast"/>
        <w:jc w:val="left"/>
        <w:rPr>
          <w:rFonts w:ascii="仿宋" w:hAnsi="仿宋" w:eastAsia="仿宋" w:cs="仿宋"/>
          <w:kern w:val="0"/>
          <w:sz w:val="24"/>
          <w:highlight w:val="none"/>
        </w:rPr>
      </w:pPr>
    </w:p>
    <w:p w14:paraId="1F0A6C58">
      <w:pPr>
        <w:snapToGrid w:val="0"/>
        <w:spacing w:line="480" w:lineRule="exact"/>
        <w:ind w:firstLine="2880" w:firstLineChars="12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5872F87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704B5A8D">
      <w:pPr>
        <w:spacing w:line="480" w:lineRule="exact"/>
        <w:rPr>
          <w:rFonts w:ascii="仿宋" w:hAnsi="仿宋" w:eastAsia="仿宋" w:cs="仿宋"/>
          <w:sz w:val="24"/>
          <w:highlight w:val="none"/>
        </w:rPr>
      </w:pPr>
      <w:r>
        <w:rPr>
          <w:rFonts w:hint="eastAsia" w:ascii="仿宋" w:hAnsi="仿宋" w:eastAsia="仿宋" w:cs="仿宋"/>
          <w:sz w:val="24"/>
          <w:highlight w:val="none"/>
        </w:rPr>
        <w:t xml:space="preserve">                                  日      期：</w:t>
      </w:r>
    </w:p>
    <w:p w14:paraId="4496284B">
      <w:pPr>
        <w:widowControl/>
        <w:spacing w:line="330" w:lineRule="atLeast"/>
        <w:jc w:val="left"/>
        <w:rPr>
          <w:rFonts w:ascii="仿宋" w:hAnsi="仿宋" w:eastAsia="仿宋" w:cs="仿宋"/>
          <w:kern w:val="0"/>
          <w:sz w:val="24"/>
          <w:highlight w:val="none"/>
        </w:rPr>
      </w:pPr>
    </w:p>
    <w:p w14:paraId="102F0B5F">
      <w:pPr>
        <w:widowControl/>
        <w:spacing w:line="330" w:lineRule="atLeast"/>
        <w:jc w:val="left"/>
        <w:rPr>
          <w:rFonts w:ascii="仿宋" w:hAnsi="仿宋" w:eastAsia="仿宋" w:cs="仿宋"/>
          <w:kern w:val="0"/>
          <w:sz w:val="24"/>
          <w:highlight w:val="none"/>
        </w:rPr>
      </w:pPr>
    </w:p>
    <w:p w14:paraId="6FF30501">
      <w:pPr>
        <w:spacing w:line="360" w:lineRule="auto"/>
        <w:rPr>
          <w:rFonts w:ascii="仿宋" w:hAnsi="仿宋" w:eastAsia="仿宋" w:cs="仿宋"/>
          <w:b/>
          <w:bCs/>
          <w:sz w:val="24"/>
          <w:highlight w:val="none"/>
        </w:rPr>
      </w:pPr>
      <w:r>
        <w:rPr>
          <w:rFonts w:hint="eastAsia" w:ascii="仿宋" w:hAnsi="仿宋" w:eastAsia="仿宋" w:cs="仿宋"/>
          <w:b/>
          <w:bCs/>
          <w:kern w:val="0"/>
          <w:sz w:val="24"/>
          <w:highlight w:val="none"/>
        </w:rPr>
        <w:t>附：法定代表人</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负责人</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rPr>
        <w:t>第二代身份证正反面扫描件或影印件。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76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vAlign w:val="center"/>
          </w:tcPr>
          <w:p w14:paraId="7117211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（党徽面）</w:t>
            </w:r>
          </w:p>
        </w:tc>
        <w:tc>
          <w:tcPr>
            <w:tcW w:w="4615" w:type="dxa"/>
            <w:vAlign w:val="center"/>
          </w:tcPr>
          <w:p w14:paraId="6671376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（人像面）</w:t>
            </w:r>
          </w:p>
        </w:tc>
      </w:tr>
    </w:tbl>
    <w:p w14:paraId="3E7BE933">
      <w:pPr>
        <w:snapToGrid w:val="0"/>
        <w:spacing w:line="360" w:lineRule="auto"/>
        <w:rPr>
          <w:rFonts w:ascii="宋体" w:hAnsi="宋体" w:cs="宋体"/>
          <w:sz w:val="24"/>
          <w:highlight w:val="none"/>
        </w:rPr>
      </w:pPr>
    </w:p>
    <w:p w14:paraId="26E6F6C6">
      <w:pPr>
        <w:tabs>
          <w:tab w:val="left" w:pos="567"/>
        </w:tabs>
        <w:snapToGrid w:val="0"/>
        <w:spacing w:line="360" w:lineRule="auto"/>
        <w:jc w:val="left"/>
        <w:rPr>
          <w:rFonts w:hint="eastAsia" w:ascii="仿宋" w:hAnsi="仿宋" w:eastAsia="仿宋" w:cs="仿宋"/>
          <w:b/>
          <w:kern w:val="0"/>
          <w:sz w:val="24"/>
          <w:highlight w:val="none"/>
        </w:rPr>
      </w:pPr>
    </w:p>
    <w:p w14:paraId="5389506A">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2．法定代表人（负责人）授权委托书格式</w:t>
      </w:r>
    </w:p>
    <w:p w14:paraId="5991BBC4">
      <w:pPr>
        <w:snapToGrid w:val="0"/>
        <w:spacing w:line="360" w:lineRule="auto"/>
        <w:ind w:left="482" w:hanging="482" w:hangingChars="200"/>
        <w:jc w:val="center"/>
        <w:rPr>
          <w:rFonts w:ascii="仿宋" w:hAnsi="仿宋" w:eastAsia="仿宋" w:cs="仿宋"/>
          <w:b/>
          <w:kern w:val="0"/>
          <w:sz w:val="24"/>
          <w:highlight w:val="none"/>
        </w:rPr>
      </w:pPr>
      <w:r>
        <w:rPr>
          <w:rFonts w:hint="eastAsia" w:ascii="仿宋" w:hAnsi="仿宋" w:eastAsia="仿宋" w:cs="仿宋"/>
          <w:b/>
          <w:kern w:val="0"/>
          <w:sz w:val="24"/>
          <w:highlight w:val="none"/>
        </w:rPr>
        <w:t>法定代表人（负责人）授权委托书</w:t>
      </w:r>
    </w:p>
    <w:p w14:paraId="00CEB954">
      <w:pPr>
        <w:snapToGrid w:val="0"/>
        <w:spacing w:line="360" w:lineRule="auto"/>
        <w:jc w:val="left"/>
        <w:rPr>
          <w:rFonts w:ascii="宋体" w:hAnsi="宋体" w:cs="宋体"/>
          <w:kern w:val="0"/>
          <w:szCs w:val="21"/>
          <w:highlight w:val="none"/>
        </w:rPr>
      </w:pPr>
    </w:p>
    <w:p w14:paraId="200C0EEC">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u w:val="single"/>
        </w:rPr>
        <w:t xml:space="preserve"> 代理机构名称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A09DD78">
      <w:pPr>
        <w:snapToGrid w:val="0"/>
        <w:spacing w:line="48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本授权书声明：注册于</w:t>
      </w:r>
      <w:r>
        <w:rPr>
          <w:rFonts w:hint="eastAsia" w:ascii="仿宋" w:hAnsi="仿宋" w:eastAsia="仿宋" w:cs="仿宋"/>
          <w:kern w:val="0"/>
          <w:sz w:val="24"/>
          <w:highlight w:val="none"/>
          <w:u w:val="single"/>
        </w:rPr>
        <w:t xml:space="preserve">             （供应商住址）</w:t>
      </w:r>
      <w:r>
        <w:rPr>
          <w:rFonts w:hint="eastAsia" w:ascii="仿宋" w:hAnsi="仿宋" w:eastAsia="仿宋" w:cs="仿宋"/>
          <w:kern w:val="0"/>
          <w:sz w:val="24"/>
          <w:highlight w:val="none"/>
        </w:rPr>
        <w:t>的</w:t>
      </w:r>
      <w:r>
        <w:rPr>
          <w:rFonts w:hint="eastAsia" w:ascii="仿宋" w:hAnsi="仿宋" w:eastAsia="仿宋" w:cs="仿宋"/>
          <w:kern w:val="0"/>
          <w:sz w:val="24"/>
          <w:highlight w:val="none"/>
          <w:u w:val="single"/>
        </w:rPr>
        <w:t xml:space="preserve">               （供应商名称）</w:t>
      </w:r>
      <w:r>
        <w:rPr>
          <w:rFonts w:hint="eastAsia" w:ascii="仿宋" w:hAnsi="仿宋" w:eastAsia="仿宋" w:cs="仿宋"/>
          <w:kern w:val="0"/>
          <w:sz w:val="24"/>
          <w:highlight w:val="none"/>
        </w:rPr>
        <w:t>法定代表</w:t>
      </w:r>
      <w:r>
        <w:rPr>
          <w:rFonts w:hint="eastAsia" w:ascii="仿宋" w:hAnsi="仿宋" w:eastAsia="仿宋" w:cs="仿宋"/>
          <w:strike w:val="0"/>
          <w:dstrike w:val="0"/>
          <w:kern w:val="0"/>
          <w:sz w:val="24"/>
          <w:highlight w:val="none"/>
        </w:rPr>
        <w:t>人（负责人）</w:t>
      </w:r>
      <w:r>
        <w:rPr>
          <w:rFonts w:hint="eastAsia" w:ascii="仿宋" w:hAnsi="仿宋" w:eastAsia="仿宋" w:cs="仿宋"/>
          <w:kern w:val="0"/>
          <w:sz w:val="24"/>
          <w:highlight w:val="none"/>
          <w:u w:val="single"/>
        </w:rPr>
        <w:t xml:space="preserve">        （法定代表人（负责人）姓名、职务）</w:t>
      </w:r>
      <w:r>
        <w:rPr>
          <w:rFonts w:hint="eastAsia" w:ascii="仿宋" w:hAnsi="仿宋" w:eastAsia="仿宋" w:cs="仿宋"/>
          <w:kern w:val="0"/>
          <w:sz w:val="24"/>
          <w:highlight w:val="none"/>
        </w:rPr>
        <w:t>代表本公司授权</w:t>
      </w:r>
      <w:r>
        <w:rPr>
          <w:rFonts w:hint="eastAsia" w:ascii="仿宋" w:hAnsi="仿宋" w:eastAsia="仿宋" w:cs="仿宋"/>
          <w:kern w:val="0"/>
          <w:sz w:val="24"/>
          <w:highlight w:val="none"/>
          <w:u w:val="single"/>
        </w:rPr>
        <w:t xml:space="preserve">     （被授权人姓名、职务）</w:t>
      </w:r>
      <w:r>
        <w:rPr>
          <w:rFonts w:hint="eastAsia" w:ascii="仿宋" w:hAnsi="仿宋" w:eastAsia="仿宋" w:cs="仿宋"/>
          <w:kern w:val="0"/>
          <w:sz w:val="24"/>
          <w:highlight w:val="none"/>
        </w:rPr>
        <w:t>为本公司的合法代理人，就贵方组织的</w:t>
      </w:r>
      <w:r>
        <w:rPr>
          <w:rFonts w:hint="eastAsia" w:ascii="仿宋" w:hAnsi="仿宋" w:eastAsia="仿宋" w:cs="仿宋"/>
          <w:kern w:val="0"/>
          <w:sz w:val="24"/>
          <w:highlight w:val="none"/>
          <w:u w:val="single"/>
        </w:rPr>
        <w:t xml:space="preserve">             项目</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项目编号：     </w:t>
      </w:r>
      <w:r>
        <w:rPr>
          <w:rFonts w:hint="eastAsia" w:ascii="仿宋" w:hAnsi="仿宋" w:eastAsia="仿宋" w:cs="仿宋"/>
          <w:sz w:val="24"/>
          <w:highlight w:val="none"/>
          <w:u w:val="single"/>
          <w:lang w:val="en-US" w:eastAsia="zh-CN"/>
        </w:rPr>
        <w:t>包号：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，以本公司名义处理一切与之有关的事务。</w:t>
      </w:r>
    </w:p>
    <w:p w14:paraId="27A3C314">
      <w:pPr>
        <w:snapToGrid w:val="0"/>
        <w:spacing w:line="360" w:lineRule="auto"/>
        <w:ind w:firstLine="480"/>
        <w:jc w:val="left"/>
        <w:rPr>
          <w:rFonts w:ascii="仿宋" w:hAnsi="仿宋" w:eastAsia="仿宋" w:cs="仿宋"/>
          <w:kern w:val="0"/>
          <w:sz w:val="24"/>
          <w:highlight w:val="none"/>
        </w:rPr>
      </w:pPr>
    </w:p>
    <w:p w14:paraId="3D82A26A">
      <w:pPr>
        <w:snapToGrid w:val="0"/>
        <w:spacing w:line="360" w:lineRule="auto"/>
        <w:ind w:firstLine="480"/>
        <w:jc w:val="left"/>
        <w:rPr>
          <w:rFonts w:ascii="仿宋" w:hAnsi="仿宋" w:eastAsia="仿宋" w:cs="仿宋"/>
          <w:kern w:val="0"/>
          <w:sz w:val="24"/>
          <w:highlight w:val="none"/>
        </w:rPr>
      </w:pPr>
      <w:r>
        <w:rPr>
          <w:rFonts w:hint="eastAsia" w:ascii="仿宋" w:hAnsi="仿宋" w:eastAsia="仿宋" w:cs="仿宋"/>
          <w:kern w:val="0"/>
          <w:sz w:val="24"/>
          <w:highlight w:val="none"/>
        </w:rPr>
        <w:t>本授权书于    年  月  日起生效。</w:t>
      </w:r>
    </w:p>
    <w:p w14:paraId="4CF321C1">
      <w:pPr>
        <w:snapToGrid w:val="0"/>
        <w:spacing w:line="360" w:lineRule="auto"/>
        <w:ind w:firstLine="480"/>
        <w:jc w:val="left"/>
        <w:rPr>
          <w:rFonts w:ascii="仿宋" w:hAnsi="仿宋" w:eastAsia="仿宋" w:cs="仿宋"/>
          <w:kern w:val="0"/>
          <w:sz w:val="24"/>
          <w:highlight w:val="none"/>
        </w:rPr>
      </w:pPr>
    </w:p>
    <w:p w14:paraId="61891E88">
      <w:pPr>
        <w:snapToGrid w:val="0"/>
        <w:spacing w:line="360" w:lineRule="auto"/>
        <w:ind w:firstLine="480"/>
        <w:jc w:val="left"/>
        <w:rPr>
          <w:rFonts w:ascii="仿宋" w:hAnsi="仿宋" w:eastAsia="仿宋" w:cs="仿宋"/>
          <w:kern w:val="0"/>
          <w:sz w:val="24"/>
          <w:highlight w:val="none"/>
        </w:rPr>
      </w:pPr>
      <w:r>
        <w:rPr>
          <w:rFonts w:hint="eastAsia" w:ascii="仿宋" w:hAnsi="仿宋" w:eastAsia="仿宋" w:cs="仿宋"/>
          <w:kern w:val="0"/>
          <w:sz w:val="24"/>
          <w:highlight w:val="none"/>
        </w:rPr>
        <w:t>特此声明</w:t>
      </w:r>
    </w:p>
    <w:p w14:paraId="10AC1059">
      <w:pPr>
        <w:snapToGrid w:val="0"/>
        <w:spacing w:line="360" w:lineRule="auto"/>
        <w:rPr>
          <w:rFonts w:ascii="仿宋" w:hAnsi="仿宋" w:eastAsia="仿宋" w:cs="仿宋"/>
          <w:kern w:val="0"/>
          <w:sz w:val="24"/>
          <w:highlight w:val="none"/>
        </w:rPr>
      </w:pPr>
    </w:p>
    <w:p w14:paraId="45990146">
      <w:pPr>
        <w:snapToGrid w:val="0"/>
        <w:spacing w:line="480" w:lineRule="auto"/>
        <w:ind w:firstLine="2880" w:firstLineChars="1200"/>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5E93E7F">
      <w:pPr>
        <w:snapToGrid w:val="0"/>
        <w:spacing w:line="48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 xml:space="preserve">                   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0EF85B85">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授权人代表：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（签字或盖章）                                                  </w:t>
      </w:r>
    </w:p>
    <w:p w14:paraId="480794A7">
      <w:pPr>
        <w:tabs>
          <w:tab w:val="left" w:pos="730"/>
        </w:tabs>
        <w:snapToGrid w:val="0"/>
        <w:spacing w:line="360" w:lineRule="auto"/>
        <w:rPr>
          <w:rFonts w:ascii="仿宋" w:hAnsi="仿宋" w:eastAsia="仿宋" w:cs="仿宋"/>
          <w:b/>
          <w:bCs/>
          <w:kern w:val="0"/>
          <w:sz w:val="24"/>
          <w:highlight w:val="none"/>
        </w:rPr>
      </w:pPr>
      <w:r>
        <w:rPr>
          <w:rFonts w:hint="eastAsia" w:ascii="仿宋" w:hAnsi="仿宋" w:eastAsia="仿宋" w:cs="仿宋"/>
          <w:b/>
          <w:bCs/>
          <w:kern w:val="0"/>
          <w:sz w:val="24"/>
          <w:highlight w:val="none"/>
        </w:rPr>
        <w:t>附：被授权人第二代身份证正反面扫描件或影印件。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115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4615" w:type="dxa"/>
            <w:vAlign w:val="center"/>
          </w:tcPr>
          <w:p w14:paraId="633FA4C5">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（党徽面）</w:t>
            </w:r>
          </w:p>
        </w:tc>
        <w:tc>
          <w:tcPr>
            <w:tcW w:w="4615" w:type="dxa"/>
            <w:vAlign w:val="center"/>
          </w:tcPr>
          <w:p w14:paraId="43E07235">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（人像面）</w:t>
            </w:r>
          </w:p>
        </w:tc>
      </w:tr>
    </w:tbl>
    <w:p w14:paraId="54F4530E">
      <w:pPr>
        <w:snapToGrid w:val="0"/>
        <w:spacing w:line="360" w:lineRule="auto"/>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注：</w:t>
      </w:r>
    </w:p>
    <w:p w14:paraId="18611B53">
      <w:pPr>
        <w:snapToGrid w:val="0"/>
        <w:spacing w:line="360" w:lineRule="auto"/>
        <w:ind w:firstLine="482" w:firstLineChars="200"/>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1. 除可填报项目外，对本法定代表人</w:t>
      </w:r>
      <w:r>
        <w:rPr>
          <w:rFonts w:hint="eastAsia" w:ascii="仿宋" w:hAnsi="仿宋" w:eastAsia="仿宋" w:cs="仿宋"/>
          <w:b/>
          <w:kern w:val="0"/>
          <w:sz w:val="24"/>
          <w:highlight w:val="none"/>
        </w:rPr>
        <w:t>（负责人）</w:t>
      </w:r>
      <w:r>
        <w:rPr>
          <w:rFonts w:hint="eastAsia" w:ascii="仿宋" w:hAnsi="仿宋" w:eastAsia="仿宋" w:cs="仿宋"/>
          <w:b/>
          <w:bCs/>
          <w:kern w:val="0"/>
          <w:sz w:val="24"/>
          <w:highlight w:val="none"/>
        </w:rPr>
        <w:t xml:space="preserve">授权委托书内容的修改将被视为未实质性响应，从而导致该响应文件被拒绝； </w:t>
      </w:r>
    </w:p>
    <w:p w14:paraId="35EF93E8">
      <w:pPr>
        <w:snapToGrid w:val="0"/>
        <w:spacing w:line="360" w:lineRule="auto"/>
        <w:ind w:firstLine="482" w:firstLineChars="200"/>
        <w:jc w:val="left"/>
        <w:rPr>
          <w:rFonts w:ascii="宋体" w:hAnsi="宋体" w:cs="宋体"/>
          <w:kern w:val="0"/>
          <w:szCs w:val="21"/>
          <w:highlight w:val="none"/>
        </w:rPr>
      </w:pPr>
      <w:r>
        <w:rPr>
          <w:rFonts w:hint="eastAsia" w:ascii="仿宋" w:hAnsi="仿宋" w:eastAsia="仿宋" w:cs="仿宋"/>
          <w:b/>
          <w:bCs/>
          <w:kern w:val="0"/>
          <w:sz w:val="24"/>
          <w:highlight w:val="none"/>
        </w:rPr>
        <w:t>2. 若供应商授权代表为 法定代表人或负责人的可不提供。</w:t>
      </w:r>
    </w:p>
    <w:p w14:paraId="3A4AAAF9">
      <w:pPr>
        <w:tabs>
          <w:tab w:val="left" w:pos="567"/>
        </w:tabs>
        <w:snapToGrid w:val="0"/>
        <w:spacing w:line="360" w:lineRule="auto"/>
        <w:jc w:val="left"/>
        <w:rPr>
          <w:rFonts w:hint="eastAsia" w:ascii="仿宋" w:hAnsi="仿宋" w:eastAsia="仿宋" w:cs="仿宋"/>
          <w:b/>
          <w:kern w:val="0"/>
          <w:sz w:val="24"/>
          <w:highlight w:val="none"/>
        </w:rPr>
      </w:pPr>
    </w:p>
    <w:p w14:paraId="7D0E6E01">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3．磋商函格式</w:t>
      </w:r>
    </w:p>
    <w:p w14:paraId="5A633922">
      <w:pPr>
        <w:spacing w:line="480" w:lineRule="exact"/>
        <w:jc w:val="center"/>
        <w:rPr>
          <w:rFonts w:ascii="仿宋" w:hAnsi="仿宋" w:eastAsia="仿宋" w:cs="仿宋"/>
          <w:b/>
          <w:kern w:val="0"/>
          <w:sz w:val="24"/>
          <w:highlight w:val="none"/>
        </w:rPr>
      </w:pPr>
      <w:r>
        <w:rPr>
          <w:rFonts w:hint="eastAsia" w:ascii="仿宋" w:hAnsi="仿宋" w:eastAsia="仿宋" w:cs="仿宋"/>
          <w:b/>
          <w:kern w:val="0"/>
          <w:sz w:val="24"/>
          <w:highlight w:val="none"/>
        </w:rPr>
        <w:t>磋  商  函</w:t>
      </w:r>
    </w:p>
    <w:p w14:paraId="5F700166">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u w:val="single"/>
        </w:rPr>
        <w:t xml:space="preserve"> 代理机构名称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8C948EC">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（供应商全称）</w:t>
      </w:r>
      <w:r>
        <w:rPr>
          <w:rFonts w:hint="eastAsia" w:ascii="仿宋" w:hAnsi="仿宋" w:eastAsia="仿宋" w:cs="仿宋"/>
          <w:kern w:val="0"/>
          <w:sz w:val="24"/>
          <w:highlight w:val="none"/>
        </w:rPr>
        <w:t>授权</w:t>
      </w:r>
      <w:r>
        <w:rPr>
          <w:rFonts w:hint="eastAsia" w:ascii="仿宋" w:hAnsi="仿宋" w:eastAsia="仿宋" w:cs="仿宋"/>
          <w:kern w:val="0"/>
          <w:sz w:val="24"/>
          <w:highlight w:val="none"/>
          <w:u w:val="single"/>
        </w:rPr>
        <w:t xml:space="preserve">            （供应商授权代表姓名、职务)</w:t>
      </w:r>
      <w:r>
        <w:rPr>
          <w:rFonts w:hint="eastAsia" w:ascii="仿宋" w:hAnsi="仿宋" w:eastAsia="仿宋" w:cs="仿宋"/>
          <w:kern w:val="0"/>
          <w:sz w:val="24"/>
          <w:highlight w:val="none"/>
        </w:rPr>
        <w:t>为我方代表，参加贵方组织的</w:t>
      </w:r>
      <w:r>
        <w:rPr>
          <w:rFonts w:hint="eastAsia" w:ascii="仿宋" w:hAnsi="仿宋" w:eastAsia="仿宋" w:cs="仿宋"/>
          <w:kern w:val="0"/>
          <w:sz w:val="24"/>
          <w:highlight w:val="none"/>
          <w:u w:val="single"/>
        </w:rPr>
        <w:t xml:space="preserve">               （项目名称）           （项目编号</w:t>
      </w:r>
      <w:r>
        <w:rPr>
          <w:rFonts w:hint="eastAsia" w:ascii="仿宋" w:hAnsi="仿宋" w:eastAsia="仿宋" w:cs="仿宋"/>
          <w:kern w:val="0"/>
          <w:sz w:val="24"/>
          <w:highlight w:val="none"/>
          <w:u w:val="single"/>
          <w:lang w:eastAsia="zh-CN"/>
        </w:rPr>
        <w:t>、</w:t>
      </w:r>
      <w:r>
        <w:rPr>
          <w:rFonts w:hint="eastAsia" w:ascii="仿宋" w:hAnsi="仿宋" w:eastAsia="仿宋" w:cs="仿宋"/>
          <w:kern w:val="0"/>
          <w:sz w:val="24"/>
          <w:highlight w:val="none"/>
          <w:u w:val="single"/>
          <w:lang w:val="en-US" w:eastAsia="zh-CN"/>
        </w:rPr>
        <w:t>包号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磋商的有关活动，并对此项目进行报价。为此：</w:t>
      </w:r>
    </w:p>
    <w:p w14:paraId="41E98C12">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1．我方同意在本项目响应文件中规定的响应文件提交截止之日起90个日历天内遵守本响应文件中的承诺且在此期限期满之前均具有约束力。</w:t>
      </w:r>
    </w:p>
    <w:p w14:paraId="642FC63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2．我方承诺已经具备《中华人民共和国政府采购法》</w:t>
      </w:r>
      <w:r>
        <w:rPr>
          <w:rFonts w:hint="eastAsia" w:ascii="仿宋" w:hAnsi="仿宋" w:eastAsia="仿宋" w:cs="仿宋"/>
          <w:sz w:val="24"/>
          <w:highlight w:val="none"/>
        </w:rPr>
        <w:t>、</w:t>
      </w:r>
      <w:r>
        <w:rPr>
          <w:rFonts w:hint="eastAsia" w:ascii="仿宋" w:hAnsi="仿宋" w:eastAsia="仿宋" w:cs="仿宋"/>
          <w:kern w:val="0"/>
          <w:sz w:val="24"/>
          <w:highlight w:val="none"/>
        </w:rPr>
        <w:t>《政府采购竞争性磋商采购方式管理暂行办法》中规定的参加采购活动的供应商应当具备的全部条件。</w:t>
      </w:r>
    </w:p>
    <w:p w14:paraId="693B1AE5">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3．提供供应商须知规定的全部响应文件。</w:t>
      </w:r>
    </w:p>
    <w:p w14:paraId="27CF1E7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4．按响应文件要求提供和交付的货物和服务的报价详见报价一览表。</w:t>
      </w:r>
    </w:p>
    <w:p w14:paraId="7CC6BC58">
      <w:pPr>
        <w:tabs>
          <w:tab w:val="left" w:pos="1680"/>
        </w:tabs>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5．我方承诺：完全理解并接受磋商报价超过预算金额时，磋商将被拒绝。</w:t>
      </w:r>
    </w:p>
    <w:p w14:paraId="3F75E744">
      <w:pPr>
        <w:tabs>
          <w:tab w:val="left" w:pos="1680"/>
        </w:tabs>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6．保证忠实地执行双方所签订的合同，并承担合同规定的责任和义务。</w:t>
      </w:r>
    </w:p>
    <w:p w14:paraId="205E90D1">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7．承诺完全满足和响应磋商文件中的各项商务和技术要求，若有偏差，已在响应文件商务和技术条款偏离表中予以明确特别说明。</w:t>
      </w:r>
    </w:p>
    <w:p w14:paraId="2EB4DB1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8．保证遵守磋商文件的规定。</w:t>
      </w:r>
    </w:p>
    <w:p w14:paraId="151CE58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9．如果在规定的响应文件有效期内撤回响应文件，我方的磋商保证金可被贵方没收。</w:t>
      </w:r>
    </w:p>
    <w:p w14:paraId="30FFEBA7">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10．我方完全理解贵方不接受可选择性报价。</w:t>
      </w:r>
    </w:p>
    <w:p w14:paraId="5775541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11．我方愿意向贵方提供任何与本项磋商有关的数据、情况和技术资料。若贵方需要，我方愿意提供我方做出的一切承诺的证明材料。</w:t>
      </w:r>
    </w:p>
    <w:p w14:paraId="6364B933">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12．我方已详细审核全部响应文件，包括响应文件修改书（如有的话）、参考资料及有关附件，确认无误。</w:t>
      </w:r>
    </w:p>
    <w:p w14:paraId="075D568A">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13．我方承诺：采购人若需追加采购本项目响应文件所列货物及相关服务的，在不改变合同其他实质性条款的前提下，按相同或更优惠的折扣并保证供货质量。</w:t>
      </w:r>
    </w:p>
    <w:p w14:paraId="5BF1A5D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14．我方承诺接受磋商文件中《采购合同范本》的全部条款且无任何异议。</w:t>
      </w:r>
    </w:p>
    <w:p w14:paraId="3EA008AA">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15．我方将严格遵守《中华人民共和国政府采购法》</w:t>
      </w:r>
      <w:r>
        <w:rPr>
          <w:rFonts w:hint="eastAsia" w:ascii="仿宋" w:hAnsi="仿宋" w:eastAsia="仿宋" w:cs="仿宋"/>
          <w:sz w:val="24"/>
          <w:highlight w:val="none"/>
        </w:rPr>
        <w:t>、</w:t>
      </w:r>
      <w:r>
        <w:rPr>
          <w:rFonts w:hint="eastAsia" w:ascii="仿宋" w:hAnsi="仿宋" w:eastAsia="仿宋" w:cs="仿宋"/>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67BD247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（1）提供虚假材料谋取成交、成交的；</w:t>
      </w:r>
    </w:p>
    <w:p w14:paraId="6369606D">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（2）采取不正当手段诋毁、排挤其他供应商的；</w:t>
      </w:r>
    </w:p>
    <w:p w14:paraId="274527A5">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（3）与采购人、其它供应商或者代理机构工作人员恶意串通的；</w:t>
      </w:r>
    </w:p>
    <w:p w14:paraId="5FCFD49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（4）向采购人、代理机构工作人员行贿或者提供其他不正当利益的；</w:t>
      </w:r>
    </w:p>
    <w:p w14:paraId="0DB8B956">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（5）响应文件提交截止时间后撤回响应文件的；</w:t>
      </w:r>
    </w:p>
    <w:p w14:paraId="3E6526D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（6）在磋商期间，影响代理机构或磋商小组正常履行职责的；</w:t>
      </w:r>
    </w:p>
    <w:p w14:paraId="3CFA1D9F">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（7）未经代理机构同意，在采购过程中与采购人进行协商磋商的；</w:t>
      </w:r>
    </w:p>
    <w:p w14:paraId="44BB60E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（8）成交后未按磋商文件、响应文件及相关承诺规定签约或与采购人订立背离合同实质性内容的其它协议的；</w:t>
      </w:r>
    </w:p>
    <w:p w14:paraId="5A1574CD">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（9）未按磋商文件规定和合同约定履行义务的；</w:t>
      </w:r>
    </w:p>
    <w:p w14:paraId="616E476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（10）拒绝有关部门监督检查或提供虚假情况的；</w:t>
      </w:r>
    </w:p>
    <w:p w14:paraId="57384934">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（11）违反法律法规规定的其他行为。</w:t>
      </w:r>
    </w:p>
    <w:p w14:paraId="7924742A">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所有有关本磋商项目的一切往来联系方式为：</w:t>
      </w:r>
    </w:p>
    <w:p w14:paraId="06C09219">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地址：</w:t>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                            邮编：</w:t>
      </w:r>
      <w:r>
        <w:rPr>
          <w:rFonts w:hint="eastAsia" w:ascii="仿宋" w:hAnsi="仿宋" w:eastAsia="仿宋" w:cs="仿宋"/>
          <w:kern w:val="0"/>
          <w:sz w:val="24"/>
          <w:highlight w:val="none"/>
        </w:rPr>
        <w:tab/>
      </w:r>
    </w:p>
    <w:p w14:paraId="62B7EF95">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                            传真：</w:t>
      </w:r>
    </w:p>
    <w:p w14:paraId="261F6CE9">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供应商授权代表姓名：</w:t>
      </w:r>
    </w:p>
    <w:p w14:paraId="76BEEDA4">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供应商授权代表联系电话：                （办公）         （移动）</w:t>
      </w:r>
    </w:p>
    <w:p w14:paraId="67D9DD5B">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E-mail:</w:t>
      </w:r>
    </w:p>
    <w:p w14:paraId="5FD8C1C9">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0997194D">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54798392">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日　期：</w:t>
      </w:r>
    </w:p>
    <w:p w14:paraId="1A2E51ED">
      <w:pPr>
        <w:snapToGrid w:val="0"/>
        <w:spacing w:line="360" w:lineRule="auto"/>
        <w:jc w:val="left"/>
        <w:rPr>
          <w:highlight w:val="none"/>
        </w:rPr>
      </w:pPr>
      <w:r>
        <w:rPr>
          <w:rFonts w:hint="eastAsia" w:ascii="仿宋" w:hAnsi="仿宋" w:eastAsia="仿宋" w:cs="仿宋"/>
          <w:b/>
          <w:bCs/>
          <w:kern w:val="0"/>
          <w:sz w:val="24"/>
          <w:highlight w:val="none"/>
        </w:rPr>
        <w:t>注：除可填报项目外，对本磋商函内容的修改将被视为非实质性响应，从而导致该响应文件无效。</w:t>
      </w:r>
    </w:p>
    <w:p w14:paraId="59872B24">
      <w:pPr>
        <w:tabs>
          <w:tab w:val="left" w:pos="567"/>
        </w:tabs>
        <w:snapToGrid w:val="0"/>
        <w:spacing w:line="360" w:lineRule="auto"/>
        <w:jc w:val="left"/>
        <w:rPr>
          <w:rFonts w:hint="eastAsia" w:ascii="仿宋" w:hAnsi="仿宋" w:eastAsia="仿宋" w:cs="仿宋"/>
          <w:b/>
          <w:kern w:val="0"/>
          <w:sz w:val="24"/>
          <w:highlight w:val="none"/>
        </w:rPr>
      </w:pPr>
    </w:p>
    <w:p w14:paraId="0E8D18A5">
      <w:pPr>
        <w:tabs>
          <w:tab w:val="left" w:pos="567"/>
        </w:tabs>
        <w:snapToGrid w:val="0"/>
        <w:spacing w:line="360" w:lineRule="auto"/>
        <w:jc w:val="left"/>
        <w:rPr>
          <w:rFonts w:hint="eastAsia" w:ascii="仿宋" w:hAnsi="仿宋" w:eastAsia="仿宋" w:cs="仿宋"/>
          <w:b/>
          <w:kern w:val="0"/>
          <w:sz w:val="24"/>
          <w:highlight w:val="none"/>
        </w:rPr>
      </w:pPr>
    </w:p>
    <w:p w14:paraId="151C9F44">
      <w:pPr>
        <w:tabs>
          <w:tab w:val="left" w:pos="567"/>
        </w:tabs>
        <w:snapToGrid w:val="0"/>
        <w:spacing w:line="360" w:lineRule="auto"/>
        <w:jc w:val="left"/>
        <w:rPr>
          <w:rFonts w:hint="eastAsia" w:ascii="仿宋" w:hAnsi="仿宋" w:eastAsia="仿宋" w:cs="仿宋"/>
          <w:b/>
          <w:kern w:val="0"/>
          <w:sz w:val="24"/>
          <w:highlight w:val="none"/>
        </w:rPr>
      </w:pPr>
    </w:p>
    <w:p w14:paraId="2264EFE0">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4．报价一览表</w:t>
      </w:r>
    </w:p>
    <w:p w14:paraId="3589D534">
      <w:pPr>
        <w:widowControl/>
        <w:spacing w:line="330" w:lineRule="atLeast"/>
        <w:jc w:val="left"/>
        <w:rPr>
          <w:rFonts w:ascii="仿宋" w:hAnsi="仿宋" w:eastAsia="仿宋" w:cs="仿宋"/>
          <w:b/>
          <w:kern w:val="0"/>
          <w:sz w:val="24"/>
          <w:highlight w:val="none"/>
        </w:rPr>
      </w:pPr>
    </w:p>
    <w:p w14:paraId="11EF89E2">
      <w:pPr>
        <w:jc w:val="center"/>
        <w:rPr>
          <w:rFonts w:ascii="仿宋" w:hAnsi="仿宋" w:eastAsia="仿宋" w:cs="仿宋"/>
          <w:sz w:val="24"/>
          <w:highlight w:val="none"/>
        </w:rPr>
      </w:pPr>
      <w:r>
        <w:rPr>
          <w:rFonts w:hint="eastAsia" w:ascii="仿宋" w:hAnsi="仿宋" w:eastAsia="仿宋" w:cs="仿宋"/>
          <w:b/>
          <w:bCs/>
          <w:sz w:val="24"/>
          <w:highlight w:val="none"/>
        </w:rPr>
        <w:t>报价一览表</w:t>
      </w:r>
    </w:p>
    <w:p w14:paraId="3A89B03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项目名称： </w:t>
      </w:r>
    </w:p>
    <w:p w14:paraId="4AFE783A">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t>
      </w:r>
    </w:p>
    <w:p w14:paraId="64626360">
      <w:pPr>
        <w:pStyle w:val="12"/>
        <w:rPr>
          <w:rFonts w:hint="eastAsia" w:eastAsia="仿宋"/>
          <w:highlight w:val="none"/>
          <w:lang w:val="en-US" w:eastAsia="zh-CN"/>
        </w:rPr>
      </w:pPr>
      <w:r>
        <w:rPr>
          <w:rFonts w:hint="eastAsia" w:ascii="仿宋" w:hAnsi="仿宋" w:eastAsia="仿宋" w:cs="仿宋"/>
          <w:sz w:val="24"/>
          <w:highlight w:val="none"/>
          <w:lang w:val="en-US" w:eastAsia="zh-CN"/>
        </w:rPr>
        <w:t>包    号：</w:t>
      </w:r>
    </w:p>
    <w:p w14:paraId="0B524913">
      <w:pPr>
        <w:tabs>
          <w:tab w:val="left" w:pos="2068"/>
        </w:tabs>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ab/>
      </w:r>
    </w:p>
    <w:tbl>
      <w:tblPr>
        <w:tblStyle w:val="78"/>
        <w:tblW w:w="8967"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7"/>
        <w:gridCol w:w="7210"/>
      </w:tblGrid>
      <w:tr w14:paraId="6C6D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57" w:type="dxa"/>
            <w:vAlign w:val="top"/>
          </w:tcPr>
          <w:p w14:paraId="2D8AF028">
            <w:pPr>
              <w:pStyle w:val="77"/>
              <w:spacing w:before="259" w:line="222" w:lineRule="auto"/>
              <w:jc w:val="right"/>
              <w:rPr>
                <w:sz w:val="24"/>
                <w:szCs w:val="24"/>
              </w:rPr>
            </w:pPr>
            <w:r>
              <w:rPr>
                <w:spacing w:val="-10"/>
                <w:sz w:val="24"/>
                <w:szCs w:val="24"/>
              </w:rPr>
              <w:t>总报价（含税）</w:t>
            </w:r>
          </w:p>
        </w:tc>
        <w:tc>
          <w:tcPr>
            <w:tcW w:w="7210" w:type="dxa"/>
            <w:vAlign w:val="top"/>
          </w:tcPr>
          <w:p w14:paraId="1F771EE7">
            <w:pPr>
              <w:pStyle w:val="77"/>
              <w:spacing w:before="259" w:line="224" w:lineRule="auto"/>
              <w:ind w:left="125"/>
              <w:rPr>
                <w:sz w:val="24"/>
                <w:szCs w:val="24"/>
              </w:rPr>
            </w:pPr>
            <w:r>
              <w:rPr>
                <w:spacing w:val="-6"/>
                <w:sz w:val="24"/>
                <w:szCs w:val="24"/>
              </w:rPr>
              <w:t>（大写</w:t>
            </w:r>
            <w:r>
              <w:rPr>
                <w:spacing w:val="-15"/>
                <w:sz w:val="24"/>
                <w:szCs w:val="24"/>
              </w:rPr>
              <w:t>）</w:t>
            </w:r>
            <w:r>
              <w:rPr>
                <w:spacing w:val="6"/>
                <w:sz w:val="24"/>
                <w:szCs w:val="24"/>
                <w:u w:val="single" w:color="auto"/>
              </w:rPr>
              <w:t xml:space="preserve">                   </w:t>
            </w:r>
            <w:r>
              <w:rPr>
                <w:spacing w:val="-15"/>
                <w:sz w:val="24"/>
                <w:szCs w:val="24"/>
              </w:rPr>
              <w:t>（</w:t>
            </w:r>
            <w:r>
              <w:rPr>
                <w:spacing w:val="-6"/>
                <w:sz w:val="24"/>
                <w:szCs w:val="24"/>
              </w:rPr>
              <w:t>小写）</w:t>
            </w:r>
            <w:r>
              <w:rPr>
                <w:rFonts w:ascii="Arial" w:hAnsi="Arial" w:eastAsia="Arial" w:cs="Arial"/>
                <w:spacing w:val="-6"/>
                <w:sz w:val="24"/>
                <w:szCs w:val="24"/>
              </w:rPr>
              <w:t>¥</w:t>
            </w:r>
            <w:r>
              <w:rPr>
                <w:spacing w:val="-6"/>
                <w:sz w:val="24"/>
                <w:szCs w:val="24"/>
              </w:rPr>
              <w:t>:</w:t>
            </w:r>
            <w:r>
              <w:rPr>
                <w:spacing w:val="60"/>
                <w:sz w:val="24"/>
                <w:szCs w:val="24"/>
              </w:rPr>
              <w:t xml:space="preserve"> </w:t>
            </w:r>
            <w:r>
              <w:rPr>
                <w:sz w:val="24"/>
                <w:szCs w:val="24"/>
                <w:u w:val="single" w:color="auto"/>
              </w:rPr>
              <w:t xml:space="preserve">        </w:t>
            </w:r>
          </w:p>
        </w:tc>
      </w:tr>
      <w:tr w14:paraId="36D5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757" w:type="dxa"/>
            <w:vAlign w:val="top"/>
          </w:tcPr>
          <w:p w14:paraId="7F4F49CD">
            <w:pPr>
              <w:pStyle w:val="77"/>
              <w:spacing w:before="135" w:line="361" w:lineRule="auto"/>
              <w:ind w:left="175" w:right="157" w:firstLine="1"/>
              <w:rPr>
                <w:sz w:val="24"/>
                <w:szCs w:val="24"/>
              </w:rPr>
            </w:pPr>
            <w:r>
              <w:rPr>
                <w:spacing w:val="-4"/>
                <w:sz w:val="24"/>
                <w:szCs w:val="24"/>
              </w:rPr>
              <w:t>合同履约期限（服务期限）</w:t>
            </w:r>
          </w:p>
        </w:tc>
        <w:tc>
          <w:tcPr>
            <w:tcW w:w="7210" w:type="dxa"/>
            <w:vAlign w:val="top"/>
          </w:tcPr>
          <w:p w14:paraId="3C237FF4">
            <w:pPr>
              <w:rPr>
                <w:rFonts w:ascii="Arial"/>
                <w:sz w:val="21"/>
              </w:rPr>
            </w:pPr>
          </w:p>
        </w:tc>
      </w:tr>
      <w:tr w14:paraId="0650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3301EA">
            <w:pPr>
              <w:pStyle w:val="77"/>
              <w:spacing w:before="291" w:line="222" w:lineRule="auto"/>
              <w:ind w:left="410"/>
              <w:rPr>
                <w:sz w:val="24"/>
                <w:szCs w:val="24"/>
              </w:rPr>
            </w:pPr>
            <w:r>
              <w:rPr>
                <w:spacing w:val="-4"/>
                <w:sz w:val="24"/>
                <w:szCs w:val="24"/>
              </w:rPr>
              <w:t>服务地点</w:t>
            </w:r>
          </w:p>
        </w:tc>
        <w:tc>
          <w:tcPr>
            <w:tcW w:w="7210" w:type="dxa"/>
            <w:vAlign w:val="top"/>
          </w:tcPr>
          <w:p w14:paraId="6822A738">
            <w:pPr>
              <w:rPr>
                <w:rFonts w:ascii="Arial"/>
                <w:sz w:val="21"/>
              </w:rPr>
            </w:pPr>
          </w:p>
        </w:tc>
      </w:tr>
      <w:tr w14:paraId="1FCB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AA8818">
            <w:pPr>
              <w:pStyle w:val="77"/>
              <w:spacing w:before="292" w:line="222" w:lineRule="auto"/>
              <w:ind w:left="410"/>
              <w:rPr>
                <w:sz w:val="24"/>
                <w:szCs w:val="24"/>
              </w:rPr>
            </w:pPr>
            <w:bookmarkStart w:id="73" w:name="_GoBack"/>
            <w:r>
              <w:rPr>
                <w:spacing w:val="-4"/>
                <w:sz w:val="24"/>
                <w:szCs w:val="24"/>
              </w:rPr>
              <w:t>服务标准</w:t>
            </w:r>
            <w:bookmarkEnd w:id="73"/>
          </w:p>
        </w:tc>
        <w:tc>
          <w:tcPr>
            <w:tcW w:w="7210" w:type="dxa"/>
            <w:vAlign w:val="top"/>
          </w:tcPr>
          <w:p w14:paraId="72A7F9E9">
            <w:pPr>
              <w:rPr>
                <w:rFonts w:ascii="Arial"/>
                <w:sz w:val="21"/>
              </w:rPr>
            </w:pPr>
          </w:p>
        </w:tc>
      </w:tr>
      <w:tr w14:paraId="7D68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209B3393">
            <w:pPr>
              <w:pStyle w:val="77"/>
              <w:spacing w:before="291" w:line="224" w:lineRule="auto"/>
              <w:ind w:left="652"/>
              <w:rPr>
                <w:sz w:val="24"/>
                <w:szCs w:val="24"/>
              </w:rPr>
            </w:pPr>
            <w:r>
              <w:rPr>
                <w:spacing w:val="-9"/>
                <w:sz w:val="24"/>
                <w:szCs w:val="24"/>
              </w:rPr>
              <w:t>备注</w:t>
            </w:r>
          </w:p>
        </w:tc>
        <w:tc>
          <w:tcPr>
            <w:tcW w:w="7210" w:type="dxa"/>
            <w:vAlign w:val="top"/>
          </w:tcPr>
          <w:p w14:paraId="130E410E">
            <w:pPr>
              <w:pStyle w:val="77"/>
              <w:spacing w:before="291" w:line="222" w:lineRule="auto"/>
              <w:ind w:left="127"/>
              <w:rPr>
                <w:sz w:val="24"/>
                <w:szCs w:val="24"/>
              </w:rPr>
            </w:pPr>
            <w:r>
              <w:rPr>
                <w:spacing w:val="1"/>
                <w:sz w:val="24"/>
                <w:szCs w:val="24"/>
              </w:rPr>
              <w:t>响应文件的有效期为90</w:t>
            </w:r>
            <w:r>
              <w:rPr>
                <w:spacing w:val="-40"/>
                <w:sz w:val="24"/>
                <w:szCs w:val="24"/>
              </w:rPr>
              <w:t xml:space="preserve"> </w:t>
            </w:r>
            <w:r>
              <w:rPr>
                <w:spacing w:val="1"/>
                <w:sz w:val="24"/>
                <w:szCs w:val="24"/>
              </w:rPr>
              <w:t>个日历天</w:t>
            </w:r>
          </w:p>
        </w:tc>
      </w:tr>
    </w:tbl>
    <w:p w14:paraId="7893C85F">
      <w:pPr>
        <w:tabs>
          <w:tab w:val="left" w:pos="2068"/>
        </w:tabs>
        <w:rPr>
          <w:rFonts w:hint="eastAsia" w:ascii="仿宋" w:hAnsi="仿宋" w:eastAsia="仿宋" w:cs="仿宋"/>
          <w:sz w:val="24"/>
          <w:highlight w:val="none"/>
          <w:lang w:eastAsia="zh-CN"/>
        </w:rPr>
      </w:pPr>
    </w:p>
    <w:p w14:paraId="6553F58B">
      <w:pPr>
        <w:rPr>
          <w:rFonts w:hint="eastAsia" w:ascii="仿宋" w:hAnsi="仿宋" w:eastAsia="仿宋" w:cs="仿宋"/>
          <w:b/>
          <w:bCs/>
          <w:sz w:val="24"/>
          <w:highlight w:val="none"/>
        </w:rPr>
      </w:pPr>
      <w:r>
        <w:rPr>
          <w:rFonts w:hint="eastAsia" w:ascii="仿宋" w:hAnsi="仿宋" w:eastAsia="仿宋" w:cs="仿宋"/>
          <w:b/>
          <w:bCs/>
          <w:sz w:val="24"/>
          <w:highlight w:val="none"/>
        </w:rPr>
        <w:t>注：1.报价包含用于与本项目服务相关的一切费用。</w:t>
      </w:r>
    </w:p>
    <w:p w14:paraId="18192741">
      <w:pPr>
        <w:rPr>
          <w:rFonts w:hint="eastAsia" w:ascii="仿宋" w:hAnsi="仿宋" w:eastAsia="仿宋" w:cs="仿宋"/>
          <w:b/>
          <w:bCs/>
          <w:sz w:val="24"/>
          <w:highlight w:val="none"/>
        </w:rPr>
      </w:pPr>
      <w:r>
        <w:rPr>
          <w:rFonts w:hint="eastAsia" w:ascii="仿宋" w:hAnsi="仿宋" w:eastAsia="仿宋" w:cs="仿宋"/>
          <w:b/>
          <w:bCs/>
          <w:sz w:val="24"/>
          <w:highlight w:val="none"/>
        </w:rPr>
        <w:t>2.响应报价均以人民币报价，小数点后保留两位小数。</w:t>
      </w:r>
    </w:p>
    <w:p w14:paraId="27913AE2">
      <w:pP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总价高于最高限价的报价作无效标处理。</w:t>
      </w:r>
    </w:p>
    <w:p w14:paraId="682367DC">
      <w:pPr>
        <w:rPr>
          <w:rFonts w:ascii="仿宋" w:hAnsi="仿宋" w:eastAsia="仿宋" w:cs="仿宋"/>
          <w:sz w:val="24"/>
          <w:highlight w:val="none"/>
        </w:rPr>
      </w:pPr>
    </w:p>
    <w:p w14:paraId="30D2C884">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43941119">
      <w:pPr>
        <w:tabs>
          <w:tab w:val="left" w:pos="376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3951E341">
      <w:pPr>
        <w:snapToGrid w:val="0"/>
        <w:spacing w:line="480" w:lineRule="auto"/>
        <w:ind w:firstLine="1680" w:firstLineChars="700"/>
        <w:rPr>
          <w:rFonts w:hint="eastAsia" w:ascii="仿宋" w:hAnsi="仿宋" w:eastAsia="仿宋" w:cs="仿宋"/>
          <w:sz w:val="24"/>
          <w:highlight w:val="none"/>
        </w:rPr>
      </w:pPr>
      <w:r>
        <w:rPr>
          <w:rFonts w:hint="eastAsia" w:ascii="仿宋" w:hAnsi="仿宋" w:eastAsia="仿宋" w:cs="仿宋"/>
          <w:sz w:val="24"/>
          <w:highlight w:val="none"/>
        </w:rPr>
        <w:t>日     期：</w:t>
      </w:r>
    </w:p>
    <w:p w14:paraId="24E20DE2">
      <w:pPr>
        <w:rPr>
          <w:rFonts w:hint="eastAsia" w:ascii="仿宋" w:hAnsi="仿宋" w:eastAsia="仿宋" w:cs="仿宋"/>
          <w:sz w:val="24"/>
          <w:highlight w:val="none"/>
        </w:rPr>
      </w:pPr>
      <w:r>
        <w:rPr>
          <w:rFonts w:hint="eastAsia" w:ascii="仿宋" w:hAnsi="仿宋" w:eastAsia="仿宋" w:cs="仿宋"/>
          <w:sz w:val="24"/>
          <w:highlight w:val="none"/>
        </w:rPr>
        <w:br w:type="page"/>
      </w:r>
    </w:p>
    <w:p w14:paraId="403ED435">
      <w:pPr>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分项报价表</w:t>
      </w:r>
    </w:p>
    <w:p w14:paraId="1CC77814">
      <w:pPr>
        <w:jc w:val="center"/>
        <w:rPr>
          <w:rFonts w:hint="eastAsia" w:ascii="仿宋" w:hAnsi="仿宋" w:eastAsia="仿宋" w:cs="仿宋"/>
          <w:b/>
          <w:bCs/>
          <w:sz w:val="24"/>
          <w:highlight w:val="none"/>
          <w:lang w:val="en-US" w:eastAsia="zh-CN"/>
        </w:rPr>
      </w:pP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380"/>
        <w:gridCol w:w="1370"/>
        <w:gridCol w:w="1370"/>
        <w:gridCol w:w="1382"/>
        <w:gridCol w:w="1382"/>
        <w:gridCol w:w="1625"/>
      </w:tblGrid>
      <w:tr w14:paraId="2CE7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19D5DDFA">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380" w:type="dxa"/>
            <w:noWrap w:val="0"/>
            <w:vAlign w:val="center"/>
          </w:tcPr>
          <w:p w14:paraId="7BDA2116">
            <w:pPr>
              <w:tabs>
                <w:tab w:val="center" w:pos="1445"/>
                <w:tab w:val="right" w:pos="2771"/>
              </w:tabs>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1370" w:type="dxa"/>
            <w:noWrap w:val="0"/>
            <w:vAlign w:val="center"/>
          </w:tcPr>
          <w:p w14:paraId="2C433D80">
            <w:pPr>
              <w:tabs>
                <w:tab w:val="right" w:pos="2771"/>
              </w:tabs>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人数</w:t>
            </w:r>
          </w:p>
        </w:tc>
        <w:tc>
          <w:tcPr>
            <w:tcW w:w="1370" w:type="dxa"/>
            <w:noWrap w:val="0"/>
            <w:vAlign w:val="center"/>
          </w:tcPr>
          <w:p w14:paraId="52D424C7">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82" w:type="dxa"/>
            <w:noWrap w:val="0"/>
            <w:vAlign w:val="center"/>
          </w:tcPr>
          <w:p w14:paraId="0F2ADD82">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单价（元）</w:t>
            </w:r>
          </w:p>
        </w:tc>
        <w:tc>
          <w:tcPr>
            <w:tcW w:w="1382" w:type="dxa"/>
            <w:noWrap w:val="0"/>
            <w:vAlign w:val="center"/>
          </w:tcPr>
          <w:p w14:paraId="1995583C">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合计（元）</w:t>
            </w:r>
          </w:p>
        </w:tc>
        <w:tc>
          <w:tcPr>
            <w:tcW w:w="1625" w:type="dxa"/>
            <w:noWrap w:val="0"/>
            <w:vAlign w:val="center"/>
          </w:tcPr>
          <w:p w14:paraId="346EA431">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3900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638B20C4">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380" w:type="dxa"/>
            <w:noWrap w:val="0"/>
            <w:vAlign w:val="center"/>
          </w:tcPr>
          <w:p w14:paraId="1374E40D">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3D2C92FA">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3123F908">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323964BE">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1E2328E2">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5548C64A">
            <w:pPr>
              <w:adjustRightInd w:val="0"/>
              <w:snapToGrid w:val="0"/>
              <w:ind w:right="105" w:rightChars="50"/>
              <w:jc w:val="center"/>
              <w:rPr>
                <w:rFonts w:hint="eastAsia" w:ascii="仿宋" w:hAnsi="仿宋" w:eastAsia="仿宋" w:cs="仿宋"/>
                <w:color w:val="auto"/>
                <w:sz w:val="24"/>
                <w:szCs w:val="24"/>
                <w:highlight w:val="none"/>
              </w:rPr>
            </w:pPr>
          </w:p>
        </w:tc>
      </w:tr>
      <w:tr w14:paraId="506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46BF8E41">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380" w:type="dxa"/>
            <w:noWrap w:val="0"/>
            <w:vAlign w:val="center"/>
          </w:tcPr>
          <w:p w14:paraId="3C198A1F">
            <w:pPr>
              <w:adjustRightInd w:val="0"/>
              <w:snapToGrid w:val="0"/>
              <w:ind w:right="105" w:rightChars="50"/>
              <w:jc w:val="center"/>
              <w:rPr>
                <w:rFonts w:hint="eastAsia" w:ascii="仿宋" w:hAnsi="仿宋" w:eastAsia="仿宋" w:cs="仿宋"/>
                <w:color w:val="auto"/>
                <w:sz w:val="24"/>
                <w:szCs w:val="24"/>
                <w:highlight w:val="none"/>
                <w:lang w:val="en-US" w:eastAsia="zh-CN"/>
              </w:rPr>
            </w:pPr>
          </w:p>
        </w:tc>
        <w:tc>
          <w:tcPr>
            <w:tcW w:w="1370" w:type="dxa"/>
            <w:noWrap w:val="0"/>
            <w:vAlign w:val="center"/>
          </w:tcPr>
          <w:p w14:paraId="6FE8F646">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18314B50">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584F8F6E">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2D06758B">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2E69DF85">
            <w:pPr>
              <w:adjustRightInd w:val="0"/>
              <w:snapToGrid w:val="0"/>
              <w:ind w:right="105" w:rightChars="50"/>
              <w:jc w:val="center"/>
              <w:rPr>
                <w:rFonts w:hint="eastAsia" w:ascii="仿宋" w:hAnsi="仿宋" w:eastAsia="仿宋" w:cs="仿宋"/>
                <w:color w:val="auto"/>
                <w:sz w:val="24"/>
                <w:szCs w:val="24"/>
                <w:highlight w:val="none"/>
              </w:rPr>
            </w:pPr>
          </w:p>
        </w:tc>
      </w:tr>
      <w:tr w14:paraId="59AD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329847E3">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380" w:type="dxa"/>
            <w:noWrap w:val="0"/>
            <w:vAlign w:val="center"/>
          </w:tcPr>
          <w:p w14:paraId="3B21D7AD">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1E04B93C">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24623684">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78E0BF0F">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33C2F8AD">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6C3F0CCA">
            <w:pPr>
              <w:adjustRightInd w:val="0"/>
              <w:snapToGrid w:val="0"/>
              <w:ind w:right="105" w:rightChars="50"/>
              <w:jc w:val="center"/>
              <w:rPr>
                <w:rFonts w:hint="eastAsia" w:ascii="仿宋" w:hAnsi="仿宋" w:eastAsia="仿宋" w:cs="仿宋"/>
                <w:color w:val="auto"/>
                <w:sz w:val="24"/>
                <w:szCs w:val="24"/>
                <w:highlight w:val="none"/>
              </w:rPr>
            </w:pPr>
          </w:p>
        </w:tc>
      </w:tr>
      <w:tr w14:paraId="5D3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08" w:type="dxa"/>
            <w:gridSpan w:val="2"/>
            <w:noWrap w:val="0"/>
            <w:vAlign w:val="center"/>
          </w:tcPr>
          <w:p w14:paraId="5D8DF846">
            <w:pPr>
              <w:adjustRightInd w:val="0"/>
              <w:snapToGrid w:val="0"/>
              <w:ind w:right="105" w:rightChars="5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总价（元）</w:t>
            </w:r>
          </w:p>
        </w:tc>
        <w:tc>
          <w:tcPr>
            <w:tcW w:w="5504" w:type="dxa"/>
            <w:gridSpan w:val="4"/>
            <w:noWrap w:val="0"/>
            <w:vAlign w:val="center"/>
          </w:tcPr>
          <w:p w14:paraId="082905A3">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18030E1B">
            <w:pPr>
              <w:adjustRightInd w:val="0"/>
              <w:snapToGrid w:val="0"/>
              <w:ind w:right="105" w:rightChars="50"/>
              <w:jc w:val="center"/>
              <w:rPr>
                <w:rFonts w:hint="eastAsia" w:ascii="仿宋" w:hAnsi="仿宋" w:eastAsia="仿宋" w:cs="仿宋"/>
                <w:color w:val="auto"/>
                <w:sz w:val="24"/>
                <w:szCs w:val="24"/>
                <w:highlight w:val="none"/>
              </w:rPr>
            </w:pPr>
          </w:p>
        </w:tc>
      </w:tr>
    </w:tbl>
    <w:p w14:paraId="179E7114">
      <w:pPr>
        <w:widowControl/>
        <w:tabs>
          <w:tab w:val="left" w:pos="4000"/>
        </w:tabs>
        <w:snapToGrid w:val="0"/>
        <w:spacing w:line="600" w:lineRule="exact"/>
        <w:ind w:left="480" w:leftChars="0" w:hanging="48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总价应和报价一览表的响应总价相一致。</w:t>
      </w:r>
    </w:p>
    <w:p w14:paraId="45027CB5">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.总报价需包含本项目所需一切费用；</w:t>
      </w:r>
    </w:p>
    <w:p w14:paraId="2C4E5889">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.供应商的报价不得超出该项目预算金额，否则按无效响应处理。</w:t>
      </w:r>
    </w:p>
    <w:p w14:paraId="6A0CC03D">
      <w:pPr>
        <w:widowControl/>
        <w:tabs>
          <w:tab w:val="left" w:pos="4000"/>
        </w:tabs>
        <w:snapToGrid w:val="0"/>
        <w:spacing w:line="600" w:lineRule="exact"/>
        <w:ind w:left="480" w:leftChars="0" w:firstLine="0" w:firstLineChars="0"/>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4.本表可根据实际情况进行拓展。</w:t>
      </w:r>
    </w:p>
    <w:p w14:paraId="059A235F">
      <w:pPr>
        <w:tabs>
          <w:tab w:val="left" w:pos="4000"/>
        </w:tabs>
        <w:snapToGrid w:val="0"/>
        <w:spacing w:line="480" w:lineRule="auto"/>
        <w:ind w:firstLine="1680" w:firstLineChars="700"/>
        <w:jc w:val="left"/>
        <w:rPr>
          <w:rFonts w:hint="eastAsia" w:ascii="仿宋" w:hAnsi="仿宋" w:eastAsia="仿宋" w:cs="仿宋"/>
          <w:kern w:val="0"/>
          <w:sz w:val="24"/>
          <w:highlight w:val="none"/>
        </w:rPr>
      </w:pPr>
    </w:p>
    <w:p w14:paraId="1F4F7EED">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A366A08">
      <w:pPr>
        <w:tabs>
          <w:tab w:val="left" w:pos="376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6A2C2DFF">
      <w:pPr>
        <w:snapToGrid w:val="0"/>
        <w:spacing w:line="480" w:lineRule="auto"/>
        <w:ind w:firstLine="1680" w:firstLineChars="700"/>
        <w:rPr>
          <w:rFonts w:hint="eastAsia" w:ascii="仿宋" w:hAnsi="仿宋" w:eastAsia="仿宋" w:cs="仿宋"/>
          <w:sz w:val="24"/>
          <w:highlight w:val="none"/>
        </w:rPr>
      </w:pPr>
      <w:r>
        <w:rPr>
          <w:rFonts w:hint="eastAsia" w:ascii="仿宋" w:hAnsi="仿宋" w:eastAsia="仿宋" w:cs="仿宋"/>
          <w:sz w:val="24"/>
          <w:highlight w:val="none"/>
        </w:rPr>
        <w:t>日     期：</w:t>
      </w:r>
    </w:p>
    <w:p w14:paraId="65D6E086">
      <w:pPr>
        <w:widowControl/>
        <w:tabs>
          <w:tab w:val="left" w:pos="4000"/>
        </w:tabs>
        <w:snapToGrid w:val="0"/>
        <w:spacing w:line="600" w:lineRule="exact"/>
        <w:ind w:left="480" w:leftChars="0" w:firstLine="0" w:firstLineChars="0"/>
        <w:jc w:val="left"/>
        <w:rPr>
          <w:rFonts w:hint="default" w:ascii="仿宋" w:hAnsi="仿宋" w:eastAsia="仿宋" w:cs="仿宋"/>
          <w:color w:val="auto"/>
          <w:kern w:val="0"/>
          <w:sz w:val="24"/>
          <w:highlight w:val="none"/>
          <w:lang w:val="en-US" w:eastAsia="zh-CN"/>
        </w:rPr>
      </w:pPr>
    </w:p>
    <w:p w14:paraId="0D2F370C">
      <w:pPr>
        <w:rPr>
          <w:rFonts w:ascii="仿宋" w:hAnsi="仿宋" w:eastAsia="仿宋" w:cs="仿宋"/>
          <w:b/>
          <w:bCs/>
          <w:sz w:val="24"/>
          <w:highlight w:val="none"/>
        </w:rPr>
      </w:pPr>
      <w:r>
        <w:rPr>
          <w:rFonts w:hint="eastAsia" w:ascii="仿宋" w:hAnsi="仿宋" w:eastAsia="仿宋" w:cs="仿宋"/>
          <w:b/>
          <w:bCs/>
          <w:sz w:val="24"/>
          <w:highlight w:val="none"/>
        </w:rPr>
        <w:br w:type="page"/>
      </w:r>
    </w:p>
    <w:p w14:paraId="6890E938">
      <w:pPr>
        <w:rPr>
          <w:rFonts w:ascii="仿宋" w:hAnsi="仿宋" w:eastAsia="仿宋" w:cs="仿宋"/>
          <w:b/>
          <w:bCs/>
          <w:sz w:val="24"/>
          <w:highlight w:val="none"/>
        </w:rPr>
      </w:pPr>
      <w:r>
        <w:rPr>
          <w:rFonts w:hint="eastAsia" w:ascii="仿宋" w:hAnsi="仿宋" w:eastAsia="仿宋" w:cs="仿宋"/>
          <w:b/>
          <w:kern w:val="0"/>
          <w:sz w:val="24"/>
          <w:highlight w:val="none"/>
        </w:rPr>
        <w:t>5．商务条款响应表格式</w:t>
      </w:r>
    </w:p>
    <w:p w14:paraId="5960751E">
      <w:pPr>
        <w:snapToGrid w:val="0"/>
        <w:spacing w:line="360" w:lineRule="auto"/>
        <w:ind w:firstLine="482" w:firstLineChars="200"/>
        <w:jc w:val="center"/>
        <w:rPr>
          <w:rFonts w:ascii="仿宋" w:hAnsi="仿宋" w:eastAsia="仿宋" w:cs="仿宋"/>
          <w:sz w:val="24"/>
          <w:highlight w:val="none"/>
        </w:rPr>
      </w:pPr>
      <w:r>
        <w:rPr>
          <w:rFonts w:hint="eastAsia" w:ascii="仿宋" w:hAnsi="仿宋" w:eastAsia="仿宋" w:cs="仿宋"/>
          <w:b/>
          <w:bCs/>
          <w:sz w:val="24"/>
          <w:highlight w:val="none"/>
        </w:rPr>
        <w:t>商务条款响应表</w:t>
      </w:r>
    </w:p>
    <w:p w14:paraId="4D67ACBC">
      <w:pPr>
        <w:spacing w:line="360" w:lineRule="auto"/>
        <w:rPr>
          <w:rFonts w:ascii="仿宋" w:hAnsi="仿宋" w:eastAsia="仿宋" w:cs="仿宋"/>
          <w:sz w:val="24"/>
          <w:highlight w:val="none"/>
        </w:rPr>
      </w:pPr>
      <w:r>
        <w:rPr>
          <w:rFonts w:hint="eastAsia" w:ascii="仿宋" w:hAnsi="仿宋" w:eastAsia="仿宋" w:cs="仿宋"/>
          <w:sz w:val="24"/>
          <w:highlight w:val="none"/>
        </w:rPr>
        <w:t>项目名称：</w:t>
      </w:r>
    </w:p>
    <w:p w14:paraId="0C796136">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t>
      </w:r>
    </w:p>
    <w:p w14:paraId="09154DD4">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包    号：</w:t>
      </w:r>
    </w:p>
    <w:tbl>
      <w:tblPr>
        <w:tblStyle w:val="78"/>
        <w:tblW w:w="8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3288"/>
        <w:gridCol w:w="2000"/>
        <w:gridCol w:w="2235"/>
      </w:tblGrid>
      <w:tr w14:paraId="57BC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88" w:type="dxa"/>
            <w:vAlign w:val="center"/>
          </w:tcPr>
          <w:p w14:paraId="445366A7">
            <w:pPr>
              <w:pStyle w:val="77"/>
              <w:spacing w:before="145" w:line="231" w:lineRule="auto"/>
              <w:jc w:val="center"/>
            </w:pPr>
            <w:r>
              <w:rPr>
                <w:spacing w:val="2"/>
              </w:rPr>
              <w:t>序号</w:t>
            </w:r>
          </w:p>
        </w:tc>
        <w:tc>
          <w:tcPr>
            <w:tcW w:w="3288" w:type="dxa"/>
            <w:vAlign w:val="center"/>
          </w:tcPr>
          <w:p w14:paraId="202E2103">
            <w:pPr>
              <w:pStyle w:val="77"/>
              <w:spacing w:before="145" w:line="231" w:lineRule="auto"/>
              <w:jc w:val="center"/>
            </w:pPr>
            <w:r>
              <w:rPr>
                <w:spacing w:val="7"/>
              </w:rPr>
              <w:t>磋商文件要求</w:t>
            </w:r>
          </w:p>
        </w:tc>
        <w:tc>
          <w:tcPr>
            <w:tcW w:w="2000" w:type="dxa"/>
            <w:vAlign w:val="center"/>
          </w:tcPr>
          <w:p w14:paraId="02CECF61">
            <w:pPr>
              <w:pStyle w:val="77"/>
              <w:spacing w:before="144" w:line="232" w:lineRule="auto"/>
              <w:jc w:val="center"/>
            </w:pPr>
            <w:r>
              <w:rPr>
                <w:spacing w:val="5"/>
              </w:rPr>
              <w:t>是否响应</w:t>
            </w:r>
          </w:p>
        </w:tc>
        <w:tc>
          <w:tcPr>
            <w:tcW w:w="2235" w:type="dxa"/>
            <w:vAlign w:val="center"/>
          </w:tcPr>
          <w:p w14:paraId="154D88D9">
            <w:pPr>
              <w:pStyle w:val="77"/>
              <w:spacing w:before="144" w:line="232" w:lineRule="auto"/>
              <w:jc w:val="center"/>
            </w:pPr>
            <w:r>
              <w:rPr>
                <w:spacing w:val="8"/>
              </w:rPr>
              <w:t>供应商的承诺或说明</w:t>
            </w:r>
          </w:p>
        </w:tc>
      </w:tr>
      <w:tr w14:paraId="3D62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0F19B347">
            <w:pPr>
              <w:jc w:val="center"/>
              <w:rPr>
                <w:rFonts w:ascii="Arial"/>
                <w:sz w:val="21"/>
              </w:rPr>
            </w:pPr>
          </w:p>
        </w:tc>
        <w:tc>
          <w:tcPr>
            <w:tcW w:w="3288" w:type="dxa"/>
            <w:vAlign w:val="center"/>
          </w:tcPr>
          <w:p w14:paraId="66FF6177">
            <w:pPr>
              <w:jc w:val="center"/>
              <w:rPr>
                <w:rFonts w:ascii="Arial"/>
                <w:sz w:val="21"/>
              </w:rPr>
            </w:pPr>
          </w:p>
        </w:tc>
        <w:tc>
          <w:tcPr>
            <w:tcW w:w="2000" w:type="dxa"/>
            <w:vAlign w:val="center"/>
          </w:tcPr>
          <w:p w14:paraId="438EC576">
            <w:pPr>
              <w:jc w:val="center"/>
              <w:rPr>
                <w:rFonts w:ascii="Arial"/>
                <w:sz w:val="21"/>
              </w:rPr>
            </w:pPr>
          </w:p>
        </w:tc>
        <w:tc>
          <w:tcPr>
            <w:tcW w:w="2235" w:type="dxa"/>
            <w:vAlign w:val="center"/>
          </w:tcPr>
          <w:p w14:paraId="4741C4A6">
            <w:pPr>
              <w:jc w:val="center"/>
              <w:rPr>
                <w:rFonts w:ascii="Arial"/>
                <w:sz w:val="21"/>
              </w:rPr>
            </w:pPr>
          </w:p>
        </w:tc>
      </w:tr>
      <w:tr w14:paraId="0198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368A3AA1">
            <w:pPr>
              <w:jc w:val="center"/>
              <w:rPr>
                <w:rFonts w:ascii="Arial"/>
                <w:sz w:val="21"/>
              </w:rPr>
            </w:pPr>
          </w:p>
        </w:tc>
        <w:tc>
          <w:tcPr>
            <w:tcW w:w="3288" w:type="dxa"/>
            <w:vAlign w:val="center"/>
          </w:tcPr>
          <w:p w14:paraId="53597733">
            <w:pPr>
              <w:jc w:val="center"/>
              <w:rPr>
                <w:rFonts w:ascii="Arial"/>
                <w:sz w:val="21"/>
              </w:rPr>
            </w:pPr>
          </w:p>
        </w:tc>
        <w:tc>
          <w:tcPr>
            <w:tcW w:w="2000" w:type="dxa"/>
            <w:vAlign w:val="center"/>
          </w:tcPr>
          <w:p w14:paraId="1B9ED5B9">
            <w:pPr>
              <w:jc w:val="center"/>
              <w:rPr>
                <w:rFonts w:ascii="Arial"/>
                <w:sz w:val="21"/>
              </w:rPr>
            </w:pPr>
          </w:p>
        </w:tc>
        <w:tc>
          <w:tcPr>
            <w:tcW w:w="2235" w:type="dxa"/>
            <w:vAlign w:val="center"/>
          </w:tcPr>
          <w:p w14:paraId="2963F526">
            <w:pPr>
              <w:jc w:val="center"/>
              <w:rPr>
                <w:rFonts w:ascii="Arial"/>
                <w:sz w:val="21"/>
              </w:rPr>
            </w:pPr>
          </w:p>
        </w:tc>
      </w:tr>
      <w:tr w14:paraId="1B15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6AE67DB1">
            <w:pPr>
              <w:jc w:val="center"/>
              <w:rPr>
                <w:rFonts w:ascii="Arial"/>
                <w:sz w:val="21"/>
              </w:rPr>
            </w:pPr>
          </w:p>
        </w:tc>
        <w:tc>
          <w:tcPr>
            <w:tcW w:w="3288" w:type="dxa"/>
            <w:vAlign w:val="center"/>
          </w:tcPr>
          <w:p w14:paraId="0EB07D4F">
            <w:pPr>
              <w:jc w:val="center"/>
              <w:rPr>
                <w:rFonts w:ascii="Arial"/>
                <w:sz w:val="21"/>
              </w:rPr>
            </w:pPr>
          </w:p>
        </w:tc>
        <w:tc>
          <w:tcPr>
            <w:tcW w:w="2000" w:type="dxa"/>
            <w:vAlign w:val="center"/>
          </w:tcPr>
          <w:p w14:paraId="751655FC">
            <w:pPr>
              <w:jc w:val="center"/>
              <w:rPr>
                <w:rFonts w:ascii="Arial"/>
                <w:sz w:val="21"/>
              </w:rPr>
            </w:pPr>
          </w:p>
        </w:tc>
        <w:tc>
          <w:tcPr>
            <w:tcW w:w="2235" w:type="dxa"/>
            <w:vAlign w:val="center"/>
          </w:tcPr>
          <w:p w14:paraId="5BD6B011">
            <w:pPr>
              <w:jc w:val="center"/>
              <w:rPr>
                <w:rFonts w:ascii="Arial"/>
                <w:sz w:val="21"/>
              </w:rPr>
            </w:pPr>
          </w:p>
        </w:tc>
      </w:tr>
      <w:tr w14:paraId="33C7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2AF62A65">
            <w:pPr>
              <w:jc w:val="center"/>
              <w:rPr>
                <w:rFonts w:ascii="Arial"/>
                <w:sz w:val="21"/>
              </w:rPr>
            </w:pPr>
          </w:p>
        </w:tc>
        <w:tc>
          <w:tcPr>
            <w:tcW w:w="3288" w:type="dxa"/>
            <w:vAlign w:val="center"/>
          </w:tcPr>
          <w:p w14:paraId="2C37DBB9">
            <w:pPr>
              <w:jc w:val="center"/>
              <w:rPr>
                <w:rFonts w:ascii="Arial"/>
                <w:sz w:val="21"/>
              </w:rPr>
            </w:pPr>
          </w:p>
        </w:tc>
        <w:tc>
          <w:tcPr>
            <w:tcW w:w="2000" w:type="dxa"/>
            <w:vAlign w:val="center"/>
          </w:tcPr>
          <w:p w14:paraId="2C42156B">
            <w:pPr>
              <w:jc w:val="center"/>
              <w:rPr>
                <w:rFonts w:ascii="Arial"/>
                <w:sz w:val="21"/>
              </w:rPr>
            </w:pPr>
          </w:p>
        </w:tc>
        <w:tc>
          <w:tcPr>
            <w:tcW w:w="2235" w:type="dxa"/>
            <w:vAlign w:val="center"/>
          </w:tcPr>
          <w:p w14:paraId="182682A6">
            <w:pPr>
              <w:jc w:val="center"/>
              <w:rPr>
                <w:rFonts w:ascii="Arial"/>
                <w:sz w:val="21"/>
              </w:rPr>
            </w:pPr>
          </w:p>
        </w:tc>
      </w:tr>
      <w:tr w14:paraId="177B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50068031">
            <w:pPr>
              <w:jc w:val="center"/>
              <w:rPr>
                <w:rFonts w:ascii="Arial"/>
                <w:sz w:val="21"/>
              </w:rPr>
            </w:pPr>
          </w:p>
        </w:tc>
        <w:tc>
          <w:tcPr>
            <w:tcW w:w="3288" w:type="dxa"/>
            <w:vAlign w:val="center"/>
          </w:tcPr>
          <w:p w14:paraId="514A973F">
            <w:pPr>
              <w:jc w:val="center"/>
              <w:rPr>
                <w:rFonts w:ascii="Arial"/>
                <w:sz w:val="21"/>
              </w:rPr>
            </w:pPr>
          </w:p>
        </w:tc>
        <w:tc>
          <w:tcPr>
            <w:tcW w:w="2000" w:type="dxa"/>
            <w:vAlign w:val="center"/>
          </w:tcPr>
          <w:p w14:paraId="2AD528BA">
            <w:pPr>
              <w:jc w:val="center"/>
              <w:rPr>
                <w:rFonts w:ascii="Arial"/>
                <w:sz w:val="21"/>
              </w:rPr>
            </w:pPr>
          </w:p>
        </w:tc>
        <w:tc>
          <w:tcPr>
            <w:tcW w:w="2235" w:type="dxa"/>
            <w:vAlign w:val="center"/>
          </w:tcPr>
          <w:p w14:paraId="597E7BBF">
            <w:pPr>
              <w:jc w:val="center"/>
              <w:rPr>
                <w:rFonts w:ascii="Arial"/>
                <w:sz w:val="21"/>
              </w:rPr>
            </w:pPr>
          </w:p>
        </w:tc>
      </w:tr>
      <w:tr w14:paraId="5AB7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1F12B704">
            <w:pPr>
              <w:jc w:val="center"/>
              <w:rPr>
                <w:rFonts w:ascii="Arial"/>
                <w:sz w:val="21"/>
              </w:rPr>
            </w:pPr>
          </w:p>
        </w:tc>
        <w:tc>
          <w:tcPr>
            <w:tcW w:w="3288" w:type="dxa"/>
            <w:vAlign w:val="center"/>
          </w:tcPr>
          <w:p w14:paraId="6291FA8C">
            <w:pPr>
              <w:jc w:val="center"/>
              <w:rPr>
                <w:rFonts w:ascii="Arial"/>
                <w:sz w:val="21"/>
              </w:rPr>
            </w:pPr>
          </w:p>
        </w:tc>
        <w:tc>
          <w:tcPr>
            <w:tcW w:w="2000" w:type="dxa"/>
            <w:vAlign w:val="center"/>
          </w:tcPr>
          <w:p w14:paraId="6C1F6F6A">
            <w:pPr>
              <w:jc w:val="center"/>
              <w:rPr>
                <w:rFonts w:ascii="Arial"/>
                <w:sz w:val="21"/>
              </w:rPr>
            </w:pPr>
          </w:p>
        </w:tc>
        <w:tc>
          <w:tcPr>
            <w:tcW w:w="2235" w:type="dxa"/>
            <w:vAlign w:val="center"/>
          </w:tcPr>
          <w:p w14:paraId="248224CF">
            <w:pPr>
              <w:jc w:val="center"/>
              <w:rPr>
                <w:rFonts w:ascii="Arial"/>
                <w:sz w:val="21"/>
              </w:rPr>
            </w:pPr>
          </w:p>
        </w:tc>
      </w:tr>
      <w:tr w14:paraId="0E88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473AEC6F">
            <w:pPr>
              <w:jc w:val="center"/>
              <w:rPr>
                <w:rFonts w:ascii="Arial"/>
                <w:sz w:val="21"/>
              </w:rPr>
            </w:pPr>
          </w:p>
        </w:tc>
        <w:tc>
          <w:tcPr>
            <w:tcW w:w="3288" w:type="dxa"/>
            <w:vAlign w:val="center"/>
          </w:tcPr>
          <w:p w14:paraId="4683F178">
            <w:pPr>
              <w:jc w:val="center"/>
              <w:rPr>
                <w:rFonts w:ascii="Arial"/>
                <w:sz w:val="21"/>
              </w:rPr>
            </w:pPr>
          </w:p>
        </w:tc>
        <w:tc>
          <w:tcPr>
            <w:tcW w:w="2000" w:type="dxa"/>
            <w:vAlign w:val="center"/>
          </w:tcPr>
          <w:p w14:paraId="07DD5D5A">
            <w:pPr>
              <w:jc w:val="center"/>
              <w:rPr>
                <w:rFonts w:ascii="Arial"/>
                <w:sz w:val="21"/>
              </w:rPr>
            </w:pPr>
          </w:p>
        </w:tc>
        <w:tc>
          <w:tcPr>
            <w:tcW w:w="2235" w:type="dxa"/>
            <w:vAlign w:val="center"/>
          </w:tcPr>
          <w:p w14:paraId="052EC304">
            <w:pPr>
              <w:jc w:val="center"/>
              <w:rPr>
                <w:rFonts w:ascii="Arial"/>
                <w:sz w:val="21"/>
              </w:rPr>
            </w:pPr>
          </w:p>
        </w:tc>
      </w:tr>
      <w:tr w14:paraId="1B8E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188" w:type="dxa"/>
            <w:vAlign w:val="center"/>
          </w:tcPr>
          <w:p w14:paraId="00856509">
            <w:pPr>
              <w:jc w:val="center"/>
              <w:rPr>
                <w:rFonts w:ascii="Arial"/>
                <w:sz w:val="21"/>
              </w:rPr>
            </w:pPr>
          </w:p>
        </w:tc>
        <w:tc>
          <w:tcPr>
            <w:tcW w:w="3288" w:type="dxa"/>
            <w:vAlign w:val="center"/>
          </w:tcPr>
          <w:p w14:paraId="791C33C7">
            <w:pPr>
              <w:jc w:val="center"/>
              <w:rPr>
                <w:rFonts w:ascii="Arial"/>
                <w:sz w:val="21"/>
              </w:rPr>
            </w:pPr>
          </w:p>
        </w:tc>
        <w:tc>
          <w:tcPr>
            <w:tcW w:w="2000" w:type="dxa"/>
            <w:vAlign w:val="center"/>
          </w:tcPr>
          <w:p w14:paraId="08A2A798">
            <w:pPr>
              <w:jc w:val="center"/>
              <w:rPr>
                <w:rFonts w:ascii="Arial"/>
                <w:sz w:val="21"/>
              </w:rPr>
            </w:pPr>
          </w:p>
        </w:tc>
        <w:tc>
          <w:tcPr>
            <w:tcW w:w="2235" w:type="dxa"/>
            <w:vAlign w:val="center"/>
          </w:tcPr>
          <w:p w14:paraId="369DE61F">
            <w:pPr>
              <w:jc w:val="center"/>
              <w:rPr>
                <w:rFonts w:ascii="Arial"/>
                <w:sz w:val="21"/>
              </w:rPr>
            </w:pPr>
          </w:p>
        </w:tc>
      </w:tr>
    </w:tbl>
    <w:p w14:paraId="42581CB0">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ascii="仿宋" w:hAnsi="仿宋" w:eastAsia="仿宋" w:cs="仿宋"/>
          <w:sz w:val="22"/>
          <w:szCs w:val="22"/>
        </w:rPr>
      </w:pPr>
      <w:r>
        <w:rPr>
          <w:rFonts w:ascii="仿宋" w:hAnsi="仿宋" w:eastAsia="仿宋" w:cs="仿宋"/>
          <w:spacing w:val="-1"/>
          <w:sz w:val="22"/>
          <w:szCs w:val="22"/>
        </w:rPr>
        <w:t>供应商保证：除商务</w:t>
      </w:r>
      <w:r>
        <w:rPr>
          <w:rFonts w:hint="eastAsia" w:ascii="仿宋" w:hAnsi="仿宋" w:eastAsia="仿宋" w:cs="仿宋"/>
          <w:spacing w:val="-1"/>
          <w:sz w:val="22"/>
          <w:szCs w:val="22"/>
          <w:lang w:eastAsia="zh-CN"/>
        </w:rPr>
        <w:t>条款</w:t>
      </w:r>
      <w:r>
        <w:rPr>
          <w:rFonts w:ascii="仿宋" w:hAnsi="仿宋" w:eastAsia="仿宋" w:cs="仿宋"/>
          <w:spacing w:val="-1"/>
          <w:sz w:val="22"/>
          <w:szCs w:val="22"/>
        </w:rPr>
        <w:t>响应表列出的“不响应</w:t>
      </w:r>
      <w:r>
        <w:rPr>
          <w:rFonts w:ascii="仿宋" w:hAnsi="仿宋" w:eastAsia="仿宋" w:cs="仿宋"/>
          <w:spacing w:val="-81"/>
          <w:sz w:val="22"/>
          <w:szCs w:val="22"/>
        </w:rPr>
        <w:t xml:space="preserve"> </w:t>
      </w:r>
      <w:r>
        <w:rPr>
          <w:rFonts w:ascii="仿宋" w:hAnsi="仿宋" w:eastAsia="仿宋" w:cs="仿宋"/>
          <w:spacing w:val="-1"/>
          <w:sz w:val="22"/>
          <w:szCs w:val="22"/>
        </w:rPr>
        <w:t>”外，供应商响应磋商文件的全部</w:t>
      </w:r>
      <w:r>
        <w:rPr>
          <w:rFonts w:ascii="仿宋" w:hAnsi="仿宋" w:eastAsia="仿宋" w:cs="仿宋"/>
          <w:spacing w:val="-2"/>
          <w:sz w:val="22"/>
          <w:szCs w:val="22"/>
        </w:rPr>
        <w:t>商务要求。</w:t>
      </w:r>
    </w:p>
    <w:p w14:paraId="4C107185">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ascii="仿宋" w:hAnsi="仿宋" w:eastAsia="仿宋" w:cs="仿宋"/>
          <w:sz w:val="22"/>
          <w:szCs w:val="22"/>
        </w:rPr>
      </w:pPr>
      <w:r>
        <w:rPr>
          <w:rFonts w:ascii="仿宋" w:hAnsi="仿宋" w:eastAsia="仿宋" w:cs="仿宋"/>
          <w:spacing w:val="2"/>
          <w:sz w:val="22"/>
          <w:szCs w:val="22"/>
        </w:rPr>
        <w:t>供应商如完全响应，可在“磋商文件要求</w:t>
      </w:r>
      <w:r>
        <w:rPr>
          <w:rFonts w:ascii="仿宋" w:hAnsi="仿宋" w:eastAsia="仿宋" w:cs="仿宋"/>
          <w:spacing w:val="-81"/>
          <w:sz w:val="22"/>
          <w:szCs w:val="22"/>
        </w:rPr>
        <w:t xml:space="preserve"> </w:t>
      </w:r>
      <w:r>
        <w:rPr>
          <w:rFonts w:ascii="仿宋" w:hAnsi="仿宋" w:eastAsia="仿宋" w:cs="仿宋"/>
          <w:spacing w:val="2"/>
          <w:sz w:val="22"/>
          <w:szCs w:val="22"/>
        </w:rPr>
        <w:t>”</w:t>
      </w:r>
      <w:r>
        <w:rPr>
          <w:rFonts w:ascii="仿宋" w:hAnsi="仿宋" w:eastAsia="仿宋" w:cs="仿宋"/>
          <w:spacing w:val="1"/>
          <w:sz w:val="22"/>
          <w:szCs w:val="22"/>
        </w:rPr>
        <w:t>列中填写“全部磋商文件要求</w:t>
      </w:r>
      <w:r>
        <w:rPr>
          <w:rFonts w:ascii="仿宋" w:hAnsi="仿宋" w:eastAsia="仿宋" w:cs="仿宋"/>
          <w:spacing w:val="-81"/>
          <w:sz w:val="22"/>
          <w:szCs w:val="22"/>
        </w:rPr>
        <w:t xml:space="preserve"> </w:t>
      </w:r>
      <w:r>
        <w:rPr>
          <w:rFonts w:ascii="仿宋" w:hAnsi="仿宋" w:eastAsia="仿宋" w:cs="仿宋"/>
          <w:spacing w:val="1"/>
          <w:sz w:val="22"/>
          <w:szCs w:val="22"/>
        </w:rPr>
        <w:t>”；在“是否响应</w:t>
      </w:r>
      <w:r>
        <w:rPr>
          <w:rFonts w:ascii="仿宋" w:hAnsi="仿宋" w:eastAsia="仿宋" w:cs="仿宋"/>
          <w:spacing w:val="-80"/>
          <w:sz w:val="22"/>
          <w:szCs w:val="22"/>
        </w:rPr>
        <w:t xml:space="preserve"> </w:t>
      </w:r>
      <w:r>
        <w:rPr>
          <w:rFonts w:ascii="仿宋" w:hAnsi="仿宋" w:eastAsia="仿宋" w:cs="仿宋"/>
          <w:spacing w:val="1"/>
          <w:sz w:val="22"/>
          <w:szCs w:val="22"/>
        </w:rPr>
        <w:t>”</w:t>
      </w:r>
      <w:r>
        <w:rPr>
          <w:rFonts w:ascii="仿宋" w:hAnsi="仿宋" w:eastAsia="仿宋" w:cs="仿宋"/>
          <w:spacing w:val="-2"/>
          <w:sz w:val="22"/>
          <w:szCs w:val="22"/>
        </w:rPr>
        <w:t>列中填写“完全响应”；在“供应商的承诺或说明</w:t>
      </w:r>
      <w:r>
        <w:rPr>
          <w:rFonts w:ascii="仿宋" w:hAnsi="仿宋" w:eastAsia="仿宋" w:cs="仿宋"/>
          <w:spacing w:val="-63"/>
          <w:sz w:val="22"/>
          <w:szCs w:val="22"/>
        </w:rPr>
        <w:t xml:space="preserve"> </w:t>
      </w:r>
      <w:r>
        <w:rPr>
          <w:rFonts w:ascii="仿宋" w:hAnsi="仿宋" w:eastAsia="仿宋" w:cs="仿宋"/>
          <w:spacing w:val="-2"/>
          <w:sz w:val="22"/>
          <w:szCs w:val="22"/>
        </w:rPr>
        <w:t>”列中填写“全部承诺</w:t>
      </w:r>
      <w:r>
        <w:rPr>
          <w:rFonts w:ascii="仿宋" w:hAnsi="仿宋" w:eastAsia="仿宋" w:cs="仿宋"/>
          <w:spacing w:val="-81"/>
          <w:sz w:val="22"/>
          <w:szCs w:val="22"/>
        </w:rPr>
        <w:t xml:space="preserve"> </w:t>
      </w:r>
      <w:r>
        <w:rPr>
          <w:rFonts w:ascii="仿宋" w:hAnsi="仿宋" w:eastAsia="仿宋" w:cs="仿宋"/>
          <w:spacing w:val="-2"/>
          <w:sz w:val="22"/>
          <w:szCs w:val="22"/>
        </w:rPr>
        <w:t>”；</w:t>
      </w:r>
    </w:p>
    <w:p w14:paraId="256505E2">
      <w:pPr>
        <w:widowControl/>
        <w:spacing w:line="330" w:lineRule="atLeast"/>
        <w:jc w:val="left"/>
        <w:rPr>
          <w:rFonts w:ascii="仿宋" w:hAnsi="仿宋" w:eastAsia="仿宋" w:cs="仿宋"/>
          <w:kern w:val="0"/>
          <w:sz w:val="24"/>
          <w:highlight w:val="none"/>
        </w:rPr>
      </w:pPr>
    </w:p>
    <w:p w14:paraId="6A1B89C0">
      <w:pPr>
        <w:tabs>
          <w:tab w:val="left" w:pos="4000"/>
        </w:tabs>
        <w:snapToGrid w:val="0"/>
        <w:spacing w:line="480" w:lineRule="auto"/>
        <w:ind w:firstLine="1920" w:firstLineChars="8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3172D9A3">
      <w:pPr>
        <w:tabs>
          <w:tab w:val="left" w:pos="4000"/>
        </w:tabs>
        <w:snapToGrid w:val="0"/>
        <w:spacing w:line="480" w:lineRule="auto"/>
        <w:ind w:firstLine="1920" w:firstLineChars="8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19430D87">
      <w:pPr>
        <w:snapToGrid w:val="0"/>
        <w:spacing w:line="480" w:lineRule="auto"/>
        <w:ind w:firstLine="1920" w:firstLineChars="800"/>
        <w:rPr>
          <w:rFonts w:ascii="仿宋" w:hAnsi="仿宋" w:eastAsia="仿宋" w:cs="仿宋"/>
          <w:sz w:val="24"/>
          <w:highlight w:val="none"/>
        </w:rPr>
      </w:pPr>
      <w:r>
        <w:rPr>
          <w:rFonts w:hint="eastAsia" w:ascii="仿宋" w:hAnsi="仿宋" w:eastAsia="仿宋" w:cs="仿宋"/>
          <w:sz w:val="24"/>
          <w:highlight w:val="none"/>
        </w:rPr>
        <w:t>日     期：</w:t>
      </w:r>
    </w:p>
    <w:p w14:paraId="63E36CC9">
      <w:pPr>
        <w:tabs>
          <w:tab w:val="left" w:pos="567"/>
        </w:tabs>
        <w:snapToGrid w:val="0"/>
        <w:spacing w:line="360" w:lineRule="auto"/>
        <w:jc w:val="left"/>
        <w:rPr>
          <w:rFonts w:ascii="仿宋" w:hAnsi="仿宋" w:eastAsia="仿宋" w:cs="仿宋"/>
          <w:b/>
          <w:kern w:val="0"/>
          <w:sz w:val="24"/>
          <w:highlight w:val="none"/>
        </w:rPr>
      </w:pPr>
    </w:p>
    <w:p w14:paraId="369CFD9C">
      <w:pPr>
        <w:tabs>
          <w:tab w:val="left" w:pos="567"/>
        </w:tabs>
        <w:snapToGrid w:val="0"/>
        <w:spacing w:line="360" w:lineRule="auto"/>
        <w:jc w:val="left"/>
        <w:rPr>
          <w:rFonts w:ascii="仿宋" w:hAnsi="仿宋" w:eastAsia="仿宋" w:cs="仿宋"/>
          <w:b/>
          <w:kern w:val="0"/>
          <w:sz w:val="24"/>
          <w:highlight w:val="none"/>
        </w:rPr>
      </w:pPr>
    </w:p>
    <w:p w14:paraId="04E2DAA6">
      <w:pPr>
        <w:rPr>
          <w:rFonts w:ascii="仿宋" w:hAnsi="仿宋" w:eastAsia="仿宋" w:cs="仿宋"/>
          <w:b/>
          <w:kern w:val="0"/>
          <w:sz w:val="24"/>
          <w:highlight w:val="none"/>
        </w:rPr>
      </w:pPr>
      <w:r>
        <w:rPr>
          <w:rFonts w:hint="eastAsia" w:ascii="仿宋" w:hAnsi="仿宋" w:eastAsia="仿宋" w:cs="仿宋"/>
          <w:b/>
          <w:kern w:val="0"/>
          <w:sz w:val="24"/>
          <w:highlight w:val="none"/>
        </w:rPr>
        <w:br w:type="page"/>
      </w:r>
    </w:p>
    <w:p w14:paraId="3445745C">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6.技术规范响应及偏离表格式</w:t>
      </w:r>
    </w:p>
    <w:p w14:paraId="7FB5A9B4">
      <w:pPr>
        <w:widowControl/>
        <w:snapToGrid w:val="0"/>
        <w:spacing w:line="360" w:lineRule="auto"/>
        <w:jc w:val="center"/>
        <w:rPr>
          <w:rFonts w:ascii="仿宋" w:hAnsi="仿宋" w:eastAsia="仿宋" w:cs="仿宋"/>
          <w:b/>
          <w:kern w:val="0"/>
          <w:sz w:val="24"/>
          <w:highlight w:val="none"/>
        </w:rPr>
      </w:pPr>
      <w:r>
        <w:rPr>
          <w:rFonts w:hint="eastAsia" w:ascii="仿宋" w:hAnsi="仿宋" w:eastAsia="仿宋" w:cs="仿宋"/>
          <w:b/>
          <w:kern w:val="0"/>
          <w:sz w:val="24"/>
          <w:highlight w:val="none"/>
        </w:rPr>
        <w:t>技术规范响应及偏离表</w:t>
      </w:r>
    </w:p>
    <w:p w14:paraId="191E8EF9">
      <w:pPr>
        <w:widowControl/>
        <w:snapToGrid w:val="0"/>
        <w:spacing w:line="360" w:lineRule="auto"/>
        <w:rPr>
          <w:rFonts w:ascii="仿宋" w:hAnsi="仿宋" w:eastAsia="仿宋" w:cs="仿宋"/>
          <w:kern w:val="0"/>
          <w:sz w:val="24"/>
          <w:highlight w:val="none"/>
        </w:rPr>
      </w:pPr>
    </w:p>
    <w:p w14:paraId="7ED1C44E">
      <w:pPr>
        <w:widowControl/>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p>
    <w:p w14:paraId="172BE5DD">
      <w:pPr>
        <w:widowControl/>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项目编号：</w:t>
      </w:r>
    </w:p>
    <w:p w14:paraId="3CE5CE3C">
      <w:pPr>
        <w:widowControl/>
        <w:snapToGrid w:val="0"/>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包    号：</w:t>
      </w:r>
    </w:p>
    <w:tbl>
      <w:tblPr>
        <w:tblStyle w:val="27"/>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7"/>
        <w:gridCol w:w="2989"/>
        <w:gridCol w:w="2989"/>
        <w:gridCol w:w="1258"/>
        <w:gridCol w:w="845"/>
      </w:tblGrid>
      <w:tr w14:paraId="7D36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95"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532A43FC">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序号</w:t>
            </w:r>
          </w:p>
        </w:tc>
        <w:tc>
          <w:tcPr>
            <w:tcW w:w="2989" w:type="dxa"/>
            <w:tcBorders>
              <w:top w:val="single" w:color="000000" w:sz="6" w:space="0"/>
              <w:left w:val="single" w:color="000000" w:sz="6" w:space="0"/>
              <w:bottom w:val="single" w:color="000000" w:sz="6" w:space="0"/>
              <w:right w:val="single" w:color="000000" w:sz="6" w:space="0"/>
            </w:tcBorders>
            <w:vAlign w:val="center"/>
          </w:tcPr>
          <w:p w14:paraId="57C3BF41">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磋商文件要求</w:t>
            </w:r>
          </w:p>
        </w:tc>
        <w:tc>
          <w:tcPr>
            <w:tcW w:w="2989" w:type="dxa"/>
            <w:tcBorders>
              <w:top w:val="single" w:color="000000" w:sz="6" w:space="0"/>
              <w:left w:val="single" w:color="000000" w:sz="6" w:space="0"/>
              <w:bottom w:val="single" w:color="000000" w:sz="6" w:space="0"/>
              <w:right w:val="single" w:color="000000" w:sz="6" w:space="0"/>
            </w:tcBorders>
            <w:vAlign w:val="center"/>
          </w:tcPr>
          <w:p w14:paraId="0E00CF7C">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响应文件</w:t>
            </w:r>
          </w:p>
          <w:p w14:paraId="7494DA70">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对应规范</w:t>
            </w:r>
          </w:p>
        </w:tc>
        <w:tc>
          <w:tcPr>
            <w:tcW w:w="1258" w:type="dxa"/>
            <w:tcBorders>
              <w:top w:val="single" w:color="000000" w:sz="6" w:space="0"/>
              <w:left w:val="single" w:color="000000" w:sz="6" w:space="0"/>
              <w:bottom w:val="single" w:color="000000" w:sz="6" w:space="0"/>
              <w:right w:val="single" w:color="000000" w:sz="6" w:space="0"/>
            </w:tcBorders>
            <w:vAlign w:val="center"/>
          </w:tcPr>
          <w:p w14:paraId="60EDACF8">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偏离</w:t>
            </w:r>
          </w:p>
          <w:p w14:paraId="575CB71E">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情况</w:t>
            </w:r>
          </w:p>
        </w:tc>
        <w:tc>
          <w:tcPr>
            <w:tcW w:w="845" w:type="dxa"/>
            <w:tcBorders>
              <w:top w:val="single" w:color="000000" w:sz="6" w:space="0"/>
              <w:left w:val="single" w:color="000000" w:sz="6" w:space="0"/>
              <w:bottom w:val="single" w:color="000000" w:sz="6" w:space="0"/>
              <w:right w:val="single" w:color="000000" w:sz="6" w:space="0"/>
            </w:tcBorders>
            <w:vAlign w:val="center"/>
          </w:tcPr>
          <w:p w14:paraId="5D3360FA">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备注</w:t>
            </w:r>
          </w:p>
        </w:tc>
      </w:tr>
      <w:tr w14:paraId="40FB3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4F0DDAD9">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1</w:t>
            </w:r>
          </w:p>
        </w:tc>
        <w:tc>
          <w:tcPr>
            <w:tcW w:w="2989" w:type="dxa"/>
            <w:tcBorders>
              <w:top w:val="single" w:color="000000" w:sz="6" w:space="0"/>
              <w:left w:val="single" w:color="000000" w:sz="6" w:space="0"/>
              <w:bottom w:val="single" w:color="000000" w:sz="6" w:space="0"/>
              <w:right w:val="single" w:color="000000" w:sz="6" w:space="0"/>
            </w:tcBorders>
            <w:vAlign w:val="center"/>
          </w:tcPr>
          <w:p w14:paraId="22357898">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0E58A63B">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0041A2D6">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370A5C11">
            <w:pPr>
              <w:widowControl/>
              <w:snapToGrid w:val="0"/>
              <w:spacing w:line="360" w:lineRule="auto"/>
              <w:jc w:val="center"/>
              <w:rPr>
                <w:rFonts w:ascii="仿宋" w:hAnsi="仿宋" w:eastAsia="仿宋" w:cs="仿宋"/>
                <w:kern w:val="0"/>
                <w:sz w:val="24"/>
                <w:highlight w:val="none"/>
              </w:rPr>
            </w:pPr>
          </w:p>
        </w:tc>
      </w:tr>
      <w:tr w14:paraId="7309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0015D6F5">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2</w:t>
            </w:r>
          </w:p>
        </w:tc>
        <w:tc>
          <w:tcPr>
            <w:tcW w:w="2989" w:type="dxa"/>
            <w:tcBorders>
              <w:top w:val="single" w:color="000000" w:sz="6" w:space="0"/>
              <w:left w:val="single" w:color="000000" w:sz="6" w:space="0"/>
              <w:bottom w:val="single" w:color="000000" w:sz="6" w:space="0"/>
              <w:right w:val="single" w:color="000000" w:sz="6" w:space="0"/>
            </w:tcBorders>
            <w:vAlign w:val="center"/>
          </w:tcPr>
          <w:p w14:paraId="5BC0F5BB">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7F99A313">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1ED62B8C">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7168657A">
            <w:pPr>
              <w:widowControl/>
              <w:snapToGrid w:val="0"/>
              <w:spacing w:line="360" w:lineRule="auto"/>
              <w:jc w:val="center"/>
              <w:rPr>
                <w:rFonts w:ascii="仿宋" w:hAnsi="仿宋" w:eastAsia="仿宋" w:cs="仿宋"/>
                <w:kern w:val="0"/>
                <w:sz w:val="24"/>
                <w:highlight w:val="none"/>
              </w:rPr>
            </w:pPr>
          </w:p>
        </w:tc>
      </w:tr>
      <w:tr w14:paraId="6B4E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7DFE07E3">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3</w:t>
            </w:r>
          </w:p>
        </w:tc>
        <w:tc>
          <w:tcPr>
            <w:tcW w:w="2989" w:type="dxa"/>
            <w:tcBorders>
              <w:top w:val="single" w:color="000000" w:sz="6" w:space="0"/>
              <w:left w:val="single" w:color="000000" w:sz="6" w:space="0"/>
              <w:bottom w:val="single" w:color="000000" w:sz="6" w:space="0"/>
              <w:right w:val="single" w:color="000000" w:sz="6" w:space="0"/>
            </w:tcBorders>
            <w:vAlign w:val="center"/>
          </w:tcPr>
          <w:p w14:paraId="21C83B2D">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3D8F48D9">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3BE0B5CF">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32B14524">
            <w:pPr>
              <w:widowControl/>
              <w:snapToGrid w:val="0"/>
              <w:spacing w:line="360" w:lineRule="auto"/>
              <w:jc w:val="center"/>
              <w:rPr>
                <w:rFonts w:ascii="仿宋" w:hAnsi="仿宋" w:eastAsia="仿宋" w:cs="仿宋"/>
                <w:kern w:val="0"/>
                <w:sz w:val="24"/>
                <w:highlight w:val="none"/>
              </w:rPr>
            </w:pPr>
          </w:p>
        </w:tc>
      </w:tr>
      <w:tr w14:paraId="322F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1"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2E0DDA31">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4</w:t>
            </w:r>
          </w:p>
        </w:tc>
        <w:tc>
          <w:tcPr>
            <w:tcW w:w="2989" w:type="dxa"/>
            <w:tcBorders>
              <w:top w:val="single" w:color="000000" w:sz="6" w:space="0"/>
              <w:left w:val="single" w:color="000000" w:sz="6" w:space="0"/>
              <w:bottom w:val="single" w:color="000000" w:sz="6" w:space="0"/>
              <w:right w:val="single" w:color="000000" w:sz="6" w:space="0"/>
            </w:tcBorders>
            <w:vAlign w:val="center"/>
          </w:tcPr>
          <w:p w14:paraId="2D0C4078">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468BBBC1">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3B699863">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56597DAE">
            <w:pPr>
              <w:widowControl/>
              <w:snapToGrid w:val="0"/>
              <w:spacing w:line="360" w:lineRule="auto"/>
              <w:jc w:val="center"/>
              <w:rPr>
                <w:rFonts w:ascii="仿宋" w:hAnsi="仿宋" w:eastAsia="仿宋" w:cs="仿宋"/>
                <w:kern w:val="0"/>
                <w:sz w:val="24"/>
                <w:highlight w:val="none"/>
              </w:rPr>
            </w:pPr>
          </w:p>
        </w:tc>
      </w:tr>
      <w:tr w14:paraId="0A02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2"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25F4E346">
            <w:pPr>
              <w:snapToGrid w:val="0"/>
              <w:spacing w:line="400" w:lineRule="exact"/>
              <w:jc w:val="center"/>
              <w:rPr>
                <w:rFonts w:hint="eastAsia" w:ascii="仿宋" w:hAnsi="仿宋" w:eastAsia="仿宋" w:cs="仿宋"/>
                <w:kern w:val="0"/>
                <w:sz w:val="24"/>
                <w:highlight w:val="none"/>
              </w:rPr>
            </w:pPr>
            <w:r>
              <w:rPr>
                <w:rFonts w:hint="eastAsia" w:ascii="仿宋" w:hAnsi="仿宋" w:eastAsia="仿宋" w:cs="仿宋"/>
                <w:sz w:val="24"/>
                <w:highlight w:val="none"/>
              </w:rPr>
              <w:t>……</w:t>
            </w:r>
          </w:p>
        </w:tc>
        <w:tc>
          <w:tcPr>
            <w:tcW w:w="2989" w:type="dxa"/>
            <w:tcBorders>
              <w:top w:val="single" w:color="000000" w:sz="6" w:space="0"/>
              <w:left w:val="single" w:color="000000" w:sz="6" w:space="0"/>
              <w:bottom w:val="single" w:color="000000" w:sz="6" w:space="0"/>
              <w:right w:val="single" w:color="000000" w:sz="6" w:space="0"/>
            </w:tcBorders>
            <w:vAlign w:val="center"/>
          </w:tcPr>
          <w:p w14:paraId="497FDD1E">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52B63002">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15EBD25A">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15E001F6">
            <w:pPr>
              <w:widowControl/>
              <w:snapToGrid w:val="0"/>
              <w:spacing w:line="360" w:lineRule="auto"/>
              <w:jc w:val="center"/>
              <w:rPr>
                <w:rFonts w:ascii="仿宋" w:hAnsi="仿宋" w:eastAsia="仿宋" w:cs="仿宋"/>
                <w:kern w:val="0"/>
                <w:sz w:val="24"/>
                <w:highlight w:val="none"/>
              </w:rPr>
            </w:pPr>
          </w:p>
        </w:tc>
      </w:tr>
    </w:tbl>
    <w:p w14:paraId="43D96FDD">
      <w:pPr>
        <w:tabs>
          <w:tab w:val="left" w:pos="567"/>
        </w:tabs>
        <w:snapToGrid w:val="0"/>
        <w:spacing w:line="360" w:lineRule="auto"/>
        <w:jc w:val="left"/>
        <w:rPr>
          <w:rFonts w:ascii="仿宋" w:hAnsi="仿宋" w:eastAsia="仿宋" w:cs="仿宋"/>
          <w:b/>
          <w:kern w:val="0"/>
          <w:sz w:val="24"/>
          <w:highlight w:val="none"/>
        </w:rPr>
      </w:pPr>
    </w:p>
    <w:p w14:paraId="3D32670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注：在“偏离情况 ”栏注明“正偏离 ”、“负偏离 ”或“无偏离 ”。</w:t>
      </w:r>
    </w:p>
    <w:p w14:paraId="45A919A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供应商保证：除技术规范响应及偏离表列出的偏差外，供应商响应磋商文件的全部要求。供应商如完全响应，无正负偏离，可在“磋商文件要求”列中填写“全部磋商文件要求 ”；在“响应文件响应 ”列中填写“完全响应”；在“偏离情况 ”列中填写“无偏离 ”；</w:t>
      </w:r>
    </w:p>
    <w:p w14:paraId="75F946FF">
      <w:pPr>
        <w:pStyle w:val="22"/>
        <w:rPr>
          <w:rFonts w:ascii="仿宋" w:hAnsi="仿宋" w:eastAsia="仿宋" w:cs="仿宋"/>
          <w:b/>
          <w:sz w:val="24"/>
          <w:szCs w:val="24"/>
          <w:highlight w:val="none"/>
        </w:rPr>
      </w:pPr>
    </w:p>
    <w:p w14:paraId="6F6B92B2">
      <w:pPr>
        <w:pStyle w:val="22"/>
        <w:rPr>
          <w:rFonts w:ascii="仿宋" w:hAnsi="仿宋" w:eastAsia="仿宋" w:cs="仿宋"/>
          <w:b/>
          <w:sz w:val="24"/>
          <w:szCs w:val="24"/>
          <w:highlight w:val="none"/>
        </w:rPr>
      </w:pPr>
    </w:p>
    <w:p w14:paraId="4717FC46">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563ABCE1">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060DBDE1">
      <w:pPr>
        <w:snapToGrid w:val="0"/>
        <w:spacing w:line="480" w:lineRule="auto"/>
        <w:ind w:firstLine="1680" w:firstLineChars="700"/>
        <w:rPr>
          <w:rFonts w:ascii="宋体" w:hAnsi="宋体" w:cs="宋体"/>
          <w:b/>
          <w:kern w:val="0"/>
          <w:sz w:val="24"/>
          <w:highlight w:val="none"/>
        </w:rPr>
      </w:pPr>
      <w:r>
        <w:rPr>
          <w:rFonts w:hint="eastAsia" w:ascii="仿宋" w:hAnsi="仿宋" w:eastAsia="仿宋" w:cs="仿宋"/>
          <w:sz w:val="24"/>
          <w:highlight w:val="none"/>
        </w:rPr>
        <w:t>日     期：</w:t>
      </w:r>
      <w:r>
        <w:rPr>
          <w:rFonts w:hint="eastAsia" w:ascii="宋体" w:hAnsi="宋体" w:cs="宋体"/>
          <w:b/>
          <w:kern w:val="0"/>
          <w:sz w:val="24"/>
          <w:highlight w:val="none"/>
        </w:rPr>
        <w:br w:type="page"/>
      </w:r>
    </w:p>
    <w:p w14:paraId="19BB9D34">
      <w:pPr>
        <w:widowControl/>
        <w:tabs>
          <w:tab w:val="left" w:pos="567"/>
        </w:tabs>
        <w:snapToGrid w:val="0"/>
        <w:spacing w:line="360" w:lineRule="auto"/>
        <w:jc w:val="left"/>
        <w:rPr>
          <w:rFonts w:ascii="宋体" w:hAnsi="宋体" w:cs="宋体"/>
          <w:b/>
          <w:kern w:val="0"/>
          <w:sz w:val="24"/>
          <w:highlight w:val="none"/>
        </w:rPr>
      </w:pPr>
      <w:r>
        <w:rPr>
          <w:rFonts w:hint="eastAsia" w:ascii="宋体" w:hAnsi="宋体" w:cs="宋体"/>
          <w:b/>
          <w:kern w:val="0"/>
          <w:sz w:val="24"/>
          <w:highlight w:val="none"/>
        </w:rPr>
        <w:t>7.</w:t>
      </w:r>
      <w:r>
        <w:rPr>
          <w:rFonts w:hint="eastAsia" w:ascii="仿宋" w:hAnsi="仿宋" w:eastAsia="仿宋" w:cs="仿宋"/>
          <w:b/>
          <w:kern w:val="0"/>
          <w:sz w:val="24"/>
          <w:highlight w:val="none"/>
        </w:rPr>
        <w:t>响应文件递交截止日前三年内完成的类似项目合同案例列表及相关证明资料</w:t>
      </w:r>
    </w:p>
    <w:p w14:paraId="2934E27C">
      <w:pPr>
        <w:spacing w:line="480" w:lineRule="exact"/>
        <w:rPr>
          <w:rFonts w:ascii="仿宋" w:hAnsi="仿宋" w:eastAsia="仿宋" w:cs="仿宋"/>
          <w:b/>
          <w:sz w:val="24"/>
          <w:highlight w:val="none"/>
        </w:rPr>
      </w:pPr>
      <w:r>
        <w:rPr>
          <w:rFonts w:hint="eastAsia" w:ascii="仿宋" w:hAnsi="仿宋" w:eastAsia="仿宋" w:cs="仿宋"/>
          <w:sz w:val="24"/>
          <w:highlight w:val="none"/>
        </w:rPr>
        <w:t>（1）</w:t>
      </w:r>
      <w:r>
        <w:rPr>
          <w:rFonts w:hint="eastAsia" w:ascii="仿宋" w:hAnsi="仿宋" w:eastAsia="仿宋" w:cs="仿宋"/>
          <w:b/>
          <w:kern w:val="0"/>
          <w:sz w:val="24"/>
          <w:highlight w:val="none"/>
        </w:rPr>
        <w:t>近三年内同类项目合同案例列表</w:t>
      </w:r>
    </w:p>
    <w:p w14:paraId="33E7982D">
      <w:pPr>
        <w:tabs>
          <w:tab w:val="left" w:pos="567"/>
        </w:tabs>
        <w:snapToGrid w:val="0"/>
        <w:spacing w:line="360" w:lineRule="auto"/>
        <w:jc w:val="left"/>
        <w:rPr>
          <w:rFonts w:ascii="仿宋" w:hAnsi="仿宋" w:eastAsia="仿宋" w:cs="仿宋"/>
          <w:b/>
          <w:kern w:val="0"/>
          <w:sz w:val="24"/>
          <w:highlight w:val="none"/>
        </w:rPr>
      </w:pPr>
    </w:p>
    <w:p w14:paraId="29F0A7E1">
      <w:pPr>
        <w:pStyle w:val="15"/>
        <w:rPr>
          <w:rFonts w:ascii="仿宋" w:hAnsi="仿宋" w:eastAsia="仿宋" w:cs="仿宋"/>
          <w:sz w:val="24"/>
          <w:szCs w:val="24"/>
          <w:highlight w:val="none"/>
        </w:rPr>
      </w:pPr>
    </w:p>
    <w:p w14:paraId="2EDD1251">
      <w:pPr>
        <w:spacing w:line="480" w:lineRule="exact"/>
        <w:jc w:val="center"/>
        <w:rPr>
          <w:rFonts w:ascii="仿宋" w:hAnsi="仿宋" w:eastAsia="仿宋" w:cs="仿宋"/>
          <w:b/>
          <w:sz w:val="24"/>
          <w:highlight w:val="none"/>
        </w:rPr>
      </w:pPr>
      <w:r>
        <w:rPr>
          <w:rFonts w:hint="eastAsia" w:ascii="仿宋" w:hAnsi="仿宋" w:eastAsia="仿宋" w:cs="仿宋"/>
          <w:b/>
          <w:kern w:val="0"/>
          <w:sz w:val="24"/>
          <w:highlight w:val="none"/>
        </w:rPr>
        <w:t xml:space="preserve">     近三年内同类项目合同案例列表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3D06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EB4990A">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使用单位</w:t>
            </w:r>
          </w:p>
        </w:tc>
        <w:tc>
          <w:tcPr>
            <w:tcW w:w="1560" w:type="dxa"/>
          </w:tcPr>
          <w:p w14:paraId="2967ABF4">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2076" w:type="dxa"/>
          </w:tcPr>
          <w:p w14:paraId="4E9BC686">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合同金额</w:t>
            </w:r>
          </w:p>
        </w:tc>
        <w:tc>
          <w:tcPr>
            <w:tcW w:w="1431" w:type="dxa"/>
          </w:tcPr>
          <w:p w14:paraId="743C1ADC">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1610" w:type="dxa"/>
          </w:tcPr>
          <w:p w14:paraId="3686A729">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839" w:type="dxa"/>
          </w:tcPr>
          <w:p w14:paraId="7627712D">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4C41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EAF4873">
            <w:pPr>
              <w:spacing w:line="480" w:lineRule="exact"/>
              <w:rPr>
                <w:rFonts w:ascii="仿宋" w:hAnsi="仿宋" w:eastAsia="仿宋" w:cs="仿宋"/>
                <w:sz w:val="24"/>
                <w:highlight w:val="none"/>
              </w:rPr>
            </w:pPr>
          </w:p>
        </w:tc>
        <w:tc>
          <w:tcPr>
            <w:tcW w:w="1560" w:type="dxa"/>
          </w:tcPr>
          <w:p w14:paraId="0B16DAFB">
            <w:pPr>
              <w:spacing w:line="480" w:lineRule="exact"/>
              <w:rPr>
                <w:rFonts w:ascii="仿宋" w:hAnsi="仿宋" w:eastAsia="仿宋" w:cs="仿宋"/>
                <w:sz w:val="24"/>
                <w:highlight w:val="none"/>
              </w:rPr>
            </w:pPr>
          </w:p>
        </w:tc>
        <w:tc>
          <w:tcPr>
            <w:tcW w:w="2076" w:type="dxa"/>
          </w:tcPr>
          <w:p w14:paraId="0779988B">
            <w:pPr>
              <w:spacing w:line="480" w:lineRule="exact"/>
              <w:rPr>
                <w:rFonts w:ascii="仿宋" w:hAnsi="仿宋" w:eastAsia="仿宋" w:cs="仿宋"/>
                <w:sz w:val="24"/>
                <w:highlight w:val="none"/>
              </w:rPr>
            </w:pPr>
          </w:p>
        </w:tc>
        <w:tc>
          <w:tcPr>
            <w:tcW w:w="1431" w:type="dxa"/>
          </w:tcPr>
          <w:p w14:paraId="0998A355">
            <w:pPr>
              <w:spacing w:line="480" w:lineRule="exact"/>
              <w:rPr>
                <w:rFonts w:ascii="仿宋" w:hAnsi="仿宋" w:eastAsia="仿宋" w:cs="仿宋"/>
                <w:sz w:val="24"/>
                <w:highlight w:val="none"/>
              </w:rPr>
            </w:pPr>
          </w:p>
        </w:tc>
        <w:tc>
          <w:tcPr>
            <w:tcW w:w="1610" w:type="dxa"/>
          </w:tcPr>
          <w:p w14:paraId="6A08E227">
            <w:pPr>
              <w:spacing w:line="480" w:lineRule="exact"/>
              <w:rPr>
                <w:rFonts w:ascii="仿宋" w:hAnsi="仿宋" w:eastAsia="仿宋" w:cs="仿宋"/>
                <w:sz w:val="24"/>
                <w:highlight w:val="none"/>
              </w:rPr>
            </w:pPr>
          </w:p>
        </w:tc>
        <w:tc>
          <w:tcPr>
            <w:tcW w:w="839" w:type="dxa"/>
          </w:tcPr>
          <w:p w14:paraId="068D1B8E">
            <w:pPr>
              <w:spacing w:line="480" w:lineRule="exact"/>
              <w:rPr>
                <w:rFonts w:ascii="仿宋" w:hAnsi="仿宋" w:eastAsia="仿宋" w:cs="仿宋"/>
                <w:sz w:val="24"/>
                <w:highlight w:val="none"/>
              </w:rPr>
            </w:pPr>
          </w:p>
        </w:tc>
      </w:tr>
      <w:tr w14:paraId="22C2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3CEE1BF">
            <w:pPr>
              <w:spacing w:line="480" w:lineRule="exact"/>
              <w:rPr>
                <w:rFonts w:ascii="仿宋" w:hAnsi="仿宋" w:eastAsia="仿宋" w:cs="仿宋"/>
                <w:sz w:val="24"/>
                <w:highlight w:val="none"/>
              </w:rPr>
            </w:pPr>
          </w:p>
        </w:tc>
        <w:tc>
          <w:tcPr>
            <w:tcW w:w="1560" w:type="dxa"/>
          </w:tcPr>
          <w:p w14:paraId="7458DACA">
            <w:pPr>
              <w:spacing w:line="480" w:lineRule="exact"/>
              <w:rPr>
                <w:rFonts w:ascii="仿宋" w:hAnsi="仿宋" w:eastAsia="仿宋" w:cs="仿宋"/>
                <w:sz w:val="24"/>
                <w:highlight w:val="none"/>
              </w:rPr>
            </w:pPr>
          </w:p>
        </w:tc>
        <w:tc>
          <w:tcPr>
            <w:tcW w:w="2076" w:type="dxa"/>
          </w:tcPr>
          <w:p w14:paraId="5F85E200">
            <w:pPr>
              <w:spacing w:line="480" w:lineRule="exact"/>
              <w:rPr>
                <w:rFonts w:ascii="仿宋" w:hAnsi="仿宋" w:eastAsia="仿宋" w:cs="仿宋"/>
                <w:sz w:val="24"/>
                <w:highlight w:val="none"/>
              </w:rPr>
            </w:pPr>
          </w:p>
        </w:tc>
        <w:tc>
          <w:tcPr>
            <w:tcW w:w="1431" w:type="dxa"/>
          </w:tcPr>
          <w:p w14:paraId="55058333">
            <w:pPr>
              <w:spacing w:line="480" w:lineRule="exact"/>
              <w:rPr>
                <w:rFonts w:ascii="仿宋" w:hAnsi="仿宋" w:eastAsia="仿宋" w:cs="仿宋"/>
                <w:sz w:val="24"/>
                <w:highlight w:val="none"/>
              </w:rPr>
            </w:pPr>
          </w:p>
        </w:tc>
        <w:tc>
          <w:tcPr>
            <w:tcW w:w="1610" w:type="dxa"/>
          </w:tcPr>
          <w:p w14:paraId="36CC3459">
            <w:pPr>
              <w:spacing w:line="480" w:lineRule="exact"/>
              <w:rPr>
                <w:rFonts w:ascii="仿宋" w:hAnsi="仿宋" w:eastAsia="仿宋" w:cs="仿宋"/>
                <w:sz w:val="24"/>
                <w:highlight w:val="none"/>
              </w:rPr>
            </w:pPr>
          </w:p>
        </w:tc>
        <w:tc>
          <w:tcPr>
            <w:tcW w:w="839" w:type="dxa"/>
          </w:tcPr>
          <w:p w14:paraId="749B2E00">
            <w:pPr>
              <w:spacing w:line="480" w:lineRule="exact"/>
              <w:rPr>
                <w:rFonts w:ascii="仿宋" w:hAnsi="仿宋" w:eastAsia="仿宋" w:cs="仿宋"/>
                <w:sz w:val="24"/>
                <w:highlight w:val="none"/>
              </w:rPr>
            </w:pPr>
          </w:p>
        </w:tc>
      </w:tr>
      <w:tr w14:paraId="1E92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761C3690">
            <w:pPr>
              <w:spacing w:line="480" w:lineRule="exact"/>
              <w:rPr>
                <w:rFonts w:ascii="仿宋" w:hAnsi="仿宋" w:eastAsia="仿宋" w:cs="仿宋"/>
                <w:sz w:val="24"/>
                <w:highlight w:val="none"/>
              </w:rPr>
            </w:pPr>
          </w:p>
        </w:tc>
        <w:tc>
          <w:tcPr>
            <w:tcW w:w="1560" w:type="dxa"/>
          </w:tcPr>
          <w:p w14:paraId="231D53C1">
            <w:pPr>
              <w:spacing w:line="480" w:lineRule="exact"/>
              <w:rPr>
                <w:rFonts w:ascii="仿宋" w:hAnsi="仿宋" w:eastAsia="仿宋" w:cs="仿宋"/>
                <w:sz w:val="24"/>
                <w:highlight w:val="none"/>
              </w:rPr>
            </w:pPr>
          </w:p>
        </w:tc>
        <w:tc>
          <w:tcPr>
            <w:tcW w:w="2076" w:type="dxa"/>
          </w:tcPr>
          <w:p w14:paraId="2A0F6235">
            <w:pPr>
              <w:spacing w:line="480" w:lineRule="exact"/>
              <w:rPr>
                <w:rFonts w:ascii="仿宋" w:hAnsi="仿宋" w:eastAsia="仿宋" w:cs="仿宋"/>
                <w:sz w:val="24"/>
                <w:highlight w:val="none"/>
              </w:rPr>
            </w:pPr>
          </w:p>
        </w:tc>
        <w:tc>
          <w:tcPr>
            <w:tcW w:w="1431" w:type="dxa"/>
          </w:tcPr>
          <w:p w14:paraId="264CEED8">
            <w:pPr>
              <w:spacing w:line="480" w:lineRule="exact"/>
              <w:rPr>
                <w:rFonts w:ascii="仿宋" w:hAnsi="仿宋" w:eastAsia="仿宋" w:cs="仿宋"/>
                <w:sz w:val="24"/>
                <w:highlight w:val="none"/>
              </w:rPr>
            </w:pPr>
          </w:p>
        </w:tc>
        <w:tc>
          <w:tcPr>
            <w:tcW w:w="1610" w:type="dxa"/>
          </w:tcPr>
          <w:p w14:paraId="272F7587">
            <w:pPr>
              <w:spacing w:line="480" w:lineRule="exact"/>
              <w:rPr>
                <w:rFonts w:ascii="仿宋" w:hAnsi="仿宋" w:eastAsia="仿宋" w:cs="仿宋"/>
                <w:sz w:val="24"/>
                <w:highlight w:val="none"/>
              </w:rPr>
            </w:pPr>
          </w:p>
        </w:tc>
        <w:tc>
          <w:tcPr>
            <w:tcW w:w="839" w:type="dxa"/>
          </w:tcPr>
          <w:p w14:paraId="29FC3B32">
            <w:pPr>
              <w:spacing w:line="480" w:lineRule="exact"/>
              <w:rPr>
                <w:rFonts w:ascii="仿宋" w:hAnsi="仿宋" w:eastAsia="仿宋" w:cs="仿宋"/>
                <w:sz w:val="24"/>
                <w:highlight w:val="none"/>
              </w:rPr>
            </w:pPr>
          </w:p>
        </w:tc>
      </w:tr>
      <w:tr w14:paraId="4846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E189CC1">
            <w:pPr>
              <w:spacing w:line="480" w:lineRule="exact"/>
              <w:rPr>
                <w:rFonts w:ascii="仿宋" w:hAnsi="仿宋" w:eastAsia="仿宋" w:cs="仿宋"/>
                <w:sz w:val="24"/>
                <w:highlight w:val="none"/>
              </w:rPr>
            </w:pPr>
          </w:p>
        </w:tc>
        <w:tc>
          <w:tcPr>
            <w:tcW w:w="1560" w:type="dxa"/>
          </w:tcPr>
          <w:p w14:paraId="45D54F45">
            <w:pPr>
              <w:spacing w:line="480" w:lineRule="exact"/>
              <w:rPr>
                <w:rFonts w:ascii="仿宋" w:hAnsi="仿宋" w:eastAsia="仿宋" w:cs="仿宋"/>
                <w:sz w:val="24"/>
                <w:highlight w:val="none"/>
              </w:rPr>
            </w:pPr>
          </w:p>
        </w:tc>
        <w:tc>
          <w:tcPr>
            <w:tcW w:w="2076" w:type="dxa"/>
          </w:tcPr>
          <w:p w14:paraId="1DC09888">
            <w:pPr>
              <w:spacing w:line="480" w:lineRule="exact"/>
              <w:rPr>
                <w:rFonts w:ascii="仿宋" w:hAnsi="仿宋" w:eastAsia="仿宋" w:cs="仿宋"/>
                <w:sz w:val="24"/>
                <w:highlight w:val="none"/>
              </w:rPr>
            </w:pPr>
          </w:p>
        </w:tc>
        <w:tc>
          <w:tcPr>
            <w:tcW w:w="1431" w:type="dxa"/>
          </w:tcPr>
          <w:p w14:paraId="3F686BC8">
            <w:pPr>
              <w:spacing w:line="480" w:lineRule="exact"/>
              <w:rPr>
                <w:rFonts w:ascii="仿宋" w:hAnsi="仿宋" w:eastAsia="仿宋" w:cs="仿宋"/>
                <w:sz w:val="24"/>
                <w:highlight w:val="none"/>
              </w:rPr>
            </w:pPr>
          </w:p>
        </w:tc>
        <w:tc>
          <w:tcPr>
            <w:tcW w:w="1610" w:type="dxa"/>
          </w:tcPr>
          <w:p w14:paraId="19E5FDE4">
            <w:pPr>
              <w:spacing w:line="480" w:lineRule="exact"/>
              <w:rPr>
                <w:rFonts w:ascii="仿宋" w:hAnsi="仿宋" w:eastAsia="仿宋" w:cs="仿宋"/>
                <w:sz w:val="24"/>
                <w:highlight w:val="none"/>
              </w:rPr>
            </w:pPr>
          </w:p>
        </w:tc>
        <w:tc>
          <w:tcPr>
            <w:tcW w:w="839" w:type="dxa"/>
          </w:tcPr>
          <w:p w14:paraId="01FBDEC2">
            <w:pPr>
              <w:spacing w:line="480" w:lineRule="exact"/>
              <w:rPr>
                <w:rFonts w:ascii="仿宋" w:hAnsi="仿宋" w:eastAsia="仿宋" w:cs="仿宋"/>
                <w:sz w:val="24"/>
                <w:highlight w:val="none"/>
              </w:rPr>
            </w:pPr>
          </w:p>
        </w:tc>
      </w:tr>
      <w:tr w14:paraId="21C9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41B4BA4">
            <w:pPr>
              <w:spacing w:line="480" w:lineRule="exact"/>
              <w:rPr>
                <w:rFonts w:ascii="仿宋" w:hAnsi="仿宋" w:eastAsia="仿宋" w:cs="仿宋"/>
                <w:sz w:val="24"/>
                <w:highlight w:val="none"/>
              </w:rPr>
            </w:pPr>
          </w:p>
        </w:tc>
        <w:tc>
          <w:tcPr>
            <w:tcW w:w="1560" w:type="dxa"/>
          </w:tcPr>
          <w:p w14:paraId="58204F5F">
            <w:pPr>
              <w:spacing w:line="480" w:lineRule="exact"/>
              <w:rPr>
                <w:rFonts w:ascii="仿宋" w:hAnsi="仿宋" w:eastAsia="仿宋" w:cs="仿宋"/>
                <w:sz w:val="24"/>
                <w:highlight w:val="none"/>
              </w:rPr>
            </w:pPr>
          </w:p>
        </w:tc>
        <w:tc>
          <w:tcPr>
            <w:tcW w:w="2076" w:type="dxa"/>
          </w:tcPr>
          <w:p w14:paraId="123C0F3C">
            <w:pPr>
              <w:spacing w:line="480" w:lineRule="exact"/>
              <w:rPr>
                <w:rFonts w:ascii="仿宋" w:hAnsi="仿宋" w:eastAsia="仿宋" w:cs="仿宋"/>
                <w:sz w:val="24"/>
                <w:highlight w:val="none"/>
              </w:rPr>
            </w:pPr>
          </w:p>
        </w:tc>
        <w:tc>
          <w:tcPr>
            <w:tcW w:w="1431" w:type="dxa"/>
          </w:tcPr>
          <w:p w14:paraId="48F588C9">
            <w:pPr>
              <w:spacing w:line="480" w:lineRule="exact"/>
              <w:rPr>
                <w:rFonts w:ascii="仿宋" w:hAnsi="仿宋" w:eastAsia="仿宋" w:cs="仿宋"/>
                <w:sz w:val="24"/>
                <w:highlight w:val="none"/>
              </w:rPr>
            </w:pPr>
          </w:p>
        </w:tc>
        <w:tc>
          <w:tcPr>
            <w:tcW w:w="1610" w:type="dxa"/>
          </w:tcPr>
          <w:p w14:paraId="6570E614">
            <w:pPr>
              <w:spacing w:line="480" w:lineRule="exact"/>
              <w:rPr>
                <w:rFonts w:ascii="仿宋" w:hAnsi="仿宋" w:eastAsia="仿宋" w:cs="仿宋"/>
                <w:sz w:val="24"/>
                <w:highlight w:val="none"/>
              </w:rPr>
            </w:pPr>
          </w:p>
        </w:tc>
        <w:tc>
          <w:tcPr>
            <w:tcW w:w="839" w:type="dxa"/>
          </w:tcPr>
          <w:p w14:paraId="0035C726">
            <w:pPr>
              <w:spacing w:line="480" w:lineRule="exact"/>
              <w:rPr>
                <w:rFonts w:ascii="仿宋" w:hAnsi="仿宋" w:eastAsia="仿宋" w:cs="仿宋"/>
                <w:sz w:val="24"/>
                <w:highlight w:val="none"/>
              </w:rPr>
            </w:pPr>
          </w:p>
        </w:tc>
      </w:tr>
      <w:tr w14:paraId="12FF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vAlign w:val="center"/>
          </w:tcPr>
          <w:p w14:paraId="38AE4418">
            <w:pPr>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560" w:type="dxa"/>
            <w:vAlign w:val="center"/>
          </w:tcPr>
          <w:p w14:paraId="5A71E3F2">
            <w:pPr>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076" w:type="dxa"/>
          </w:tcPr>
          <w:p w14:paraId="69B1A7EB">
            <w:pPr>
              <w:spacing w:line="480" w:lineRule="exact"/>
              <w:rPr>
                <w:rFonts w:ascii="仿宋" w:hAnsi="仿宋" w:eastAsia="仿宋" w:cs="仿宋"/>
                <w:sz w:val="24"/>
                <w:highlight w:val="none"/>
              </w:rPr>
            </w:pPr>
          </w:p>
        </w:tc>
        <w:tc>
          <w:tcPr>
            <w:tcW w:w="1431" w:type="dxa"/>
          </w:tcPr>
          <w:p w14:paraId="5A632453">
            <w:pPr>
              <w:spacing w:line="480" w:lineRule="exact"/>
              <w:rPr>
                <w:rFonts w:ascii="仿宋" w:hAnsi="仿宋" w:eastAsia="仿宋" w:cs="仿宋"/>
                <w:sz w:val="24"/>
                <w:highlight w:val="none"/>
              </w:rPr>
            </w:pPr>
          </w:p>
        </w:tc>
        <w:tc>
          <w:tcPr>
            <w:tcW w:w="1610" w:type="dxa"/>
          </w:tcPr>
          <w:p w14:paraId="51290B43">
            <w:pPr>
              <w:spacing w:line="480" w:lineRule="exact"/>
              <w:rPr>
                <w:rFonts w:ascii="仿宋" w:hAnsi="仿宋" w:eastAsia="仿宋" w:cs="仿宋"/>
                <w:sz w:val="24"/>
                <w:highlight w:val="none"/>
              </w:rPr>
            </w:pPr>
          </w:p>
        </w:tc>
        <w:tc>
          <w:tcPr>
            <w:tcW w:w="839" w:type="dxa"/>
          </w:tcPr>
          <w:p w14:paraId="79274471">
            <w:pPr>
              <w:spacing w:line="480" w:lineRule="exact"/>
              <w:rPr>
                <w:rFonts w:ascii="仿宋" w:hAnsi="仿宋" w:eastAsia="仿宋" w:cs="仿宋"/>
                <w:sz w:val="24"/>
                <w:highlight w:val="none"/>
              </w:rPr>
            </w:pPr>
          </w:p>
        </w:tc>
      </w:tr>
    </w:tbl>
    <w:p w14:paraId="154AD6F9">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 xml:space="preserve">备注： </w:t>
      </w:r>
    </w:p>
    <w:p w14:paraId="4EE276DE">
      <w:pPr>
        <w:snapToGrid w:val="0"/>
        <w:spacing w:line="360" w:lineRule="auto"/>
        <w:ind w:firstLine="542" w:firstLineChars="226"/>
        <w:jc w:val="left"/>
        <w:rPr>
          <w:rFonts w:ascii="仿宋" w:hAnsi="仿宋" w:eastAsia="仿宋" w:cs="仿宋"/>
          <w:sz w:val="24"/>
          <w:highlight w:val="none"/>
        </w:rPr>
      </w:pPr>
      <w:r>
        <w:rPr>
          <w:rFonts w:hint="eastAsia" w:ascii="仿宋" w:hAnsi="仿宋" w:eastAsia="仿宋" w:cs="仿宋"/>
          <w:sz w:val="24"/>
          <w:highlight w:val="none"/>
        </w:rPr>
        <w:t>供应商应将案例的证明材料按顺序附后。</w:t>
      </w:r>
    </w:p>
    <w:p w14:paraId="7135BC5B">
      <w:pPr>
        <w:snapToGrid w:val="0"/>
        <w:spacing w:line="480" w:lineRule="exact"/>
        <w:ind w:firstLine="542" w:firstLineChars="226"/>
        <w:jc w:val="center"/>
        <w:rPr>
          <w:rFonts w:ascii="仿宋" w:hAnsi="仿宋" w:eastAsia="仿宋" w:cs="仿宋"/>
          <w:sz w:val="24"/>
          <w:highlight w:val="none"/>
        </w:rPr>
      </w:pPr>
    </w:p>
    <w:p w14:paraId="5992F70D">
      <w:pPr>
        <w:widowControl/>
        <w:spacing w:line="330" w:lineRule="atLeast"/>
        <w:jc w:val="left"/>
        <w:rPr>
          <w:rFonts w:ascii="仿宋" w:hAnsi="仿宋" w:eastAsia="仿宋" w:cs="仿宋"/>
          <w:kern w:val="0"/>
          <w:sz w:val="24"/>
          <w:highlight w:val="none"/>
        </w:rPr>
      </w:pPr>
    </w:p>
    <w:p w14:paraId="7F5B1766">
      <w:pPr>
        <w:widowControl/>
        <w:spacing w:line="330" w:lineRule="atLeast"/>
        <w:jc w:val="left"/>
        <w:rPr>
          <w:rFonts w:ascii="仿宋" w:hAnsi="仿宋" w:eastAsia="仿宋" w:cs="仿宋"/>
          <w:kern w:val="0"/>
          <w:sz w:val="24"/>
          <w:highlight w:val="none"/>
        </w:rPr>
      </w:pPr>
    </w:p>
    <w:p w14:paraId="64AEF3E7">
      <w:pPr>
        <w:widowControl/>
        <w:tabs>
          <w:tab w:val="left" w:pos="567"/>
        </w:tabs>
        <w:snapToGrid w:val="0"/>
        <w:spacing w:line="360" w:lineRule="auto"/>
        <w:jc w:val="left"/>
        <w:rPr>
          <w:rFonts w:ascii="仿宋" w:hAnsi="仿宋" w:eastAsia="仿宋" w:cs="仿宋"/>
          <w:b/>
          <w:kern w:val="0"/>
          <w:sz w:val="24"/>
          <w:highlight w:val="none"/>
        </w:rPr>
      </w:pPr>
    </w:p>
    <w:p w14:paraId="0E8C08DE">
      <w:pPr>
        <w:widowControl/>
        <w:tabs>
          <w:tab w:val="left" w:pos="567"/>
        </w:tabs>
        <w:snapToGrid w:val="0"/>
        <w:spacing w:line="360" w:lineRule="auto"/>
        <w:jc w:val="left"/>
        <w:rPr>
          <w:rFonts w:ascii="仿宋" w:hAnsi="仿宋" w:eastAsia="仿宋" w:cs="仿宋"/>
          <w:b/>
          <w:kern w:val="0"/>
          <w:sz w:val="24"/>
          <w:highlight w:val="none"/>
        </w:rPr>
      </w:pPr>
    </w:p>
    <w:p w14:paraId="5D3F2FDC">
      <w:pPr>
        <w:widowControl/>
        <w:tabs>
          <w:tab w:val="left" w:pos="567"/>
        </w:tabs>
        <w:snapToGrid w:val="0"/>
        <w:spacing w:line="360" w:lineRule="auto"/>
        <w:jc w:val="left"/>
        <w:rPr>
          <w:rFonts w:ascii="仿宋" w:hAnsi="仿宋" w:eastAsia="仿宋" w:cs="仿宋"/>
          <w:b/>
          <w:kern w:val="0"/>
          <w:sz w:val="24"/>
          <w:highlight w:val="none"/>
        </w:rPr>
      </w:pPr>
    </w:p>
    <w:p w14:paraId="0E48A53C">
      <w:pPr>
        <w:widowControl/>
        <w:tabs>
          <w:tab w:val="left" w:pos="567"/>
        </w:tabs>
        <w:snapToGrid w:val="0"/>
        <w:spacing w:line="360" w:lineRule="auto"/>
        <w:jc w:val="left"/>
        <w:rPr>
          <w:rFonts w:ascii="仿宋" w:hAnsi="仿宋" w:eastAsia="仿宋" w:cs="仿宋"/>
          <w:b/>
          <w:kern w:val="0"/>
          <w:sz w:val="24"/>
          <w:highlight w:val="none"/>
        </w:rPr>
      </w:pPr>
    </w:p>
    <w:p w14:paraId="011AC7D9">
      <w:pPr>
        <w:widowControl/>
        <w:tabs>
          <w:tab w:val="left" w:pos="567"/>
        </w:tabs>
        <w:snapToGrid w:val="0"/>
        <w:spacing w:line="360" w:lineRule="auto"/>
        <w:jc w:val="left"/>
        <w:rPr>
          <w:rFonts w:ascii="仿宋" w:hAnsi="仿宋" w:eastAsia="仿宋" w:cs="仿宋"/>
          <w:b/>
          <w:kern w:val="0"/>
          <w:sz w:val="24"/>
          <w:highlight w:val="none"/>
        </w:rPr>
      </w:pPr>
    </w:p>
    <w:p w14:paraId="0470CE86">
      <w:pPr>
        <w:widowControl/>
        <w:tabs>
          <w:tab w:val="left" w:pos="567"/>
        </w:tabs>
        <w:snapToGrid w:val="0"/>
        <w:spacing w:line="360" w:lineRule="auto"/>
        <w:jc w:val="left"/>
        <w:rPr>
          <w:rFonts w:ascii="仿宋" w:hAnsi="仿宋" w:eastAsia="仿宋" w:cs="仿宋"/>
          <w:b/>
          <w:kern w:val="0"/>
          <w:sz w:val="24"/>
          <w:highlight w:val="none"/>
        </w:rPr>
      </w:pPr>
    </w:p>
    <w:p w14:paraId="676F3C31">
      <w:pPr>
        <w:widowControl/>
        <w:tabs>
          <w:tab w:val="left" w:pos="567"/>
        </w:tabs>
        <w:snapToGrid w:val="0"/>
        <w:spacing w:line="360" w:lineRule="auto"/>
        <w:jc w:val="left"/>
        <w:rPr>
          <w:rFonts w:ascii="仿宋" w:hAnsi="仿宋" w:eastAsia="仿宋" w:cs="仿宋"/>
          <w:b/>
          <w:kern w:val="0"/>
          <w:sz w:val="24"/>
          <w:highlight w:val="none"/>
        </w:rPr>
      </w:pPr>
    </w:p>
    <w:p w14:paraId="7B6B5AD0">
      <w:pPr>
        <w:widowControl/>
        <w:tabs>
          <w:tab w:val="left" w:pos="567"/>
        </w:tabs>
        <w:snapToGrid w:val="0"/>
        <w:spacing w:line="360" w:lineRule="auto"/>
        <w:jc w:val="left"/>
        <w:rPr>
          <w:rFonts w:ascii="仿宋" w:hAnsi="仿宋" w:eastAsia="仿宋" w:cs="仿宋"/>
          <w:b/>
          <w:kern w:val="0"/>
          <w:sz w:val="24"/>
          <w:highlight w:val="none"/>
        </w:rPr>
      </w:pPr>
    </w:p>
    <w:p w14:paraId="7801739F">
      <w:pPr>
        <w:widowControl/>
        <w:tabs>
          <w:tab w:val="left" w:pos="567"/>
        </w:tabs>
        <w:snapToGrid w:val="0"/>
        <w:spacing w:line="360" w:lineRule="auto"/>
        <w:jc w:val="left"/>
        <w:rPr>
          <w:rFonts w:ascii="仿宋" w:hAnsi="仿宋" w:eastAsia="仿宋" w:cs="仿宋"/>
          <w:b/>
          <w:kern w:val="0"/>
          <w:sz w:val="24"/>
          <w:highlight w:val="none"/>
        </w:rPr>
      </w:pPr>
    </w:p>
    <w:p w14:paraId="2FB9D1E2">
      <w:pPr>
        <w:widowControl/>
        <w:tabs>
          <w:tab w:val="left" w:pos="567"/>
        </w:tabs>
        <w:snapToGrid w:val="0"/>
        <w:spacing w:line="360" w:lineRule="auto"/>
        <w:jc w:val="left"/>
        <w:rPr>
          <w:rFonts w:ascii="仿宋" w:hAnsi="仿宋" w:eastAsia="仿宋" w:cs="仿宋"/>
          <w:b/>
          <w:kern w:val="0"/>
          <w:sz w:val="24"/>
          <w:highlight w:val="none"/>
        </w:rPr>
      </w:pPr>
    </w:p>
    <w:p w14:paraId="6D86C3F2">
      <w:pPr>
        <w:pStyle w:val="16"/>
        <w:rPr>
          <w:rFonts w:ascii="仿宋" w:hAnsi="仿宋" w:eastAsia="仿宋" w:cs="仿宋"/>
          <w:b/>
          <w:kern w:val="0"/>
          <w:sz w:val="24"/>
          <w:highlight w:val="none"/>
        </w:rPr>
      </w:pPr>
    </w:p>
    <w:p w14:paraId="5FA5221C">
      <w:pPr>
        <w:rPr>
          <w:rFonts w:ascii="仿宋" w:hAnsi="仿宋" w:eastAsia="仿宋" w:cs="仿宋"/>
          <w:b/>
          <w:kern w:val="0"/>
          <w:sz w:val="24"/>
          <w:highlight w:val="none"/>
        </w:rPr>
      </w:pPr>
    </w:p>
    <w:p w14:paraId="15F9BEB9">
      <w:pPr>
        <w:pStyle w:val="22"/>
        <w:rPr>
          <w:rFonts w:hint="eastAsia" w:ascii="仿宋" w:hAnsi="仿宋" w:eastAsia="仿宋" w:cs="仿宋"/>
          <w:b/>
          <w:sz w:val="24"/>
          <w:szCs w:val="24"/>
          <w:highlight w:val="none"/>
        </w:rPr>
      </w:pPr>
    </w:p>
    <w:p w14:paraId="1AE25222">
      <w:pPr>
        <w:pStyle w:val="22"/>
        <w:rPr>
          <w:rFonts w:hint="eastAsia" w:ascii="仿宋" w:hAnsi="仿宋" w:eastAsia="仿宋" w:cs="仿宋"/>
          <w:b/>
          <w:sz w:val="24"/>
          <w:szCs w:val="24"/>
          <w:highlight w:val="none"/>
        </w:rPr>
      </w:pPr>
    </w:p>
    <w:p w14:paraId="5DA2DB8C">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rPr>
        <w:t>8.拟投入本项目的专业技术人员等情况</w:t>
      </w:r>
    </w:p>
    <w:p w14:paraId="5A96BD57">
      <w:pPr>
        <w:pStyle w:val="22"/>
        <w:jc w:val="center"/>
        <w:rPr>
          <w:rFonts w:ascii="仿宋" w:hAnsi="仿宋" w:eastAsia="仿宋" w:cs="仿宋"/>
          <w:b/>
          <w:sz w:val="24"/>
          <w:szCs w:val="24"/>
          <w:highlight w:val="none"/>
        </w:rPr>
      </w:pPr>
    </w:p>
    <w:p w14:paraId="257A6CF3">
      <w:pPr>
        <w:pStyle w:val="22"/>
        <w:jc w:val="center"/>
        <w:rPr>
          <w:rFonts w:ascii="仿宋" w:hAnsi="仿宋" w:eastAsia="仿宋" w:cs="仿宋"/>
          <w:b/>
          <w:sz w:val="24"/>
          <w:szCs w:val="24"/>
          <w:highlight w:val="none"/>
        </w:rPr>
      </w:pPr>
    </w:p>
    <w:p w14:paraId="7E2601E1">
      <w:pPr>
        <w:spacing w:before="78" w:line="222" w:lineRule="auto"/>
        <w:ind w:left="127"/>
        <w:jc w:val="center"/>
        <w:rPr>
          <w:rFonts w:ascii="仿宋" w:hAnsi="仿宋" w:eastAsia="仿宋" w:cs="仿宋"/>
          <w:sz w:val="24"/>
          <w:szCs w:val="24"/>
        </w:rPr>
      </w:pPr>
      <w:r>
        <w:rPr>
          <w:rFonts w:ascii="仿宋" w:hAnsi="仿宋" w:eastAsia="仿宋" w:cs="仿宋"/>
          <w:spacing w:val="-2"/>
          <w:sz w:val="24"/>
          <w:szCs w:val="24"/>
        </w:rPr>
        <w:t>后附相关人员有效证件。</w:t>
      </w:r>
    </w:p>
    <w:p w14:paraId="552ADCCA">
      <w:pPr>
        <w:pStyle w:val="22"/>
        <w:rPr>
          <w:rFonts w:hint="eastAsia" w:ascii="仿宋" w:hAnsi="仿宋" w:eastAsia="仿宋" w:cs="仿宋"/>
          <w:b/>
          <w:sz w:val="24"/>
          <w:szCs w:val="24"/>
          <w:highlight w:val="none"/>
        </w:rPr>
      </w:pPr>
    </w:p>
    <w:p w14:paraId="6FDFA970">
      <w:pPr>
        <w:pStyle w:val="22"/>
        <w:rPr>
          <w:rFonts w:hint="eastAsia" w:ascii="仿宋" w:hAnsi="仿宋" w:eastAsia="仿宋" w:cs="仿宋"/>
          <w:b/>
          <w:sz w:val="24"/>
          <w:szCs w:val="24"/>
          <w:highlight w:val="none"/>
        </w:rPr>
      </w:pPr>
    </w:p>
    <w:p w14:paraId="4A6DBEBF">
      <w:pPr>
        <w:pStyle w:val="22"/>
        <w:rPr>
          <w:rFonts w:hint="eastAsia" w:ascii="仿宋" w:hAnsi="仿宋" w:eastAsia="仿宋" w:cs="仿宋"/>
          <w:b/>
          <w:sz w:val="24"/>
          <w:szCs w:val="24"/>
          <w:highlight w:val="none"/>
        </w:rPr>
      </w:pPr>
    </w:p>
    <w:p w14:paraId="5626D2C8">
      <w:pPr>
        <w:pStyle w:val="22"/>
        <w:rPr>
          <w:rFonts w:hint="eastAsia" w:ascii="仿宋" w:hAnsi="仿宋" w:eastAsia="仿宋" w:cs="仿宋"/>
          <w:b/>
          <w:sz w:val="24"/>
          <w:szCs w:val="24"/>
          <w:highlight w:val="none"/>
        </w:rPr>
      </w:pPr>
    </w:p>
    <w:p w14:paraId="33FE04C6">
      <w:pPr>
        <w:pStyle w:val="22"/>
        <w:rPr>
          <w:rFonts w:hint="eastAsia" w:ascii="仿宋" w:hAnsi="仿宋" w:eastAsia="仿宋" w:cs="仿宋"/>
          <w:b/>
          <w:sz w:val="24"/>
          <w:szCs w:val="24"/>
          <w:highlight w:val="none"/>
        </w:rPr>
      </w:pPr>
    </w:p>
    <w:p w14:paraId="3117495E">
      <w:pPr>
        <w:pStyle w:val="22"/>
        <w:rPr>
          <w:rFonts w:hint="eastAsia" w:ascii="仿宋" w:hAnsi="仿宋" w:eastAsia="仿宋" w:cs="仿宋"/>
          <w:b/>
          <w:sz w:val="24"/>
          <w:szCs w:val="24"/>
          <w:highlight w:val="none"/>
        </w:rPr>
      </w:pPr>
    </w:p>
    <w:p w14:paraId="35A6578A">
      <w:pPr>
        <w:pStyle w:val="22"/>
        <w:rPr>
          <w:rFonts w:hint="eastAsia" w:ascii="仿宋" w:hAnsi="仿宋" w:eastAsia="仿宋" w:cs="仿宋"/>
          <w:b/>
          <w:sz w:val="24"/>
          <w:szCs w:val="24"/>
          <w:highlight w:val="none"/>
        </w:rPr>
      </w:pPr>
    </w:p>
    <w:p w14:paraId="0A1AB352">
      <w:pPr>
        <w:pStyle w:val="22"/>
        <w:rPr>
          <w:rFonts w:hint="eastAsia" w:ascii="仿宋" w:hAnsi="仿宋" w:eastAsia="仿宋" w:cs="仿宋"/>
          <w:b/>
          <w:sz w:val="24"/>
          <w:szCs w:val="24"/>
          <w:highlight w:val="none"/>
        </w:rPr>
      </w:pPr>
    </w:p>
    <w:p w14:paraId="24E3F282">
      <w:pPr>
        <w:pStyle w:val="22"/>
        <w:rPr>
          <w:rFonts w:ascii="仿宋" w:hAnsi="仿宋" w:eastAsia="仿宋" w:cs="仿宋"/>
          <w:b/>
          <w:sz w:val="24"/>
          <w:szCs w:val="24"/>
          <w:highlight w:val="none"/>
        </w:rPr>
      </w:pPr>
    </w:p>
    <w:p w14:paraId="199E9608">
      <w:pPr>
        <w:pStyle w:val="22"/>
        <w:rPr>
          <w:rFonts w:ascii="仿宋" w:hAnsi="仿宋" w:eastAsia="仿宋" w:cs="仿宋"/>
          <w:b/>
          <w:sz w:val="24"/>
          <w:szCs w:val="24"/>
          <w:highlight w:val="none"/>
        </w:rPr>
      </w:pPr>
    </w:p>
    <w:p w14:paraId="56F9AD36">
      <w:pPr>
        <w:pStyle w:val="22"/>
        <w:rPr>
          <w:rFonts w:hint="eastAsia" w:ascii="仿宋" w:hAnsi="仿宋" w:eastAsia="仿宋" w:cs="仿宋"/>
          <w:b/>
          <w:sz w:val="24"/>
          <w:szCs w:val="24"/>
          <w:highlight w:val="none"/>
        </w:rPr>
      </w:pPr>
    </w:p>
    <w:p w14:paraId="1F060DEF">
      <w:pPr>
        <w:pStyle w:val="22"/>
        <w:rPr>
          <w:rFonts w:hint="eastAsia" w:ascii="仿宋" w:hAnsi="仿宋" w:eastAsia="仿宋" w:cs="仿宋"/>
          <w:b/>
          <w:sz w:val="24"/>
          <w:szCs w:val="24"/>
          <w:highlight w:val="none"/>
        </w:rPr>
      </w:pPr>
    </w:p>
    <w:p w14:paraId="401F3B9D">
      <w:pPr>
        <w:pStyle w:val="22"/>
        <w:rPr>
          <w:rFonts w:hint="eastAsia" w:ascii="仿宋" w:hAnsi="仿宋" w:eastAsia="仿宋" w:cs="仿宋"/>
          <w:b/>
          <w:sz w:val="24"/>
          <w:szCs w:val="24"/>
          <w:highlight w:val="none"/>
        </w:rPr>
      </w:pPr>
    </w:p>
    <w:p w14:paraId="5B90F8D6">
      <w:pPr>
        <w:pStyle w:val="22"/>
        <w:rPr>
          <w:rFonts w:hint="eastAsia" w:ascii="仿宋" w:hAnsi="仿宋" w:eastAsia="仿宋" w:cs="仿宋"/>
          <w:b/>
          <w:sz w:val="24"/>
          <w:szCs w:val="24"/>
          <w:highlight w:val="none"/>
        </w:rPr>
      </w:pPr>
    </w:p>
    <w:p w14:paraId="387FAF03">
      <w:pPr>
        <w:pStyle w:val="22"/>
        <w:rPr>
          <w:rFonts w:hint="eastAsia" w:ascii="仿宋" w:hAnsi="仿宋" w:eastAsia="仿宋" w:cs="仿宋"/>
          <w:b/>
          <w:sz w:val="24"/>
          <w:szCs w:val="24"/>
          <w:highlight w:val="none"/>
        </w:rPr>
      </w:pPr>
    </w:p>
    <w:p w14:paraId="571DDE52">
      <w:pPr>
        <w:pStyle w:val="22"/>
        <w:rPr>
          <w:rFonts w:hint="eastAsia" w:ascii="仿宋" w:hAnsi="仿宋" w:eastAsia="仿宋" w:cs="仿宋"/>
          <w:b/>
          <w:sz w:val="24"/>
          <w:szCs w:val="24"/>
          <w:highlight w:val="none"/>
        </w:rPr>
      </w:pPr>
    </w:p>
    <w:p w14:paraId="5251FE49">
      <w:pPr>
        <w:pStyle w:val="22"/>
        <w:rPr>
          <w:rFonts w:hint="eastAsia" w:ascii="仿宋" w:hAnsi="仿宋" w:eastAsia="仿宋" w:cs="仿宋"/>
          <w:b/>
          <w:sz w:val="24"/>
          <w:szCs w:val="24"/>
          <w:highlight w:val="none"/>
        </w:rPr>
      </w:pPr>
    </w:p>
    <w:p w14:paraId="2AEBCE89">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3AFD307">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.服务方案（格式自拟）</w:t>
      </w:r>
    </w:p>
    <w:p w14:paraId="5245C539">
      <w:pPr>
        <w:pStyle w:val="22"/>
        <w:rPr>
          <w:rFonts w:ascii="仿宋" w:hAnsi="仿宋" w:eastAsia="仿宋" w:cs="仿宋"/>
          <w:b/>
          <w:sz w:val="24"/>
          <w:szCs w:val="24"/>
          <w:highlight w:val="none"/>
        </w:rPr>
      </w:pPr>
    </w:p>
    <w:p w14:paraId="2B6AC28B">
      <w:pPr>
        <w:pStyle w:val="22"/>
        <w:rPr>
          <w:rFonts w:ascii="仿宋" w:hAnsi="仿宋" w:eastAsia="仿宋" w:cs="仿宋"/>
          <w:b/>
          <w:sz w:val="24"/>
          <w:szCs w:val="24"/>
          <w:highlight w:val="none"/>
        </w:rPr>
      </w:pPr>
    </w:p>
    <w:p w14:paraId="33184A0F">
      <w:pPr>
        <w:pStyle w:val="22"/>
        <w:rPr>
          <w:rFonts w:ascii="仿宋" w:hAnsi="仿宋" w:eastAsia="仿宋" w:cs="仿宋"/>
          <w:b/>
          <w:sz w:val="24"/>
          <w:szCs w:val="24"/>
          <w:highlight w:val="none"/>
        </w:rPr>
      </w:pPr>
    </w:p>
    <w:p w14:paraId="5062EF79">
      <w:pPr>
        <w:widowControl/>
        <w:tabs>
          <w:tab w:val="left" w:pos="567"/>
        </w:tabs>
        <w:snapToGrid w:val="0"/>
        <w:spacing w:line="360" w:lineRule="auto"/>
        <w:jc w:val="left"/>
        <w:rPr>
          <w:rFonts w:ascii="仿宋" w:hAnsi="仿宋" w:eastAsia="仿宋" w:cs="仿宋"/>
          <w:b/>
          <w:kern w:val="0"/>
          <w:sz w:val="24"/>
          <w:highlight w:val="none"/>
        </w:rPr>
      </w:pPr>
    </w:p>
    <w:p w14:paraId="335432F4">
      <w:pPr>
        <w:widowControl/>
        <w:tabs>
          <w:tab w:val="left" w:pos="567"/>
        </w:tabs>
        <w:snapToGrid w:val="0"/>
        <w:spacing w:line="360" w:lineRule="auto"/>
        <w:jc w:val="left"/>
        <w:rPr>
          <w:rFonts w:ascii="仿宋" w:hAnsi="仿宋" w:eastAsia="仿宋" w:cs="仿宋"/>
          <w:b/>
          <w:kern w:val="0"/>
          <w:sz w:val="24"/>
          <w:highlight w:val="none"/>
        </w:rPr>
      </w:pPr>
    </w:p>
    <w:p w14:paraId="550435DC">
      <w:pPr>
        <w:widowControl/>
        <w:tabs>
          <w:tab w:val="left" w:pos="567"/>
        </w:tabs>
        <w:snapToGrid w:val="0"/>
        <w:spacing w:line="360" w:lineRule="auto"/>
        <w:jc w:val="left"/>
        <w:rPr>
          <w:rFonts w:ascii="仿宋" w:hAnsi="仿宋" w:eastAsia="仿宋" w:cs="仿宋"/>
          <w:b/>
          <w:kern w:val="0"/>
          <w:sz w:val="24"/>
          <w:highlight w:val="none"/>
        </w:rPr>
      </w:pPr>
    </w:p>
    <w:p w14:paraId="5576D5EE">
      <w:pPr>
        <w:widowControl/>
        <w:tabs>
          <w:tab w:val="left" w:pos="567"/>
        </w:tabs>
        <w:snapToGrid w:val="0"/>
        <w:spacing w:line="360" w:lineRule="auto"/>
        <w:jc w:val="left"/>
        <w:rPr>
          <w:rFonts w:ascii="仿宋" w:hAnsi="仿宋" w:eastAsia="仿宋" w:cs="仿宋"/>
          <w:b/>
          <w:kern w:val="0"/>
          <w:sz w:val="24"/>
          <w:highlight w:val="none"/>
        </w:rPr>
      </w:pPr>
    </w:p>
    <w:p w14:paraId="66A2516F">
      <w:pPr>
        <w:widowControl/>
        <w:tabs>
          <w:tab w:val="left" w:pos="567"/>
        </w:tabs>
        <w:snapToGrid w:val="0"/>
        <w:spacing w:line="360" w:lineRule="auto"/>
        <w:jc w:val="left"/>
        <w:rPr>
          <w:rFonts w:ascii="仿宋" w:hAnsi="仿宋" w:eastAsia="仿宋" w:cs="仿宋"/>
          <w:b/>
          <w:kern w:val="0"/>
          <w:sz w:val="24"/>
          <w:highlight w:val="none"/>
        </w:rPr>
      </w:pPr>
    </w:p>
    <w:p w14:paraId="18F6F622">
      <w:pPr>
        <w:widowControl/>
        <w:tabs>
          <w:tab w:val="left" w:pos="567"/>
        </w:tabs>
        <w:snapToGrid w:val="0"/>
        <w:spacing w:line="360" w:lineRule="auto"/>
        <w:jc w:val="left"/>
        <w:rPr>
          <w:rFonts w:ascii="仿宋" w:hAnsi="仿宋" w:eastAsia="仿宋" w:cs="仿宋"/>
          <w:b/>
          <w:kern w:val="0"/>
          <w:sz w:val="24"/>
          <w:highlight w:val="none"/>
        </w:rPr>
      </w:pPr>
    </w:p>
    <w:p w14:paraId="523DDF61">
      <w:pPr>
        <w:widowControl/>
        <w:tabs>
          <w:tab w:val="left" w:pos="567"/>
        </w:tabs>
        <w:snapToGrid w:val="0"/>
        <w:spacing w:line="360" w:lineRule="auto"/>
        <w:jc w:val="left"/>
        <w:rPr>
          <w:rFonts w:ascii="仿宋" w:hAnsi="仿宋" w:eastAsia="仿宋" w:cs="仿宋"/>
          <w:b/>
          <w:kern w:val="0"/>
          <w:sz w:val="24"/>
          <w:highlight w:val="none"/>
        </w:rPr>
      </w:pPr>
    </w:p>
    <w:p w14:paraId="2B0E2001">
      <w:pPr>
        <w:widowControl/>
        <w:tabs>
          <w:tab w:val="left" w:pos="567"/>
        </w:tabs>
        <w:snapToGrid w:val="0"/>
        <w:spacing w:line="360" w:lineRule="auto"/>
        <w:jc w:val="left"/>
        <w:rPr>
          <w:rFonts w:hint="eastAsia" w:ascii="仿宋" w:hAnsi="仿宋" w:eastAsia="仿宋" w:cs="仿宋"/>
          <w:b/>
          <w:kern w:val="0"/>
          <w:sz w:val="24"/>
          <w:highlight w:val="none"/>
        </w:rPr>
      </w:pPr>
    </w:p>
    <w:p w14:paraId="75A0EF00">
      <w:pPr>
        <w:widowControl/>
        <w:tabs>
          <w:tab w:val="left" w:pos="567"/>
        </w:tabs>
        <w:snapToGrid w:val="0"/>
        <w:spacing w:line="360" w:lineRule="auto"/>
        <w:jc w:val="left"/>
        <w:rPr>
          <w:rFonts w:hint="eastAsia" w:ascii="仿宋" w:hAnsi="仿宋" w:eastAsia="仿宋" w:cs="仿宋"/>
          <w:b/>
          <w:kern w:val="0"/>
          <w:sz w:val="24"/>
          <w:highlight w:val="none"/>
        </w:rPr>
      </w:pPr>
    </w:p>
    <w:p w14:paraId="39F535E5">
      <w:pPr>
        <w:rPr>
          <w:rFonts w:hint="eastAsia" w:ascii="仿宋" w:hAnsi="仿宋" w:eastAsia="仿宋" w:cs="仿宋"/>
          <w:b/>
          <w:kern w:val="0"/>
          <w:sz w:val="24"/>
          <w:highlight w:val="none"/>
          <w:lang w:eastAsia="zh-CN"/>
        </w:rPr>
      </w:pPr>
      <w:r>
        <w:rPr>
          <w:rFonts w:hint="eastAsia" w:ascii="仿宋" w:hAnsi="仿宋" w:eastAsia="仿宋" w:cs="仿宋"/>
          <w:b/>
          <w:kern w:val="0"/>
          <w:sz w:val="24"/>
          <w:highlight w:val="none"/>
          <w:lang w:eastAsia="zh-CN"/>
        </w:rPr>
        <w:br w:type="page"/>
      </w:r>
    </w:p>
    <w:p w14:paraId="1BD9BA80">
      <w:pPr>
        <w:widowControl/>
        <w:tabs>
          <w:tab w:val="left" w:pos="567"/>
        </w:tabs>
        <w:snapToGrid w:val="0"/>
        <w:spacing w:line="360" w:lineRule="auto"/>
        <w:jc w:val="center"/>
        <w:rPr>
          <w:rFonts w:ascii="仿宋" w:hAnsi="仿宋" w:eastAsia="仿宋" w:cs="仿宋"/>
          <w:b/>
          <w:kern w:val="0"/>
          <w:sz w:val="24"/>
          <w:highlight w:val="none"/>
        </w:rPr>
      </w:pPr>
      <w:r>
        <w:rPr>
          <w:rFonts w:hint="eastAsia" w:ascii="仿宋" w:hAnsi="仿宋" w:eastAsia="仿宋" w:cs="仿宋"/>
          <w:b/>
          <w:kern w:val="0"/>
          <w:sz w:val="24"/>
          <w:highlight w:val="none"/>
          <w:lang w:eastAsia="zh-CN"/>
        </w:rPr>
        <w:t>10.</w:t>
      </w:r>
      <w:r>
        <w:rPr>
          <w:rFonts w:hint="eastAsia" w:ascii="仿宋" w:hAnsi="仿宋" w:eastAsia="仿宋" w:cs="仿宋"/>
          <w:b/>
          <w:kern w:val="0"/>
          <w:sz w:val="24"/>
          <w:highlight w:val="none"/>
        </w:rPr>
        <w:t>政策性要求</w:t>
      </w:r>
    </w:p>
    <w:p w14:paraId="16309667">
      <w:pPr>
        <w:tabs>
          <w:tab w:val="left" w:pos="1680"/>
        </w:tabs>
        <w:snapToGrid w:val="0"/>
        <w:spacing w:line="360" w:lineRule="auto"/>
        <w:rPr>
          <w:rFonts w:hint="eastAsia" w:ascii="仿宋" w:hAnsi="仿宋" w:eastAsia="仿宋" w:cs="仿宋"/>
          <w:sz w:val="24"/>
          <w:highlight w:val="none"/>
        </w:rPr>
      </w:pPr>
      <w:r>
        <w:rPr>
          <w:rFonts w:hint="eastAsia" w:ascii="仿宋" w:hAnsi="仿宋" w:eastAsia="仿宋" w:cs="仿宋"/>
          <w:b/>
          <w:kern w:val="0"/>
          <w:sz w:val="24"/>
          <w:highlight w:val="none"/>
          <w:lang w:val="en-US" w:eastAsia="zh-CN"/>
        </w:rPr>
        <w:t>10.1</w:t>
      </w:r>
      <w:r>
        <w:rPr>
          <w:rFonts w:hint="eastAsia" w:ascii="仿宋" w:hAnsi="仿宋" w:eastAsia="仿宋" w:cs="仿宋"/>
          <w:sz w:val="24"/>
          <w:highlight w:val="none"/>
        </w:rPr>
        <w:t>环保节能产品证明材料</w:t>
      </w:r>
      <w:r>
        <w:rPr>
          <w:rFonts w:hint="eastAsia" w:ascii="仿宋" w:hAnsi="仿宋" w:eastAsia="仿宋" w:cs="仿宋"/>
          <w:b/>
          <w:kern w:val="0"/>
          <w:sz w:val="24"/>
          <w:highlight w:val="none"/>
        </w:rPr>
        <w:t>（如不涉及，此函可不提供）</w:t>
      </w:r>
    </w:p>
    <w:p w14:paraId="1628F4A2">
      <w:pPr>
        <w:tabs>
          <w:tab w:val="left" w:pos="1680"/>
        </w:tabs>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（1）强制节能产品明细表格式（如本项目所投产品中不涉及强制节能产品，此表可不提供）</w:t>
      </w:r>
    </w:p>
    <w:p w14:paraId="156CDE01">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07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3C72244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955" w:type="dxa"/>
            <w:vAlign w:val="center"/>
          </w:tcPr>
          <w:p w14:paraId="1B95253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55" w:type="dxa"/>
            <w:vAlign w:val="center"/>
          </w:tcPr>
          <w:p w14:paraId="33DE3DF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955" w:type="dxa"/>
            <w:vAlign w:val="center"/>
          </w:tcPr>
          <w:p w14:paraId="425EC1DF">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637" w:type="dxa"/>
            <w:vAlign w:val="center"/>
          </w:tcPr>
          <w:p w14:paraId="5EE4E2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860" w:type="dxa"/>
            <w:vAlign w:val="center"/>
          </w:tcPr>
          <w:p w14:paraId="79CE9CC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850" w:type="dxa"/>
            <w:vAlign w:val="center"/>
          </w:tcPr>
          <w:p w14:paraId="15F1A9D9">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认证机构名录</w:t>
            </w:r>
          </w:p>
        </w:tc>
      </w:tr>
      <w:tr w14:paraId="309C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2CF7FA7">
            <w:pPr>
              <w:spacing w:line="360" w:lineRule="exact"/>
              <w:rPr>
                <w:rFonts w:hint="eastAsia" w:ascii="仿宋" w:hAnsi="仿宋" w:eastAsia="仿宋" w:cs="仿宋"/>
                <w:b/>
                <w:sz w:val="24"/>
                <w:highlight w:val="none"/>
              </w:rPr>
            </w:pPr>
          </w:p>
        </w:tc>
        <w:tc>
          <w:tcPr>
            <w:tcW w:w="955" w:type="dxa"/>
          </w:tcPr>
          <w:p w14:paraId="1A63549E">
            <w:pPr>
              <w:spacing w:line="360" w:lineRule="exact"/>
              <w:rPr>
                <w:rFonts w:hint="eastAsia" w:ascii="仿宋" w:hAnsi="仿宋" w:eastAsia="仿宋" w:cs="仿宋"/>
                <w:b/>
                <w:sz w:val="24"/>
                <w:highlight w:val="none"/>
              </w:rPr>
            </w:pPr>
          </w:p>
        </w:tc>
        <w:tc>
          <w:tcPr>
            <w:tcW w:w="955" w:type="dxa"/>
          </w:tcPr>
          <w:p w14:paraId="68294834">
            <w:pPr>
              <w:spacing w:line="360" w:lineRule="exact"/>
              <w:rPr>
                <w:rFonts w:hint="eastAsia" w:ascii="仿宋" w:hAnsi="仿宋" w:eastAsia="仿宋" w:cs="仿宋"/>
                <w:b/>
                <w:sz w:val="24"/>
                <w:highlight w:val="none"/>
              </w:rPr>
            </w:pPr>
          </w:p>
        </w:tc>
        <w:tc>
          <w:tcPr>
            <w:tcW w:w="955" w:type="dxa"/>
          </w:tcPr>
          <w:p w14:paraId="112822CB">
            <w:pPr>
              <w:spacing w:line="360" w:lineRule="exact"/>
              <w:rPr>
                <w:rFonts w:hint="eastAsia" w:ascii="仿宋" w:hAnsi="仿宋" w:eastAsia="仿宋" w:cs="仿宋"/>
                <w:b/>
                <w:sz w:val="24"/>
                <w:highlight w:val="none"/>
              </w:rPr>
            </w:pPr>
          </w:p>
        </w:tc>
        <w:tc>
          <w:tcPr>
            <w:tcW w:w="1637" w:type="dxa"/>
          </w:tcPr>
          <w:p w14:paraId="303F30DA">
            <w:pPr>
              <w:spacing w:line="360" w:lineRule="exact"/>
              <w:rPr>
                <w:rFonts w:hint="eastAsia" w:ascii="仿宋" w:hAnsi="仿宋" w:eastAsia="仿宋" w:cs="仿宋"/>
                <w:b/>
                <w:sz w:val="24"/>
                <w:highlight w:val="none"/>
              </w:rPr>
            </w:pPr>
          </w:p>
        </w:tc>
        <w:tc>
          <w:tcPr>
            <w:tcW w:w="1860" w:type="dxa"/>
          </w:tcPr>
          <w:p w14:paraId="36CC1193">
            <w:pPr>
              <w:spacing w:line="360" w:lineRule="exact"/>
              <w:rPr>
                <w:rFonts w:hint="eastAsia" w:ascii="仿宋" w:hAnsi="仿宋" w:eastAsia="仿宋" w:cs="仿宋"/>
                <w:b/>
                <w:sz w:val="24"/>
                <w:highlight w:val="none"/>
              </w:rPr>
            </w:pPr>
          </w:p>
        </w:tc>
        <w:tc>
          <w:tcPr>
            <w:tcW w:w="1850" w:type="dxa"/>
          </w:tcPr>
          <w:p w14:paraId="296C4B67">
            <w:pPr>
              <w:spacing w:line="360" w:lineRule="exact"/>
              <w:rPr>
                <w:rFonts w:hint="eastAsia" w:ascii="仿宋" w:hAnsi="仿宋" w:eastAsia="仿宋" w:cs="仿宋"/>
                <w:b/>
                <w:sz w:val="24"/>
                <w:highlight w:val="none"/>
              </w:rPr>
            </w:pPr>
          </w:p>
        </w:tc>
      </w:tr>
      <w:tr w14:paraId="361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B2683F5">
            <w:pPr>
              <w:spacing w:line="360" w:lineRule="exact"/>
              <w:rPr>
                <w:rFonts w:hint="eastAsia" w:ascii="仿宋" w:hAnsi="仿宋" w:eastAsia="仿宋" w:cs="仿宋"/>
                <w:b/>
                <w:sz w:val="24"/>
                <w:highlight w:val="none"/>
              </w:rPr>
            </w:pPr>
          </w:p>
        </w:tc>
        <w:tc>
          <w:tcPr>
            <w:tcW w:w="955" w:type="dxa"/>
          </w:tcPr>
          <w:p w14:paraId="70CFB6D2">
            <w:pPr>
              <w:spacing w:line="360" w:lineRule="exact"/>
              <w:rPr>
                <w:rFonts w:hint="eastAsia" w:ascii="仿宋" w:hAnsi="仿宋" w:eastAsia="仿宋" w:cs="仿宋"/>
                <w:b/>
                <w:sz w:val="24"/>
                <w:highlight w:val="none"/>
              </w:rPr>
            </w:pPr>
          </w:p>
        </w:tc>
        <w:tc>
          <w:tcPr>
            <w:tcW w:w="955" w:type="dxa"/>
          </w:tcPr>
          <w:p w14:paraId="404F5E43">
            <w:pPr>
              <w:spacing w:line="360" w:lineRule="exact"/>
              <w:rPr>
                <w:rFonts w:hint="eastAsia" w:ascii="仿宋" w:hAnsi="仿宋" w:eastAsia="仿宋" w:cs="仿宋"/>
                <w:b/>
                <w:sz w:val="24"/>
                <w:highlight w:val="none"/>
              </w:rPr>
            </w:pPr>
          </w:p>
        </w:tc>
        <w:tc>
          <w:tcPr>
            <w:tcW w:w="955" w:type="dxa"/>
          </w:tcPr>
          <w:p w14:paraId="6E15A64C">
            <w:pPr>
              <w:spacing w:line="360" w:lineRule="exact"/>
              <w:rPr>
                <w:rFonts w:hint="eastAsia" w:ascii="仿宋" w:hAnsi="仿宋" w:eastAsia="仿宋" w:cs="仿宋"/>
                <w:b/>
                <w:sz w:val="24"/>
                <w:highlight w:val="none"/>
              </w:rPr>
            </w:pPr>
          </w:p>
        </w:tc>
        <w:tc>
          <w:tcPr>
            <w:tcW w:w="1637" w:type="dxa"/>
          </w:tcPr>
          <w:p w14:paraId="7975403F">
            <w:pPr>
              <w:spacing w:line="360" w:lineRule="exact"/>
              <w:rPr>
                <w:rFonts w:hint="eastAsia" w:ascii="仿宋" w:hAnsi="仿宋" w:eastAsia="仿宋" w:cs="仿宋"/>
                <w:b/>
                <w:sz w:val="24"/>
                <w:highlight w:val="none"/>
              </w:rPr>
            </w:pPr>
          </w:p>
        </w:tc>
        <w:tc>
          <w:tcPr>
            <w:tcW w:w="1860" w:type="dxa"/>
          </w:tcPr>
          <w:p w14:paraId="5339DD4D">
            <w:pPr>
              <w:spacing w:line="360" w:lineRule="exact"/>
              <w:rPr>
                <w:rFonts w:hint="eastAsia" w:ascii="仿宋" w:hAnsi="仿宋" w:eastAsia="仿宋" w:cs="仿宋"/>
                <w:b/>
                <w:sz w:val="24"/>
                <w:highlight w:val="none"/>
              </w:rPr>
            </w:pPr>
          </w:p>
        </w:tc>
        <w:tc>
          <w:tcPr>
            <w:tcW w:w="1850" w:type="dxa"/>
          </w:tcPr>
          <w:p w14:paraId="6F59130F">
            <w:pPr>
              <w:spacing w:line="360" w:lineRule="exact"/>
              <w:rPr>
                <w:rFonts w:hint="eastAsia" w:ascii="仿宋" w:hAnsi="仿宋" w:eastAsia="仿宋" w:cs="仿宋"/>
                <w:b/>
                <w:sz w:val="24"/>
                <w:highlight w:val="none"/>
              </w:rPr>
            </w:pPr>
          </w:p>
        </w:tc>
      </w:tr>
      <w:tr w14:paraId="4AA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EBD295E">
            <w:pPr>
              <w:spacing w:line="360" w:lineRule="exact"/>
              <w:rPr>
                <w:rFonts w:hint="eastAsia" w:ascii="仿宋" w:hAnsi="仿宋" w:eastAsia="仿宋" w:cs="仿宋"/>
                <w:b/>
                <w:sz w:val="24"/>
                <w:highlight w:val="none"/>
              </w:rPr>
            </w:pPr>
          </w:p>
        </w:tc>
        <w:tc>
          <w:tcPr>
            <w:tcW w:w="955" w:type="dxa"/>
          </w:tcPr>
          <w:p w14:paraId="1C94C7A0">
            <w:pPr>
              <w:spacing w:line="360" w:lineRule="exact"/>
              <w:rPr>
                <w:rFonts w:hint="eastAsia" w:ascii="仿宋" w:hAnsi="仿宋" w:eastAsia="仿宋" w:cs="仿宋"/>
                <w:b/>
                <w:sz w:val="24"/>
                <w:highlight w:val="none"/>
              </w:rPr>
            </w:pPr>
          </w:p>
        </w:tc>
        <w:tc>
          <w:tcPr>
            <w:tcW w:w="955" w:type="dxa"/>
          </w:tcPr>
          <w:p w14:paraId="092AA645">
            <w:pPr>
              <w:spacing w:line="360" w:lineRule="exact"/>
              <w:rPr>
                <w:rFonts w:hint="eastAsia" w:ascii="仿宋" w:hAnsi="仿宋" w:eastAsia="仿宋" w:cs="仿宋"/>
                <w:b/>
                <w:sz w:val="24"/>
                <w:highlight w:val="none"/>
              </w:rPr>
            </w:pPr>
          </w:p>
        </w:tc>
        <w:tc>
          <w:tcPr>
            <w:tcW w:w="955" w:type="dxa"/>
          </w:tcPr>
          <w:p w14:paraId="30779F91">
            <w:pPr>
              <w:spacing w:line="360" w:lineRule="exact"/>
              <w:rPr>
                <w:rFonts w:hint="eastAsia" w:ascii="仿宋" w:hAnsi="仿宋" w:eastAsia="仿宋" w:cs="仿宋"/>
                <w:b/>
                <w:sz w:val="24"/>
                <w:highlight w:val="none"/>
              </w:rPr>
            </w:pPr>
          </w:p>
        </w:tc>
        <w:tc>
          <w:tcPr>
            <w:tcW w:w="1637" w:type="dxa"/>
          </w:tcPr>
          <w:p w14:paraId="35CAC1A7">
            <w:pPr>
              <w:spacing w:line="360" w:lineRule="exact"/>
              <w:rPr>
                <w:rFonts w:hint="eastAsia" w:ascii="仿宋" w:hAnsi="仿宋" w:eastAsia="仿宋" w:cs="仿宋"/>
                <w:b/>
                <w:sz w:val="24"/>
                <w:highlight w:val="none"/>
              </w:rPr>
            </w:pPr>
          </w:p>
        </w:tc>
        <w:tc>
          <w:tcPr>
            <w:tcW w:w="1860" w:type="dxa"/>
          </w:tcPr>
          <w:p w14:paraId="51FE98D7">
            <w:pPr>
              <w:spacing w:line="360" w:lineRule="exact"/>
              <w:rPr>
                <w:rFonts w:hint="eastAsia" w:ascii="仿宋" w:hAnsi="仿宋" w:eastAsia="仿宋" w:cs="仿宋"/>
                <w:b/>
                <w:sz w:val="24"/>
                <w:highlight w:val="none"/>
              </w:rPr>
            </w:pPr>
          </w:p>
        </w:tc>
        <w:tc>
          <w:tcPr>
            <w:tcW w:w="1850" w:type="dxa"/>
          </w:tcPr>
          <w:p w14:paraId="4164DB45">
            <w:pPr>
              <w:spacing w:line="360" w:lineRule="exact"/>
              <w:rPr>
                <w:rFonts w:hint="eastAsia" w:ascii="仿宋" w:hAnsi="仿宋" w:eastAsia="仿宋" w:cs="仿宋"/>
                <w:b/>
                <w:sz w:val="24"/>
                <w:highlight w:val="none"/>
              </w:rPr>
            </w:pPr>
          </w:p>
        </w:tc>
      </w:tr>
    </w:tbl>
    <w:p w14:paraId="3A857174">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220EBEE">
      <w:pPr>
        <w:tabs>
          <w:tab w:val="left" w:pos="1680"/>
        </w:tabs>
        <w:snapToGrid w:val="0"/>
        <w:spacing w:line="360" w:lineRule="auto"/>
        <w:rPr>
          <w:rFonts w:hint="eastAsia" w:ascii="仿宋" w:hAnsi="仿宋" w:eastAsia="仿宋" w:cs="仿宋"/>
          <w:bCs/>
          <w:sz w:val="24"/>
          <w:highlight w:val="none"/>
        </w:rPr>
      </w:pPr>
    </w:p>
    <w:p w14:paraId="3CC2473D">
      <w:pPr>
        <w:tabs>
          <w:tab w:val="left" w:pos="1680"/>
        </w:tabs>
        <w:snapToGrid w:val="0"/>
        <w:spacing w:line="360" w:lineRule="auto"/>
        <w:rPr>
          <w:rFonts w:hint="eastAsia" w:ascii="仿宋" w:hAnsi="仿宋" w:eastAsia="仿宋" w:cs="仿宋"/>
          <w:bCs/>
          <w:sz w:val="24"/>
          <w:highlight w:val="none"/>
        </w:rPr>
      </w:pPr>
    </w:p>
    <w:p w14:paraId="5B46F016">
      <w:pPr>
        <w:tabs>
          <w:tab w:val="left" w:pos="1680"/>
        </w:tabs>
        <w:snapToGrid w:val="0"/>
        <w:spacing w:line="360" w:lineRule="exact"/>
        <w:rPr>
          <w:rFonts w:hint="eastAsia" w:ascii="仿宋" w:hAnsi="仿宋" w:eastAsia="仿宋" w:cs="仿宋"/>
          <w:bCs/>
          <w:sz w:val="24"/>
          <w:highlight w:val="none"/>
        </w:rPr>
      </w:pPr>
    </w:p>
    <w:p w14:paraId="1A68B321">
      <w:pPr>
        <w:tabs>
          <w:tab w:val="left" w:pos="1680"/>
        </w:tabs>
        <w:snapToGrid w:val="0"/>
        <w:spacing w:line="360" w:lineRule="auto"/>
        <w:rPr>
          <w:rFonts w:hint="eastAsia" w:ascii="仿宋" w:hAnsi="仿宋" w:eastAsia="仿宋" w:cs="仿宋"/>
          <w:bCs/>
          <w:sz w:val="24"/>
          <w:highlight w:val="none"/>
        </w:rPr>
      </w:pPr>
    </w:p>
    <w:p w14:paraId="58C4D258">
      <w:pP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2D61637F">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1．采购货物中如含有强制节能产品的，须如实填写强制节能产品明细表；</w:t>
      </w:r>
    </w:p>
    <w:p w14:paraId="5A0C0D93">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 提供所投产品获得国家确定的认证机构出具的、处于有效期之内的产品认证证书。</w:t>
      </w:r>
    </w:p>
    <w:p w14:paraId="6E51A2A8">
      <w:pPr>
        <w:rPr>
          <w:rFonts w:hint="eastAsia" w:ascii="仿宋" w:hAnsi="仿宋" w:eastAsia="仿宋" w:cs="仿宋"/>
          <w:bCs/>
          <w:sz w:val="24"/>
          <w:highlight w:val="none"/>
        </w:rPr>
      </w:pPr>
    </w:p>
    <w:p w14:paraId="35562387">
      <w:pPr>
        <w:rPr>
          <w:rFonts w:hint="eastAsia" w:ascii="仿宋" w:hAnsi="仿宋" w:eastAsia="仿宋" w:cs="仿宋"/>
          <w:bCs/>
          <w:sz w:val="24"/>
          <w:highlight w:val="none"/>
        </w:rPr>
      </w:pPr>
    </w:p>
    <w:p w14:paraId="00E5D412">
      <w:pPr>
        <w:rPr>
          <w:rFonts w:hint="eastAsia" w:ascii="仿宋" w:hAnsi="仿宋" w:eastAsia="仿宋" w:cs="仿宋"/>
          <w:bCs/>
          <w:sz w:val="24"/>
          <w:highlight w:val="none"/>
        </w:rPr>
      </w:pPr>
    </w:p>
    <w:p w14:paraId="13A724F2">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1B63282B">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（2）非强制节能产品、环保标志产品明细表格式（如本项目所投产品中不涉及非强制节能产品、环保标志产品，此表可不提供）</w:t>
      </w:r>
    </w:p>
    <w:p w14:paraId="093BF5BF">
      <w:pPr>
        <w:tabs>
          <w:tab w:val="left" w:pos="1680"/>
        </w:tabs>
        <w:snapToGrid w:val="0"/>
        <w:spacing w:line="360" w:lineRule="exact"/>
        <w:jc w:val="center"/>
        <w:rPr>
          <w:rFonts w:hint="eastAsia" w:ascii="仿宋" w:hAnsi="仿宋" w:eastAsia="仿宋" w:cs="仿宋"/>
          <w:b/>
          <w:sz w:val="24"/>
          <w:highlight w:val="none"/>
        </w:rPr>
      </w:pPr>
    </w:p>
    <w:p w14:paraId="78473778">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非强制节能产品明细表</w:t>
      </w:r>
    </w:p>
    <w:p w14:paraId="1480B0A1">
      <w:pPr>
        <w:tabs>
          <w:tab w:val="left" w:pos="1680"/>
        </w:tabs>
        <w:snapToGrid w:val="0"/>
        <w:spacing w:line="360" w:lineRule="exact"/>
        <w:jc w:val="center"/>
        <w:rPr>
          <w:rFonts w:hint="eastAsia" w:ascii="仿宋" w:hAnsi="仿宋" w:eastAsia="仿宋" w:cs="仿宋"/>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398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4CE25C5B">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068" w:type="dxa"/>
            <w:vAlign w:val="center"/>
          </w:tcPr>
          <w:p w14:paraId="513B73F5">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15" w:type="dxa"/>
            <w:vAlign w:val="center"/>
          </w:tcPr>
          <w:p w14:paraId="11EFDB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230" w:type="dxa"/>
            <w:vAlign w:val="center"/>
          </w:tcPr>
          <w:p w14:paraId="4070EE9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770" w:type="dxa"/>
            <w:vAlign w:val="center"/>
          </w:tcPr>
          <w:p w14:paraId="5FA654C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590" w:type="dxa"/>
            <w:vAlign w:val="center"/>
          </w:tcPr>
          <w:p w14:paraId="76F99E2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639" w:type="dxa"/>
            <w:vAlign w:val="center"/>
          </w:tcPr>
          <w:p w14:paraId="07EE87D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22C5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4265844">
            <w:pPr>
              <w:spacing w:line="360" w:lineRule="exact"/>
              <w:rPr>
                <w:rFonts w:hint="eastAsia" w:ascii="仿宋" w:hAnsi="仿宋" w:eastAsia="仿宋" w:cs="仿宋"/>
                <w:b/>
                <w:sz w:val="24"/>
                <w:highlight w:val="none"/>
              </w:rPr>
            </w:pPr>
          </w:p>
        </w:tc>
        <w:tc>
          <w:tcPr>
            <w:tcW w:w="1068" w:type="dxa"/>
          </w:tcPr>
          <w:p w14:paraId="50E982DC">
            <w:pPr>
              <w:spacing w:line="360" w:lineRule="exact"/>
              <w:rPr>
                <w:rFonts w:hint="eastAsia" w:ascii="仿宋" w:hAnsi="仿宋" w:eastAsia="仿宋" w:cs="仿宋"/>
                <w:b/>
                <w:sz w:val="24"/>
                <w:highlight w:val="none"/>
              </w:rPr>
            </w:pPr>
          </w:p>
        </w:tc>
        <w:tc>
          <w:tcPr>
            <w:tcW w:w="915" w:type="dxa"/>
          </w:tcPr>
          <w:p w14:paraId="3B904EE7">
            <w:pPr>
              <w:spacing w:line="360" w:lineRule="exact"/>
              <w:rPr>
                <w:rFonts w:hint="eastAsia" w:ascii="仿宋" w:hAnsi="仿宋" w:eastAsia="仿宋" w:cs="仿宋"/>
                <w:b/>
                <w:sz w:val="24"/>
                <w:highlight w:val="none"/>
              </w:rPr>
            </w:pPr>
          </w:p>
        </w:tc>
        <w:tc>
          <w:tcPr>
            <w:tcW w:w="1230" w:type="dxa"/>
          </w:tcPr>
          <w:p w14:paraId="6A94BF4F">
            <w:pPr>
              <w:spacing w:line="360" w:lineRule="exact"/>
              <w:rPr>
                <w:rFonts w:hint="eastAsia" w:ascii="仿宋" w:hAnsi="仿宋" w:eastAsia="仿宋" w:cs="仿宋"/>
                <w:b/>
                <w:sz w:val="24"/>
                <w:highlight w:val="none"/>
              </w:rPr>
            </w:pPr>
          </w:p>
        </w:tc>
        <w:tc>
          <w:tcPr>
            <w:tcW w:w="1770" w:type="dxa"/>
          </w:tcPr>
          <w:p w14:paraId="267038DE">
            <w:pPr>
              <w:spacing w:line="360" w:lineRule="exact"/>
              <w:rPr>
                <w:rFonts w:hint="eastAsia" w:ascii="仿宋" w:hAnsi="仿宋" w:eastAsia="仿宋" w:cs="仿宋"/>
                <w:b/>
                <w:sz w:val="24"/>
                <w:highlight w:val="none"/>
              </w:rPr>
            </w:pPr>
          </w:p>
        </w:tc>
        <w:tc>
          <w:tcPr>
            <w:tcW w:w="1590" w:type="dxa"/>
          </w:tcPr>
          <w:p w14:paraId="3AC16AB8">
            <w:pPr>
              <w:spacing w:line="360" w:lineRule="exact"/>
              <w:rPr>
                <w:rFonts w:hint="eastAsia" w:ascii="仿宋" w:hAnsi="仿宋" w:eastAsia="仿宋" w:cs="仿宋"/>
                <w:b/>
                <w:sz w:val="24"/>
                <w:highlight w:val="none"/>
              </w:rPr>
            </w:pPr>
          </w:p>
        </w:tc>
        <w:tc>
          <w:tcPr>
            <w:tcW w:w="1639" w:type="dxa"/>
          </w:tcPr>
          <w:p w14:paraId="012E6B88">
            <w:pPr>
              <w:spacing w:line="360" w:lineRule="exact"/>
              <w:rPr>
                <w:rFonts w:hint="eastAsia" w:ascii="仿宋" w:hAnsi="仿宋" w:eastAsia="仿宋" w:cs="仿宋"/>
                <w:b/>
                <w:sz w:val="24"/>
                <w:highlight w:val="none"/>
              </w:rPr>
            </w:pPr>
          </w:p>
        </w:tc>
      </w:tr>
      <w:tr w14:paraId="2377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8A7C1E7">
            <w:pPr>
              <w:spacing w:line="360" w:lineRule="exact"/>
              <w:rPr>
                <w:rFonts w:hint="eastAsia" w:ascii="仿宋" w:hAnsi="仿宋" w:eastAsia="仿宋" w:cs="仿宋"/>
                <w:b/>
                <w:sz w:val="24"/>
                <w:highlight w:val="none"/>
              </w:rPr>
            </w:pPr>
          </w:p>
        </w:tc>
        <w:tc>
          <w:tcPr>
            <w:tcW w:w="1068" w:type="dxa"/>
          </w:tcPr>
          <w:p w14:paraId="23F131C1">
            <w:pPr>
              <w:spacing w:line="360" w:lineRule="exact"/>
              <w:rPr>
                <w:rFonts w:hint="eastAsia" w:ascii="仿宋" w:hAnsi="仿宋" w:eastAsia="仿宋" w:cs="仿宋"/>
                <w:b/>
                <w:sz w:val="24"/>
                <w:highlight w:val="none"/>
              </w:rPr>
            </w:pPr>
          </w:p>
        </w:tc>
        <w:tc>
          <w:tcPr>
            <w:tcW w:w="915" w:type="dxa"/>
          </w:tcPr>
          <w:p w14:paraId="2BD4ADBD">
            <w:pPr>
              <w:spacing w:line="360" w:lineRule="exact"/>
              <w:rPr>
                <w:rFonts w:hint="eastAsia" w:ascii="仿宋" w:hAnsi="仿宋" w:eastAsia="仿宋" w:cs="仿宋"/>
                <w:b/>
                <w:sz w:val="24"/>
                <w:highlight w:val="none"/>
              </w:rPr>
            </w:pPr>
          </w:p>
        </w:tc>
        <w:tc>
          <w:tcPr>
            <w:tcW w:w="1230" w:type="dxa"/>
          </w:tcPr>
          <w:p w14:paraId="331ECCAD">
            <w:pPr>
              <w:spacing w:line="360" w:lineRule="exact"/>
              <w:rPr>
                <w:rFonts w:hint="eastAsia" w:ascii="仿宋" w:hAnsi="仿宋" w:eastAsia="仿宋" w:cs="仿宋"/>
                <w:b/>
                <w:sz w:val="24"/>
                <w:highlight w:val="none"/>
              </w:rPr>
            </w:pPr>
          </w:p>
        </w:tc>
        <w:tc>
          <w:tcPr>
            <w:tcW w:w="1770" w:type="dxa"/>
          </w:tcPr>
          <w:p w14:paraId="62EA161D">
            <w:pPr>
              <w:spacing w:line="360" w:lineRule="exact"/>
              <w:rPr>
                <w:rFonts w:hint="eastAsia" w:ascii="仿宋" w:hAnsi="仿宋" w:eastAsia="仿宋" w:cs="仿宋"/>
                <w:b/>
                <w:sz w:val="24"/>
                <w:highlight w:val="none"/>
              </w:rPr>
            </w:pPr>
          </w:p>
        </w:tc>
        <w:tc>
          <w:tcPr>
            <w:tcW w:w="1590" w:type="dxa"/>
          </w:tcPr>
          <w:p w14:paraId="37AE1819">
            <w:pPr>
              <w:spacing w:line="360" w:lineRule="exact"/>
              <w:rPr>
                <w:rFonts w:hint="eastAsia" w:ascii="仿宋" w:hAnsi="仿宋" w:eastAsia="仿宋" w:cs="仿宋"/>
                <w:b/>
                <w:sz w:val="24"/>
                <w:highlight w:val="none"/>
              </w:rPr>
            </w:pPr>
          </w:p>
        </w:tc>
        <w:tc>
          <w:tcPr>
            <w:tcW w:w="1639" w:type="dxa"/>
          </w:tcPr>
          <w:p w14:paraId="79D01071">
            <w:pPr>
              <w:spacing w:line="360" w:lineRule="exact"/>
              <w:rPr>
                <w:rFonts w:hint="eastAsia" w:ascii="仿宋" w:hAnsi="仿宋" w:eastAsia="仿宋" w:cs="仿宋"/>
                <w:b/>
                <w:sz w:val="24"/>
                <w:highlight w:val="none"/>
              </w:rPr>
            </w:pPr>
          </w:p>
        </w:tc>
      </w:tr>
      <w:tr w14:paraId="07CB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E04E670">
            <w:pPr>
              <w:spacing w:line="360" w:lineRule="exact"/>
              <w:rPr>
                <w:rFonts w:hint="eastAsia" w:ascii="仿宋" w:hAnsi="仿宋" w:eastAsia="仿宋" w:cs="仿宋"/>
                <w:b/>
                <w:sz w:val="24"/>
                <w:highlight w:val="none"/>
              </w:rPr>
            </w:pPr>
          </w:p>
        </w:tc>
        <w:tc>
          <w:tcPr>
            <w:tcW w:w="1068" w:type="dxa"/>
          </w:tcPr>
          <w:p w14:paraId="302DD432">
            <w:pPr>
              <w:spacing w:line="360" w:lineRule="exact"/>
              <w:rPr>
                <w:rFonts w:hint="eastAsia" w:ascii="仿宋" w:hAnsi="仿宋" w:eastAsia="仿宋" w:cs="仿宋"/>
                <w:b/>
                <w:sz w:val="24"/>
                <w:highlight w:val="none"/>
              </w:rPr>
            </w:pPr>
          </w:p>
        </w:tc>
        <w:tc>
          <w:tcPr>
            <w:tcW w:w="915" w:type="dxa"/>
          </w:tcPr>
          <w:p w14:paraId="36D153C6">
            <w:pPr>
              <w:spacing w:line="360" w:lineRule="exact"/>
              <w:rPr>
                <w:rFonts w:hint="eastAsia" w:ascii="仿宋" w:hAnsi="仿宋" w:eastAsia="仿宋" w:cs="仿宋"/>
                <w:b/>
                <w:sz w:val="24"/>
                <w:highlight w:val="none"/>
              </w:rPr>
            </w:pPr>
          </w:p>
        </w:tc>
        <w:tc>
          <w:tcPr>
            <w:tcW w:w="1230" w:type="dxa"/>
          </w:tcPr>
          <w:p w14:paraId="2516B49B">
            <w:pPr>
              <w:spacing w:line="360" w:lineRule="exact"/>
              <w:rPr>
                <w:rFonts w:hint="eastAsia" w:ascii="仿宋" w:hAnsi="仿宋" w:eastAsia="仿宋" w:cs="仿宋"/>
                <w:b/>
                <w:sz w:val="24"/>
                <w:highlight w:val="none"/>
              </w:rPr>
            </w:pPr>
          </w:p>
        </w:tc>
        <w:tc>
          <w:tcPr>
            <w:tcW w:w="1770" w:type="dxa"/>
          </w:tcPr>
          <w:p w14:paraId="0404C987">
            <w:pPr>
              <w:spacing w:line="360" w:lineRule="exact"/>
              <w:rPr>
                <w:rFonts w:hint="eastAsia" w:ascii="仿宋" w:hAnsi="仿宋" w:eastAsia="仿宋" w:cs="仿宋"/>
                <w:b/>
                <w:sz w:val="24"/>
                <w:highlight w:val="none"/>
              </w:rPr>
            </w:pPr>
          </w:p>
        </w:tc>
        <w:tc>
          <w:tcPr>
            <w:tcW w:w="1590" w:type="dxa"/>
          </w:tcPr>
          <w:p w14:paraId="2EDB489D">
            <w:pPr>
              <w:spacing w:line="360" w:lineRule="exact"/>
              <w:rPr>
                <w:rFonts w:hint="eastAsia" w:ascii="仿宋" w:hAnsi="仿宋" w:eastAsia="仿宋" w:cs="仿宋"/>
                <w:b/>
                <w:sz w:val="24"/>
                <w:highlight w:val="none"/>
              </w:rPr>
            </w:pPr>
          </w:p>
        </w:tc>
        <w:tc>
          <w:tcPr>
            <w:tcW w:w="1639" w:type="dxa"/>
          </w:tcPr>
          <w:p w14:paraId="05DFEB48">
            <w:pPr>
              <w:spacing w:line="360" w:lineRule="exact"/>
              <w:rPr>
                <w:rFonts w:hint="eastAsia" w:ascii="仿宋" w:hAnsi="仿宋" w:eastAsia="仿宋" w:cs="仿宋"/>
                <w:b/>
                <w:sz w:val="24"/>
                <w:highlight w:val="none"/>
              </w:rPr>
            </w:pPr>
          </w:p>
        </w:tc>
      </w:tr>
    </w:tbl>
    <w:p w14:paraId="67A231E5">
      <w:pPr>
        <w:spacing w:line="360" w:lineRule="exact"/>
        <w:jc w:val="center"/>
        <w:rPr>
          <w:rFonts w:hint="eastAsia" w:ascii="仿宋" w:hAnsi="仿宋" w:eastAsia="仿宋" w:cs="仿宋"/>
          <w:b/>
          <w:sz w:val="24"/>
          <w:highlight w:val="none"/>
        </w:rPr>
      </w:pPr>
    </w:p>
    <w:p w14:paraId="3E480AD0">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环境标志产品明细表</w:t>
      </w:r>
    </w:p>
    <w:p w14:paraId="4A4AAABD">
      <w:pPr>
        <w:spacing w:line="360" w:lineRule="exact"/>
        <w:jc w:val="center"/>
        <w:rPr>
          <w:rFonts w:hint="eastAsia" w:ascii="仿宋" w:hAnsi="仿宋" w:eastAsia="仿宋" w:cs="仿宋"/>
          <w:b/>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2854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DD318A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113" w:type="dxa"/>
            <w:vAlign w:val="center"/>
          </w:tcPr>
          <w:p w14:paraId="0CCB4C5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870" w:type="dxa"/>
            <w:vAlign w:val="center"/>
          </w:tcPr>
          <w:p w14:paraId="32676E7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110" w:type="dxa"/>
            <w:vAlign w:val="center"/>
          </w:tcPr>
          <w:p w14:paraId="141B7BF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注册商标</w:t>
            </w:r>
          </w:p>
        </w:tc>
        <w:tc>
          <w:tcPr>
            <w:tcW w:w="1140" w:type="dxa"/>
            <w:vAlign w:val="center"/>
          </w:tcPr>
          <w:p w14:paraId="3A94930A">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455" w:type="dxa"/>
            <w:vAlign w:val="center"/>
          </w:tcPr>
          <w:p w14:paraId="5D942A7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环境标志产品认证证书号</w:t>
            </w:r>
          </w:p>
        </w:tc>
        <w:tc>
          <w:tcPr>
            <w:tcW w:w="1305" w:type="dxa"/>
            <w:vAlign w:val="center"/>
          </w:tcPr>
          <w:p w14:paraId="6C0CD7F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188" w:type="dxa"/>
            <w:vAlign w:val="center"/>
          </w:tcPr>
          <w:p w14:paraId="38C0510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141D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155D97F">
            <w:pPr>
              <w:widowControl/>
              <w:spacing w:line="360" w:lineRule="exact"/>
              <w:jc w:val="center"/>
              <w:rPr>
                <w:rFonts w:hint="eastAsia" w:ascii="仿宋" w:hAnsi="仿宋" w:eastAsia="仿宋" w:cs="仿宋"/>
                <w:b/>
                <w:sz w:val="24"/>
                <w:highlight w:val="none"/>
              </w:rPr>
            </w:pPr>
          </w:p>
        </w:tc>
        <w:tc>
          <w:tcPr>
            <w:tcW w:w="1113" w:type="dxa"/>
          </w:tcPr>
          <w:p w14:paraId="222F53C8">
            <w:pPr>
              <w:widowControl/>
              <w:spacing w:line="360" w:lineRule="exact"/>
              <w:jc w:val="center"/>
              <w:rPr>
                <w:rFonts w:hint="eastAsia" w:ascii="仿宋" w:hAnsi="仿宋" w:eastAsia="仿宋" w:cs="仿宋"/>
                <w:b/>
                <w:sz w:val="24"/>
                <w:highlight w:val="none"/>
              </w:rPr>
            </w:pPr>
          </w:p>
        </w:tc>
        <w:tc>
          <w:tcPr>
            <w:tcW w:w="870" w:type="dxa"/>
          </w:tcPr>
          <w:p w14:paraId="4AF0CA36">
            <w:pPr>
              <w:widowControl/>
              <w:spacing w:line="360" w:lineRule="exact"/>
              <w:jc w:val="center"/>
              <w:rPr>
                <w:rFonts w:hint="eastAsia" w:ascii="仿宋" w:hAnsi="仿宋" w:eastAsia="仿宋" w:cs="仿宋"/>
                <w:b/>
                <w:sz w:val="24"/>
                <w:highlight w:val="none"/>
              </w:rPr>
            </w:pPr>
          </w:p>
        </w:tc>
        <w:tc>
          <w:tcPr>
            <w:tcW w:w="1110" w:type="dxa"/>
          </w:tcPr>
          <w:p w14:paraId="382ED393">
            <w:pPr>
              <w:widowControl/>
              <w:spacing w:line="360" w:lineRule="exact"/>
              <w:jc w:val="center"/>
              <w:rPr>
                <w:rFonts w:hint="eastAsia" w:ascii="仿宋" w:hAnsi="仿宋" w:eastAsia="仿宋" w:cs="仿宋"/>
                <w:b/>
                <w:sz w:val="24"/>
                <w:highlight w:val="none"/>
              </w:rPr>
            </w:pPr>
          </w:p>
        </w:tc>
        <w:tc>
          <w:tcPr>
            <w:tcW w:w="1140" w:type="dxa"/>
          </w:tcPr>
          <w:p w14:paraId="545DCA2B">
            <w:pPr>
              <w:widowControl/>
              <w:spacing w:line="360" w:lineRule="exact"/>
              <w:jc w:val="center"/>
              <w:rPr>
                <w:rFonts w:hint="eastAsia" w:ascii="仿宋" w:hAnsi="仿宋" w:eastAsia="仿宋" w:cs="仿宋"/>
                <w:b/>
                <w:sz w:val="24"/>
                <w:highlight w:val="none"/>
              </w:rPr>
            </w:pPr>
          </w:p>
        </w:tc>
        <w:tc>
          <w:tcPr>
            <w:tcW w:w="1455" w:type="dxa"/>
          </w:tcPr>
          <w:p w14:paraId="5C070F8B">
            <w:pPr>
              <w:widowControl/>
              <w:spacing w:line="360" w:lineRule="exact"/>
              <w:jc w:val="center"/>
              <w:rPr>
                <w:rFonts w:hint="eastAsia" w:ascii="仿宋" w:hAnsi="仿宋" w:eastAsia="仿宋" w:cs="仿宋"/>
                <w:b/>
                <w:sz w:val="24"/>
                <w:highlight w:val="none"/>
              </w:rPr>
            </w:pPr>
          </w:p>
        </w:tc>
        <w:tc>
          <w:tcPr>
            <w:tcW w:w="1305" w:type="dxa"/>
          </w:tcPr>
          <w:p w14:paraId="3AF498B0">
            <w:pPr>
              <w:spacing w:line="360" w:lineRule="exact"/>
              <w:rPr>
                <w:rFonts w:hint="eastAsia" w:ascii="仿宋" w:hAnsi="仿宋" w:eastAsia="仿宋" w:cs="仿宋"/>
                <w:b/>
                <w:sz w:val="24"/>
                <w:highlight w:val="none"/>
              </w:rPr>
            </w:pPr>
          </w:p>
        </w:tc>
        <w:tc>
          <w:tcPr>
            <w:tcW w:w="1188" w:type="dxa"/>
          </w:tcPr>
          <w:p w14:paraId="632F321C">
            <w:pPr>
              <w:spacing w:line="360" w:lineRule="exact"/>
              <w:rPr>
                <w:rFonts w:hint="eastAsia" w:ascii="仿宋" w:hAnsi="仿宋" w:eastAsia="仿宋" w:cs="仿宋"/>
                <w:b/>
                <w:sz w:val="24"/>
                <w:highlight w:val="none"/>
              </w:rPr>
            </w:pPr>
          </w:p>
        </w:tc>
      </w:tr>
      <w:tr w14:paraId="1E9E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287CBA00">
            <w:pPr>
              <w:widowControl/>
              <w:spacing w:line="360" w:lineRule="exact"/>
              <w:jc w:val="center"/>
              <w:rPr>
                <w:rFonts w:hint="eastAsia" w:ascii="仿宋" w:hAnsi="仿宋" w:eastAsia="仿宋" w:cs="仿宋"/>
                <w:b/>
                <w:sz w:val="24"/>
                <w:highlight w:val="none"/>
              </w:rPr>
            </w:pPr>
          </w:p>
        </w:tc>
        <w:tc>
          <w:tcPr>
            <w:tcW w:w="1113" w:type="dxa"/>
          </w:tcPr>
          <w:p w14:paraId="37D32923">
            <w:pPr>
              <w:widowControl/>
              <w:spacing w:line="360" w:lineRule="exact"/>
              <w:jc w:val="center"/>
              <w:rPr>
                <w:rFonts w:hint="eastAsia" w:ascii="仿宋" w:hAnsi="仿宋" w:eastAsia="仿宋" w:cs="仿宋"/>
                <w:b/>
                <w:sz w:val="24"/>
                <w:highlight w:val="none"/>
              </w:rPr>
            </w:pPr>
          </w:p>
        </w:tc>
        <w:tc>
          <w:tcPr>
            <w:tcW w:w="870" w:type="dxa"/>
          </w:tcPr>
          <w:p w14:paraId="15E9977D">
            <w:pPr>
              <w:widowControl/>
              <w:spacing w:line="360" w:lineRule="exact"/>
              <w:jc w:val="center"/>
              <w:rPr>
                <w:rFonts w:hint="eastAsia" w:ascii="仿宋" w:hAnsi="仿宋" w:eastAsia="仿宋" w:cs="仿宋"/>
                <w:b/>
                <w:sz w:val="24"/>
                <w:highlight w:val="none"/>
              </w:rPr>
            </w:pPr>
          </w:p>
        </w:tc>
        <w:tc>
          <w:tcPr>
            <w:tcW w:w="1110" w:type="dxa"/>
          </w:tcPr>
          <w:p w14:paraId="0E2933F3">
            <w:pPr>
              <w:widowControl/>
              <w:spacing w:line="360" w:lineRule="exact"/>
              <w:jc w:val="center"/>
              <w:rPr>
                <w:rFonts w:hint="eastAsia" w:ascii="仿宋" w:hAnsi="仿宋" w:eastAsia="仿宋" w:cs="仿宋"/>
                <w:b/>
                <w:sz w:val="24"/>
                <w:highlight w:val="none"/>
              </w:rPr>
            </w:pPr>
          </w:p>
        </w:tc>
        <w:tc>
          <w:tcPr>
            <w:tcW w:w="1140" w:type="dxa"/>
          </w:tcPr>
          <w:p w14:paraId="7D7ACB98">
            <w:pPr>
              <w:widowControl/>
              <w:spacing w:line="360" w:lineRule="exact"/>
              <w:jc w:val="center"/>
              <w:rPr>
                <w:rFonts w:hint="eastAsia" w:ascii="仿宋" w:hAnsi="仿宋" w:eastAsia="仿宋" w:cs="仿宋"/>
                <w:b/>
                <w:sz w:val="24"/>
                <w:highlight w:val="none"/>
              </w:rPr>
            </w:pPr>
          </w:p>
        </w:tc>
        <w:tc>
          <w:tcPr>
            <w:tcW w:w="1455" w:type="dxa"/>
          </w:tcPr>
          <w:p w14:paraId="3C69660C">
            <w:pPr>
              <w:widowControl/>
              <w:spacing w:line="360" w:lineRule="exact"/>
              <w:jc w:val="center"/>
              <w:rPr>
                <w:rFonts w:hint="eastAsia" w:ascii="仿宋" w:hAnsi="仿宋" w:eastAsia="仿宋" w:cs="仿宋"/>
                <w:b/>
                <w:sz w:val="24"/>
                <w:highlight w:val="none"/>
              </w:rPr>
            </w:pPr>
          </w:p>
        </w:tc>
        <w:tc>
          <w:tcPr>
            <w:tcW w:w="1305" w:type="dxa"/>
          </w:tcPr>
          <w:p w14:paraId="681DBF8E">
            <w:pPr>
              <w:spacing w:line="360" w:lineRule="exact"/>
              <w:rPr>
                <w:rFonts w:hint="eastAsia" w:ascii="仿宋" w:hAnsi="仿宋" w:eastAsia="仿宋" w:cs="仿宋"/>
                <w:b/>
                <w:sz w:val="24"/>
                <w:highlight w:val="none"/>
              </w:rPr>
            </w:pPr>
          </w:p>
        </w:tc>
        <w:tc>
          <w:tcPr>
            <w:tcW w:w="1188" w:type="dxa"/>
          </w:tcPr>
          <w:p w14:paraId="12E19415">
            <w:pPr>
              <w:spacing w:line="360" w:lineRule="exact"/>
              <w:rPr>
                <w:rFonts w:hint="eastAsia" w:ascii="仿宋" w:hAnsi="仿宋" w:eastAsia="仿宋" w:cs="仿宋"/>
                <w:b/>
                <w:sz w:val="24"/>
                <w:highlight w:val="none"/>
              </w:rPr>
            </w:pPr>
          </w:p>
        </w:tc>
      </w:tr>
      <w:tr w14:paraId="3048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E3A1357">
            <w:pPr>
              <w:widowControl/>
              <w:spacing w:line="360" w:lineRule="exact"/>
              <w:jc w:val="center"/>
              <w:rPr>
                <w:rFonts w:hint="eastAsia" w:ascii="仿宋" w:hAnsi="仿宋" w:eastAsia="仿宋" w:cs="仿宋"/>
                <w:b/>
                <w:sz w:val="24"/>
                <w:highlight w:val="none"/>
              </w:rPr>
            </w:pPr>
          </w:p>
        </w:tc>
        <w:tc>
          <w:tcPr>
            <w:tcW w:w="1113" w:type="dxa"/>
          </w:tcPr>
          <w:p w14:paraId="5CE2DCDD">
            <w:pPr>
              <w:widowControl/>
              <w:spacing w:line="360" w:lineRule="exact"/>
              <w:jc w:val="center"/>
              <w:rPr>
                <w:rFonts w:hint="eastAsia" w:ascii="仿宋" w:hAnsi="仿宋" w:eastAsia="仿宋" w:cs="仿宋"/>
                <w:b/>
                <w:sz w:val="24"/>
                <w:highlight w:val="none"/>
              </w:rPr>
            </w:pPr>
          </w:p>
        </w:tc>
        <w:tc>
          <w:tcPr>
            <w:tcW w:w="870" w:type="dxa"/>
          </w:tcPr>
          <w:p w14:paraId="0FE8CB3C">
            <w:pPr>
              <w:widowControl/>
              <w:spacing w:line="360" w:lineRule="exact"/>
              <w:jc w:val="center"/>
              <w:rPr>
                <w:rFonts w:hint="eastAsia" w:ascii="仿宋" w:hAnsi="仿宋" w:eastAsia="仿宋" w:cs="仿宋"/>
                <w:b/>
                <w:sz w:val="24"/>
                <w:highlight w:val="none"/>
              </w:rPr>
            </w:pPr>
          </w:p>
        </w:tc>
        <w:tc>
          <w:tcPr>
            <w:tcW w:w="1110" w:type="dxa"/>
          </w:tcPr>
          <w:p w14:paraId="6555F914">
            <w:pPr>
              <w:widowControl/>
              <w:spacing w:line="360" w:lineRule="exact"/>
              <w:jc w:val="center"/>
              <w:rPr>
                <w:rFonts w:hint="eastAsia" w:ascii="仿宋" w:hAnsi="仿宋" w:eastAsia="仿宋" w:cs="仿宋"/>
                <w:b/>
                <w:sz w:val="24"/>
                <w:highlight w:val="none"/>
              </w:rPr>
            </w:pPr>
          </w:p>
        </w:tc>
        <w:tc>
          <w:tcPr>
            <w:tcW w:w="1140" w:type="dxa"/>
          </w:tcPr>
          <w:p w14:paraId="653BF6E5">
            <w:pPr>
              <w:widowControl/>
              <w:spacing w:line="360" w:lineRule="exact"/>
              <w:jc w:val="center"/>
              <w:rPr>
                <w:rFonts w:hint="eastAsia" w:ascii="仿宋" w:hAnsi="仿宋" w:eastAsia="仿宋" w:cs="仿宋"/>
                <w:b/>
                <w:sz w:val="24"/>
                <w:highlight w:val="none"/>
              </w:rPr>
            </w:pPr>
          </w:p>
        </w:tc>
        <w:tc>
          <w:tcPr>
            <w:tcW w:w="1455" w:type="dxa"/>
          </w:tcPr>
          <w:p w14:paraId="2A84CA88">
            <w:pPr>
              <w:widowControl/>
              <w:spacing w:line="360" w:lineRule="exact"/>
              <w:jc w:val="center"/>
              <w:rPr>
                <w:rFonts w:hint="eastAsia" w:ascii="仿宋" w:hAnsi="仿宋" w:eastAsia="仿宋" w:cs="仿宋"/>
                <w:b/>
                <w:sz w:val="24"/>
                <w:highlight w:val="none"/>
              </w:rPr>
            </w:pPr>
          </w:p>
        </w:tc>
        <w:tc>
          <w:tcPr>
            <w:tcW w:w="1305" w:type="dxa"/>
          </w:tcPr>
          <w:p w14:paraId="7D36885E">
            <w:pPr>
              <w:spacing w:line="360" w:lineRule="exact"/>
              <w:rPr>
                <w:rFonts w:hint="eastAsia" w:ascii="仿宋" w:hAnsi="仿宋" w:eastAsia="仿宋" w:cs="仿宋"/>
                <w:b/>
                <w:sz w:val="24"/>
                <w:highlight w:val="none"/>
              </w:rPr>
            </w:pPr>
          </w:p>
        </w:tc>
        <w:tc>
          <w:tcPr>
            <w:tcW w:w="1188" w:type="dxa"/>
          </w:tcPr>
          <w:p w14:paraId="68F20D08">
            <w:pPr>
              <w:spacing w:line="360" w:lineRule="exact"/>
              <w:rPr>
                <w:rFonts w:hint="eastAsia" w:ascii="仿宋" w:hAnsi="仿宋" w:eastAsia="仿宋" w:cs="仿宋"/>
                <w:b/>
                <w:sz w:val="24"/>
                <w:highlight w:val="none"/>
              </w:rPr>
            </w:pPr>
          </w:p>
        </w:tc>
      </w:tr>
    </w:tbl>
    <w:p w14:paraId="5B3A2E03">
      <w:pPr>
        <w:snapToGri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65A3B965">
      <w:pPr>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1．采购货物中如含有非强制节能产品、环境标志产品的，请如实填写产品明细表；</w:t>
      </w:r>
    </w:p>
    <w:p w14:paraId="578ACE13">
      <w:pPr>
        <w:snapToGrid w:val="0"/>
        <w:spacing w:line="360" w:lineRule="auto"/>
        <w:ind w:firstLine="480" w:firstLineChars="200"/>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 提供所投产品获得国家确定的认证机构出具的、处于有效期之内的产品认证证书</w:t>
      </w:r>
      <w:r>
        <w:rPr>
          <w:rFonts w:hint="eastAsia" w:ascii="仿宋" w:hAnsi="仿宋" w:eastAsia="仿宋" w:cs="仿宋"/>
          <w:color w:val="000000"/>
          <w:sz w:val="24"/>
          <w:highlight w:val="none"/>
          <w:lang w:eastAsia="zh-CN"/>
        </w:rPr>
        <w:t>；</w:t>
      </w:r>
    </w:p>
    <w:p w14:paraId="360CECC5">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政府采购</w:t>
      </w:r>
      <w:r>
        <w:rPr>
          <w:rFonts w:hint="eastAsia" w:ascii="仿宋" w:hAnsi="仿宋" w:eastAsia="仿宋" w:cs="仿宋"/>
          <w:bCs/>
          <w:sz w:val="24"/>
          <w:highlight w:val="none"/>
          <w:lang w:val="en-US" w:eastAsia="zh-CN"/>
        </w:rPr>
        <w:t>绿色</w:t>
      </w:r>
      <w:r>
        <w:rPr>
          <w:rFonts w:hint="eastAsia" w:ascii="仿宋" w:hAnsi="仿宋" w:eastAsia="仿宋" w:cs="仿宋"/>
          <w:bCs/>
          <w:sz w:val="24"/>
          <w:highlight w:val="none"/>
        </w:rPr>
        <w:t>产品明细表格式</w:t>
      </w:r>
    </w:p>
    <w:p w14:paraId="2E3AEB0B">
      <w:pPr>
        <w:spacing w:line="360" w:lineRule="auto"/>
        <w:ind w:left="2100" w:firstLine="420"/>
        <w:rPr>
          <w:rFonts w:hint="eastAsia" w:ascii="仿宋" w:hAnsi="仿宋" w:eastAsia="仿宋" w:cs="仿宋"/>
          <w:b w:val="0"/>
          <w:bCs/>
          <w:color w:val="auto"/>
          <w:sz w:val="24"/>
          <w:szCs w:val="24"/>
          <w:highlight w:val="none"/>
        </w:rPr>
      </w:pPr>
    </w:p>
    <w:p w14:paraId="36E0DBEB">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政府采购</w:t>
      </w:r>
      <w:r>
        <w:rPr>
          <w:rFonts w:hint="eastAsia" w:ascii="仿宋" w:hAnsi="仿宋" w:eastAsia="仿宋" w:cs="仿宋"/>
          <w:b/>
          <w:color w:val="auto"/>
          <w:sz w:val="24"/>
          <w:highlight w:val="none"/>
          <w:lang w:val="en-US" w:eastAsia="zh-CN"/>
        </w:rPr>
        <w:t>绿色</w:t>
      </w:r>
      <w:r>
        <w:rPr>
          <w:rFonts w:hint="eastAsia" w:ascii="仿宋" w:hAnsi="仿宋" w:eastAsia="仿宋" w:cs="仿宋"/>
          <w:b/>
          <w:color w:val="auto"/>
          <w:sz w:val="24"/>
          <w:highlight w:val="none"/>
        </w:rPr>
        <w:t>产品明细表</w:t>
      </w:r>
    </w:p>
    <w:p w14:paraId="27BB64DF">
      <w:pPr>
        <w:pStyle w:val="75"/>
        <w:rPr>
          <w:rFonts w:hint="eastAsia" w:ascii="仿宋" w:hAnsi="仿宋" w:eastAsia="仿宋" w:cs="仿宋"/>
          <w:highlight w:val="none"/>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289"/>
        <w:gridCol w:w="758"/>
        <w:gridCol w:w="801"/>
        <w:gridCol w:w="801"/>
        <w:gridCol w:w="755"/>
        <w:gridCol w:w="1401"/>
        <w:gridCol w:w="2121"/>
      </w:tblGrid>
      <w:tr w14:paraId="2936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47" w:type="pct"/>
            <w:noWrap w:val="0"/>
            <w:vAlign w:val="center"/>
          </w:tcPr>
          <w:p w14:paraId="13A97E42">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包号</w:t>
            </w:r>
          </w:p>
        </w:tc>
        <w:tc>
          <w:tcPr>
            <w:tcW w:w="756" w:type="pct"/>
            <w:noWrap w:val="0"/>
            <w:vAlign w:val="center"/>
          </w:tcPr>
          <w:p w14:paraId="69DE8CD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产品名称</w:t>
            </w:r>
          </w:p>
        </w:tc>
        <w:tc>
          <w:tcPr>
            <w:tcW w:w="445" w:type="pct"/>
            <w:noWrap w:val="0"/>
            <w:vAlign w:val="center"/>
          </w:tcPr>
          <w:p w14:paraId="6487A90D">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制造商</w:t>
            </w:r>
          </w:p>
        </w:tc>
        <w:tc>
          <w:tcPr>
            <w:tcW w:w="470" w:type="pct"/>
            <w:noWrap w:val="0"/>
            <w:vAlign w:val="center"/>
          </w:tcPr>
          <w:p w14:paraId="1F6CFF9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产品型号</w:t>
            </w:r>
          </w:p>
        </w:tc>
        <w:tc>
          <w:tcPr>
            <w:tcW w:w="470" w:type="pct"/>
            <w:noWrap w:val="0"/>
            <w:vAlign w:val="center"/>
          </w:tcPr>
          <w:p w14:paraId="500810C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产品单价</w:t>
            </w:r>
          </w:p>
        </w:tc>
        <w:tc>
          <w:tcPr>
            <w:tcW w:w="443" w:type="pct"/>
            <w:noWrap w:val="0"/>
            <w:vAlign w:val="center"/>
          </w:tcPr>
          <w:p w14:paraId="257210BA">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822" w:type="pct"/>
            <w:noWrap w:val="0"/>
            <w:vAlign w:val="center"/>
          </w:tcPr>
          <w:p w14:paraId="77E4E45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产品认证证书号</w:t>
            </w:r>
          </w:p>
        </w:tc>
        <w:tc>
          <w:tcPr>
            <w:tcW w:w="1244" w:type="pct"/>
            <w:noWrap w:val="0"/>
            <w:vAlign w:val="center"/>
          </w:tcPr>
          <w:p w14:paraId="62E44DDF">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认证证书有效截止日期</w:t>
            </w:r>
          </w:p>
        </w:tc>
      </w:tr>
      <w:tr w14:paraId="77AC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653A7472">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532DF0E1">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6529485F">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9E0860">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AA22DB5">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62A51143">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6F6EC6E2">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56A8018C">
            <w:pPr>
              <w:spacing w:line="360" w:lineRule="auto"/>
              <w:rPr>
                <w:rFonts w:hint="eastAsia" w:ascii="仿宋" w:hAnsi="仿宋" w:eastAsia="仿宋" w:cs="仿宋"/>
                <w:b w:val="0"/>
                <w:bCs/>
                <w:color w:val="auto"/>
                <w:sz w:val="24"/>
                <w:szCs w:val="24"/>
                <w:highlight w:val="none"/>
              </w:rPr>
            </w:pPr>
          </w:p>
        </w:tc>
      </w:tr>
      <w:tr w14:paraId="0BD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013F843B">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471997CA">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5F3E9FB1">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CD7FBE">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07CB2339">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3DFB01A1">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74ACA7EF">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1E1B33C3">
            <w:pPr>
              <w:spacing w:line="360" w:lineRule="auto"/>
              <w:rPr>
                <w:rFonts w:hint="eastAsia" w:ascii="仿宋" w:hAnsi="仿宋" w:eastAsia="仿宋" w:cs="仿宋"/>
                <w:b w:val="0"/>
                <w:bCs/>
                <w:color w:val="auto"/>
                <w:sz w:val="24"/>
                <w:szCs w:val="24"/>
                <w:highlight w:val="none"/>
              </w:rPr>
            </w:pPr>
          </w:p>
        </w:tc>
      </w:tr>
    </w:tbl>
    <w:p w14:paraId="06C5912A">
      <w:pPr>
        <w:rPr>
          <w:rFonts w:hint="eastAsia" w:ascii="仿宋" w:hAnsi="仿宋" w:eastAsia="仿宋" w:cs="仿宋"/>
          <w:b/>
          <w:color w:val="auto"/>
          <w:sz w:val="24"/>
          <w:highlight w:val="none"/>
        </w:rPr>
      </w:pPr>
    </w:p>
    <w:p w14:paraId="7E8F8501">
      <w:pPr>
        <w:snapToGrid w:val="0"/>
        <w:spacing w:line="360" w:lineRule="auto"/>
        <w:ind w:firstLine="482" w:firstLineChars="200"/>
        <w:jc w:val="left"/>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color w:val="auto"/>
          <w:sz w:val="24"/>
          <w:highlight w:val="none"/>
        </w:rPr>
        <w:t>提供所投产品获得国家确定的认证机构出具的、处于有效期之内的产品认证证书</w:t>
      </w:r>
      <w:r>
        <w:rPr>
          <w:rFonts w:hint="eastAsia" w:ascii="仿宋" w:hAnsi="仿宋" w:eastAsia="仿宋" w:cs="仿宋"/>
          <w:color w:val="auto"/>
          <w:sz w:val="24"/>
          <w:highlight w:val="none"/>
          <w:lang w:eastAsia="zh-CN"/>
        </w:rPr>
        <w:t>；</w:t>
      </w:r>
    </w:p>
    <w:p w14:paraId="722C12B9">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（4）符合绿色数据中心建设要求承诺书格式</w:t>
      </w:r>
    </w:p>
    <w:p w14:paraId="68F76BF5">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符合绿色数据中心建设要求承诺书本供应商现参与</w:t>
      </w:r>
      <w:r>
        <w:rPr>
          <w:rFonts w:hint="eastAsia" w:ascii="仿宋" w:hAnsi="仿宋" w:eastAsia="仿宋" w:cs="仿宋"/>
          <w:sz w:val="24"/>
          <w:highlight w:val="none"/>
          <w:u w:val="single"/>
          <w:lang w:val="en-US" w:eastAsia="zh-CN"/>
        </w:rPr>
        <w:t>（项目名称、项目编号、项目包号）</w:t>
      </w:r>
      <w:r>
        <w:rPr>
          <w:rFonts w:hint="eastAsia" w:ascii="仿宋" w:hAnsi="仿宋" w:eastAsia="仿宋" w:cs="仿宋"/>
          <w:sz w:val="24"/>
          <w:highlight w:val="none"/>
          <w:lang w:val="en-US" w:eastAsia="zh-CN"/>
        </w:rPr>
        <w:t>的采购活动，本公司承诺所提供并完成数据中心建设内容及标准符合绿色数据中心建设有关要求，完全满足或优于项目采购需求。如上述声明不真实，愿意按照政府采购有关法律法规的规定接受处罚。</w:t>
      </w:r>
    </w:p>
    <w:p w14:paraId="1900FED2">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特此声明</w:t>
      </w:r>
    </w:p>
    <w:p w14:paraId="4C3B5CC6">
      <w:pPr>
        <w:spacing w:line="360" w:lineRule="auto"/>
        <w:ind w:firstLine="480" w:firstLineChars="200"/>
        <w:jc w:val="left"/>
        <w:rPr>
          <w:rFonts w:hint="eastAsia" w:ascii="仿宋" w:hAnsi="仿宋" w:eastAsia="仿宋" w:cs="仿宋"/>
          <w:sz w:val="24"/>
          <w:highlight w:val="none"/>
          <w:lang w:val="en-US" w:eastAsia="zh-CN"/>
        </w:rPr>
      </w:pPr>
    </w:p>
    <w:p w14:paraId="1EDE9672">
      <w:pPr>
        <w:spacing w:line="360" w:lineRule="auto"/>
        <w:ind w:firstLine="480" w:firstLineChars="200"/>
        <w:jc w:val="left"/>
        <w:rPr>
          <w:rFonts w:hint="eastAsia" w:ascii="仿宋" w:hAnsi="仿宋" w:eastAsia="仿宋" w:cs="仿宋"/>
          <w:sz w:val="24"/>
          <w:highlight w:val="none"/>
          <w:lang w:val="en-US" w:eastAsia="zh-CN"/>
        </w:rPr>
      </w:pPr>
    </w:p>
    <w:p w14:paraId="620330B7">
      <w:pPr>
        <w:spacing w:line="360" w:lineRule="auto"/>
        <w:ind w:firstLine="480" w:firstLineChars="200"/>
        <w:jc w:val="left"/>
        <w:rPr>
          <w:rFonts w:hint="eastAsia" w:ascii="仿宋" w:hAnsi="仿宋" w:eastAsia="仿宋" w:cs="仿宋"/>
          <w:sz w:val="24"/>
          <w:highlight w:val="none"/>
          <w:lang w:val="en-US" w:eastAsia="zh-CN"/>
        </w:rPr>
      </w:pPr>
    </w:p>
    <w:p w14:paraId="6D3F7334">
      <w:pPr>
        <w:spacing w:line="360" w:lineRule="auto"/>
        <w:ind w:firstLine="480" w:firstLineChars="200"/>
        <w:jc w:val="left"/>
        <w:rPr>
          <w:rFonts w:hint="eastAsia" w:ascii="仿宋" w:hAnsi="仿宋" w:eastAsia="仿宋" w:cs="仿宋"/>
          <w:sz w:val="24"/>
          <w:highlight w:val="none"/>
          <w:lang w:val="en-US" w:eastAsia="zh-CN"/>
        </w:rPr>
      </w:pPr>
    </w:p>
    <w:p w14:paraId="14FE9E3A">
      <w:pPr>
        <w:spacing w:line="360" w:lineRule="auto"/>
        <w:ind w:firstLine="5520" w:firstLineChars="23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供应商名称（电子签章）：              </w:t>
      </w:r>
    </w:p>
    <w:p w14:paraId="0D3A35A0">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日期： 年  月  日</w:t>
      </w:r>
    </w:p>
    <w:p w14:paraId="2EFC2899">
      <w:pPr>
        <w:spacing w:line="480" w:lineRule="exact"/>
        <w:rPr>
          <w:rFonts w:hint="eastAsia" w:ascii="仿宋" w:hAnsi="仿宋" w:eastAsia="仿宋" w:cs="仿宋"/>
          <w:b/>
          <w:sz w:val="24"/>
          <w:highlight w:val="none"/>
        </w:rPr>
      </w:pPr>
    </w:p>
    <w:p w14:paraId="1B7FF8B1">
      <w:pPr>
        <w:spacing w:line="480" w:lineRule="exact"/>
        <w:rPr>
          <w:rFonts w:hint="eastAsia" w:ascii="仿宋" w:hAnsi="仿宋" w:eastAsia="仿宋" w:cs="仿宋"/>
          <w:b/>
          <w:sz w:val="24"/>
          <w:highlight w:val="none"/>
        </w:rPr>
      </w:pPr>
    </w:p>
    <w:p w14:paraId="44CDF0BA">
      <w:pPr>
        <w:spacing w:line="480" w:lineRule="exact"/>
        <w:rPr>
          <w:rFonts w:hint="eastAsia" w:ascii="仿宋" w:hAnsi="仿宋" w:eastAsia="仿宋" w:cs="仿宋"/>
          <w:b/>
          <w:sz w:val="24"/>
          <w:highlight w:val="none"/>
        </w:rPr>
      </w:pPr>
    </w:p>
    <w:p w14:paraId="2AA2F841">
      <w:pPr>
        <w:spacing w:line="480" w:lineRule="exact"/>
        <w:rPr>
          <w:rFonts w:hint="eastAsia" w:ascii="仿宋" w:hAnsi="仿宋" w:eastAsia="仿宋" w:cs="仿宋"/>
          <w:b/>
          <w:sz w:val="24"/>
          <w:highlight w:val="none"/>
        </w:rPr>
      </w:pPr>
    </w:p>
    <w:p w14:paraId="0243B1BB">
      <w:pPr>
        <w:spacing w:line="480" w:lineRule="exact"/>
        <w:rPr>
          <w:rFonts w:hint="eastAsia" w:ascii="仿宋" w:hAnsi="仿宋" w:eastAsia="仿宋" w:cs="仿宋"/>
          <w:b/>
          <w:sz w:val="24"/>
          <w:highlight w:val="none"/>
        </w:rPr>
      </w:pPr>
    </w:p>
    <w:p w14:paraId="538E7E79">
      <w:pPr>
        <w:spacing w:line="480" w:lineRule="exact"/>
        <w:rPr>
          <w:rFonts w:hint="eastAsia" w:ascii="仿宋" w:hAnsi="仿宋" w:eastAsia="仿宋" w:cs="仿宋"/>
          <w:b/>
          <w:sz w:val="24"/>
          <w:highlight w:val="none"/>
        </w:rPr>
      </w:pPr>
    </w:p>
    <w:p w14:paraId="58FCACD2">
      <w:pPr>
        <w:spacing w:line="480" w:lineRule="exact"/>
        <w:rPr>
          <w:rFonts w:hint="eastAsia" w:ascii="仿宋" w:hAnsi="仿宋" w:eastAsia="仿宋" w:cs="仿宋"/>
          <w:b/>
          <w:sz w:val="24"/>
          <w:highlight w:val="none"/>
        </w:rPr>
      </w:pPr>
    </w:p>
    <w:p w14:paraId="6A6D844B">
      <w:pPr>
        <w:spacing w:line="480" w:lineRule="exact"/>
        <w:rPr>
          <w:rFonts w:hint="eastAsia" w:ascii="仿宋" w:hAnsi="仿宋" w:eastAsia="仿宋" w:cs="仿宋"/>
          <w:b/>
          <w:sz w:val="24"/>
          <w:highlight w:val="none"/>
        </w:rPr>
      </w:pPr>
    </w:p>
    <w:p w14:paraId="126AAA2E">
      <w:pPr>
        <w:spacing w:line="480" w:lineRule="exact"/>
        <w:rPr>
          <w:rFonts w:hint="eastAsia" w:ascii="仿宋" w:hAnsi="仿宋" w:eastAsia="仿宋" w:cs="仿宋"/>
          <w:b/>
          <w:sz w:val="24"/>
          <w:highlight w:val="none"/>
        </w:rPr>
      </w:pPr>
    </w:p>
    <w:p w14:paraId="0C2CC4E2">
      <w:pPr>
        <w:spacing w:line="480" w:lineRule="exact"/>
        <w:rPr>
          <w:rFonts w:hint="eastAsia" w:ascii="仿宋" w:hAnsi="仿宋" w:eastAsia="仿宋" w:cs="仿宋"/>
          <w:b/>
          <w:sz w:val="24"/>
          <w:highlight w:val="none"/>
        </w:rPr>
      </w:pPr>
    </w:p>
    <w:p w14:paraId="50194C6B">
      <w:pPr>
        <w:spacing w:line="480" w:lineRule="exact"/>
        <w:rPr>
          <w:rFonts w:hint="eastAsia" w:ascii="仿宋" w:hAnsi="仿宋" w:eastAsia="仿宋" w:cs="仿宋"/>
          <w:b/>
          <w:sz w:val="24"/>
          <w:highlight w:val="none"/>
        </w:rPr>
      </w:pPr>
    </w:p>
    <w:p w14:paraId="58ED34C8">
      <w:pPr>
        <w:spacing w:line="480" w:lineRule="exact"/>
        <w:rPr>
          <w:rFonts w:hint="eastAsia" w:ascii="仿宋" w:hAnsi="仿宋" w:eastAsia="仿宋" w:cs="仿宋"/>
          <w:b/>
          <w:sz w:val="24"/>
          <w:highlight w:val="none"/>
        </w:rPr>
      </w:pPr>
    </w:p>
    <w:p w14:paraId="02CCE248">
      <w:pPr>
        <w:spacing w:line="480" w:lineRule="exact"/>
        <w:rPr>
          <w:rFonts w:hint="eastAsia" w:ascii="仿宋" w:hAnsi="仿宋" w:eastAsia="仿宋" w:cs="仿宋"/>
          <w:b/>
          <w:sz w:val="24"/>
          <w:highlight w:val="none"/>
        </w:rPr>
      </w:pPr>
    </w:p>
    <w:p w14:paraId="6D9330EA">
      <w:pPr>
        <w:spacing w:line="480" w:lineRule="exact"/>
        <w:rPr>
          <w:rFonts w:hint="eastAsia" w:ascii="仿宋" w:hAnsi="仿宋" w:eastAsia="仿宋" w:cs="仿宋"/>
          <w:b/>
          <w:sz w:val="24"/>
          <w:highlight w:val="none"/>
        </w:rPr>
      </w:pPr>
    </w:p>
    <w:p w14:paraId="4D2273B1">
      <w:pPr>
        <w:spacing w:line="480" w:lineRule="exact"/>
        <w:rPr>
          <w:rFonts w:hint="eastAsia" w:ascii="仿宋" w:hAnsi="仿宋" w:eastAsia="仿宋" w:cs="仿宋"/>
          <w:b/>
          <w:sz w:val="24"/>
          <w:highlight w:val="none"/>
        </w:rPr>
      </w:pPr>
    </w:p>
    <w:p w14:paraId="64437E71">
      <w:pPr>
        <w:spacing w:line="480" w:lineRule="exact"/>
        <w:rPr>
          <w:rFonts w:hint="eastAsia" w:ascii="仿宋" w:hAnsi="仿宋" w:eastAsia="仿宋" w:cs="仿宋"/>
          <w:b/>
          <w:sz w:val="24"/>
          <w:highlight w:val="none"/>
        </w:rPr>
      </w:pPr>
    </w:p>
    <w:p w14:paraId="184527D2">
      <w:pPr>
        <w:spacing w:line="480" w:lineRule="exact"/>
        <w:rPr>
          <w:rFonts w:hint="eastAsia" w:ascii="仿宋" w:hAnsi="仿宋" w:eastAsia="仿宋" w:cs="仿宋"/>
          <w:b/>
          <w:sz w:val="24"/>
          <w:highlight w:val="none"/>
        </w:rPr>
      </w:pPr>
    </w:p>
    <w:p w14:paraId="68895AF0">
      <w:pPr>
        <w:spacing w:line="480" w:lineRule="exact"/>
        <w:rPr>
          <w:rFonts w:hint="eastAsia" w:ascii="仿宋" w:hAnsi="仿宋" w:eastAsia="仿宋" w:cs="仿宋"/>
          <w:b/>
          <w:sz w:val="24"/>
          <w:highlight w:val="none"/>
        </w:rPr>
      </w:pPr>
      <w:r>
        <w:rPr>
          <w:rFonts w:hint="eastAsia" w:ascii="仿宋" w:hAnsi="仿宋" w:eastAsia="仿宋" w:cs="仿宋"/>
          <w:b/>
          <w:sz w:val="24"/>
          <w:highlight w:val="none"/>
          <w:lang w:val="en-US" w:eastAsia="zh-CN"/>
        </w:rPr>
        <w:t>10.2</w:t>
      </w:r>
      <w:r>
        <w:rPr>
          <w:rFonts w:hint="eastAsia" w:ascii="仿宋" w:hAnsi="仿宋" w:eastAsia="仿宋" w:cs="仿宋"/>
          <w:b/>
          <w:sz w:val="24"/>
          <w:highlight w:val="none"/>
        </w:rPr>
        <w:t>正版软件承诺格式</w:t>
      </w:r>
      <w:r>
        <w:rPr>
          <w:rFonts w:hint="eastAsia" w:ascii="仿宋" w:hAnsi="仿宋" w:eastAsia="仿宋" w:cs="仿宋"/>
          <w:b/>
          <w:kern w:val="0"/>
          <w:sz w:val="24"/>
          <w:highlight w:val="none"/>
        </w:rPr>
        <w:t>（如不涉及，此函可不提供）</w:t>
      </w:r>
    </w:p>
    <w:p w14:paraId="22FBE853">
      <w:pPr>
        <w:spacing w:line="480" w:lineRule="exact"/>
        <w:jc w:val="center"/>
        <w:rPr>
          <w:rFonts w:hint="eastAsia" w:ascii="仿宋" w:hAnsi="仿宋" w:eastAsia="仿宋" w:cs="仿宋"/>
          <w:b/>
          <w:sz w:val="24"/>
          <w:highlight w:val="none"/>
        </w:rPr>
      </w:pPr>
      <w:r>
        <w:rPr>
          <w:rFonts w:hint="eastAsia" w:ascii="仿宋" w:hAnsi="仿宋" w:eastAsia="仿宋" w:cs="仿宋"/>
          <w:b/>
          <w:sz w:val="24"/>
          <w:highlight w:val="none"/>
        </w:rPr>
        <w:t>正版软件承诺</w:t>
      </w:r>
    </w:p>
    <w:p w14:paraId="77B5B59F">
      <w:pPr>
        <w:widowControl/>
        <w:snapToGrid w:val="0"/>
        <w:spacing w:line="360" w:lineRule="auto"/>
        <w:jc w:val="left"/>
        <w:rPr>
          <w:rFonts w:hint="eastAsia" w:ascii="仿宋" w:hAnsi="仿宋" w:eastAsia="仿宋" w:cs="仿宋"/>
          <w:kern w:val="0"/>
          <w:sz w:val="24"/>
          <w:highlight w:val="none"/>
          <w:u w:val="single"/>
        </w:rPr>
      </w:pPr>
    </w:p>
    <w:p w14:paraId="4C29B6A7">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u w:val="single"/>
        </w:rPr>
        <w:t>采购代理机构名称</w:t>
      </w:r>
      <w:r>
        <w:rPr>
          <w:rFonts w:hint="eastAsia" w:ascii="仿宋" w:hAnsi="仿宋" w:eastAsia="仿宋" w:cs="仿宋"/>
          <w:sz w:val="24"/>
          <w:highlight w:val="none"/>
          <w:u w:val="single"/>
        </w:rPr>
        <w:t xml:space="preserve">  ：</w:t>
      </w:r>
    </w:p>
    <w:p w14:paraId="1F3F6E0C">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w:t>
      </w:r>
      <w:r>
        <w:rPr>
          <w:rFonts w:hint="eastAsia" w:ascii="仿宋" w:hAnsi="仿宋" w:eastAsia="仿宋" w:cs="仿宋"/>
          <w:kern w:val="0"/>
          <w:sz w:val="24"/>
          <w:highlight w:val="none"/>
          <w:lang w:eastAsia="zh-CN"/>
        </w:rPr>
        <w:t>供应商</w:t>
      </w:r>
      <w:r>
        <w:rPr>
          <w:rFonts w:hint="eastAsia" w:ascii="仿宋" w:hAnsi="仿宋" w:eastAsia="仿宋" w:cs="仿宋"/>
          <w:sz w:val="24"/>
          <w:highlight w:val="none"/>
        </w:rPr>
        <w:t>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）的采购活动，本公司承诺投报的计算机产品预装正版操作系统，投报的硬件产品内的预装软件为正版软件。</w:t>
      </w:r>
    </w:p>
    <w:p w14:paraId="17069822">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如上述声明不真实，愿意按照政府采购有关法律法规的规定接受处罚。</w:t>
      </w:r>
    </w:p>
    <w:p w14:paraId="1763E3D5">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4ED3D410">
      <w:pPr>
        <w:snapToGrid w:val="0"/>
        <w:spacing w:line="520" w:lineRule="exact"/>
        <w:rPr>
          <w:rFonts w:hint="eastAsia" w:ascii="仿宋" w:hAnsi="仿宋" w:eastAsia="仿宋" w:cs="仿宋"/>
          <w:sz w:val="24"/>
          <w:highlight w:val="none"/>
        </w:rPr>
      </w:pPr>
    </w:p>
    <w:p w14:paraId="076A7F13">
      <w:pPr>
        <w:snapToGrid w:val="0"/>
        <w:spacing w:line="480" w:lineRule="exact"/>
        <w:rPr>
          <w:rFonts w:hint="eastAsia" w:ascii="仿宋" w:hAnsi="仿宋" w:eastAsia="仿宋" w:cs="仿宋"/>
          <w:sz w:val="24"/>
          <w:highlight w:val="none"/>
        </w:rPr>
      </w:pPr>
    </w:p>
    <w:p w14:paraId="7735B107">
      <w:pPr>
        <w:snapToGrid w:val="0"/>
        <w:spacing w:line="480" w:lineRule="exact"/>
        <w:rPr>
          <w:rFonts w:hint="eastAsia" w:ascii="仿宋" w:hAnsi="仿宋" w:eastAsia="仿宋" w:cs="仿宋"/>
          <w:sz w:val="24"/>
          <w:highlight w:val="none"/>
        </w:rPr>
      </w:pPr>
    </w:p>
    <w:p w14:paraId="3DFDE155">
      <w:pPr>
        <w:snapToGrid w:val="0"/>
        <w:spacing w:line="480" w:lineRule="exact"/>
        <w:rPr>
          <w:rFonts w:hint="eastAsia" w:ascii="仿宋" w:hAnsi="仿宋" w:eastAsia="仿宋" w:cs="仿宋"/>
          <w:sz w:val="24"/>
          <w:highlight w:val="none"/>
        </w:rPr>
      </w:pPr>
    </w:p>
    <w:p w14:paraId="41D5EE25">
      <w:pPr>
        <w:snapToGrid w:val="0"/>
        <w:spacing w:line="480" w:lineRule="exact"/>
        <w:ind w:firstLine="4620" w:firstLineChars="1925"/>
        <w:rPr>
          <w:rFonts w:hint="eastAsia" w:ascii="仿宋" w:hAnsi="仿宋" w:eastAsia="仿宋" w:cs="仿宋"/>
          <w:sz w:val="24"/>
          <w:highlight w:val="none"/>
        </w:rPr>
      </w:pPr>
      <w:r>
        <w:rPr>
          <w:rFonts w:hint="eastAsia" w:ascii="仿宋" w:hAnsi="仿宋" w:eastAsia="仿宋" w:cs="仿宋"/>
          <w:kern w:val="0"/>
          <w:sz w:val="24"/>
          <w:highlight w:val="none"/>
          <w:lang w:eastAsia="zh-CN"/>
        </w:rPr>
        <w:t>供应商全称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D659826">
      <w:pPr>
        <w:snapToGrid w:val="0"/>
        <w:spacing w:line="480" w:lineRule="exact"/>
        <w:ind w:firstLine="4620" w:firstLineChars="1925"/>
        <w:rPr>
          <w:rFonts w:hint="eastAsia" w:ascii="仿宋" w:hAnsi="仿宋" w:eastAsia="仿宋" w:cs="仿宋"/>
          <w:b/>
          <w:sz w:val="24"/>
          <w:highlight w:val="none"/>
        </w:rPr>
      </w:pPr>
      <w:r>
        <w:rPr>
          <w:rFonts w:hint="eastAsia" w:ascii="仿宋" w:hAnsi="仿宋" w:eastAsia="仿宋" w:cs="仿宋"/>
          <w:sz w:val="24"/>
          <w:highlight w:val="none"/>
        </w:rPr>
        <w:t>日    期：</w:t>
      </w:r>
    </w:p>
    <w:p w14:paraId="19654128">
      <w:pPr>
        <w:widowControl/>
        <w:snapToGrid w:val="0"/>
        <w:spacing w:line="360" w:lineRule="auto"/>
        <w:jc w:val="left"/>
        <w:rPr>
          <w:rFonts w:hint="eastAsia" w:ascii="仿宋" w:hAnsi="仿宋" w:eastAsia="仿宋" w:cs="仿宋"/>
          <w:sz w:val="24"/>
          <w:highlight w:val="none"/>
        </w:rPr>
      </w:pPr>
    </w:p>
    <w:p w14:paraId="1CE80ADD">
      <w:pPr>
        <w:widowControl/>
        <w:snapToGrid w:val="0"/>
        <w:spacing w:line="360" w:lineRule="auto"/>
        <w:jc w:val="left"/>
        <w:rPr>
          <w:rFonts w:hint="eastAsia" w:ascii="仿宋" w:hAnsi="仿宋" w:eastAsia="仿宋" w:cs="仿宋"/>
          <w:b/>
          <w:sz w:val="24"/>
          <w:highlight w:val="none"/>
        </w:rPr>
      </w:pPr>
    </w:p>
    <w:p w14:paraId="43A43BD9">
      <w:pPr>
        <w:widowControl/>
        <w:snapToGrid w:val="0"/>
        <w:spacing w:line="360" w:lineRule="auto"/>
        <w:jc w:val="left"/>
        <w:rPr>
          <w:rFonts w:hint="eastAsia" w:ascii="仿宋" w:hAnsi="仿宋" w:eastAsia="仿宋" w:cs="仿宋"/>
          <w:b/>
          <w:sz w:val="24"/>
          <w:highlight w:val="none"/>
        </w:rPr>
      </w:pPr>
    </w:p>
    <w:p w14:paraId="463F9EC5">
      <w:pPr>
        <w:widowControl/>
        <w:snapToGrid w:val="0"/>
        <w:spacing w:line="360" w:lineRule="auto"/>
        <w:jc w:val="left"/>
        <w:rPr>
          <w:rFonts w:hint="eastAsia" w:ascii="仿宋" w:hAnsi="仿宋" w:eastAsia="仿宋" w:cs="仿宋"/>
          <w:b/>
          <w:sz w:val="24"/>
          <w:highlight w:val="none"/>
        </w:rPr>
      </w:pPr>
    </w:p>
    <w:p w14:paraId="3AEFE748">
      <w:pPr>
        <w:widowControl/>
        <w:snapToGrid w:val="0"/>
        <w:spacing w:line="360" w:lineRule="auto"/>
        <w:jc w:val="left"/>
        <w:rPr>
          <w:rFonts w:hint="eastAsia" w:ascii="仿宋" w:hAnsi="仿宋" w:eastAsia="仿宋" w:cs="仿宋"/>
          <w:b/>
          <w:sz w:val="24"/>
          <w:highlight w:val="none"/>
        </w:rPr>
      </w:pPr>
    </w:p>
    <w:p w14:paraId="185AE6DB">
      <w:pPr>
        <w:widowControl/>
        <w:snapToGrid w:val="0"/>
        <w:spacing w:line="360" w:lineRule="auto"/>
        <w:jc w:val="left"/>
        <w:rPr>
          <w:rFonts w:hint="eastAsia" w:ascii="仿宋" w:hAnsi="仿宋" w:eastAsia="仿宋" w:cs="仿宋"/>
          <w:b/>
          <w:sz w:val="24"/>
          <w:highlight w:val="none"/>
        </w:rPr>
      </w:pPr>
    </w:p>
    <w:p w14:paraId="04FC886A">
      <w:pPr>
        <w:widowControl/>
        <w:snapToGrid w:val="0"/>
        <w:spacing w:line="360" w:lineRule="auto"/>
        <w:jc w:val="left"/>
        <w:rPr>
          <w:rFonts w:hint="eastAsia" w:ascii="仿宋" w:hAnsi="仿宋" w:eastAsia="仿宋" w:cs="仿宋"/>
          <w:b/>
          <w:sz w:val="24"/>
          <w:highlight w:val="none"/>
        </w:rPr>
      </w:pPr>
    </w:p>
    <w:p w14:paraId="2C798FBC">
      <w:pPr>
        <w:widowControl/>
        <w:snapToGrid w:val="0"/>
        <w:spacing w:line="360" w:lineRule="auto"/>
        <w:jc w:val="left"/>
        <w:rPr>
          <w:rFonts w:hint="eastAsia" w:ascii="仿宋" w:hAnsi="仿宋" w:eastAsia="仿宋" w:cs="仿宋"/>
          <w:b/>
          <w:sz w:val="24"/>
          <w:highlight w:val="none"/>
        </w:rPr>
      </w:pPr>
    </w:p>
    <w:p w14:paraId="27475B0E">
      <w:pPr>
        <w:widowControl/>
        <w:snapToGrid w:val="0"/>
        <w:spacing w:line="360" w:lineRule="auto"/>
        <w:jc w:val="left"/>
        <w:rPr>
          <w:rFonts w:hint="eastAsia" w:ascii="仿宋" w:hAnsi="仿宋" w:eastAsia="仿宋" w:cs="仿宋"/>
          <w:b/>
          <w:sz w:val="24"/>
          <w:highlight w:val="none"/>
        </w:rPr>
      </w:pPr>
    </w:p>
    <w:p w14:paraId="791F59C5">
      <w:pPr>
        <w:widowControl/>
        <w:snapToGrid w:val="0"/>
        <w:spacing w:line="360" w:lineRule="auto"/>
        <w:jc w:val="left"/>
        <w:rPr>
          <w:rFonts w:hint="eastAsia" w:ascii="仿宋" w:hAnsi="仿宋" w:eastAsia="仿宋" w:cs="仿宋"/>
          <w:b/>
          <w:sz w:val="24"/>
          <w:highlight w:val="none"/>
        </w:rPr>
      </w:pPr>
    </w:p>
    <w:p w14:paraId="204E2C7F">
      <w:pPr>
        <w:widowControl/>
        <w:snapToGrid w:val="0"/>
        <w:spacing w:line="360" w:lineRule="auto"/>
        <w:jc w:val="left"/>
        <w:rPr>
          <w:rFonts w:hint="eastAsia" w:ascii="仿宋" w:hAnsi="仿宋" w:eastAsia="仿宋" w:cs="仿宋"/>
          <w:b/>
          <w:sz w:val="24"/>
          <w:highlight w:val="none"/>
        </w:rPr>
      </w:pPr>
    </w:p>
    <w:p w14:paraId="3EDE9065">
      <w:pPr>
        <w:widowControl/>
        <w:spacing w:line="330" w:lineRule="atLeast"/>
        <w:jc w:val="left"/>
        <w:rPr>
          <w:rFonts w:hint="eastAsia" w:ascii="仿宋" w:hAnsi="仿宋" w:eastAsia="仿宋" w:cs="仿宋"/>
          <w:kern w:val="0"/>
          <w:szCs w:val="21"/>
          <w:highlight w:val="none"/>
        </w:rPr>
      </w:pPr>
    </w:p>
    <w:p w14:paraId="399B9A4B">
      <w:pPr>
        <w:widowControl/>
        <w:snapToGrid w:val="0"/>
        <w:spacing w:line="360" w:lineRule="auto"/>
        <w:jc w:val="left"/>
        <w:rPr>
          <w:rFonts w:hint="eastAsia" w:ascii="仿宋" w:hAnsi="仿宋" w:eastAsia="仿宋" w:cs="仿宋"/>
          <w:b/>
          <w:sz w:val="24"/>
          <w:highlight w:val="none"/>
        </w:rPr>
      </w:pPr>
    </w:p>
    <w:p w14:paraId="0D57356E">
      <w:pPr>
        <w:pStyle w:val="11"/>
        <w:rPr>
          <w:rFonts w:hint="eastAsia" w:ascii="仿宋" w:hAnsi="仿宋" w:eastAsia="仿宋" w:cs="仿宋"/>
          <w:b/>
          <w:sz w:val="24"/>
          <w:highlight w:val="none"/>
        </w:rPr>
      </w:pPr>
    </w:p>
    <w:p w14:paraId="00540B04">
      <w:pPr>
        <w:widowControl/>
        <w:snapToGrid w:val="0"/>
        <w:spacing w:line="360" w:lineRule="auto"/>
        <w:rPr>
          <w:rFonts w:hint="eastAsia" w:ascii="仿宋" w:hAnsi="仿宋" w:eastAsia="仿宋" w:cs="仿宋"/>
          <w:b/>
          <w:kern w:val="0"/>
          <w:sz w:val="24"/>
          <w:highlight w:val="none"/>
        </w:rPr>
      </w:pPr>
    </w:p>
    <w:p w14:paraId="4736EF08">
      <w:pPr>
        <w:widowControl/>
        <w:snapToGrid w:val="0"/>
        <w:spacing w:line="360" w:lineRule="auto"/>
        <w:rPr>
          <w:rFonts w:hint="eastAsia" w:ascii="仿宋" w:hAnsi="仿宋" w:eastAsia="仿宋" w:cs="仿宋"/>
          <w:b/>
          <w:kern w:val="0"/>
          <w:sz w:val="24"/>
          <w:highlight w:val="none"/>
        </w:rPr>
      </w:pPr>
    </w:p>
    <w:p w14:paraId="1B97B222">
      <w:pPr>
        <w:widowControl/>
        <w:snapToGrid w:val="0"/>
        <w:spacing w:line="360" w:lineRule="auto"/>
        <w:rPr>
          <w:rFonts w:hint="eastAsia" w:ascii="仿宋" w:hAnsi="仿宋" w:eastAsia="仿宋" w:cs="仿宋"/>
          <w:b/>
          <w:sz w:val="24"/>
          <w:highlight w:val="none"/>
        </w:rPr>
      </w:pPr>
      <w:r>
        <w:rPr>
          <w:rFonts w:hint="eastAsia" w:ascii="仿宋" w:hAnsi="仿宋" w:eastAsia="仿宋" w:cs="仿宋"/>
          <w:b/>
          <w:kern w:val="0"/>
          <w:sz w:val="24"/>
          <w:highlight w:val="none"/>
          <w:lang w:val="en-US" w:eastAsia="zh-CN"/>
        </w:rPr>
        <w:t>10.3</w:t>
      </w:r>
      <w:r>
        <w:rPr>
          <w:rFonts w:hint="eastAsia" w:ascii="仿宋" w:hAnsi="仿宋" w:eastAsia="仿宋" w:cs="仿宋"/>
          <w:b/>
          <w:sz w:val="24"/>
          <w:highlight w:val="none"/>
        </w:rPr>
        <w:t>商品包装和快递包装承诺格式（如不涉及，此承诺可不提供）</w:t>
      </w:r>
    </w:p>
    <w:p w14:paraId="276B24B1">
      <w:pPr>
        <w:widowControl/>
        <w:snapToGrid w:val="0"/>
        <w:spacing w:line="360" w:lineRule="auto"/>
        <w:rPr>
          <w:rFonts w:hint="eastAsia" w:ascii="仿宋" w:hAnsi="仿宋" w:eastAsia="仿宋" w:cs="仿宋"/>
          <w:b/>
          <w:sz w:val="24"/>
          <w:highlight w:val="none"/>
        </w:rPr>
      </w:pPr>
    </w:p>
    <w:p w14:paraId="20051D44">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商品包装和快递包装承诺</w:t>
      </w:r>
    </w:p>
    <w:p w14:paraId="51FCDE90">
      <w:pPr>
        <w:widowControl/>
        <w:snapToGrid w:val="0"/>
        <w:spacing w:line="360" w:lineRule="auto"/>
        <w:rPr>
          <w:rFonts w:hint="eastAsia" w:ascii="仿宋" w:hAnsi="仿宋" w:eastAsia="仿宋" w:cs="仿宋"/>
          <w:bCs/>
          <w:sz w:val="24"/>
          <w:highlight w:val="none"/>
        </w:rPr>
      </w:pPr>
    </w:p>
    <w:p w14:paraId="1D09C1A9">
      <w:pPr>
        <w:widowControl/>
        <w:snapToGrid w:val="0"/>
        <w:spacing w:line="360" w:lineRule="auto"/>
        <w:rPr>
          <w:rFonts w:hint="eastAsia" w:ascii="仿宋" w:hAnsi="仿宋" w:eastAsia="仿宋" w:cs="仿宋"/>
          <w:bCs/>
          <w:sz w:val="24"/>
          <w:highlight w:val="none"/>
        </w:rPr>
      </w:pPr>
    </w:p>
    <w:p w14:paraId="53F658A9">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本</w:t>
      </w:r>
      <w:r>
        <w:rPr>
          <w:rFonts w:hint="eastAsia" w:ascii="仿宋" w:hAnsi="仿宋" w:eastAsia="仿宋" w:cs="仿宋"/>
          <w:bCs/>
          <w:sz w:val="24"/>
          <w:highlight w:val="none"/>
          <w:lang w:eastAsia="zh-CN"/>
        </w:rPr>
        <w:t>供应商</w:t>
      </w:r>
      <w:r>
        <w:rPr>
          <w:rFonts w:hint="eastAsia" w:ascii="仿宋" w:hAnsi="仿宋" w:eastAsia="仿宋" w:cs="仿宋"/>
          <w:bCs/>
          <w:sz w:val="24"/>
          <w:highlight w:val="none"/>
        </w:rPr>
        <w:t>现参与</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项目（项目编号：</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w:t>
      </w:r>
      <w:r>
        <w:rPr>
          <w:rFonts w:hint="eastAsia" w:ascii="仿宋" w:hAnsi="仿宋" w:eastAsia="仿宋" w:cs="仿宋"/>
          <w:sz w:val="24"/>
          <w:highlight w:val="none"/>
          <w:lang w:val="en-US" w:eastAsia="zh-CN"/>
        </w:rPr>
        <w:t>包</w:t>
      </w:r>
      <w:r>
        <w:rPr>
          <w:rFonts w:hint="eastAsia" w:ascii="仿宋" w:hAnsi="仿宋" w:eastAsia="仿宋" w:cs="仿宋"/>
          <w:sz w:val="24"/>
          <w:highlight w:val="none"/>
          <w:u w:val="single"/>
          <w:lang w:val="en-US" w:eastAsia="zh-CN"/>
        </w:rPr>
        <w:t xml:space="preserve">      </w:t>
      </w:r>
      <w:r>
        <w:rPr>
          <w:rFonts w:hint="eastAsia" w:ascii="仿宋" w:hAnsi="仿宋" w:eastAsia="仿宋" w:cs="仿宋"/>
          <w:bCs/>
          <w:sz w:val="24"/>
          <w:highlight w:val="none"/>
        </w:rPr>
        <w:t>的采购活动，本公司承诺所供商品包装符合《商品包装政府采购需求标准（试行）》，快递包装符合《快递包装政府采购需求标准（试行）》。</w:t>
      </w:r>
    </w:p>
    <w:p w14:paraId="0A66CCE7">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如上述声明不真实，愿意按照政府采购有关法律法规的规定接受处罚。</w:t>
      </w:r>
    </w:p>
    <w:p w14:paraId="32FB2683">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特此声明</w:t>
      </w:r>
    </w:p>
    <w:p w14:paraId="77E75F5E">
      <w:pPr>
        <w:widowControl/>
        <w:snapToGrid w:val="0"/>
        <w:spacing w:line="360" w:lineRule="auto"/>
        <w:rPr>
          <w:rFonts w:hint="eastAsia" w:ascii="仿宋" w:hAnsi="仿宋" w:eastAsia="仿宋" w:cs="仿宋"/>
          <w:bCs/>
          <w:sz w:val="24"/>
          <w:highlight w:val="none"/>
        </w:rPr>
      </w:pPr>
    </w:p>
    <w:p w14:paraId="199FEAA7">
      <w:pPr>
        <w:widowControl/>
        <w:snapToGrid w:val="0"/>
        <w:spacing w:line="360" w:lineRule="auto"/>
        <w:rPr>
          <w:rFonts w:hint="eastAsia" w:ascii="仿宋" w:hAnsi="仿宋" w:eastAsia="仿宋" w:cs="仿宋"/>
          <w:bCs/>
          <w:sz w:val="24"/>
          <w:highlight w:val="none"/>
        </w:rPr>
      </w:pPr>
    </w:p>
    <w:p w14:paraId="277DB9B1">
      <w:pPr>
        <w:widowControl/>
        <w:snapToGrid w:val="0"/>
        <w:spacing w:line="360" w:lineRule="auto"/>
        <w:rPr>
          <w:rFonts w:hint="eastAsia" w:ascii="仿宋" w:hAnsi="仿宋" w:eastAsia="仿宋" w:cs="仿宋"/>
          <w:bCs/>
          <w:sz w:val="24"/>
          <w:highlight w:val="none"/>
        </w:rPr>
      </w:pPr>
    </w:p>
    <w:p w14:paraId="235A1DB8">
      <w:pPr>
        <w:widowControl/>
        <w:snapToGrid w:val="0"/>
        <w:spacing w:line="360" w:lineRule="auto"/>
        <w:ind w:firstLine="480" w:firstLineChars="200"/>
        <w:jc w:val="right"/>
        <w:rPr>
          <w:rFonts w:hint="eastAsia" w:ascii="仿宋" w:hAnsi="仿宋" w:eastAsia="仿宋" w:cs="仿宋"/>
          <w:bCs/>
          <w:sz w:val="24"/>
          <w:highlight w:val="none"/>
        </w:rPr>
      </w:pPr>
      <w:r>
        <w:rPr>
          <w:rFonts w:hint="eastAsia" w:ascii="仿宋" w:hAnsi="仿宋" w:eastAsia="仿宋" w:cs="仿宋"/>
          <w:bCs/>
          <w:sz w:val="24"/>
          <w:highlight w:val="none"/>
          <w:lang w:eastAsia="zh-CN"/>
        </w:rPr>
        <w:t>供应商全称</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（盖章）</w:t>
      </w:r>
    </w:p>
    <w:p w14:paraId="1D7FAE83">
      <w:pPr>
        <w:widowControl/>
        <w:snapToGrid w:val="0"/>
        <w:spacing w:line="360" w:lineRule="auto"/>
        <w:ind w:firstLine="5040" w:firstLineChars="2100"/>
        <w:rPr>
          <w:rFonts w:hint="eastAsia" w:ascii="仿宋" w:hAnsi="仿宋" w:eastAsia="仿宋" w:cs="仿宋"/>
          <w:bCs/>
          <w:sz w:val="24"/>
          <w:highlight w:val="none"/>
        </w:rPr>
      </w:pPr>
      <w:r>
        <w:rPr>
          <w:rFonts w:hint="eastAsia" w:ascii="仿宋" w:hAnsi="仿宋" w:eastAsia="仿宋" w:cs="仿宋"/>
          <w:bCs/>
          <w:sz w:val="24"/>
          <w:highlight w:val="none"/>
        </w:rPr>
        <w:t>日     期：</w:t>
      </w:r>
    </w:p>
    <w:p w14:paraId="4E3CD317">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p>
    <w:p w14:paraId="6D4705B5">
      <w:pPr>
        <w:spacing w:line="440" w:lineRule="exact"/>
        <w:rPr>
          <w:rFonts w:hint="eastAsia" w:ascii="仿宋" w:hAnsi="仿宋" w:eastAsia="仿宋" w:cs="仿宋"/>
          <w:b/>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10.4</w:t>
      </w:r>
      <w:r>
        <w:rPr>
          <w:rFonts w:hint="eastAsia" w:ascii="仿宋" w:hAnsi="仿宋" w:eastAsia="仿宋" w:cs="仿宋"/>
          <w:b/>
          <w:snapToGrid w:val="0"/>
          <w:color w:val="000000" w:themeColor="text1"/>
          <w:sz w:val="24"/>
          <w:highlight w:val="none"/>
          <w14:textFill>
            <w14:solidFill>
              <w14:schemeClr w14:val="tx1"/>
            </w14:solidFill>
          </w14:textFill>
        </w:rPr>
        <w:t>创新产品或创新服务明细表</w:t>
      </w:r>
      <w:r>
        <w:rPr>
          <w:rFonts w:hint="eastAsia" w:ascii="仿宋" w:hAnsi="仿宋" w:eastAsia="仿宋" w:cs="仿宋"/>
          <w:b/>
          <w:snapToGrid w:val="0"/>
          <w:color w:val="000000" w:themeColor="text1"/>
          <w:sz w:val="24"/>
          <w:highlight w:val="none"/>
          <w:lang w:eastAsia="zh-CN"/>
          <w14:textFill>
            <w14:solidFill>
              <w14:schemeClr w14:val="tx1"/>
            </w14:solidFill>
          </w14:textFill>
        </w:rPr>
        <w:t>（</w:t>
      </w: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若有）</w:t>
      </w:r>
    </w:p>
    <w:p w14:paraId="716168EA">
      <w:pPr>
        <w:spacing w:line="360" w:lineRule="auto"/>
        <w:ind w:firstLine="506" w:firstLineChars="200"/>
        <w:jc w:val="center"/>
        <w:rPr>
          <w:rFonts w:hint="eastAsia" w:ascii="仿宋" w:hAnsi="仿宋" w:eastAsia="仿宋" w:cs="仿宋"/>
          <w:b/>
          <w:color w:val="000000" w:themeColor="text1"/>
          <w:spacing w:val="6"/>
          <w:sz w:val="24"/>
          <w:highlight w:val="none"/>
          <w14:textFill>
            <w14:solidFill>
              <w14:schemeClr w14:val="tx1"/>
            </w14:solidFill>
          </w14:textFill>
        </w:rPr>
      </w:pPr>
    </w:p>
    <w:p w14:paraId="0D7380F4">
      <w:pPr>
        <w:spacing w:line="360" w:lineRule="auto"/>
        <w:ind w:firstLine="504" w:firstLineChars="200"/>
        <w:jc w:val="center"/>
        <w:rPr>
          <w:rFonts w:hint="eastAsia" w:ascii="仿宋" w:hAnsi="仿宋" w:eastAsia="仿宋" w:cs="仿宋"/>
          <w:b w:val="0"/>
          <w:bCs/>
          <w:color w:val="000000" w:themeColor="text1"/>
          <w:spacing w:val="6"/>
          <w:sz w:val="24"/>
          <w:szCs w:val="24"/>
          <w:highlight w:val="none"/>
          <w14:textFill>
            <w14:solidFill>
              <w14:schemeClr w14:val="tx1"/>
            </w14:solidFill>
          </w14:textFill>
        </w:rPr>
      </w:pPr>
      <w:r>
        <w:rPr>
          <w:rFonts w:hint="eastAsia" w:ascii="仿宋" w:hAnsi="仿宋" w:eastAsia="仿宋" w:cs="仿宋"/>
          <w:b w:val="0"/>
          <w:bCs/>
          <w:color w:val="000000" w:themeColor="text1"/>
          <w:spacing w:val="6"/>
          <w:sz w:val="24"/>
          <w:szCs w:val="24"/>
          <w:highlight w:val="none"/>
          <w14:textFill>
            <w14:solidFill>
              <w14:schemeClr w14:val="tx1"/>
            </w14:solidFill>
          </w14:textFill>
        </w:rPr>
        <w:t>创新产品或创新服务明细表</w:t>
      </w:r>
    </w:p>
    <w:tbl>
      <w:tblPr>
        <w:tblStyle w:val="2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34"/>
        <w:gridCol w:w="1276"/>
        <w:gridCol w:w="992"/>
        <w:gridCol w:w="1276"/>
        <w:gridCol w:w="992"/>
        <w:gridCol w:w="851"/>
        <w:gridCol w:w="995"/>
      </w:tblGrid>
      <w:tr w14:paraId="393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3" w:type="dxa"/>
            <w:vAlign w:val="center"/>
          </w:tcPr>
          <w:p w14:paraId="513BC7E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序号</w:t>
            </w:r>
          </w:p>
        </w:tc>
        <w:tc>
          <w:tcPr>
            <w:tcW w:w="1134" w:type="dxa"/>
            <w:vAlign w:val="center"/>
          </w:tcPr>
          <w:p w14:paraId="7EAE4A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产品</w:t>
            </w:r>
          </w:p>
          <w:p w14:paraId="670B0863">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名称</w:t>
            </w:r>
          </w:p>
        </w:tc>
        <w:tc>
          <w:tcPr>
            <w:tcW w:w="1276" w:type="dxa"/>
            <w:vAlign w:val="center"/>
          </w:tcPr>
          <w:p w14:paraId="7EB2A7D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品牌</w:t>
            </w:r>
          </w:p>
        </w:tc>
        <w:tc>
          <w:tcPr>
            <w:tcW w:w="992" w:type="dxa"/>
            <w:vAlign w:val="center"/>
          </w:tcPr>
          <w:p w14:paraId="3025935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规格</w:t>
            </w:r>
          </w:p>
          <w:p w14:paraId="1B25C3AE">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型号</w:t>
            </w:r>
          </w:p>
        </w:tc>
        <w:tc>
          <w:tcPr>
            <w:tcW w:w="1276" w:type="dxa"/>
            <w:vAlign w:val="center"/>
          </w:tcPr>
          <w:p w14:paraId="5530380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产地及</w:t>
            </w:r>
          </w:p>
          <w:p w14:paraId="38963B2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厂家</w:t>
            </w:r>
          </w:p>
        </w:tc>
        <w:tc>
          <w:tcPr>
            <w:tcW w:w="992" w:type="dxa"/>
            <w:vAlign w:val="center"/>
          </w:tcPr>
          <w:p w14:paraId="6077A7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数量</w:t>
            </w:r>
          </w:p>
        </w:tc>
        <w:tc>
          <w:tcPr>
            <w:tcW w:w="851" w:type="dxa"/>
            <w:vAlign w:val="center"/>
          </w:tcPr>
          <w:p w14:paraId="7A33F6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单价</w:t>
            </w:r>
          </w:p>
        </w:tc>
        <w:tc>
          <w:tcPr>
            <w:tcW w:w="995" w:type="dxa"/>
            <w:vAlign w:val="center"/>
          </w:tcPr>
          <w:p w14:paraId="0ACDA51F">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总价</w:t>
            </w:r>
          </w:p>
        </w:tc>
      </w:tr>
      <w:tr w14:paraId="194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72FFF46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25185DFA">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4A96CC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253AEF62">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52D676F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0D0A8D1B">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5E091245">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7D740AE4">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4FE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3C49E0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7D6FACC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1C8A40C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7BD2664A">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4A06519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2F65D5AD">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6A33B15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3F7C67A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6FA1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BE2D649">
            <w:pPr>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创新产品或创新服务价格合计：</w:t>
            </w:r>
          </w:p>
        </w:tc>
      </w:tr>
    </w:tbl>
    <w:p w14:paraId="7A66EB2B">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说明：</w:t>
      </w:r>
    </w:p>
    <w:p w14:paraId="2AF9A941">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如实填写表格，无相应内容可填的，填写“无”、“未测试”、“没有相应指标”等明确的回答文字，或用“/”来表示。</w:t>
      </w:r>
    </w:p>
    <w:p w14:paraId="11A24AD0">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投报产品包含创新产品或创新服务，需填写此表后，提供《山西省创新产品和服务推荐清单》。</w:t>
      </w:r>
    </w:p>
    <w:p w14:paraId="069F5B18">
      <w:pPr>
        <w:pStyle w:val="12"/>
        <w:rPr>
          <w:rFonts w:hint="eastAsia" w:ascii="仿宋" w:hAnsi="仿宋" w:eastAsia="仿宋" w:cs="仿宋"/>
          <w:highlight w:val="none"/>
        </w:rPr>
      </w:pPr>
    </w:p>
    <w:p w14:paraId="3FF453D1">
      <w:pPr>
        <w:pStyle w:val="22"/>
        <w:rPr>
          <w:rFonts w:hint="eastAsia" w:ascii="仿宋" w:hAnsi="仿宋" w:eastAsia="仿宋" w:cs="仿宋"/>
          <w:highlight w:val="none"/>
        </w:rPr>
      </w:pPr>
    </w:p>
    <w:p w14:paraId="7C68EF2D">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10A17236">
      <w:pPr>
        <w:tabs>
          <w:tab w:val="left" w:pos="567"/>
        </w:tabs>
        <w:snapToGrid w:val="0"/>
        <w:spacing w:line="360" w:lineRule="auto"/>
        <w:jc w:val="left"/>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10.5关于符合本国产品标准的声明函（如有）</w:t>
      </w:r>
    </w:p>
    <w:p w14:paraId="33B7579A">
      <w:pPr>
        <w:tabs>
          <w:tab w:val="left" w:pos="567"/>
        </w:tabs>
        <w:snapToGrid w:val="0"/>
        <w:spacing w:line="360" w:lineRule="auto"/>
        <w:jc w:val="left"/>
        <w:rPr>
          <w:rFonts w:hint="eastAsia" w:ascii="仿宋" w:hAnsi="仿宋" w:eastAsia="仿宋" w:cs="仿宋"/>
          <w:b/>
          <w:kern w:val="0"/>
          <w:sz w:val="24"/>
          <w:highlight w:val="none"/>
          <w:lang w:val="en-US" w:eastAsia="zh-CN"/>
        </w:rPr>
      </w:pPr>
    </w:p>
    <w:p w14:paraId="0BBF89A8">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关于符合本国产品标准的声明函</w:t>
      </w:r>
    </w:p>
    <w:p w14:paraId="435280F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62F8FEA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w:t>
      </w:r>
      <w:r>
        <w:rPr>
          <w:rStyle w:val="32"/>
          <w:rFonts w:hint="eastAsia" w:ascii="仿宋" w:hAnsi="仿宋" w:eastAsia="仿宋" w:cs="仿宋"/>
          <w:i w:val="0"/>
          <w:iCs w:val="0"/>
          <w:caps w:val="0"/>
          <w:color w:val="333333"/>
          <w:spacing w:val="0"/>
          <w:sz w:val="24"/>
          <w:szCs w:val="24"/>
          <w:highlight w:val="none"/>
          <w:shd w:val="clear" w:fill="FFFFFF"/>
        </w:rPr>
        <w:t>（产品名称1）</w:t>
      </w:r>
      <w:r>
        <w:rPr>
          <w:rStyle w:val="32"/>
          <w:rFonts w:hint="eastAsia" w:ascii="仿宋" w:hAnsi="仿宋" w:eastAsia="仿宋" w:cs="仿宋"/>
          <w:i w:val="0"/>
          <w:iCs w:val="0"/>
          <w:caps w:val="0"/>
          <w:color w:val="333333"/>
          <w:spacing w:val="0"/>
          <w:sz w:val="24"/>
          <w:szCs w:val="24"/>
          <w:highlight w:val="none"/>
          <w:shd w:val="clear" w:fill="FFFFFF"/>
          <w:vertAlign w:val="superscript"/>
        </w:rPr>
        <w:t>1</w:t>
      </w:r>
      <w:r>
        <w:rPr>
          <w:rFonts w:hint="eastAsia" w:ascii="仿宋" w:hAnsi="仿宋" w:eastAsia="仿宋" w:cs="仿宋"/>
          <w:i w:val="0"/>
          <w:iCs w:val="0"/>
          <w:caps w:val="0"/>
          <w:color w:val="333333"/>
          <w:spacing w:val="0"/>
          <w:sz w:val="24"/>
          <w:szCs w:val="24"/>
          <w:highlight w:val="none"/>
          <w:shd w:val="clear" w:fill="FFFFFF"/>
        </w:rPr>
        <w:t>，生产厂为</w:t>
      </w:r>
      <w:r>
        <w:rPr>
          <w:rStyle w:val="32"/>
          <w:rFonts w:hint="eastAsia" w:ascii="仿宋" w:hAnsi="仿宋" w:eastAsia="仿宋" w:cs="仿宋"/>
          <w:i w:val="0"/>
          <w:iCs w:val="0"/>
          <w:caps w:val="0"/>
          <w:color w:val="333333"/>
          <w:spacing w:val="0"/>
          <w:sz w:val="24"/>
          <w:szCs w:val="24"/>
          <w:highlight w:val="none"/>
          <w:shd w:val="clear" w:fill="FFFFFF"/>
        </w:rPr>
        <w:t>（厂名）</w:t>
      </w:r>
      <w:r>
        <w:rPr>
          <w:rStyle w:val="32"/>
          <w:rFonts w:hint="eastAsia" w:ascii="仿宋" w:hAnsi="仿宋" w:eastAsia="仿宋" w:cs="仿宋"/>
          <w:i w:val="0"/>
          <w:iCs w:val="0"/>
          <w:caps w:val="0"/>
          <w:color w:val="333333"/>
          <w:spacing w:val="0"/>
          <w:sz w:val="24"/>
          <w:szCs w:val="24"/>
          <w:highlight w:val="none"/>
          <w:shd w:val="clear" w:fill="FFFFFF"/>
          <w:vertAlign w:val="superscript"/>
        </w:rPr>
        <w:t>2</w:t>
      </w:r>
      <w:r>
        <w:rPr>
          <w:rFonts w:hint="eastAsia" w:ascii="仿宋" w:hAnsi="仿宋" w:eastAsia="仿宋" w:cs="仿宋"/>
          <w:i w:val="0"/>
          <w:iCs w:val="0"/>
          <w:caps w:val="0"/>
          <w:color w:val="333333"/>
          <w:spacing w:val="0"/>
          <w:sz w:val="24"/>
          <w:szCs w:val="24"/>
          <w:highlight w:val="none"/>
          <w:shd w:val="clear" w:fill="FFFFFF"/>
        </w:rPr>
        <w:t>，厂址为</w:t>
      </w:r>
      <w:r>
        <w:rPr>
          <w:rStyle w:val="32"/>
          <w:rFonts w:hint="eastAsia" w:ascii="仿宋" w:hAnsi="仿宋" w:eastAsia="仿宋" w:cs="仿宋"/>
          <w:i w:val="0"/>
          <w:iCs w:val="0"/>
          <w:caps w:val="0"/>
          <w:color w:val="333333"/>
          <w:spacing w:val="0"/>
          <w:sz w:val="24"/>
          <w:szCs w:val="24"/>
          <w:highlight w:val="non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32"/>
          <w:rFonts w:hint="eastAsia" w:ascii="仿宋" w:hAnsi="仿宋" w:eastAsia="仿宋" w:cs="仿宋"/>
          <w:i w:val="0"/>
          <w:iCs w:val="0"/>
          <w:caps w:val="0"/>
          <w:color w:val="333333"/>
          <w:spacing w:val="0"/>
          <w:sz w:val="24"/>
          <w:szCs w:val="24"/>
          <w:highlight w:val="none"/>
          <w:shd w:val="clear" w:fill="FFFFFF"/>
        </w:rPr>
        <w:t>（规定比例）</w:t>
      </w:r>
      <w:r>
        <w:rPr>
          <w:rStyle w:val="32"/>
          <w:rFonts w:hint="eastAsia" w:ascii="仿宋" w:hAnsi="仿宋" w:eastAsia="仿宋" w:cs="仿宋"/>
          <w:i w:val="0"/>
          <w:iCs w:val="0"/>
          <w:caps w:val="0"/>
          <w:color w:val="333333"/>
          <w:spacing w:val="0"/>
          <w:sz w:val="24"/>
          <w:szCs w:val="24"/>
          <w:highlight w:val="none"/>
          <w:shd w:val="clear" w:fill="FFFFFF"/>
          <w:vertAlign w:val="superscript"/>
        </w:rPr>
        <w:t>3</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（关键组件）</w:t>
      </w:r>
      <w:r>
        <w:rPr>
          <w:rStyle w:val="32"/>
          <w:rFonts w:hint="eastAsia" w:ascii="仿宋" w:hAnsi="仿宋" w:eastAsia="仿宋" w:cs="仿宋"/>
          <w:i w:val="0"/>
          <w:iCs w:val="0"/>
          <w:caps w:val="0"/>
          <w:color w:val="333333"/>
          <w:spacing w:val="0"/>
          <w:sz w:val="24"/>
          <w:szCs w:val="24"/>
          <w:highlight w:val="none"/>
          <w:shd w:val="clear" w:fill="FFFFFF"/>
          <w:vertAlign w:val="superscript"/>
        </w:rPr>
        <w:t>4</w:t>
      </w:r>
      <w:r>
        <w:rPr>
          <w:rFonts w:hint="eastAsia" w:ascii="仿宋" w:hAnsi="仿宋" w:eastAsia="仿宋" w:cs="仿宋"/>
          <w:i w:val="0"/>
          <w:iCs w:val="0"/>
          <w:caps w:val="0"/>
          <w:color w:val="333333"/>
          <w:spacing w:val="0"/>
          <w:sz w:val="24"/>
          <w:szCs w:val="24"/>
          <w:highlight w:val="none"/>
          <w:shd w:val="clear" w:fill="FFFFFF"/>
        </w:rPr>
        <w:t>在中国境内生产。</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（关键工序）</w:t>
      </w:r>
      <w:r>
        <w:rPr>
          <w:rStyle w:val="32"/>
          <w:rFonts w:hint="eastAsia" w:ascii="仿宋" w:hAnsi="仿宋" w:eastAsia="仿宋" w:cs="仿宋"/>
          <w:i w:val="0"/>
          <w:iCs w:val="0"/>
          <w:caps w:val="0"/>
          <w:color w:val="333333"/>
          <w:spacing w:val="0"/>
          <w:sz w:val="24"/>
          <w:szCs w:val="24"/>
          <w:highlight w:val="none"/>
          <w:shd w:val="clear" w:fill="FFFFFF"/>
          <w:vertAlign w:val="superscript"/>
        </w:rPr>
        <w:t>5</w:t>
      </w:r>
      <w:r>
        <w:rPr>
          <w:rFonts w:hint="eastAsia" w:ascii="仿宋" w:hAnsi="仿宋" w:eastAsia="仿宋" w:cs="仿宋"/>
          <w:i w:val="0"/>
          <w:iCs w:val="0"/>
          <w:caps w:val="0"/>
          <w:color w:val="333333"/>
          <w:spacing w:val="0"/>
          <w:sz w:val="24"/>
          <w:szCs w:val="24"/>
          <w:highlight w:val="none"/>
          <w:shd w:val="clear" w:fill="FFFFFF"/>
        </w:rPr>
        <w:t>在中国境内完成。</w:t>
      </w:r>
    </w:p>
    <w:p w14:paraId="0173DCE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，生产厂为</w:t>
      </w:r>
      <w:r>
        <w:rPr>
          <w:rStyle w:val="32"/>
          <w:rFonts w:hint="eastAsia" w:ascii="仿宋" w:hAnsi="仿宋" w:eastAsia="仿宋" w:cs="仿宋"/>
          <w:i w:val="0"/>
          <w:iCs w:val="0"/>
          <w:caps w:val="0"/>
          <w:color w:val="333333"/>
          <w:spacing w:val="0"/>
          <w:sz w:val="24"/>
          <w:szCs w:val="24"/>
          <w:highlight w:val="none"/>
          <w:shd w:val="clear" w:fill="FFFFFF"/>
        </w:rPr>
        <w:t>（厂名）</w:t>
      </w:r>
      <w:r>
        <w:rPr>
          <w:rFonts w:hint="eastAsia" w:ascii="仿宋" w:hAnsi="仿宋" w:eastAsia="仿宋" w:cs="仿宋"/>
          <w:i w:val="0"/>
          <w:iCs w:val="0"/>
          <w:caps w:val="0"/>
          <w:color w:val="333333"/>
          <w:spacing w:val="0"/>
          <w:sz w:val="24"/>
          <w:szCs w:val="24"/>
          <w:highlight w:val="none"/>
          <w:shd w:val="clear" w:fill="FFFFFF"/>
        </w:rPr>
        <w:t>，厂址为</w:t>
      </w:r>
      <w:r>
        <w:rPr>
          <w:rStyle w:val="32"/>
          <w:rFonts w:hint="eastAsia" w:ascii="仿宋" w:hAnsi="仿宋" w:eastAsia="仿宋" w:cs="仿宋"/>
          <w:i w:val="0"/>
          <w:iCs w:val="0"/>
          <w:caps w:val="0"/>
          <w:color w:val="333333"/>
          <w:spacing w:val="0"/>
          <w:sz w:val="24"/>
          <w:szCs w:val="24"/>
          <w:highlight w:val="non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32"/>
          <w:rFonts w:hint="eastAsia" w:ascii="仿宋" w:hAnsi="仿宋" w:eastAsia="仿宋" w:cs="仿宋"/>
          <w:i w:val="0"/>
          <w:iCs w:val="0"/>
          <w:caps w:val="0"/>
          <w:color w:val="333333"/>
          <w:spacing w:val="0"/>
          <w:sz w:val="24"/>
          <w:szCs w:val="24"/>
          <w:highlight w:val="none"/>
          <w:shd w:val="clear" w:fill="FFFFFF"/>
        </w:rPr>
        <w:t>（规定比例）</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（关键组件）</w:t>
      </w:r>
      <w:r>
        <w:rPr>
          <w:rFonts w:hint="eastAsia" w:ascii="仿宋" w:hAnsi="仿宋" w:eastAsia="仿宋" w:cs="仿宋"/>
          <w:i w:val="0"/>
          <w:iCs w:val="0"/>
          <w:caps w:val="0"/>
          <w:color w:val="333333"/>
          <w:spacing w:val="0"/>
          <w:sz w:val="24"/>
          <w:szCs w:val="24"/>
          <w:highlight w:val="none"/>
          <w:shd w:val="clear" w:fill="FFFFFF"/>
        </w:rPr>
        <w:t>在中国境内生产。</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（关键工序）</w:t>
      </w:r>
      <w:r>
        <w:rPr>
          <w:rFonts w:hint="eastAsia" w:ascii="仿宋" w:hAnsi="仿宋" w:eastAsia="仿宋" w:cs="仿宋"/>
          <w:i w:val="0"/>
          <w:iCs w:val="0"/>
          <w:caps w:val="0"/>
          <w:color w:val="333333"/>
          <w:spacing w:val="0"/>
          <w:sz w:val="24"/>
          <w:szCs w:val="24"/>
          <w:highlight w:val="none"/>
          <w:shd w:val="clear" w:fill="FFFFFF"/>
        </w:rPr>
        <w:t>在中国境内完成。</w:t>
      </w:r>
    </w:p>
    <w:p w14:paraId="2BF61E5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w:t>
      </w:r>
    </w:p>
    <w:p w14:paraId="1100A59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本公司（单位）对上述声明内容的真实性负责。如有虚假，愿承担相应法律责任。</w:t>
      </w:r>
    </w:p>
    <w:p w14:paraId="1921117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公司（单位）名称（盖章）：      </w:t>
      </w:r>
    </w:p>
    <w:p w14:paraId="76A2DE4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日期：　　　　　年　　月　日    </w:t>
      </w:r>
    </w:p>
    <w:p w14:paraId="65880A0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p>
    <w:p w14:paraId="722DD64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p>
    <w:p w14:paraId="5689AB1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_____________________________</w:t>
      </w:r>
    </w:p>
    <w:p w14:paraId="07348A0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1.产品如有型号，请在“产品名称”栏一并填写。</w:t>
      </w:r>
    </w:p>
    <w:p w14:paraId="376E0C0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2.生产厂名与厂址应与生产厂营业执照载明的相关信息保持一致。</w:t>
      </w:r>
    </w:p>
    <w:p w14:paraId="56B73C6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3.该产品的中国境内生产的组件成本占比相关要求实施前，“规定比例”栏可不填，下同。</w:t>
      </w:r>
    </w:p>
    <w:p w14:paraId="1E95B1D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4.该产品的关键组件要求实施前，“关键组件”栏可不填，下同。</w:t>
      </w:r>
    </w:p>
    <w:p w14:paraId="542F3F3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5.该产品的关键工序要求实施前，“关键工序”栏可不填，下同。</w:t>
      </w:r>
    </w:p>
    <w:p w14:paraId="623D77C7">
      <w:pPr>
        <w:tabs>
          <w:tab w:val="left" w:pos="1680"/>
        </w:tabs>
        <w:snapToGrid w:val="0"/>
        <w:spacing w:line="360" w:lineRule="auto"/>
        <w:rPr>
          <w:rFonts w:hint="eastAsia" w:ascii="仿宋" w:hAnsi="仿宋" w:eastAsia="仿宋" w:cs="仿宋"/>
          <w:b/>
          <w:kern w:val="0"/>
          <w:sz w:val="24"/>
          <w:highlight w:val="none"/>
        </w:rPr>
      </w:pPr>
    </w:p>
    <w:p w14:paraId="4B006570">
      <w:pPr>
        <w:tabs>
          <w:tab w:val="left" w:pos="1680"/>
        </w:tabs>
        <w:snapToGrid w:val="0"/>
        <w:spacing w:line="360" w:lineRule="auto"/>
        <w:rPr>
          <w:rFonts w:hint="eastAsia" w:ascii="仿宋" w:hAnsi="仿宋" w:eastAsia="仿宋" w:cs="仿宋"/>
          <w:b/>
          <w:kern w:val="0"/>
          <w:sz w:val="24"/>
          <w:highlight w:val="none"/>
        </w:rPr>
      </w:pPr>
    </w:p>
    <w:p w14:paraId="295BD7E6">
      <w:pPr>
        <w:tabs>
          <w:tab w:val="left" w:pos="1680"/>
        </w:tabs>
        <w:snapToGrid w:val="0"/>
        <w:spacing w:line="360" w:lineRule="auto"/>
        <w:rPr>
          <w:rFonts w:hint="eastAsia" w:ascii="仿宋" w:hAnsi="仿宋" w:eastAsia="仿宋" w:cs="仿宋"/>
          <w:b/>
          <w:kern w:val="0"/>
          <w:sz w:val="24"/>
          <w:highlight w:val="none"/>
        </w:rPr>
      </w:pPr>
    </w:p>
    <w:p w14:paraId="33639FBE">
      <w:pPr>
        <w:tabs>
          <w:tab w:val="left" w:pos="1680"/>
        </w:tabs>
        <w:snapToGrid w:val="0"/>
        <w:spacing w:line="360" w:lineRule="auto"/>
        <w:rPr>
          <w:rFonts w:hint="eastAsia" w:ascii="仿宋" w:hAnsi="仿宋" w:eastAsia="仿宋" w:cs="仿宋"/>
          <w:b/>
          <w:kern w:val="0"/>
          <w:sz w:val="24"/>
          <w:highlight w:val="none"/>
        </w:rPr>
      </w:pPr>
    </w:p>
    <w:p w14:paraId="3751BBE2">
      <w:pPr>
        <w:tabs>
          <w:tab w:val="left" w:pos="1680"/>
        </w:tabs>
        <w:snapToGrid w:val="0"/>
        <w:spacing w:line="360" w:lineRule="auto"/>
        <w:rPr>
          <w:rFonts w:hint="eastAsia" w:ascii="仿宋" w:hAnsi="仿宋" w:eastAsia="仿宋" w:cs="仿宋"/>
          <w:b/>
          <w:kern w:val="0"/>
          <w:sz w:val="24"/>
          <w:highlight w:val="none"/>
        </w:rPr>
      </w:pPr>
    </w:p>
    <w:p w14:paraId="5BBC4BC3">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.供应商认为需要提供的其他商务、技术材料（格式自拟）</w:t>
      </w:r>
    </w:p>
    <w:p w14:paraId="253B6775">
      <w:pPr>
        <w:pStyle w:val="22"/>
        <w:rPr>
          <w:rFonts w:ascii="仿宋" w:hAnsi="仿宋" w:eastAsia="仿宋" w:cs="仿宋"/>
          <w:b/>
          <w:sz w:val="24"/>
          <w:szCs w:val="24"/>
          <w:highlight w:val="none"/>
        </w:rPr>
      </w:pPr>
    </w:p>
    <w:p w14:paraId="482A7508">
      <w:pPr>
        <w:pStyle w:val="22"/>
        <w:rPr>
          <w:rFonts w:ascii="仿宋" w:hAnsi="仿宋" w:eastAsia="仿宋" w:cs="仿宋"/>
          <w:b/>
          <w:sz w:val="24"/>
          <w:szCs w:val="24"/>
          <w:highlight w:val="none"/>
        </w:rPr>
      </w:pPr>
    </w:p>
    <w:p w14:paraId="1FBBFD2E">
      <w:pPr>
        <w:pStyle w:val="22"/>
        <w:rPr>
          <w:rFonts w:ascii="仿宋" w:hAnsi="仿宋" w:eastAsia="仿宋" w:cs="仿宋"/>
          <w:b/>
          <w:sz w:val="24"/>
          <w:szCs w:val="24"/>
          <w:highlight w:val="none"/>
        </w:rPr>
      </w:pPr>
    </w:p>
    <w:p w14:paraId="061293C8">
      <w:pPr>
        <w:rPr>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7053">
    <w:pPr>
      <w:pStyle w:val="16"/>
      <w:rPr>
        <w:rFonts w:eastAsia="仿宋"/>
        <w:sz w:val="20"/>
        <w:szCs w:val="20"/>
      </w:rPr>
    </w:pPr>
    <w:r>
      <w:rPr>
        <w:rFonts w:hint="eastAsia" w:ascii="仿宋" w:hAnsi="仿宋" w:eastAsia="仿宋" w:cs="宋体"/>
        <w:color w:val="000000"/>
        <w:kern w:val="0"/>
        <w:sz w:val="20"/>
        <w:szCs w:val="20"/>
        <w:lang w:val="en-US" w:eastAsia="zh-CN"/>
      </w:rPr>
      <w:t>山西鸿源项目管理咨询服务有限公司</w:t>
    </w:r>
    <w:r>
      <w:rPr>
        <w:rFonts w:hint="eastAsia"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CN"/>
      </w:rPr>
      <w:t xml:space="preserve">  </w:t>
    </w:r>
    <w:r>
      <w:rPr>
        <w:rFonts w:hint="eastAsia"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CN"/>
      </w:rPr>
      <w:t xml:space="preserve">   </w:t>
    </w:r>
    <w:r>
      <w:rPr>
        <w:rFonts w:hint="eastAsia" w:ascii="仿宋" w:hAnsi="仿宋" w:eastAsia="仿宋" w:cs="宋体"/>
        <w:color w:val="000000"/>
        <w:kern w:val="0"/>
        <w:sz w:val="20"/>
        <w:szCs w:val="20"/>
        <w:highlight w:val="none"/>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1D2F">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D596">
    <w:pPr>
      <w:pStyle w:val="16"/>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E6C5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6E6C52">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A149">
    <w:pPr>
      <w:pStyle w:val="1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07213"/>
    <w:multiLevelType w:val="multilevel"/>
    <w:tmpl w:val="27E0721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20C153B"/>
    <w:multiLevelType w:val="multilevel"/>
    <w:tmpl w:val="420C153B"/>
    <w:lvl w:ilvl="0" w:tentative="0">
      <w:start w:val="1"/>
      <w:numFmt w:val="decimal"/>
      <w:pStyle w:val="4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6D6133"/>
    <w:multiLevelType w:val="multilevel"/>
    <w:tmpl w:val="656D6133"/>
    <w:lvl w:ilvl="0" w:tentative="0">
      <w:start w:val="1"/>
      <w:numFmt w:val="chineseCountingThousand"/>
      <w:suff w:val="nothing"/>
      <w:lvlText w:val="第%1部分"/>
      <w:lvlJc w:val="center"/>
      <w:pPr>
        <w:ind w:left="603" w:firstLine="288"/>
      </w:pPr>
      <w:rPr>
        <w:rFonts w:hint="eastAsia"/>
        <w:sz w:val="28"/>
        <w:szCs w:val="28"/>
      </w:rPr>
    </w:lvl>
    <w:lvl w:ilvl="1" w:tentative="0">
      <w:start w:val="1"/>
      <w:numFmt w:val="chineseCountingThousand"/>
      <w:suff w:val="nothing"/>
      <w:lvlText w:val="%2、"/>
      <w:lvlJc w:val="left"/>
      <w:pPr>
        <w:ind w:left="894"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603"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840" w:firstLine="0"/>
      </w:pPr>
      <w:rPr>
        <w:rFonts w:hint="eastAsia"/>
      </w:rPr>
    </w:lvl>
    <w:lvl w:ilvl="4" w:tentative="0">
      <w:start w:val="1"/>
      <w:numFmt w:val="upperLetter"/>
      <w:suff w:val="nothing"/>
      <w:lvlText w:val="%5、"/>
      <w:lvlJc w:val="left"/>
      <w:pPr>
        <w:ind w:left="603" w:firstLine="0"/>
      </w:pPr>
      <w:rPr>
        <w:rFonts w:hint="eastAsia"/>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DkwNWEwZGYxMzI1NDllNjdjMTY0ODhmYThkZjUifQ=="/>
  </w:docVars>
  <w:rsids>
    <w:rsidRoot w:val="005258E6"/>
    <w:rsid w:val="00044243"/>
    <w:rsid w:val="000522AF"/>
    <w:rsid w:val="000549E7"/>
    <w:rsid w:val="000A13DE"/>
    <w:rsid w:val="000B1B8C"/>
    <w:rsid w:val="000C5CCA"/>
    <w:rsid w:val="000E5F4C"/>
    <w:rsid w:val="000E766B"/>
    <w:rsid w:val="00124BDA"/>
    <w:rsid w:val="00127A25"/>
    <w:rsid w:val="00194BD9"/>
    <w:rsid w:val="001973C2"/>
    <w:rsid w:val="001E0BFD"/>
    <w:rsid w:val="0021240F"/>
    <w:rsid w:val="00214775"/>
    <w:rsid w:val="00230052"/>
    <w:rsid w:val="00251242"/>
    <w:rsid w:val="0026063B"/>
    <w:rsid w:val="00272C9F"/>
    <w:rsid w:val="00280A14"/>
    <w:rsid w:val="002A05C8"/>
    <w:rsid w:val="002B79DF"/>
    <w:rsid w:val="002D4593"/>
    <w:rsid w:val="00346D79"/>
    <w:rsid w:val="003624AB"/>
    <w:rsid w:val="003778E3"/>
    <w:rsid w:val="003D38C2"/>
    <w:rsid w:val="003E0662"/>
    <w:rsid w:val="004004D9"/>
    <w:rsid w:val="00440387"/>
    <w:rsid w:val="00462D0A"/>
    <w:rsid w:val="004722FE"/>
    <w:rsid w:val="0050638A"/>
    <w:rsid w:val="005258E6"/>
    <w:rsid w:val="00535FB5"/>
    <w:rsid w:val="0055662F"/>
    <w:rsid w:val="005922AA"/>
    <w:rsid w:val="005C4D2E"/>
    <w:rsid w:val="00627D22"/>
    <w:rsid w:val="00651E9E"/>
    <w:rsid w:val="00662CA1"/>
    <w:rsid w:val="00666AB9"/>
    <w:rsid w:val="006C6542"/>
    <w:rsid w:val="006E27BC"/>
    <w:rsid w:val="00780891"/>
    <w:rsid w:val="007911E8"/>
    <w:rsid w:val="007A507C"/>
    <w:rsid w:val="007A6A49"/>
    <w:rsid w:val="007F0A1D"/>
    <w:rsid w:val="00804DEA"/>
    <w:rsid w:val="00836FED"/>
    <w:rsid w:val="00865BC7"/>
    <w:rsid w:val="00894083"/>
    <w:rsid w:val="008E42B3"/>
    <w:rsid w:val="00923AFF"/>
    <w:rsid w:val="009528DF"/>
    <w:rsid w:val="00963488"/>
    <w:rsid w:val="009820BF"/>
    <w:rsid w:val="00984B1D"/>
    <w:rsid w:val="00985F9B"/>
    <w:rsid w:val="009C5321"/>
    <w:rsid w:val="009E7066"/>
    <w:rsid w:val="00A02500"/>
    <w:rsid w:val="00A10993"/>
    <w:rsid w:val="00A61F33"/>
    <w:rsid w:val="00A8079C"/>
    <w:rsid w:val="00A94D0F"/>
    <w:rsid w:val="00AD7312"/>
    <w:rsid w:val="00B034F4"/>
    <w:rsid w:val="00B3355E"/>
    <w:rsid w:val="00B94C9E"/>
    <w:rsid w:val="00B9642B"/>
    <w:rsid w:val="00BA5341"/>
    <w:rsid w:val="00BB2906"/>
    <w:rsid w:val="00BB7E17"/>
    <w:rsid w:val="00BC36D6"/>
    <w:rsid w:val="00BC3BE0"/>
    <w:rsid w:val="00BF3E2C"/>
    <w:rsid w:val="00C02FA4"/>
    <w:rsid w:val="00C2406E"/>
    <w:rsid w:val="00C25482"/>
    <w:rsid w:val="00C342C7"/>
    <w:rsid w:val="00CE4E83"/>
    <w:rsid w:val="00D14B53"/>
    <w:rsid w:val="00D2080A"/>
    <w:rsid w:val="00D77B47"/>
    <w:rsid w:val="00D86611"/>
    <w:rsid w:val="00D876AF"/>
    <w:rsid w:val="00DF26DC"/>
    <w:rsid w:val="00DF6830"/>
    <w:rsid w:val="00E1324D"/>
    <w:rsid w:val="00E46CCF"/>
    <w:rsid w:val="00E73518"/>
    <w:rsid w:val="00E76BCB"/>
    <w:rsid w:val="00EC08F2"/>
    <w:rsid w:val="00F40881"/>
    <w:rsid w:val="00F55810"/>
    <w:rsid w:val="00F941D8"/>
    <w:rsid w:val="00FC1E07"/>
    <w:rsid w:val="011B27AF"/>
    <w:rsid w:val="01205D5C"/>
    <w:rsid w:val="01602701"/>
    <w:rsid w:val="01672B41"/>
    <w:rsid w:val="01C55CBC"/>
    <w:rsid w:val="01CF7782"/>
    <w:rsid w:val="02302ECD"/>
    <w:rsid w:val="025D6B3C"/>
    <w:rsid w:val="02C95F7F"/>
    <w:rsid w:val="030B2A3C"/>
    <w:rsid w:val="03705062"/>
    <w:rsid w:val="03894139"/>
    <w:rsid w:val="039849B2"/>
    <w:rsid w:val="03CF5817"/>
    <w:rsid w:val="03E94DD8"/>
    <w:rsid w:val="041577A9"/>
    <w:rsid w:val="04215B0E"/>
    <w:rsid w:val="045A1585"/>
    <w:rsid w:val="04680F4A"/>
    <w:rsid w:val="046E6DDE"/>
    <w:rsid w:val="04734FF3"/>
    <w:rsid w:val="04B54A0D"/>
    <w:rsid w:val="04BA22A0"/>
    <w:rsid w:val="04EE5B08"/>
    <w:rsid w:val="04F02D4D"/>
    <w:rsid w:val="04F3006B"/>
    <w:rsid w:val="04FA310B"/>
    <w:rsid w:val="050E58B1"/>
    <w:rsid w:val="05225E09"/>
    <w:rsid w:val="05542478"/>
    <w:rsid w:val="055F2BCB"/>
    <w:rsid w:val="059845C0"/>
    <w:rsid w:val="05A50F26"/>
    <w:rsid w:val="05AC4062"/>
    <w:rsid w:val="05C70E9C"/>
    <w:rsid w:val="05EA5B50"/>
    <w:rsid w:val="05EF3F4F"/>
    <w:rsid w:val="06117B2A"/>
    <w:rsid w:val="061C17F7"/>
    <w:rsid w:val="061D3A4E"/>
    <w:rsid w:val="06334BD3"/>
    <w:rsid w:val="065B3392"/>
    <w:rsid w:val="069B691D"/>
    <w:rsid w:val="06BC0A53"/>
    <w:rsid w:val="06E94E42"/>
    <w:rsid w:val="06F77FE4"/>
    <w:rsid w:val="06FF6413"/>
    <w:rsid w:val="072A6E58"/>
    <w:rsid w:val="07452A9F"/>
    <w:rsid w:val="07464042"/>
    <w:rsid w:val="07632B57"/>
    <w:rsid w:val="077A1F3E"/>
    <w:rsid w:val="07871197"/>
    <w:rsid w:val="079067B6"/>
    <w:rsid w:val="07B5324C"/>
    <w:rsid w:val="07B70A9C"/>
    <w:rsid w:val="07E27B9E"/>
    <w:rsid w:val="07EB3A46"/>
    <w:rsid w:val="07FB4E2D"/>
    <w:rsid w:val="08021140"/>
    <w:rsid w:val="08080C8D"/>
    <w:rsid w:val="08320503"/>
    <w:rsid w:val="08514ACA"/>
    <w:rsid w:val="087F780C"/>
    <w:rsid w:val="08836BD0"/>
    <w:rsid w:val="08AC5130"/>
    <w:rsid w:val="09033D79"/>
    <w:rsid w:val="09091E1B"/>
    <w:rsid w:val="093D3223"/>
    <w:rsid w:val="094806FE"/>
    <w:rsid w:val="095E060C"/>
    <w:rsid w:val="09604EB8"/>
    <w:rsid w:val="098721D1"/>
    <w:rsid w:val="09A3577C"/>
    <w:rsid w:val="09C13E54"/>
    <w:rsid w:val="09C556F2"/>
    <w:rsid w:val="09D70BB6"/>
    <w:rsid w:val="0A014251"/>
    <w:rsid w:val="0A033A90"/>
    <w:rsid w:val="0A2148F3"/>
    <w:rsid w:val="0A297634"/>
    <w:rsid w:val="0A3C4B24"/>
    <w:rsid w:val="0AC05D10"/>
    <w:rsid w:val="0AFA123A"/>
    <w:rsid w:val="0B116E2C"/>
    <w:rsid w:val="0B13111D"/>
    <w:rsid w:val="0B53243F"/>
    <w:rsid w:val="0B6B051B"/>
    <w:rsid w:val="0B71358E"/>
    <w:rsid w:val="0BA25E5F"/>
    <w:rsid w:val="0BAE3DA6"/>
    <w:rsid w:val="0BEC3448"/>
    <w:rsid w:val="0C155A91"/>
    <w:rsid w:val="0C2F773A"/>
    <w:rsid w:val="0C372B4E"/>
    <w:rsid w:val="0C4A27F8"/>
    <w:rsid w:val="0C6E6D49"/>
    <w:rsid w:val="0C7E602C"/>
    <w:rsid w:val="0CB63A18"/>
    <w:rsid w:val="0CBC16C5"/>
    <w:rsid w:val="0D7A439C"/>
    <w:rsid w:val="0D7F2AB0"/>
    <w:rsid w:val="0D8B4755"/>
    <w:rsid w:val="0D9C676A"/>
    <w:rsid w:val="0DB90F3B"/>
    <w:rsid w:val="0DE011D7"/>
    <w:rsid w:val="0DF045AC"/>
    <w:rsid w:val="0DF06AB6"/>
    <w:rsid w:val="0E0D58BA"/>
    <w:rsid w:val="0E446348"/>
    <w:rsid w:val="0E495A8F"/>
    <w:rsid w:val="0E511C4A"/>
    <w:rsid w:val="0E5C3F17"/>
    <w:rsid w:val="0E9A4A19"/>
    <w:rsid w:val="0EF40828"/>
    <w:rsid w:val="0F3728E0"/>
    <w:rsid w:val="0F380715"/>
    <w:rsid w:val="0F4E1D5F"/>
    <w:rsid w:val="0F5340F4"/>
    <w:rsid w:val="0F8A6A96"/>
    <w:rsid w:val="0FA36571"/>
    <w:rsid w:val="0FB32491"/>
    <w:rsid w:val="0FF44F7F"/>
    <w:rsid w:val="102313C5"/>
    <w:rsid w:val="105A46BB"/>
    <w:rsid w:val="106519DD"/>
    <w:rsid w:val="107148BE"/>
    <w:rsid w:val="108616C4"/>
    <w:rsid w:val="10961B97"/>
    <w:rsid w:val="10B14C22"/>
    <w:rsid w:val="10E24DDC"/>
    <w:rsid w:val="11C75C7D"/>
    <w:rsid w:val="11E70C07"/>
    <w:rsid w:val="12341E87"/>
    <w:rsid w:val="125A33FD"/>
    <w:rsid w:val="126B2F0D"/>
    <w:rsid w:val="127C3C10"/>
    <w:rsid w:val="12940358"/>
    <w:rsid w:val="12AB1EB7"/>
    <w:rsid w:val="12D86267"/>
    <w:rsid w:val="12E51AFC"/>
    <w:rsid w:val="132316DC"/>
    <w:rsid w:val="132E2ABB"/>
    <w:rsid w:val="13491142"/>
    <w:rsid w:val="135E2714"/>
    <w:rsid w:val="136C1F2D"/>
    <w:rsid w:val="139F6FB4"/>
    <w:rsid w:val="13C24C40"/>
    <w:rsid w:val="13E96481"/>
    <w:rsid w:val="141C2D20"/>
    <w:rsid w:val="14513F80"/>
    <w:rsid w:val="14575AE1"/>
    <w:rsid w:val="145C30F7"/>
    <w:rsid w:val="149F2FE4"/>
    <w:rsid w:val="14AE5B88"/>
    <w:rsid w:val="14DE617B"/>
    <w:rsid w:val="14DF1632"/>
    <w:rsid w:val="151E215B"/>
    <w:rsid w:val="151F473D"/>
    <w:rsid w:val="154354CC"/>
    <w:rsid w:val="15451DDD"/>
    <w:rsid w:val="15886789"/>
    <w:rsid w:val="158F78F1"/>
    <w:rsid w:val="1596233A"/>
    <w:rsid w:val="15C01464"/>
    <w:rsid w:val="15F23853"/>
    <w:rsid w:val="16082ECA"/>
    <w:rsid w:val="162B2960"/>
    <w:rsid w:val="16376D26"/>
    <w:rsid w:val="163B0A1E"/>
    <w:rsid w:val="167C12D3"/>
    <w:rsid w:val="16923996"/>
    <w:rsid w:val="16B014D8"/>
    <w:rsid w:val="16B965DF"/>
    <w:rsid w:val="16C04CD5"/>
    <w:rsid w:val="16C678A1"/>
    <w:rsid w:val="16DF6343"/>
    <w:rsid w:val="16FE2B67"/>
    <w:rsid w:val="172779EC"/>
    <w:rsid w:val="17854713"/>
    <w:rsid w:val="17EE050A"/>
    <w:rsid w:val="18006B28"/>
    <w:rsid w:val="1824217E"/>
    <w:rsid w:val="18394A4B"/>
    <w:rsid w:val="18995B2C"/>
    <w:rsid w:val="18C27DA5"/>
    <w:rsid w:val="18EB4F9B"/>
    <w:rsid w:val="19642765"/>
    <w:rsid w:val="19AF33FF"/>
    <w:rsid w:val="19ED0978"/>
    <w:rsid w:val="1A6E2E2C"/>
    <w:rsid w:val="1A7211B1"/>
    <w:rsid w:val="1A7840BB"/>
    <w:rsid w:val="1AC84BB6"/>
    <w:rsid w:val="1AD93A76"/>
    <w:rsid w:val="1AEB6F83"/>
    <w:rsid w:val="1B041DF3"/>
    <w:rsid w:val="1B097409"/>
    <w:rsid w:val="1B141348"/>
    <w:rsid w:val="1B3B4C14"/>
    <w:rsid w:val="1B60171F"/>
    <w:rsid w:val="1BB630ED"/>
    <w:rsid w:val="1BB740DB"/>
    <w:rsid w:val="1BBE727D"/>
    <w:rsid w:val="1BDB235B"/>
    <w:rsid w:val="1BE0520A"/>
    <w:rsid w:val="1BF9747E"/>
    <w:rsid w:val="1C165B6C"/>
    <w:rsid w:val="1C1B4CA5"/>
    <w:rsid w:val="1CD03A4E"/>
    <w:rsid w:val="1CD44384"/>
    <w:rsid w:val="1CE36F41"/>
    <w:rsid w:val="1CF72B2B"/>
    <w:rsid w:val="1D1722B1"/>
    <w:rsid w:val="1D444644"/>
    <w:rsid w:val="1D4E21E1"/>
    <w:rsid w:val="1D813BCE"/>
    <w:rsid w:val="1D832E7E"/>
    <w:rsid w:val="1D835251"/>
    <w:rsid w:val="1D9F0351"/>
    <w:rsid w:val="1DA66760"/>
    <w:rsid w:val="1F4C5B16"/>
    <w:rsid w:val="1F6410B2"/>
    <w:rsid w:val="1F866A41"/>
    <w:rsid w:val="1F8B0624"/>
    <w:rsid w:val="1F8F25D3"/>
    <w:rsid w:val="1FB83847"/>
    <w:rsid w:val="1FC57DA2"/>
    <w:rsid w:val="1FFC753C"/>
    <w:rsid w:val="203352F8"/>
    <w:rsid w:val="20434723"/>
    <w:rsid w:val="205D622D"/>
    <w:rsid w:val="207A6B19"/>
    <w:rsid w:val="20935935"/>
    <w:rsid w:val="2096173F"/>
    <w:rsid w:val="209D0562"/>
    <w:rsid w:val="20EE50D7"/>
    <w:rsid w:val="20F128FE"/>
    <w:rsid w:val="20F84AAA"/>
    <w:rsid w:val="212823A3"/>
    <w:rsid w:val="212B00D9"/>
    <w:rsid w:val="21717304"/>
    <w:rsid w:val="219D08AB"/>
    <w:rsid w:val="21A67337"/>
    <w:rsid w:val="21C4408A"/>
    <w:rsid w:val="220646A2"/>
    <w:rsid w:val="220C0960"/>
    <w:rsid w:val="223B259E"/>
    <w:rsid w:val="22542F77"/>
    <w:rsid w:val="22637291"/>
    <w:rsid w:val="226A2E83"/>
    <w:rsid w:val="229D6DB5"/>
    <w:rsid w:val="22CE3412"/>
    <w:rsid w:val="23272B22"/>
    <w:rsid w:val="232C638A"/>
    <w:rsid w:val="232E7BC0"/>
    <w:rsid w:val="23377209"/>
    <w:rsid w:val="235A65D4"/>
    <w:rsid w:val="23735D67"/>
    <w:rsid w:val="23A671C7"/>
    <w:rsid w:val="23DE454F"/>
    <w:rsid w:val="23E91BF9"/>
    <w:rsid w:val="24166017"/>
    <w:rsid w:val="247A7B87"/>
    <w:rsid w:val="24C3624B"/>
    <w:rsid w:val="24CC572F"/>
    <w:rsid w:val="24EF6D3A"/>
    <w:rsid w:val="250273A3"/>
    <w:rsid w:val="25407ECB"/>
    <w:rsid w:val="2567186D"/>
    <w:rsid w:val="256C6F12"/>
    <w:rsid w:val="25A95A70"/>
    <w:rsid w:val="25BC5F46"/>
    <w:rsid w:val="25EC463A"/>
    <w:rsid w:val="25FE6AD0"/>
    <w:rsid w:val="261C26E6"/>
    <w:rsid w:val="261E020C"/>
    <w:rsid w:val="26B22958"/>
    <w:rsid w:val="26B318DC"/>
    <w:rsid w:val="26B96163"/>
    <w:rsid w:val="26BE72FA"/>
    <w:rsid w:val="26C4454B"/>
    <w:rsid w:val="27161B1C"/>
    <w:rsid w:val="27165388"/>
    <w:rsid w:val="277327B2"/>
    <w:rsid w:val="27D8088F"/>
    <w:rsid w:val="284C1C16"/>
    <w:rsid w:val="28853364"/>
    <w:rsid w:val="28920A3E"/>
    <w:rsid w:val="289E464C"/>
    <w:rsid w:val="28D63020"/>
    <w:rsid w:val="28FC05AD"/>
    <w:rsid w:val="2900157F"/>
    <w:rsid w:val="290D4568"/>
    <w:rsid w:val="29114058"/>
    <w:rsid w:val="291B4ED7"/>
    <w:rsid w:val="294206B6"/>
    <w:rsid w:val="29A758E8"/>
    <w:rsid w:val="29F754FF"/>
    <w:rsid w:val="2A26391B"/>
    <w:rsid w:val="2A930540"/>
    <w:rsid w:val="2AAE58D7"/>
    <w:rsid w:val="2AB325BA"/>
    <w:rsid w:val="2AB95719"/>
    <w:rsid w:val="2AD4291F"/>
    <w:rsid w:val="2B1B2F6C"/>
    <w:rsid w:val="2B2731BB"/>
    <w:rsid w:val="2B4E4814"/>
    <w:rsid w:val="2B53754A"/>
    <w:rsid w:val="2B5725F0"/>
    <w:rsid w:val="2B797C93"/>
    <w:rsid w:val="2B876618"/>
    <w:rsid w:val="2B9844AB"/>
    <w:rsid w:val="2BB62C95"/>
    <w:rsid w:val="2BD55811"/>
    <w:rsid w:val="2BD9534F"/>
    <w:rsid w:val="2BDF3BA3"/>
    <w:rsid w:val="2C025EDA"/>
    <w:rsid w:val="2C3852C8"/>
    <w:rsid w:val="2CA411B4"/>
    <w:rsid w:val="2D214A86"/>
    <w:rsid w:val="2D314CC9"/>
    <w:rsid w:val="2DCF44E2"/>
    <w:rsid w:val="2DEC403C"/>
    <w:rsid w:val="2DEF644E"/>
    <w:rsid w:val="2DFA155F"/>
    <w:rsid w:val="2E184E1D"/>
    <w:rsid w:val="2E422F06"/>
    <w:rsid w:val="2E657152"/>
    <w:rsid w:val="2E9848D4"/>
    <w:rsid w:val="2ED90AB0"/>
    <w:rsid w:val="2EEB17D6"/>
    <w:rsid w:val="2F0E6134"/>
    <w:rsid w:val="2F26688E"/>
    <w:rsid w:val="2F464330"/>
    <w:rsid w:val="2F6A6270"/>
    <w:rsid w:val="2FB2548D"/>
    <w:rsid w:val="2FCC2A87"/>
    <w:rsid w:val="300F2001"/>
    <w:rsid w:val="30322AC0"/>
    <w:rsid w:val="304545E8"/>
    <w:rsid w:val="307B59E5"/>
    <w:rsid w:val="30803872"/>
    <w:rsid w:val="308570DA"/>
    <w:rsid w:val="30A5135D"/>
    <w:rsid w:val="31185880"/>
    <w:rsid w:val="31201BE8"/>
    <w:rsid w:val="31267258"/>
    <w:rsid w:val="31430F14"/>
    <w:rsid w:val="314F3970"/>
    <w:rsid w:val="317A6513"/>
    <w:rsid w:val="31B1462B"/>
    <w:rsid w:val="31EA35E4"/>
    <w:rsid w:val="321E530F"/>
    <w:rsid w:val="322426C7"/>
    <w:rsid w:val="32382656"/>
    <w:rsid w:val="32560D2E"/>
    <w:rsid w:val="326978E1"/>
    <w:rsid w:val="326C3EDA"/>
    <w:rsid w:val="32F26CA9"/>
    <w:rsid w:val="335F630A"/>
    <w:rsid w:val="337673CF"/>
    <w:rsid w:val="33A930DF"/>
    <w:rsid w:val="33E04D67"/>
    <w:rsid w:val="33F0595F"/>
    <w:rsid w:val="340E0B64"/>
    <w:rsid w:val="3430563F"/>
    <w:rsid w:val="3431735D"/>
    <w:rsid w:val="3433264F"/>
    <w:rsid w:val="345A5CDB"/>
    <w:rsid w:val="345D45F6"/>
    <w:rsid w:val="34607C42"/>
    <w:rsid w:val="34B8182C"/>
    <w:rsid w:val="35266ABC"/>
    <w:rsid w:val="357F4F5F"/>
    <w:rsid w:val="35E9276F"/>
    <w:rsid w:val="36581519"/>
    <w:rsid w:val="36853990"/>
    <w:rsid w:val="36A71B58"/>
    <w:rsid w:val="36AF61F9"/>
    <w:rsid w:val="36F52036"/>
    <w:rsid w:val="37227D0E"/>
    <w:rsid w:val="376712E7"/>
    <w:rsid w:val="3776777C"/>
    <w:rsid w:val="378E2D18"/>
    <w:rsid w:val="37F039D3"/>
    <w:rsid w:val="37FA215C"/>
    <w:rsid w:val="38026DD3"/>
    <w:rsid w:val="38066D52"/>
    <w:rsid w:val="38376F0C"/>
    <w:rsid w:val="383B0909"/>
    <w:rsid w:val="386012D7"/>
    <w:rsid w:val="38670D13"/>
    <w:rsid w:val="388303A3"/>
    <w:rsid w:val="388A1B86"/>
    <w:rsid w:val="389A2DB1"/>
    <w:rsid w:val="38D71082"/>
    <w:rsid w:val="38F53E2C"/>
    <w:rsid w:val="391A41DC"/>
    <w:rsid w:val="391B270E"/>
    <w:rsid w:val="394538AA"/>
    <w:rsid w:val="395E537E"/>
    <w:rsid w:val="396A309A"/>
    <w:rsid w:val="39785A2E"/>
    <w:rsid w:val="39810D86"/>
    <w:rsid w:val="39965EB4"/>
    <w:rsid w:val="39A700C1"/>
    <w:rsid w:val="39BD3D7E"/>
    <w:rsid w:val="39C933D1"/>
    <w:rsid w:val="39DE7F87"/>
    <w:rsid w:val="39F4044D"/>
    <w:rsid w:val="3A0D6176"/>
    <w:rsid w:val="3A204760"/>
    <w:rsid w:val="3A6A246A"/>
    <w:rsid w:val="3A9D4117"/>
    <w:rsid w:val="3A9E3272"/>
    <w:rsid w:val="3AAF547F"/>
    <w:rsid w:val="3AB41E50"/>
    <w:rsid w:val="3AE75FF3"/>
    <w:rsid w:val="3B133AE5"/>
    <w:rsid w:val="3B6E70E8"/>
    <w:rsid w:val="3B72067A"/>
    <w:rsid w:val="3B854432"/>
    <w:rsid w:val="3BBE75C7"/>
    <w:rsid w:val="3C0E4E72"/>
    <w:rsid w:val="3C5A5BA6"/>
    <w:rsid w:val="3C7E0650"/>
    <w:rsid w:val="3C8B59E9"/>
    <w:rsid w:val="3CFC24D2"/>
    <w:rsid w:val="3D023F8C"/>
    <w:rsid w:val="3D0F2205"/>
    <w:rsid w:val="3D29776B"/>
    <w:rsid w:val="3D513680"/>
    <w:rsid w:val="3D536D4A"/>
    <w:rsid w:val="3D695EAF"/>
    <w:rsid w:val="3D8B5627"/>
    <w:rsid w:val="3D917996"/>
    <w:rsid w:val="3D931088"/>
    <w:rsid w:val="3DAC214A"/>
    <w:rsid w:val="3DBA50E8"/>
    <w:rsid w:val="3DCC459A"/>
    <w:rsid w:val="3DCD0388"/>
    <w:rsid w:val="3E2D0700"/>
    <w:rsid w:val="3E432AAE"/>
    <w:rsid w:val="3E495BEB"/>
    <w:rsid w:val="3E593FC8"/>
    <w:rsid w:val="3E5C7924"/>
    <w:rsid w:val="3E7E5894"/>
    <w:rsid w:val="3EBB0DCF"/>
    <w:rsid w:val="3EDE6333"/>
    <w:rsid w:val="3F161F71"/>
    <w:rsid w:val="3F1A2A0D"/>
    <w:rsid w:val="3F1B1AE7"/>
    <w:rsid w:val="3F277CDA"/>
    <w:rsid w:val="3F34080C"/>
    <w:rsid w:val="3F5672FF"/>
    <w:rsid w:val="3F930F0F"/>
    <w:rsid w:val="3FB558AC"/>
    <w:rsid w:val="3FCD2651"/>
    <w:rsid w:val="3FEA1E73"/>
    <w:rsid w:val="3FEB6232"/>
    <w:rsid w:val="3FF67B6A"/>
    <w:rsid w:val="400A4A04"/>
    <w:rsid w:val="402E60C0"/>
    <w:rsid w:val="403B1563"/>
    <w:rsid w:val="404B17A6"/>
    <w:rsid w:val="40980764"/>
    <w:rsid w:val="40C02079"/>
    <w:rsid w:val="40C94DC1"/>
    <w:rsid w:val="40DC4AF4"/>
    <w:rsid w:val="40F41E3E"/>
    <w:rsid w:val="4149160B"/>
    <w:rsid w:val="41513A89"/>
    <w:rsid w:val="41C07F72"/>
    <w:rsid w:val="41D91034"/>
    <w:rsid w:val="41E501B8"/>
    <w:rsid w:val="42254FE2"/>
    <w:rsid w:val="42733DE9"/>
    <w:rsid w:val="42B86EE4"/>
    <w:rsid w:val="42C53AFC"/>
    <w:rsid w:val="42D02437"/>
    <w:rsid w:val="42F14EDA"/>
    <w:rsid w:val="431F6F1A"/>
    <w:rsid w:val="433504EC"/>
    <w:rsid w:val="43361880"/>
    <w:rsid w:val="433C618D"/>
    <w:rsid w:val="43422F5A"/>
    <w:rsid w:val="437371ED"/>
    <w:rsid w:val="4381596C"/>
    <w:rsid w:val="43C90C75"/>
    <w:rsid w:val="43DC7E7D"/>
    <w:rsid w:val="43E51E4C"/>
    <w:rsid w:val="4416656F"/>
    <w:rsid w:val="444D1C5E"/>
    <w:rsid w:val="44827761"/>
    <w:rsid w:val="44E0528D"/>
    <w:rsid w:val="44FA7C3F"/>
    <w:rsid w:val="45010FCD"/>
    <w:rsid w:val="4537679D"/>
    <w:rsid w:val="453C2107"/>
    <w:rsid w:val="45505AB1"/>
    <w:rsid w:val="456652D4"/>
    <w:rsid w:val="45F55910"/>
    <w:rsid w:val="4618037D"/>
    <w:rsid w:val="462E74E7"/>
    <w:rsid w:val="4631143E"/>
    <w:rsid w:val="4654512D"/>
    <w:rsid w:val="467C793E"/>
    <w:rsid w:val="46820877"/>
    <w:rsid w:val="468C5C42"/>
    <w:rsid w:val="46A77952"/>
    <w:rsid w:val="46D20306"/>
    <w:rsid w:val="47007E18"/>
    <w:rsid w:val="47365C71"/>
    <w:rsid w:val="473F5062"/>
    <w:rsid w:val="47617B01"/>
    <w:rsid w:val="479663FB"/>
    <w:rsid w:val="47BA19AE"/>
    <w:rsid w:val="47E733CE"/>
    <w:rsid w:val="47ED457F"/>
    <w:rsid w:val="48051EBA"/>
    <w:rsid w:val="481F7D71"/>
    <w:rsid w:val="48384D06"/>
    <w:rsid w:val="483B47F6"/>
    <w:rsid w:val="486C49B0"/>
    <w:rsid w:val="48981C49"/>
    <w:rsid w:val="48D840D5"/>
    <w:rsid w:val="49071890"/>
    <w:rsid w:val="49090450"/>
    <w:rsid w:val="497758A6"/>
    <w:rsid w:val="497C61AD"/>
    <w:rsid w:val="49BA2BB4"/>
    <w:rsid w:val="49CF3766"/>
    <w:rsid w:val="49D26FF0"/>
    <w:rsid w:val="49DB003F"/>
    <w:rsid w:val="49E62540"/>
    <w:rsid w:val="49FC1EF0"/>
    <w:rsid w:val="4A111CB3"/>
    <w:rsid w:val="4A431740"/>
    <w:rsid w:val="4A5A2744"/>
    <w:rsid w:val="4A7B35D0"/>
    <w:rsid w:val="4A970809"/>
    <w:rsid w:val="4A9A1C0C"/>
    <w:rsid w:val="4AB3032B"/>
    <w:rsid w:val="4ABD3AAB"/>
    <w:rsid w:val="4AD60806"/>
    <w:rsid w:val="4ADA20A4"/>
    <w:rsid w:val="4ADB2E51"/>
    <w:rsid w:val="4AE8172D"/>
    <w:rsid w:val="4AF34F14"/>
    <w:rsid w:val="4AFE7CBD"/>
    <w:rsid w:val="4B393E4A"/>
    <w:rsid w:val="4B4D2089"/>
    <w:rsid w:val="4B850B76"/>
    <w:rsid w:val="4B92472D"/>
    <w:rsid w:val="4BDC3BFA"/>
    <w:rsid w:val="4C017B05"/>
    <w:rsid w:val="4C667968"/>
    <w:rsid w:val="4CCA437D"/>
    <w:rsid w:val="4D0F1DAD"/>
    <w:rsid w:val="4D0F6CAB"/>
    <w:rsid w:val="4D135D42"/>
    <w:rsid w:val="4D296C8B"/>
    <w:rsid w:val="4D3E199D"/>
    <w:rsid w:val="4D4B1874"/>
    <w:rsid w:val="4D730618"/>
    <w:rsid w:val="4D78714F"/>
    <w:rsid w:val="4DA34F8D"/>
    <w:rsid w:val="4DB65114"/>
    <w:rsid w:val="4DC3775F"/>
    <w:rsid w:val="4DC70A17"/>
    <w:rsid w:val="4DD3168B"/>
    <w:rsid w:val="4DE374C2"/>
    <w:rsid w:val="4DF12F52"/>
    <w:rsid w:val="4DF519C1"/>
    <w:rsid w:val="4E724CEA"/>
    <w:rsid w:val="4E9039E8"/>
    <w:rsid w:val="4E962786"/>
    <w:rsid w:val="4ECA2430"/>
    <w:rsid w:val="4ED6458F"/>
    <w:rsid w:val="4F114FA2"/>
    <w:rsid w:val="4F4D38F0"/>
    <w:rsid w:val="4F626B0C"/>
    <w:rsid w:val="4FB54E8E"/>
    <w:rsid w:val="4FE8008E"/>
    <w:rsid w:val="50100D0E"/>
    <w:rsid w:val="50300BB5"/>
    <w:rsid w:val="504C5FCC"/>
    <w:rsid w:val="5075461D"/>
    <w:rsid w:val="507F3C4C"/>
    <w:rsid w:val="508036EE"/>
    <w:rsid w:val="50EA57CF"/>
    <w:rsid w:val="50F05EC2"/>
    <w:rsid w:val="50F94100"/>
    <w:rsid w:val="510C0477"/>
    <w:rsid w:val="51110826"/>
    <w:rsid w:val="5136613B"/>
    <w:rsid w:val="51752B27"/>
    <w:rsid w:val="520C2C94"/>
    <w:rsid w:val="526B3F2A"/>
    <w:rsid w:val="52854FEC"/>
    <w:rsid w:val="52CB36CC"/>
    <w:rsid w:val="52D132B3"/>
    <w:rsid w:val="52D65847"/>
    <w:rsid w:val="530B5436"/>
    <w:rsid w:val="531157E2"/>
    <w:rsid w:val="531B1083"/>
    <w:rsid w:val="533B19FC"/>
    <w:rsid w:val="536E3461"/>
    <w:rsid w:val="5378321E"/>
    <w:rsid w:val="539A3663"/>
    <w:rsid w:val="54134879"/>
    <w:rsid w:val="544D3D58"/>
    <w:rsid w:val="5455279C"/>
    <w:rsid w:val="54B020C8"/>
    <w:rsid w:val="54B73456"/>
    <w:rsid w:val="54C067AF"/>
    <w:rsid w:val="54E03E26"/>
    <w:rsid w:val="54EC1AE9"/>
    <w:rsid w:val="55576312"/>
    <w:rsid w:val="55A0038E"/>
    <w:rsid w:val="55CA0F67"/>
    <w:rsid w:val="55E13E8B"/>
    <w:rsid w:val="55EF36B4"/>
    <w:rsid w:val="562814F7"/>
    <w:rsid w:val="565F3AEE"/>
    <w:rsid w:val="56D56406"/>
    <w:rsid w:val="56DD5385"/>
    <w:rsid w:val="570B1D0C"/>
    <w:rsid w:val="572A61EA"/>
    <w:rsid w:val="573B000E"/>
    <w:rsid w:val="576F586A"/>
    <w:rsid w:val="577D4263"/>
    <w:rsid w:val="57B80F5D"/>
    <w:rsid w:val="57CE11E3"/>
    <w:rsid w:val="57CF0AB7"/>
    <w:rsid w:val="57D91936"/>
    <w:rsid w:val="57D9322F"/>
    <w:rsid w:val="580C3AB9"/>
    <w:rsid w:val="582726A1"/>
    <w:rsid w:val="582C30D8"/>
    <w:rsid w:val="582F707B"/>
    <w:rsid w:val="5845054D"/>
    <w:rsid w:val="5847689F"/>
    <w:rsid w:val="585C1DFE"/>
    <w:rsid w:val="586C6306"/>
    <w:rsid w:val="587D0869"/>
    <w:rsid w:val="587F428B"/>
    <w:rsid w:val="588201BC"/>
    <w:rsid w:val="58AE0425"/>
    <w:rsid w:val="58B2640F"/>
    <w:rsid w:val="58D2260D"/>
    <w:rsid w:val="590554BC"/>
    <w:rsid w:val="590F1F34"/>
    <w:rsid w:val="59126EAD"/>
    <w:rsid w:val="591B677F"/>
    <w:rsid w:val="592117E6"/>
    <w:rsid w:val="593257A1"/>
    <w:rsid w:val="59965D30"/>
    <w:rsid w:val="59A71F8F"/>
    <w:rsid w:val="59C93670"/>
    <w:rsid w:val="59CA59DA"/>
    <w:rsid w:val="59CF4D9E"/>
    <w:rsid w:val="5A452194"/>
    <w:rsid w:val="5A81253D"/>
    <w:rsid w:val="5ACE32A8"/>
    <w:rsid w:val="5ADC5520"/>
    <w:rsid w:val="5AF5094B"/>
    <w:rsid w:val="5AFA409D"/>
    <w:rsid w:val="5B6065F6"/>
    <w:rsid w:val="5B800A46"/>
    <w:rsid w:val="5B930224"/>
    <w:rsid w:val="5BB16E51"/>
    <w:rsid w:val="5BC32F2C"/>
    <w:rsid w:val="5BCC766F"/>
    <w:rsid w:val="5BD677BE"/>
    <w:rsid w:val="5C2F7D76"/>
    <w:rsid w:val="5C8F27B1"/>
    <w:rsid w:val="5CB671FB"/>
    <w:rsid w:val="5CE56B27"/>
    <w:rsid w:val="5D003981"/>
    <w:rsid w:val="5D004D47"/>
    <w:rsid w:val="5D060992"/>
    <w:rsid w:val="5D1D4073"/>
    <w:rsid w:val="5D83037A"/>
    <w:rsid w:val="5D9B28C6"/>
    <w:rsid w:val="5DA4085F"/>
    <w:rsid w:val="5DD75E0E"/>
    <w:rsid w:val="5E586664"/>
    <w:rsid w:val="5E5925BD"/>
    <w:rsid w:val="5E613834"/>
    <w:rsid w:val="5E866D7C"/>
    <w:rsid w:val="5ED5536D"/>
    <w:rsid w:val="5EF85E29"/>
    <w:rsid w:val="5F061262"/>
    <w:rsid w:val="5F97570C"/>
    <w:rsid w:val="5FAA6092"/>
    <w:rsid w:val="5FB651F7"/>
    <w:rsid w:val="5FBFDF09"/>
    <w:rsid w:val="5FE84E0C"/>
    <w:rsid w:val="601C0778"/>
    <w:rsid w:val="602467AB"/>
    <w:rsid w:val="6025396A"/>
    <w:rsid w:val="604771F6"/>
    <w:rsid w:val="60B83083"/>
    <w:rsid w:val="60C2565D"/>
    <w:rsid w:val="60C34B01"/>
    <w:rsid w:val="60E05AE3"/>
    <w:rsid w:val="60E93FA6"/>
    <w:rsid w:val="611C2FBF"/>
    <w:rsid w:val="61447E20"/>
    <w:rsid w:val="61665015"/>
    <w:rsid w:val="61CE3B8D"/>
    <w:rsid w:val="61FA28FE"/>
    <w:rsid w:val="620E17B9"/>
    <w:rsid w:val="62127F1E"/>
    <w:rsid w:val="6220088D"/>
    <w:rsid w:val="626544F2"/>
    <w:rsid w:val="627666FF"/>
    <w:rsid w:val="628B137A"/>
    <w:rsid w:val="62922E0D"/>
    <w:rsid w:val="62C0797A"/>
    <w:rsid w:val="62CE1D39"/>
    <w:rsid w:val="62D850E1"/>
    <w:rsid w:val="62D95F69"/>
    <w:rsid w:val="62E80C7F"/>
    <w:rsid w:val="62EC7001"/>
    <w:rsid w:val="62FC26D9"/>
    <w:rsid w:val="631619C9"/>
    <w:rsid w:val="632E262A"/>
    <w:rsid w:val="63307112"/>
    <w:rsid w:val="63406E43"/>
    <w:rsid w:val="6371697C"/>
    <w:rsid w:val="63B35731"/>
    <w:rsid w:val="63CB2A7A"/>
    <w:rsid w:val="641E7F42"/>
    <w:rsid w:val="64357641"/>
    <w:rsid w:val="6449399F"/>
    <w:rsid w:val="64746E59"/>
    <w:rsid w:val="64790728"/>
    <w:rsid w:val="64E414F2"/>
    <w:rsid w:val="65125D29"/>
    <w:rsid w:val="651947B7"/>
    <w:rsid w:val="655820EC"/>
    <w:rsid w:val="65717652"/>
    <w:rsid w:val="658A426F"/>
    <w:rsid w:val="65B66FA0"/>
    <w:rsid w:val="65C84D5B"/>
    <w:rsid w:val="65D26342"/>
    <w:rsid w:val="65F7333E"/>
    <w:rsid w:val="66183CB1"/>
    <w:rsid w:val="665E09E7"/>
    <w:rsid w:val="66611986"/>
    <w:rsid w:val="667B7D37"/>
    <w:rsid w:val="66862C89"/>
    <w:rsid w:val="66F66141"/>
    <w:rsid w:val="67386679"/>
    <w:rsid w:val="679715F1"/>
    <w:rsid w:val="67CA73AD"/>
    <w:rsid w:val="67DB70B0"/>
    <w:rsid w:val="68171388"/>
    <w:rsid w:val="68172EF4"/>
    <w:rsid w:val="68295FC1"/>
    <w:rsid w:val="683A01CF"/>
    <w:rsid w:val="689B153F"/>
    <w:rsid w:val="689F0032"/>
    <w:rsid w:val="689F1246"/>
    <w:rsid w:val="68A4566D"/>
    <w:rsid w:val="68BC0BE4"/>
    <w:rsid w:val="68D662CD"/>
    <w:rsid w:val="68FB170C"/>
    <w:rsid w:val="690E58E3"/>
    <w:rsid w:val="692644EF"/>
    <w:rsid w:val="698C4A5A"/>
    <w:rsid w:val="69C73CE4"/>
    <w:rsid w:val="69DF498D"/>
    <w:rsid w:val="69DF7962"/>
    <w:rsid w:val="6A195203"/>
    <w:rsid w:val="6A1A2066"/>
    <w:rsid w:val="6A246A40"/>
    <w:rsid w:val="6A3053E5"/>
    <w:rsid w:val="6A3D6C25"/>
    <w:rsid w:val="6A46148F"/>
    <w:rsid w:val="6A4A3D1A"/>
    <w:rsid w:val="6A5D6751"/>
    <w:rsid w:val="6A6257BB"/>
    <w:rsid w:val="6A6600BF"/>
    <w:rsid w:val="6A6F4151"/>
    <w:rsid w:val="6A995680"/>
    <w:rsid w:val="6ABA73A5"/>
    <w:rsid w:val="6AF91C7B"/>
    <w:rsid w:val="6B387EAD"/>
    <w:rsid w:val="6BB75482"/>
    <w:rsid w:val="6BB90DE8"/>
    <w:rsid w:val="6BBD714D"/>
    <w:rsid w:val="6BC424CF"/>
    <w:rsid w:val="6BD723C4"/>
    <w:rsid w:val="6BF8609C"/>
    <w:rsid w:val="6C4537CF"/>
    <w:rsid w:val="6C5A2BED"/>
    <w:rsid w:val="6C62028C"/>
    <w:rsid w:val="6CFE7A1D"/>
    <w:rsid w:val="6D0A3714"/>
    <w:rsid w:val="6D2B458A"/>
    <w:rsid w:val="6D32436E"/>
    <w:rsid w:val="6D516675"/>
    <w:rsid w:val="6D7952F5"/>
    <w:rsid w:val="6DAC7BC8"/>
    <w:rsid w:val="6DBC74C0"/>
    <w:rsid w:val="6DCC29A1"/>
    <w:rsid w:val="6DCF4F15"/>
    <w:rsid w:val="6DE5298B"/>
    <w:rsid w:val="6DF032CD"/>
    <w:rsid w:val="6DF901E4"/>
    <w:rsid w:val="6E250FD9"/>
    <w:rsid w:val="6E2B3143"/>
    <w:rsid w:val="6E586CB2"/>
    <w:rsid w:val="6E5C0E9F"/>
    <w:rsid w:val="6E61099B"/>
    <w:rsid w:val="6E614EA5"/>
    <w:rsid w:val="6E697118"/>
    <w:rsid w:val="6EB63614"/>
    <w:rsid w:val="6F265009"/>
    <w:rsid w:val="6F507677"/>
    <w:rsid w:val="6F5342E2"/>
    <w:rsid w:val="6F5A1075"/>
    <w:rsid w:val="6F6F075E"/>
    <w:rsid w:val="6F7A59F9"/>
    <w:rsid w:val="6F7F0470"/>
    <w:rsid w:val="6F83245B"/>
    <w:rsid w:val="6F8866D3"/>
    <w:rsid w:val="6FAA246B"/>
    <w:rsid w:val="6FC22F83"/>
    <w:rsid w:val="6FD11419"/>
    <w:rsid w:val="6FFD5F6D"/>
    <w:rsid w:val="70180EA9"/>
    <w:rsid w:val="701A152F"/>
    <w:rsid w:val="70460525"/>
    <w:rsid w:val="7053007F"/>
    <w:rsid w:val="70735EBF"/>
    <w:rsid w:val="70946BBF"/>
    <w:rsid w:val="70BD199D"/>
    <w:rsid w:val="70CC2E58"/>
    <w:rsid w:val="70F25AEA"/>
    <w:rsid w:val="711121BE"/>
    <w:rsid w:val="71115DBA"/>
    <w:rsid w:val="71177D81"/>
    <w:rsid w:val="711F6EFE"/>
    <w:rsid w:val="712A5284"/>
    <w:rsid w:val="713776D8"/>
    <w:rsid w:val="713F3528"/>
    <w:rsid w:val="71445C1A"/>
    <w:rsid w:val="716A5126"/>
    <w:rsid w:val="71804EA4"/>
    <w:rsid w:val="71932F85"/>
    <w:rsid w:val="71EB477D"/>
    <w:rsid w:val="72066845"/>
    <w:rsid w:val="72154882"/>
    <w:rsid w:val="721E223E"/>
    <w:rsid w:val="722850FF"/>
    <w:rsid w:val="72574616"/>
    <w:rsid w:val="72656C75"/>
    <w:rsid w:val="726A16B0"/>
    <w:rsid w:val="727679D0"/>
    <w:rsid w:val="72AE439F"/>
    <w:rsid w:val="730076A1"/>
    <w:rsid w:val="733817AF"/>
    <w:rsid w:val="735302B6"/>
    <w:rsid w:val="73591E51"/>
    <w:rsid w:val="739D75BE"/>
    <w:rsid w:val="73AD7AA7"/>
    <w:rsid w:val="73D64A8A"/>
    <w:rsid w:val="74533E38"/>
    <w:rsid w:val="746E36DA"/>
    <w:rsid w:val="74AE1D28"/>
    <w:rsid w:val="74BA06F2"/>
    <w:rsid w:val="74E54EBE"/>
    <w:rsid w:val="74F93540"/>
    <w:rsid w:val="759769FD"/>
    <w:rsid w:val="75AA3618"/>
    <w:rsid w:val="75AF5D58"/>
    <w:rsid w:val="75CB73D9"/>
    <w:rsid w:val="75DE663D"/>
    <w:rsid w:val="75F87882"/>
    <w:rsid w:val="760B7E8B"/>
    <w:rsid w:val="761B5373"/>
    <w:rsid w:val="763A3D08"/>
    <w:rsid w:val="764F3097"/>
    <w:rsid w:val="765A4C66"/>
    <w:rsid w:val="76883007"/>
    <w:rsid w:val="768947FB"/>
    <w:rsid w:val="769C551A"/>
    <w:rsid w:val="76D13197"/>
    <w:rsid w:val="76F53C3E"/>
    <w:rsid w:val="7731279D"/>
    <w:rsid w:val="773C186D"/>
    <w:rsid w:val="77F35E45"/>
    <w:rsid w:val="783E55FA"/>
    <w:rsid w:val="787E5EB6"/>
    <w:rsid w:val="78972534"/>
    <w:rsid w:val="78C22B81"/>
    <w:rsid w:val="78FD502C"/>
    <w:rsid w:val="790068CB"/>
    <w:rsid w:val="790A14F7"/>
    <w:rsid w:val="791A5BDE"/>
    <w:rsid w:val="79311AD7"/>
    <w:rsid w:val="793922F9"/>
    <w:rsid w:val="794E4BB7"/>
    <w:rsid w:val="79535F05"/>
    <w:rsid w:val="79587453"/>
    <w:rsid w:val="796E1A86"/>
    <w:rsid w:val="79784844"/>
    <w:rsid w:val="79BF7B90"/>
    <w:rsid w:val="79D53106"/>
    <w:rsid w:val="79D57D57"/>
    <w:rsid w:val="7A344612"/>
    <w:rsid w:val="7A344A7E"/>
    <w:rsid w:val="7A382203"/>
    <w:rsid w:val="7A3E58FC"/>
    <w:rsid w:val="7A7B5277"/>
    <w:rsid w:val="7A961057"/>
    <w:rsid w:val="7A980FBD"/>
    <w:rsid w:val="7AB006D4"/>
    <w:rsid w:val="7AD225DE"/>
    <w:rsid w:val="7ADF4BE2"/>
    <w:rsid w:val="7B163203"/>
    <w:rsid w:val="7B825CBD"/>
    <w:rsid w:val="7BAB45F2"/>
    <w:rsid w:val="7BD9483D"/>
    <w:rsid w:val="7BDC33CB"/>
    <w:rsid w:val="7BF02DB2"/>
    <w:rsid w:val="7BFF122B"/>
    <w:rsid w:val="7C106B54"/>
    <w:rsid w:val="7C650C2C"/>
    <w:rsid w:val="7C773348"/>
    <w:rsid w:val="7C92189B"/>
    <w:rsid w:val="7CCB7772"/>
    <w:rsid w:val="7CEF55B7"/>
    <w:rsid w:val="7CFB1883"/>
    <w:rsid w:val="7D3F20B7"/>
    <w:rsid w:val="7D7F1C62"/>
    <w:rsid w:val="7D8775BA"/>
    <w:rsid w:val="7DC97BD3"/>
    <w:rsid w:val="7DEB7B49"/>
    <w:rsid w:val="7E295752"/>
    <w:rsid w:val="7E3037AE"/>
    <w:rsid w:val="7E5316BF"/>
    <w:rsid w:val="7E7062A0"/>
    <w:rsid w:val="7E84107C"/>
    <w:rsid w:val="7F294E83"/>
    <w:rsid w:val="7F333F1C"/>
    <w:rsid w:val="7F9E2999"/>
    <w:rsid w:val="7FD64829"/>
    <w:rsid w:val="B77FB509"/>
    <w:rsid w:val="BFE9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8"/>
    <w:qFormat/>
    <w:uiPriority w:val="0"/>
    <w:pPr>
      <w:keepNext/>
      <w:numPr>
        <w:ilvl w:val="0"/>
        <w:numId w:val="1"/>
      </w:numPr>
      <w:spacing w:line="480" w:lineRule="auto"/>
      <w:ind w:left="0" w:firstLine="0"/>
      <w:jc w:val="center"/>
      <w:outlineLvl w:val="0"/>
    </w:pPr>
    <w:rPr>
      <w:rFonts w:eastAsia="仿宋"/>
      <w:b/>
      <w:sz w:val="30"/>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2"/>
    <w:next w:val="1"/>
    <w:qFormat/>
    <w:uiPriority w:val="0"/>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numPr>
        <w:ilvl w:val="3"/>
        <w:numId w:val="2"/>
      </w:numPr>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spacing w:line="365" w:lineRule="atLeast"/>
      <w:ind w:left="420" w:leftChars="200"/>
      <w:textAlignment w:val="bottom"/>
    </w:pPr>
    <w:rPr>
      <w:kern w:val="0"/>
    </w:rPr>
  </w:style>
  <w:style w:type="paragraph" w:styleId="8">
    <w:name w:val="Note Heading"/>
    <w:basedOn w:val="1"/>
    <w:next w:val="1"/>
    <w:link w:val="61"/>
    <w:qFormat/>
    <w:uiPriority w:val="0"/>
    <w:pPr>
      <w:jc w:val="center"/>
    </w:pPr>
    <w:rPr>
      <w:rFonts w:ascii="Times New Roman" w:hAnsi="Times New Roman"/>
      <w:szCs w:val="20"/>
    </w:rPr>
  </w:style>
  <w:style w:type="paragraph" w:styleId="9">
    <w:name w:val="Normal Indent"/>
    <w:basedOn w:val="1"/>
    <w:link w:val="60"/>
    <w:qFormat/>
    <w:uiPriority w:val="99"/>
    <w:pPr>
      <w:ind w:firstLine="420" w:firstLineChars="2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66"/>
    <w:qFormat/>
    <w:uiPriority w:val="99"/>
    <w:pPr>
      <w:jc w:val="left"/>
    </w:pPr>
    <w:rPr>
      <w:szCs w:val="22"/>
    </w:rPr>
  </w:style>
  <w:style w:type="paragraph" w:styleId="12">
    <w:name w:val="Body Text"/>
    <w:basedOn w:val="1"/>
    <w:qFormat/>
    <w:uiPriority w:val="0"/>
    <w:pPr>
      <w:spacing w:after="120"/>
    </w:pPr>
  </w:style>
  <w:style w:type="paragraph" w:styleId="13">
    <w:name w:val="Body Text Indent"/>
    <w:basedOn w:val="1"/>
    <w:next w:val="14"/>
    <w:semiHidden/>
    <w:unhideWhenUsed/>
    <w:qFormat/>
    <w:uiPriority w:val="99"/>
    <w:pPr>
      <w:spacing w:after="120"/>
      <w:ind w:left="420" w:leftChars="200"/>
    </w:pPr>
  </w:style>
  <w:style w:type="paragraph" w:styleId="14">
    <w:name w:val="Body Text First Indent 2"/>
    <w:basedOn w:val="13"/>
    <w:next w:val="1"/>
    <w:semiHidden/>
    <w:unhideWhenUsed/>
    <w:qFormat/>
    <w:uiPriority w:val="99"/>
    <w:pPr>
      <w:ind w:firstLine="420" w:firstLineChars="200"/>
    </w:pPr>
  </w:style>
  <w:style w:type="paragraph" w:styleId="15">
    <w:name w:val="Plain Text"/>
    <w:basedOn w:val="1"/>
    <w:link w:val="59"/>
    <w:qFormat/>
    <w:uiPriority w:val="0"/>
    <w:rPr>
      <w:rFonts w:ascii="宋体" w:hAnsi="Courier New"/>
      <w:szCs w:val="20"/>
    </w:rPr>
  </w:style>
  <w:style w:type="paragraph" w:styleId="16">
    <w:name w:val="footer"/>
    <w:basedOn w:val="1"/>
    <w:next w:val="1"/>
    <w:qFormat/>
    <w:uiPriority w:val="99"/>
    <w:pPr>
      <w:tabs>
        <w:tab w:val="center" w:pos="4153"/>
        <w:tab w:val="right" w:pos="8306"/>
      </w:tabs>
      <w:snapToGrid w:val="0"/>
      <w:jc w:val="left"/>
    </w:pPr>
    <w:rPr>
      <w:sz w:val="18"/>
    </w:rPr>
  </w:style>
  <w:style w:type="paragraph" w:styleId="17">
    <w:name w:val="envelope return"/>
    <w:basedOn w:val="1"/>
    <w:qFormat/>
    <w:uiPriority w:val="0"/>
    <w:rPr>
      <w:rFonts w:ascii="Arial" w:hAnsi="Arial"/>
    </w:rPr>
  </w:style>
  <w:style w:type="paragraph" w:styleId="18">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2"/>
    <w:basedOn w:val="1"/>
    <w:unhideWhenUsed/>
    <w:qFormat/>
    <w:uiPriority w:val="99"/>
    <w:pPr>
      <w:spacing w:after="120" w:line="480" w:lineRule="auto"/>
    </w:pPr>
    <w:rPr>
      <w:rFonts w:asciiTheme="minorHAnsi" w:hAnsiTheme="minorHAnsi" w:eastAsiaTheme="minorEastAsia" w:cstheme="minorBidi"/>
      <w:szCs w:val="24"/>
    </w:rPr>
  </w:style>
  <w:style w:type="paragraph" w:styleId="22">
    <w:name w:val="HTML Preformatted"/>
    <w:basedOn w:val="1"/>
    <w:next w:val="1"/>
    <w:link w:val="5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qFormat/>
    <w:uiPriority w:val="0"/>
    <w:pPr>
      <w:spacing w:before="60" w:after="60" w:line="420" w:lineRule="atLeast"/>
      <w:jc w:val="left"/>
    </w:pPr>
    <w:rPr>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11"/>
    <w:next w:val="11"/>
    <w:link w:val="67"/>
    <w:qFormat/>
    <w:uiPriority w:val="0"/>
    <w:rPr>
      <w:b/>
      <w:bCs/>
      <w:szCs w:val="24"/>
    </w:rPr>
  </w:style>
  <w:style w:type="paragraph" w:styleId="26">
    <w:name w:val="Body Text First Indent"/>
    <w:basedOn w:val="12"/>
    <w:next w:val="14"/>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rPr>
      <w:rFonts w:eastAsia="宋体"/>
      <w:sz w:val="24"/>
      <w:szCs w:val="24"/>
      <w:lang w:val="en-US" w:eastAsia="zh-CN" w:bidi="ar-SA"/>
    </w:rPr>
  </w:style>
  <w:style w:type="character" w:styleId="32">
    <w:name w:val="Emphasis"/>
    <w:basedOn w:val="29"/>
    <w:qFormat/>
    <w:uiPriority w:val="0"/>
    <w:rPr>
      <w:i/>
    </w:rPr>
  </w:style>
  <w:style w:type="character" w:styleId="33">
    <w:name w:val="Hyperlink"/>
    <w:qFormat/>
    <w:uiPriority w:val="99"/>
    <w:rPr>
      <w:rFonts w:eastAsia="宋体"/>
      <w:color w:val="0000FF"/>
      <w:sz w:val="24"/>
      <w:szCs w:val="24"/>
      <w:u w:val="single"/>
      <w:lang w:val="en-US" w:eastAsia="zh-CN" w:bidi="ar-SA"/>
    </w:rPr>
  </w:style>
  <w:style w:type="character" w:styleId="34">
    <w:name w:val="annotation reference"/>
    <w:basedOn w:val="29"/>
    <w:qFormat/>
    <w:uiPriority w:val="0"/>
    <w:rPr>
      <w:sz w:val="21"/>
      <w:szCs w:val="21"/>
    </w:rPr>
  </w:style>
  <w:style w:type="paragraph" w:customStyle="1" w:styleId="35">
    <w:name w:val="Normal Indent1"/>
    <w:basedOn w:val="1"/>
    <w:next w:val="1"/>
    <w:qFormat/>
    <w:uiPriority w:val="0"/>
    <w:pPr>
      <w:ind w:firstLine="420" w:firstLineChars="200"/>
    </w:pPr>
    <w:rPr>
      <w:rFonts w:ascii="Calibri" w:hAnsi="Calibri" w:eastAsia="宋体" w:cs="Times New Roman"/>
    </w:rPr>
  </w:style>
  <w:style w:type="paragraph" w:customStyle="1" w:styleId="36">
    <w:name w:val="Style1"/>
    <w:basedOn w:val="9"/>
    <w:qFormat/>
    <w:uiPriority w:val="99"/>
    <w:pPr>
      <w:tabs>
        <w:tab w:val="left" w:pos="-720"/>
      </w:tabs>
      <w:spacing w:after="120"/>
    </w:pPr>
    <w:rPr>
      <w:spacing w:val="-3"/>
      <w:sz w:val="24"/>
      <w:szCs w:val="20"/>
      <w:lang w:val="en-AU" w:eastAsia="en-US"/>
    </w:r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正文 A"/>
    <w:next w:val="37"/>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1">
    <w:name w:val="List Paragraph"/>
    <w:basedOn w:val="1"/>
    <w:qFormat/>
    <w:uiPriority w:val="1"/>
    <w:pPr>
      <w:ind w:firstLine="420" w:firstLineChars="200"/>
    </w:pPr>
    <w:rPr>
      <w:szCs w:val="22"/>
    </w:rPr>
  </w:style>
  <w:style w:type="character" w:customStyle="1" w:styleId="42">
    <w:name w:val="NormalCharacter"/>
    <w:link w:val="1"/>
    <w:semiHidden/>
    <w:qFormat/>
    <w:uiPriority w:val="0"/>
    <w:rPr>
      <w:rFonts w:ascii="Calibri" w:hAnsi="Calibri" w:eastAsia="宋体" w:cs="Times New Roman"/>
      <w:kern w:val="2"/>
      <w:sz w:val="21"/>
      <w:szCs w:val="24"/>
      <w:lang w:val="en-US" w:eastAsia="zh-CN" w:bidi="ar-SA"/>
    </w:rPr>
  </w:style>
  <w:style w:type="character" w:customStyle="1" w:styleId="43">
    <w:name w:val="无"/>
    <w:qFormat/>
    <w:uiPriority w:val="0"/>
  </w:style>
  <w:style w:type="paragraph" w:customStyle="1" w:styleId="44">
    <w:name w:val="样式1"/>
    <w:basedOn w:val="1"/>
    <w:next w:val="26"/>
    <w:qFormat/>
    <w:uiPriority w:val="0"/>
    <w:pPr>
      <w:numPr>
        <w:ilvl w:val="0"/>
        <w:numId w:val="3"/>
      </w:numPr>
      <w:adjustRightInd w:val="0"/>
      <w:textAlignment w:val="baseline"/>
    </w:pPr>
    <w:rPr>
      <w:rFonts w:ascii="宋体" w:hAnsi="宋体"/>
      <w:kern w:val="0"/>
      <w:szCs w:val="21"/>
    </w:rPr>
  </w:style>
  <w:style w:type="paragraph" w:customStyle="1" w:styleId="45">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font11"/>
    <w:basedOn w:val="29"/>
    <w:qFormat/>
    <w:uiPriority w:val="0"/>
    <w:rPr>
      <w:rFonts w:hint="eastAsia" w:ascii="仿宋" w:hAnsi="仿宋" w:eastAsia="仿宋" w:cs="仿宋"/>
      <w:b/>
      <w:bCs/>
      <w:color w:val="000000"/>
      <w:sz w:val="28"/>
      <w:szCs w:val="28"/>
      <w:u w:val="none"/>
    </w:rPr>
  </w:style>
  <w:style w:type="character" w:customStyle="1" w:styleId="47">
    <w:name w:val="font21"/>
    <w:basedOn w:val="29"/>
    <w:qFormat/>
    <w:uiPriority w:val="0"/>
    <w:rPr>
      <w:rFonts w:hint="eastAsia" w:ascii="仿宋" w:hAnsi="仿宋" w:eastAsia="仿宋" w:cs="仿宋"/>
      <w:color w:val="000000"/>
      <w:sz w:val="28"/>
      <w:szCs w:val="28"/>
      <w:u w:val="none"/>
    </w:rPr>
  </w:style>
  <w:style w:type="character" w:customStyle="1" w:styleId="48">
    <w:name w:val="font31"/>
    <w:basedOn w:val="29"/>
    <w:qFormat/>
    <w:uiPriority w:val="0"/>
    <w:rPr>
      <w:rFonts w:hint="eastAsia" w:ascii="华文中宋" w:hAnsi="华文中宋" w:eastAsia="华文中宋" w:cs="华文中宋"/>
      <w:color w:val="000000"/>
      <w:sz w:val="24"/>
      <w:szCs w:val="24"/>
      <w:u w:val="none"/>
    </w:rPr>
  </w:style>
  <w:style w:type="paragraph" w:customStyle="1" w:styleId="49">
    <w:name w:val="Char Char Char"/>
    <w:basedOn w:val="1"/>
    <w:qFormat/>
    <w:uiPriority w:val="0"/>
  </w:style>
  <w:style w:type="character" w:customStyle="1" w:styleId="50">
    <w:name w:val="font41"/>
    <w:basedOn w:val="29"/>
    <w:qFormat/>
    <w:uiPriority w:val="0"/>
    <w:rPr>
      <w:rFonts w:hint="eastAsia" w:ascii="仿宋" w:hAnsi="仿宋" w:eastAsia="仿宋" w:cs="仿宋"/>
      <w:color w:val="000000"/>
      <w:sz w:val="22"/>
      <w:szCs w:val="22"/>
      <w:u w:val="none"/>
    </w:rPr>
  </w:style>
  <w:style w:type="character" w:customStyle="1" w:styleId="51">
    <w:name w:val="font61"/>
    <w:basedOn w:val="29"/>
    <w:qFormat/>
    <w:uiPriority w:val="0"/>
    <w:rPr>
      <w:rFonts w:hint="default" w:ascii="Segoe UI Symbol" w:hAnsi="Segoe UI Symbol" w:eastAsia="Segoe UI Symbol" w:cs="Segoe UI Symbol"/>
      <w:color w:val="000000"/>
      <w:sz w:val="22"/>
      <w:szCs w:val="22"/>
      <w:u w:val="none"/>
    </w:rPr>
  </w:style>
  <w:style w:type="character" w:customStyle="1" w:styleId="52">
    <w:name w:val="font51"/>
    <w:basedOn w:val="29"/>
    <w:qFormat/>
    <w:uiPriority w:val="0"/>
    <w:rPr>
      <w:rFonts w:hint="eastAsia" w:ascii="仿宋" w:hAnsi="仿宋" w:eastAsia="仿宋" w:cs="仿宋"/>
      <w:color w:val="000000"/>
      <w:sz w:val="22"/>
      <w:szCs w:val="22"/>
      <w:u w:val="none"/>
    </w:rPr>
  </w:style>
  <w:style w:type="character" w:customStyle="1" w:styleId="53">
    <w:name w:val="font71"/>
    <w:basedOn w:val="29"/>
    <w:qFormat/>
    <w:uiPriority w:val="0"/>
    <w:rPr>
      <w:rFonts w:hint="default" w:ascii="Segoe UI Symbol" w:hAnsi="Segoe UI Symbol" w:eastAsia="Segoe UI Symbol" w:cs="Segoe UI Symbol"/>
      <w:color w:val="000000"/>
      <w:sz w:val="22"/>
      <w:szCs w:val="22"/>
      <w:u w:val="none"/>
    </w:rPr>
  </w:style>
  <w:style w:type="paragraph" w:customStyle="1" w:styleId="54">
    <w:name w:val="2级正文"/>
    <w:basedOn w:val="1"/>
    <w:qFormat/>
    <w:uiPriority w:val="0"/>
    <w:pPr>
      <w:ind w:left="721" w:hanging="420"/>
      <w:jc w:val="left"/>
    </w:pPr>
    <w:rPr>
      <w:rFonts w:ascii="宋体" w:hAnsi="宋体" w:cs="宋体"/>
      <w:szCs w:val="21"/>
    </w:rPr>
  </w:style>
  <w:style w:type="paragraph" w:customStyle="1" w:styleId="55">
    <w:name w:val="样式 标题 1 + 四号 居中 段前: 12 磅 段后: 12 磅 行距: 单倍行距"/>
    <w:basedOn w:val="2"/>
    <w:qFormat/>
    <w:uiPriority w:val="0"/>
    <w:pPr>
      <w:spacing w:before="240" w:after="240"/>
    </w:pPr>
    <w:rPr>
      <w:rFonts w:ascii="Times New Roman" w:hAnsi="Times New Roman" w:cs="宋体"/>
    </w:rPr>
  </w:style>
  <w:style w:type="paragraph" w:customStyle="1" w:styleId="56">
    <w:name w:val="_Style 1"/>
    <w:basedOn w:val="1"/>
    <w:qFormat/>
    <w:uiPriority w:val="0"/>
    <w:pPr>
      <w:ind w:firstLine="420" w:firstLineChars="200"/>
    </w:pPr>
  </w:style>
  <w:style w:type="character" w:customStyle="1" w:styleId="57">
    <w:name w:val="页眉 字符"/>
    <w:basedOn w:val="29"/>
    <w:link w:val="18"/>
    <w:qFormat/>
    <w:uiPriority w:val="0"/>
    <w:rPr>
      <w:rFonts w:ascii="Calibri" w:hAnsi="Calibri"/>
      <w:kern w:val="2"/>
      <w:sz w:val="18"/>
      <w:szCs w:val="18"/>
    </w:rPr>
  </w:style>
  <w:style w:type="character" w:customStyle="1" w:styleId="58">
    <w:name w:val="HTML 预设格式 字符"/>
    <w:link w:val="22"/>
    <w:qFormat/>
    <w:uiPriority w:val="99"/>
    <w:rPr>
      <w:rFonts w:ascii="Arial" w:hAnsi="Arial" w:cs="Arial"/>
      <w:sz w:val="21"/>
      <w:szCs w:val="21"/>
    </w:rPr>
  </w:style>
  <w:style w:type="character" w:customStyle="1" w:styleId="59">
    <w:name w:val="纯文本 字符"/>
    <w:link w:val="15"/>
    <w:qFormat/>
    <w:uiPriority w:val="0"/>
    <w:rPr>
      <w:rFonts w:ascii="宋体" w:hAnsi="Courier New"/>
      <w:kern w:val="2"/>
      <w:sz w:val="21"/>
    </w:rPr>
  </w:style>
  <w:style w:type="character" w:customStyle="1" w:styleId="60">
    <w:name w:val="正文缩进 字符"/>
    <w:link w:val="9"/>
    <w:qFormat/>
    <w:locked/>
    <w:uiPriority w:val="99"/>
    <w:rPr>
      <w:rFonts w:ascii="Calibri" w:hAnsi="Calibri"/>
      <w:kern w:val="2"/>
      <w:sz w:val="21"/>
      <w:szCs w:val="24"/>
    </w:rPr>
  </w:style>
  <w:style w:type="character" w:customStyle="1" w:styleId="61">
    <w:name w:val="注释标题 字符"/>
    <w:basedOn w:val="29"/>
    <w:link w:val="8"/>
    <w:qFormat/>
    <w:uiPriority w:val="0"/>
    <w:rPr>
      <w:kern w:val="2"/>
      <w:sz w:val="21"/>
    </w:rPr>
  </w:style>
  <w:style w:type="paragraph" w:customStyle="1" w:styleId="62">
    <w:name w:val="msolistparagraph"/>
    <w:basedOn w:val="1"/>
    <w:qFormat/>
    <w:uiPriority w:val="0"/>
    <w:pPr>
      <w:autoSpaceDN w:val="0"/>
      <w:spacing w:line="360" w:lineRule="auto"/>
      <w:ind w:firstLine="420" w:firstLineChars="200"/>
    </w:pPr>
    <w:rPr>
      <w:rFonts w:hint="eastAsia" w:ascii="等线" w:hAnsi="等线"/>
      <w:sz w:val="24"/>
      <w:szCs w:val="22"/>
    </w:rPr>
  </w:style>
  <w:style w:type="paragraph" w:customStyle="1" w:styleId="63">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64">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5">
    <w:name w:val="首行缩进"/>
    <w:basedOn w:val="1"/>
    <w:qFormat/>
    <w:uiPriority w:val="0"/>
    <w:pPr>
      <w:ind w:firstLine="480" w:firstLineChars="200"/>
    </w:pPr>
    <w:rPr>
      <w:lang w:val="zh-CN"/>
    </w:rPr>
  </w:style>
  <w:style w:type="character" w:customStyle="1" w:styleId="66">
    <w:name w:val="批注文字 字符"/>
    <w:basedOn w:val="29"/>
    <w:link w:val="11"/>
    <w:qFormat/>
    <w:uiPriority w:val="99"/>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4"/>
    </w:rPr>
  </w:style>
  <w:style w:type="character" w:customStyle="1" w:styleId="68">
    <w:name w:val="标题 1 Char"/>
    <w:link w:val="2"/>
    <w:qFormat/>
    <w:uiPriority w:val="0"/>
    <w:rPr>
      <w:rFonts w:eastAsia="仿宋"/>
      <w:b/>
      <w:sz w:val="30"/>
      <w:szCs w:val="20"/>
    </w:rPr>
  </w:style>
  <w:style w:type="paragraph" w:customStyle="1" w:styleId="69">
    <w:name w:val="签发人"/>
    <w:basedOn w:val="1"/>
    <w:qFormat/>
    <w:uiPriority w:val="0"/>
    <w:rPr>
      <w:rFonts w:ascii="Times New Roman" w:hAnsi="Times New Roman" w:eastAsia="楷体"/>
      <w:sz w:val="32"/>
      <w:szCs w:val="24"/>
      <w:lang w:bidi="ar-SA"/>
    </w:rPr>
  </w:style>
  <w:style w:type="paragraph" w:customStyle="1" w:styleId="70">
    <w:name w:val="BlockQuote"/>
    <w:basedOn w:val="1"/>
    <w:next w:val="71"/>
    <w:qFormat/>
    <w:uiPriority w:val="0"/>
    <w:pPr>
      <w:jc w:val="both"/>
      <w:textAlignment w:val="baseline"/>
    </w:pPr>
  </w:style>
  <w:style w:type="paragraph" w:customStyle="1" w:styleId="71">
    <w:name w:val="BodyText"/>
    <w:basedOn w:val="1"/>
    <w:qFormat/>
    <w:uiPriority w:val="0"/>
    <w:pPr>
      <w:jc w:val="both"/>
      <w:textAlignment w:val="baseline"/>
    </w:pPr>
  </w:style>
  <w:style w:type="paragraph" w:customStyle="1" w:styleId="72">
    <w:name w:val="NormalIndent"/>
    <w:basedOn w:val="1"/>
    <w:qFormat/>
    <w:uiPriority w:val="0"/>
    <w:pPr>
      <w:ind w:firstLine="420" w:firstLineChars="200"/>
      <w:jc w:val="both"/>
      <w:textAlignment w:val="baseline"/>
    </w:pPr>
  </w:style>
  <w:style w:type="paragraph" w:customStyle="1" w:styleId="73">
    <w:name w:val="Body text|1"/>
    <w:basedOn w:val="1"/>
    <w:qFormat/>
    <w:uiPriority w:val="0"/>
    <w:pPr>
      <w:spacing w:line="444" w:lineRule="auto"/>
      <w:ind w:firstLine="400"/>
    </w:pPr>
    <w:rPr>
      <w:rFonts w:ascii="宋体" w:hAnsi="宋体" w:eastAsia="宋体" w:cs="宋体"/>
      <w:lang w:val="zh-TW" w:eastAsia="zh-TW" w:bidi="zh-TW"/>
    </w:rPr>
  </w:style>
  <w:style w:type="paragraph" w:customStyle="1" w:styleId="74">
    <w:name w:val="正文格式"/>
    <w:basedOn w:val="1"/>
    <w:qFormat/>
    <w:uiPriority w:val="0"/>
    <w:pPr>
      <w:spacing w:line="360" w:lineRule="auto"/>
      <w:ind w:firstLine="482"/>
    </w:pPr>
    <w:rPr>
      <w:sz w:val="24"/>
    </w:rPr>
  </w:style>
  <w:style w:type="paragraph" w:customStyle="1" w:styleId="75">
    <w:name w:val="表格文字"/>
    <w:basedOn w:val="76"/>
    <w:qFormat/>
    <w:uiPriority w:val="0"/>
    <w:pPr>
      <w:spacing w:before="25" w:after="25"/>
    </w:pPr>
    <w:rPr>
      <w:spacing w:val="10"/>
      <w:sz w:val="24"/>
      <w:szCs w:val="20"/>
    </w:rPr>
  </w:style>
  <w:style w:type="paragraph" w:customStyle="1" w:styleId="76">
    <w:name w:val="表格文字（两侧对齐）"/>
    <w:basedOn w:val="1"/>
    <w:qFormat/>
    <w:uiPriority w:val="0"/>
    <w:pPr>
      <w:snapToGrid w:val="0"/>
      <w:spacing w:line="240" w:lineRule="auto"/>
    </w:pPr>
    <w:rPr>
      <w:rFonts w:ascii="Calibri" w:hAnsi="Calibri" w:cs="Times New Roman"/>
      <w:kern w:val="0"/>
      <w:sz w:val="20"/>
    </w:rPr>
  </w:style>
  <w:style w:type="paragraph" w:customStyle="1" w:styleId="77">
    <w:name w:val="Table Text"/>
    <w:basedOn w:val="1"/>
    <w:semiHidden/>
    <w:qFormat/>
    <w:uiPriority w:val="0"/>
    <w:rPr>
      <w:rFonts w:ascii="仿宋" w:hAnsi="仿宋" w:eastAsia="仿宋" w:cs="仿宋"/>
      <w:sz w:val="20"/>
      <w:szCs w:val="20"/>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styleId="79">
    <w:name w:val="Quote"/>
    <w:basedOn w:val="1"/>
    <w:next w:val="1"/>
    <w:qFormat/>
    <w:uiPriority w:val="0"/>
    <w:pPr>
      <w:widowControl/>
      <w:spacing w:before="100" w:beforeAutospacing="1" w:after="100" w:afterAutospacing="1" w:line="360" w:lineRule="auto"/>
      <w:ind w:firstLine="200" w:firstLineChars="200"/>
    </w:pPr>
    <w:rPr>
      <w:rFonts w:ascii="Cambria" w:hAnsi="Cambria"/>
      <w:i/>
      <w:i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88</Pages>
  <Words>15957</Words>
  <Characters>17267</Characters>
  <Lines>383</Lines>
  <Paragraphs>108</Paragraphs>
  <TotalTime>43</TotalTime>
  <ScaleCrop>false</ScaleCrop>
  <LinksUpToDate>false</LinksUpToDate>
  <CharactersWithSpaces>17424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Administrator</dc:creator>
  <cp:lastModifiedBy>鸿源</cp:lastModifiedBy>
  <cp:lastPrinted>2026-05-07T06:39:00Z</cp:lastPrinted>
  <dcterms:modified xsi:type="dcterms:W3CDTF">2026-05-18T10:10:42Z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9FFFE71410E64F388CAF895D721CEC7F_13</vt:lpwstr>
  </property>
  <property fmtid="{D5CDD505-2E9C-101B-9397-08002B2CF9AE}" pid="4" name="KSOTemplateDocerSaveRecord">
    <vt:lpwstr>eyJoZGlkIjoiMzdlODk2OWIxZWJjMWQzZTRhOWE3ZDFjYTIwODk1OWIiLCJ1c2VySWQiOiIxNzM1OTA4OTA4In0=</vt:lpwstr>
  </property>
</Properties>
</file>