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CCE48">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 xml:space="preserve"> </w:t>
      </w:r>
      <w:bookmarkStart w:id="0" w:name="_Hlk77688145"/>
      <w:bookmarkStart w:id="1" w:name="_Hlk81295789"/>
    </w:p>
    <w:p w14:paraId="04ADEA5B">
      <w:pPr>
        <w:pStyle w:val="12"/>
        <w:jc w:val="right"/>
        <w:rPr>
          <w:rFonts w:hint="eastAsia" w:ascii="仿宋" w:hAnsi="仿宋" w:eastAsia="仿宋" w:cs="仿宋"/>
          <w:color w:val="000000"/>
          <w:sz w:val="30"/>
          <w:szCs w:val="30"/>
          <w:highlight w:val="none"/>
        </w:rPr>
      </w:pPr>
    </w:p>
    <w:p w14:paraId="7EFEF895">
      <w:pPr>
        <w:rPr>
          <w:rFonts w:hint="eastAsia" w:ascii="仿宋" w:hAnsi="仿宋" w:eastAsia="仿宋" w:cs="仿宋"/>
          <w:highlight w:val="none"/>
        </w:rPr>
      </w:pPr>
    </w:p>
    <w:p w14:paraId="13B3916B">
      <w:pPr>
        <w:pStyle w:val="12"/>
        <w:rPr>
          <w:rFonts w:hint="eastAsia" w:ascii="仿宋" w:hAnsi="仿宋" w:eastAsia="仿宋" w:cs="仿宋"/>
          <w:color w:val="000000"/>
          <w:sz w:val="30"/>
          <w:szCs w:val="30"/>
          <w:highlight w:val="none"/>
        </w:rPr>
      </w:pPr>
    </w:p>
    <w:p w14:paraId="49222656">
      <w:pPr>
        <w:spacing w:line="400" w:lineRule="exact"/>
        <w:rPr>
          <w:rFonts w:hint="eastAsia" w:ascii="仿宋" w:hAnsi="仿宋" w:eastAsia="仿宋" w:cs="仿宋"/>
          <w:sz w:val="30"/>
          <w:szCs w:val="30"/>
          <w:highlight w:val="none"/>
          <w:lang w:eastAsia="zh-CN"/>
        </w:rPr>
      </w:pPr>
    </w:p>
    <w:p w14:paraId="7A44F187">
      <w:pPr>
        <w:pStyle w:val="70"/>
        <w:keepNext/>
        <w:adjustRightInd w:val="0"/>
        <w:snapToGrid w:val="0"/>
        <w:spacing w:line="360" w:lineRule="auto"/>
        <w:jc w:val="center"/>
        <w:rPr>
          <w:rFonts w:hint="eastAsia" w:ascii="仿宋" w:hAnsi="仿宋" w:eastAsia="仿宋" w:cs="仿宋"/>
          <w:b/>
          <w:bCs/>
          <w:color w:val="000000"/>
          <w:sz w:val="100"/>
          <w:szCs w:val="100"/>
          <w:highlight w:val="none"/>
        </w:rPr>
      </w:pPr>
      <w:r>
        <w:rPr>
          <w:rFonts w:hint="eastAsia" w:ascii="仿宋" w:hAnsi="仿宋" w:eastAsia="仿宋" w:cs="仿宋"/>
          <w:b/>
          <w:bCs/>
          <w:color w:val="000000"/>
          <w:sz w:val="90"/>
          <w:szCs w:val="90"/>
          <w:highlight w:val="none"/>
          <w:lang w:val="en-US" w:eastAsia="zh-CN"/>
        </w:rPr>
        <w:t xml:space="preserve">招 标 </w:t>
      </w:r>
      <w:r>
        <w:rPr>
          <w:rFonts w:hint="eastAsia" w:ascii="仿宋" w:hAnsi="仿宋" w:eastAsia="仿宋" w:cs="仿宋"/>
          <w:b/>
          <w:bCs/>
          <w:color w:val="000000"/>
          <w:sz w:val="90"/>
          <w:szCs w:val="90"/>
          <w:highlight w:val="none"/>
        </w:rPr>
        <w:t>文</w:t>
      </w:r>
      <w:r>
        <w:rPr>
          <w:rFonts w:hint="eastAsia" w:ascii="仿宋" w:hAnsi="仿宋" w:eastAsia="仿宋" w:cs="仿宋"/>
          <w:b/>
          <w:bCs/>
          <w:color w:val="000000"/>
          <w:sz w:val="90"/>
          <w:szCs w:val="90"/>
          <w:highlight w:val="none"/>
          <w:lang w:val="en-US" w:eastAsia="zh-CN"/>
        </w:rPr>
        <w:t xml:space="preserve"> </w:t>
      </w:r>
      <w:r>
        <w:rPr>
          <w:rFonts w:hint="eastAsia" w:ascii="仿宋" w:hAnsi="仿宋" w:eastAsia="仿宋" w:cs="仿宋"/>
          <w:b/>
          <w:bCs/>
          <w:color w:val="000000"/>
          <w:sz w:val="90"/>
          <w:szCs w:val="90"/>
          <w:highlight w:val="none"/>
        </w:rPr>
        <w:t>件</w:t>
      </w:r>
    </w:p>
    <w:p w14:paraId="06BCA927">
      <w:pPr>
        <w:pStyle w:val="70"/>
        <w:keepNext/>
        <w:adjustRightInd w:val="0"/>
        <w:snapToGrid w:val="0"/>
        <w:spacing w:before="120" w:line="360" w:lineRule="auto"/>
        <w:ind w:left="2405" w:leftChars="304" w:hanging="1767" w:hangingChars="550"/>
        <w:jc w:val="both"/>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rPr>
        <w:t>项目名称：</w:t>
      </w:r>
      <w:r>
        <w:rPr>
          <w:rFonts w:hint="eastAsia" w:ascii="仿宋" w:hAnsi="仿宋" w:eastAsia="仿宋" w:cs="仿宋"/>
          <w:b/>
          <w:bCs/>
          <w:color w:val="000000"/>
          <w:sz w:val="32"/>
          <w:szCs w:val="32"/>
          <w:highlight w:val="none"/>
          <w:lang w:eastAsia="zh-CN"/>
        </w:rPr>
        <w:t>侯马市民政局购买乡（街道）民政服务站项目</w:t>
      </w:r>
    </w:p>
    <w:p w14:paraId="7CB603F1">
      <w:pPr>
        <w:pStyle w:val="70"/>
        <w:keepNext/>
        <w:adjustRightInd w:val="0"/>
        <w:snapToGrid w:val="0"/>
        <w:spacing w:before="120" w:line="360" w:lineRule="auto"/>
        <w:ind w:left="2405" w:leftChars="304" w:hanging="1767" w:hangingChars="55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项目编号</w:t>
      </w:r>
      <w:r>
        <w:rPr>
          <w:rFonts w:hint="eastAsia" w:ascii="仿宋" w:hAnsi="仿宋" w:eastAsia="仿宋" w:cs="仿宋"/>
          <w:b/>
          <w:bCs/>
          <w:color w:val="auto"/>
          <w:sz w:val="32"/>
          <w:szCs w:val="32"/>
          <w:highlight w:val="none"/>
        </w:rPr>
        <w:t>：1410812026CGK00028</w:t>
      </w:r>
    </w:p>
    <w:bookmarkEnd w:id="0"/>
    <w:bookmarkEnd w:id="1"/>
    <w:p w14:paraId="5D17620E">
      <w:pPr>
        <w:pStyle w:val="2"/>
        <w:rPr>
          <w:rFonts w:hint="eastAsia" w:ascii="仿宋" w:hAnsi="仿宋" w:eastAsia="仿宋" w:cs="仿宋"/>
          <w:highlight w:val="none"/>
        </w:rPr>
      </w:pPr>
    </w:p>
    <w:p w14:paraId="2285A72A">
      <w:pPr>
        <w:pStyle w:val="2"/>
        <w:rPr>
          <w:rFonts w:hint="eastAsia" w:ascii="仿宋" w:hAnsi="仿宋" w:eastAsia="仿宋" w:cs="仿宋"/>
          <w:highlight w:val="none"/>
        </w:rPr>
      </w:pPr>
    </w:p>
    <w:p w14:paraId="5AF13451">
      <w:pPr>
        <w:pStyle w:val="2"/>
        <w:rPr>
          <w:rFonts w:hint="eastAsia" w:ascii="仿宋" w:hAnsi="仿宋" w:eastAsia="仿宋" w:cs="仿宋"/>
          <w:highlight w:val="none"/>
        </w:rPr>
      </w:pPr>
    </w:p>
    <w:p w14:paraId="2D79CC9A">
      <w:pPr>
        <w:pStyle w:val="2"/>
        <w:rPr>
          <w:rFonts w:hint="eastAsia" w:ascii="仿宋" w:hAnsi="仿宋" w:eastAsia="仿宋" w:cs="仿宋"/>
          <w:highlight w:val="none"/>
        </w:rPr>
      </w:pPr>
    </w:p>
    <w:p w14:paraId="41BF92FF">
      <w:pPr>
        <w:pStyle w:val="2"/>
        <w:rPr>
          <w:rFonts w:hint="eastAsia" w:ascii="仿宋" w:hAnsi="仿宋" w:eastAsia="仿宋" w:cs="仿宋"/>
          <w:highlight w:val="none"/>
        </w:rPr>
      </w:pPr>
    </w:p>
    <w:p w14:paraId="597C8BC8">
      <w:pPr>
        <w:pStyle w:val="2"/>
        <w:rPr>
          <w:rFonts w:hint="eastAsia" w:ascii="仿宋" w:hAnsi="仿宋" w:eastAsia="仿宋" w:cs="仿宋"/>
          <w:highlight w:val="none"/>
        </w:rPr>
      </w:pPr>
    </w:p>
    <w:p w14:paraId="47A39305">
      <w:pPr>
        <w:pStyle w:val="2"/>
        <w:rPr>
          <w:rFonts w:hint="eastAsia" w:ascii="仿宋" w:hAnsi="仿宋" w:eastAsia="仿宋" w:cs="仿宋"/>
          <w:highlight w:val="none"/>
        </w:rPr>
      </w:pPr>
    </w:p>
    <w:p w14:paraId="4B15A6BD">
      <w:pPr>
        <w:pStyle w:val="2"/>
        <w:rPr>
          <w:rFonts w:hint="eastAsia" w:ascii="仿宋" w:hAnsi="仿宋" w:eastAsia="仿宋" w:cs="仿宋"/>
          <w:highlight w:val="none"/>
        </w:rPr>
      </w:pPr>
    </w:p>
    <w:p w14:paraId="4D2E906C">
      <w:pPr>
        <w:pStyle w:val="2"/>
        <w:rPr>
          <w:rFonts w:hint="eastAsia" w:ascii="仿宋" w:hAnsi="仿宋" w:eastAsia="仿宋" w:cs="仿宋"/>
          <w:highlight w:val="none"/>
        </w:rPr>
      </w:pPr>
    </w:p>
    <w:p w14:paraId="2A370A74">
      <w:pPr>
        <w:pStyle w:val="2"/>
        <w:rPr>
          <w:rFonts w:hint="eastAsia" w:ascii="仿宋" w:hAnsi="仿宋" w:eastAsia="仿宋" w:cs="仿宋"/>
          <w:highlight w:val="none"/>
        </w:rPr>
      </w:pPr>
    </w:p>
    <w:p w14:paraId="31322B18">
      <w:pPr>
        <w:pStyle w:val="2"/>
        <w:rPr>
          <w:rFonts w:hint="eastAsia" w:ascii="仿宋" w:hAnsi="仿宋" w:eastAsia="仿宋" w:cs="仿宋"/>
          <w:highlight w:val="none"/>
        </w:rPr>
      </w:pPr>
    </w:p>
    <w:p w14:paraId="5974C3CE">
      <w:pPr>
        <w:pStyle w:val="2"/>
        <w:rPr>
          <w:rFonts w:hint="eastAsia" w:ascii="仿宋" w:hAnsi="仿宋" w:eastAsia="仿宋" w:cs="仿宋"/>
          <w:highlight w:val="none"/>
        </w:rPr>
      </w:pPr>
    </w:p>
    <w:p w14:paraId="3946FC67">
      <w:pPr>
        <w:pStyle w:val="2"/>
        <w:rPr>
          <w:rFonts w:hint="eastAsia" w:ascii="仿宋" w:hAnsi="仿宋" w:eastAsia="仿宋" w:cs="仿宋"/>
          <w:highlight w:val="none"/>
        </w:rPr>
      </w:pPr>
    </w:p>
    <w:p w14:paraId="595732CF">
      <w:pPr>
        <w:pStyle w:val="2"/>
        <w:rPr>
          <w:rFonts w:hint="eastAsia" w:ascii="仿宋" w:hAnsi="仿宋" w:eastAsia="仿宋" w:cs="仿宋"/>
          <w:highlight w:val="none"/>
        </w:rPr>
      </w:pPr>
    </w:p>
    <w:p w14:paraId="59E83AC7">
      <w:pPr>
        <w:pStyle w:val="2"/>
        <w:rPr>
          <w:rFonts w:hint="eastAsia" w:ascii="仿宋" w:hAnsi="仿宋" w:eastAsia="仿宋" w:cs="仿宋"/>
          <w:highlight w:val="none"/>
        </w:rPr>
      </w:pPr>
    </w:p>
    <w:p w14:paraId="26A6D1AE">
      <w:pPr>
        <w:pStyle w:val="2"/>
        <w:rPr>
          <w:rFonts w:hint="eastAsia" w:ascii="仿宋" w:hAnsi="仿宋" w:eastAsia="仿宋" w:cs="仿宋"/>
          <w:highlight w:val="none"/>
        </w:rPr>
      </w:pPr>
    </w:p>
    <w:p w14:paraId="0E14D03A">
      <w:pPr>
        <w:pStyle w:val="70"/>
        <w:keepNext/>
        <w:adjustRightInd w:val="0"/>
        <w:snapToGrid w:val="0"/>
        <w:spacing w:before="120" w:line="360" w:lineRule="auto"/>
        <w:ind w:left="2405" w:leftChars="304" w:hanging="1767" w:hangingChars="550"/>
        <w:jc w:val="both"/>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lang w:val="en-US" w:eastAsia="zh-CN"/>
        </w:rPr>
        <w:t xml:space="preserve">采 购 </w:t>
      </w:r>
      <w:r>
        <w:rPr>
          <w:rFonts w:hint="eastAsia" w:ascii="仿宋" w:hAnsi="仿宋" w:eastAsia="仿宋" w:cs="仿宋"/>
          <w:b/>
          <w:bCs/>
          <w:color w:val="000000"/>
          <w:sz w:val="32"/>
          <w:szCs w:val="32"/>
          <w:highlight w:val="none"/>
        </w:rPr>
        <w:t>人：</w:t>
      </w:r>
      <w:r>
        <w:rPr>
          <w:rFonts w:hint="eastAsia" w:ascii="仿宋" w:hAnsi="仿宋" w:eastAsia="仿宋" w:cs="仿宋"/>
          <w:b/>
          <w:bCs/>
          <w:color w:val="000000"/>
          <w:sz w:val="32"/>
          <w:szCs w:val="32"/>
          <w:highlight w:val="none"/>
          <w:lang w:eastAsia="zh-CN"/>
        </w:rPr>
        <w:t>侯马市民政局</w:t>
      </w:r>
    </w:p>
    <w:p w14:paraId="5AD38352">
      <w:pPr>
        <w:pStyle w:val="70"/>
        <w:keepNext/>
        <w:adjustRightInd w:val="0"/>
        <w:snapToGrid w:val="0"/>
        <w:spacing w:before="120" w:line="360" w:lineRule="auto"/>
        <w:ind w:left="2405" w:leftChars="304" w:hanging="1767" w:hangingChars="550"/>
        <w:jc w:val="both"/>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lang w:val="en-US" w:eastAsia="zh-CN"/>
        </w:rPr>
        <w:t>招标</w:t>
      </w:r>
      <w:r>
        <w:rPr>
          <w:rFonts w:hint="eastAsia" w:ascii="仿宋" w:hAnsi="仿宋" w:eastAsia="仿宋" w:cs="仿宋"/>
          <w:b/>
          <w:bCs/>
          <w:color w:val="000000"/>
          <w:sz w:val="32"/>
          <w:szCs w:val="32"/>
          <w:highlight w:val="none"/>
        </w:rPr>
        <w:t>代理机构：</w:t>
      </w:r>
      <w:r>
        <w:rPr>
          <w:rFonts w:hint="eastAsia" w:ascii="仿宋" w:hAnsi="仿宋" w:eastAsia="仿宋" w:cs="仿宋"/>
          <w:b/>
          <w:bCs/>
          <w:color w:val="000000"/>
          <w:sz w:val="32"/>
          <w:szCs w:val="32"/>
          <w:highlight w:val="none"/>
          <w:lang w:eastAsia="zh-CN"/>
        </w:rPr>
        <w:t>山西浩坤工程项目管理有限公司</w:t>
      </w:r>
    </w:p>
    <w:p w14:paraId="6978B77F">
      <w:pPr>
        <w:pStyle w:val="70"/>
        <w:keepNext/>
        <w:adjustRightInd w:val="0"/>
        <w:snapToGrid w:val="0"/>
        <w:spacing w:before="120" w:line="360" w:lineRule="auto"/>
        <w:ind w:left="2405" w:leftChars="304" w:hanging="1767" w:hangingChars="550"/>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日 </w:t>
      </w:r>
      <w:r>
        <w:rPr>
          <w:rFonts w:hint="eastAsia" w:ascii="仿宋" w:hAnsi="仿宋" w:eastAsia="仿宋" w:cs="仿宋"/>
          <w:b/>
          <w:bCs/>
          <w:color w:val="000000"/>
          <w:sz w:val="32"/>
          <w:szCs w:val="32"/>
          <w:highlight w:val="none"/>
          <w:lang w:val="en-US" w:eastAsia="zh-CN"/>
        </w:rPr>
        <w:t xml:space="preserve">  </w:t>
      </w:r>
      <w:r>
        <w:rPr>
          <w:rFonts w:hint="eastAsia" w:ascii="仿宋" w:hAnsi="仿宋" w:eastAsia="仿宋" w:cs="仿宋"/>
          <w:b/>
          <w:bCs/>
          <w:color w:val="000000"/>
          <w:sz w:val="32"/>
          <w:szCs w:val="32"/>
          <w:highlight w:val="none"/>
        </w:rPr>
        <w:t>期：二〇二</w:t>
      </w:r>
      <w:r>
        <w:rPr>
          <w:rFonts w:hint="eastAsia" w:ascii="仿宋" w:hAnsi="仿宋" w:eastAsia="仿宋" w:cs="仿宋"/>
          <w:b/>
          <w:bCs/>
          <w:color w:val="000000"/>
          <w:sz w:val="32"/>
          <w:szCs w:val="32"/>
          <w:highlight w:val="none"/>
          <w:lang w:val="en-US" w:eastAsia="zh-CN"/>
        </w:rPr>
        <w:t>六</w:t>
      </w:r>
      <w:r>
        <w:rPr>
          <w:rFonts w:hint="eastAsia" w:ascii="仿宋" w:hAnsi="仿宋" w:eastAsia="仿宋" w:cs="仿宋"/>
          <w:b/>
          <w:bCs/>
          <w:color w:val="000000"/>
          <w:sz w:val="32"/>
          <w:szCs w:val="32"/>
          <w:highlight w:val="none"/>
        </w:rPr>
        <w:t>年</w:t>
      </w:r>
      <w:r>
        <w:rPr>
          <w:rFonts w:hint="eastAsia" w:ascii="仿宋" w:hAnsi="仿宋" w:eastAsia="仿宋" w:cs="仿宋"/>
          <w:b/>
          <w:bCs/>
          <w:color w:val="000000"/>
          <w:sz w:val="32"/>
          <w:szCs w:val="32"/>
          <w:highlight w:val="none"/>
          <w:lang w:val="en-US" w:eastAsia="zh-CN"/>
        </w:rPr>
        <w:t>五</w:t>
      </w:r>
      <w:r>
        <w:rPr>
          <w:rFonts w:hint="eastAsia" w:ascii="仿宋" w:hAnsi="仿宋" w:eastAsia="仿宋" w:cs="仿宋"/>
          <w:b/>
          <w:bCs/>
          <w:color w:val="000000"/>
          <w:sz w:val="32"/>
          <w:szCs w:val="32"/>
          <w:highlight w:val="none"/>
        </w:rPr>
        <w:t>月</w:t>
      </w:r>
    </w:p>
    <w:p w14:paraId="01EEB74E">
      <w:pPr>
        <w:pStyle w:val="70"/>
        <w:keepNext/>
        <w:adjustRightInd w:val="0"/>
        <w:snapToGrid w:val="0"/>
        <w:spacing w:before="120" w:line="360" w:lineRule="auto"/>
        <w:ind w:left="2405" w:leftChars="304" w:hanging="1767" w:hangingChars="550"/>
        <w:jc w:val="both"/>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14:paraId="3A0A60C5">
      <w:pPr>
        <w:tabs>
          <w:tab w:val="left" w:pos="2070"/>
          <w:tab w:val="center" w:pos="4365"/>
        </w:tabs>
        <w:snapToGrid w:val="0"/>
        <w:spacing w:after="312" w:afterLines="100"/>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目   录</w:t>
      </w:r>
    </w:p>
    <w:p w14:paraId="1C053B69">
      <w:pPr>
        <w:pStyle w:val="22"/>
        <w:tabs>
          <w:tab w:val="right" w:leader="dot" w:pos="8948"/>
        </w:tabs>
        <w:spacing w:line="360" w:lineRule="auto"/>
        <w:rPr>
          <w:rFonts w:hint="eastAsia" w:ascii="仿宋" w:hAnsi="仿宋" w:eastAsia="仿宋" w:cs="仿宋"/>
          <w:color w:val="000000"/>
          <w:sz w:val="24"/>
          <w:highlight w:val="none"/>
        </w:rPr>
      </w:pPr>
    </w:p>
    <w:p w14:paraId="1DF0F8AE">
      <w:pPr>
        <w:pStyle w:val="22"/>
        <w:tabs>
          <w:tab w:val="right" w:leader="dot" w:pos="8958"/>
        </w:tabs>
        <w:spacing w:line="360" w:lineRule="auto"/>
        <w:rPr>
          <w:rFonts w:hint="eastAsia" w:ascii="仿宋" w:hAnsi="仿宋" w:eastAsia="仿宋" w:cs="仿宋"/>
          <w:highlight w:val="none"/>
        </w:rPr>
      </w:pPr>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"1-2" \h \z \u </w:instrText>
      </w:r>
      <w:r>
        <w:rPr>
          <w:rFonts w:hint="eastAsia" w:ascii="仿宋" w:hAnsi="仿宋" w:eastAsia="仿宋" w:cs="仿宋"/>
          <w:color w:val="000000"/>
          <w:sz w:val="24"/>
          <w:highlight w:val="none"/>
        </w:rPr>
        <w:fldChar w:fldCharType="separate"/>
      </w:r>
      <w:r>
        <w:rPr>
          <w:rFonts w:hint="eastAsia" w:ascii="仿宋" w:hAnsi="仿宋" w:eastAsia="仿宋" w:cs="仿宋"/>
          <w:color w:val="000000"/>
          <w:highlight w:val="none"/>
        </w:rPr>
        <w:fldChar w:fldCharType="begin"/>
      </w:r>
      <w:r>
        <w:rPr>
          <w:rFonts w:hint="eastAsia" w:ascii="仿宋" w:hAnsi="仿宋" w:eastAsia="仿宋" w:cs="仿宋"/>
          <w:highlight w:val="none"/>
        </w:rPr>
        <w:instrText xml:space="preserve"> HYPERLINK \l _Toc19433 </w:instrText>
      </w:r>
      <w:r>
        <w:rPr>
          <w:rFonts w:hint="eastAsia" w:ascii="仿宋" w:hAnsi="仿宋" w:eastAsia="仿宋" w:cs="仿宋"/>
          <w:highlight w:val="none"/>
        </w:rPr>
        <w:fldChar w:fldCharType="separate"/>
      </w:r>
      <w:r>
        <w:rPr>
          <w:rFonts w:hint="eastAsia" w:ascii="仿宋" w:hAnsi="仿宋" w:eastAsia="仿宋" w:cs="仿宋"/>
          <w:spacing w:val="20"/>
          <w:szCs w:val="28"/>
          <w:highlight w:val="none"/>
        </w:rPr>
        <w:t>第一部分  招标公告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_Toc19433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color w:val="000000"/>
          <w:highlight w:val="none"/>
        </w:rPr>
        <w:fldChar w:fldCharType="end"/>
      </w:r>
    </w:p>
    <w:p w14:paraId="17AA5641">
      <w:pPr>
        <w:pStyle w:val="22"/>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_Toc21332 </w:instrText>
      </w:r>
      <w:r>
        <w:rPr>
          <w:rFonts w:hint="eastAsia" w:ascii="仿宋" w:hAnsi="仿宋" w:eastAsia="仿宋" w:cs="仿宋"/>
          <w:highlight w:val="none"/>
        </w:rPr>
        <w:fldChar w:fldCharType="separate"/>
      </w:r>
      <w:r>
        <w:rPr>
          <w:rFonts w:hint="eastAsia" w:ascii="仿宋" w:hAnsi="仿宋" w:eastAsia="仿宋" w:cs="仿宋"/>
          <w:spacing w:val="20"/>
          <w:szCs w:val="28"/>
          <w:highlight w:val="none"/>
        </w:rPr>
        <w:t>第二部分  投标人须知前附表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_Toc21332 \h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74FDA98">
      <w:pPr>
        <w:pStyle w:val="22"/>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_Toc17581 </w:instrText>
      </w:r>
      <w:r>
        <w:rPr>
          <w:rFonts w:hint="eastAsia" w:ascii="仿宋" w:hAnsi="仿宋" w:eastAsia="仿宋" w:cs="仿宋"/>
          <w:highlight w:val="none"/>
        </w:rPr>
        <w:fldChar w:fldCharType="separate"/>
      </w:r>
      <w:r>
        <w:rPr>
          <w:rFonts w:hint="eastAsia" w:ascii="仿宋" w:hAnsi="仿宋" w:eastAsia="仿宋" w:cs="仿宋"/>
          <w:spacing w:val="20"/>
          <w:szCs w:val="28"/>
          <w:highlight w:val="none"/>
        </w:rPr>
        <w:t>第三部分  投标人须知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_Toc17581 \h </w:instrText>
      </w:r>
      <w:r>
        <w:rPr>
          <w:rFonts w:hint="eastAsia" w:ascii="仿宋" w:hAnsi="仿宋" w:eastAsia="仿宋" w:cs="仿宋"/>
          <w:highlight w:val="none"/>
        </w:rPr>
        <w:fldChar w:fldCharType="separate"/>
      </w:r>
      <w:r>
        <w:rPr>
          <w:rFonts w:hint="eastAsia" w:ascii="仿宋" w:hAnsi="仿宋" w:eastAsia="仿宋" w:cs="仿宋"/>
          <w:highlight w:val="none"/>
        </w:rPr>
        <w:t>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6C2783B">
      <w:pPr>
        <w:pStyle w:val="24"/>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_Toc28871 </w:instrText>
      </w:r>
      <w:r>
        <w:rPr>
          <w:rFonts w:hint="eastAsia" w:ascii="仿宋" w:hAnsi="仿宋" w:eastAsia="仿宋" w:cs="仿宋"/>
          <w:highlight w:val="none"/>
        </w:rPr>
        <w:fldChar w:fldCharType="separate"/>
      </w:r>
      <w:r>
        <w:rPr>
          <w:rFonts w:hint="eastAsia" w:ascii="仿宋" w:hAnsi="仿宋" w:eastAsia="仿宋" w:cs="仿宋"/>
          <w:spacing w:val="10"/>
          <w:szCs w:val="24"/>
          <w:highlight w:val="none"/>
        </w:rPr>
        <w:t>一、总则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_Toc28871 \h </w:instrText>
      </w:r>
      <w:r>
        <w:rPr>
          <w:rFonts w:hint="eastAsia" w:ascii="仿宋" w:hAnsi="仿宋" w:eastAsia="仿宋" w:cs="仿宋"/>
          <w:highlight w:val="none"/>
        </w:rPr>
        <w:fldChar w:fldCharType="separate"/>
      </w:r>
      <w:r>
        <w:rPr>
          <w:rFonts w:hint="eastAsia" w:ascii="仿宋" w:hAnsi="仿宋" w:eastAsia="仿宋" w:cs="仿宋"/>
          <w:highlight w:val="none"/>
        </w:rPr>
        <w:t>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376F778">
      <w:pPr>
        <w:pStyle w:val="24"/>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_Toc26424 </w:instrText>
      </w:r>
      <w:r>
        <w:rPr>
          <w:rFonts w:hint="eastAsia" w:ascii="仿宋" w:hAnsi="仿宋" w:eastAsia="仿宋" w:cs="仿宋"/>
          <w:highlight w:val="none"/>
        </w:rPr>
        <w:fldChar w:fldCharType="separate"/>
      </w:r>
      <w:r>
        <w:rPr>
          <w:rFonts w:hint="eastAsia" w:ascii="仿宋" w:hAnsi="仿宋" w:eastAsia="仿宋" w:cs="仿宋"/>
          <w:spacing w:val="10"/>
          <w:szCs w:val="24"/>
          <w:highlight w:val="none"/>
        </w:rPr>
        <w:t>二、招标文件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_Toc26424 \h </w:instrText>
      </w:r>
      <w:r>
        <w:rPr>
          <w:rFonts w:hint="eastAsia" w:ascii="仿宋" w:hAnsi="仿宋" w:eastAsia="仿宋" w:cs="仿宋"/>
          <w:highlight w:val="none"/>
        </w:rPr>
        <w:fldChar w:fldCharType="separate"/>
      </w:r>
      <w:r>
        <w:rPr>
          <w:rFonts w:hint="eastAsia" w:ascii="仿宋" w:hAnsi="仿宋" w:eastAsia="仿宋" w:cs="仿宋"/>
          <w:highlight w:val="none"/>
        </w:rPr>
        <w:t>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CB78CB8">
      <w:pPr>
        <w:pStyle w:val="24"/>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_Toc25107 </w:instrText>
      </w:r>
      <w:r>
        <w:rPr>
          <w:rFonts w:hint="eastAsia" w:ascii="仿宋" w:hAnsi="仿宋" w:eastAsia="仿宋" w:cs="仿宋"/>
          <w:highlight w:val="none"/>
        </w:rPr>
        <w:fldChar w:fldCharType="separate"/>
      </w:r>
      <w:r>
        <w:rPr>
          <w:rFonts w:hint="eastAsia" w:ascii="仿宋" w:hAnsi="仿宋" w:eastAsia="仿宋" w:cs="仿宋"/>
          <w:spacing w:val="10"/>
          <w:szCs w:val="24"/>
          <w:highlight w:val="none"/>
        </w:rPr>
        <w:t>三、投标文件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_Toc25107 \h </w:instrText>
      </w:r>
      <w:r>
        <w:rPr>
          <w:rFonts w:hint="eastAsia" w:ascii="仿宋" w:hAnsi="仿宋" w:eastAsia="仿宋" w:cs="仿宋"/>
          <w:highlight w:val="none"/>
        </w:rPr>
        <w:fldChar w:fldCharType="separate"/>
      </w:r>
      <w:r>
        <w:rPr>
          <w:rFonts w:hint="eastAsia" w:ascii="仿宋" w:hAnsi="仿宋" w:eastAsia="仿宋" w:cs="仿宋"/>
          <w:highlight w:val="none"/>
        </w:rPr>
        <w:t>10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09537F7">
      <w:pPr>
        <w:pStyle w:val="24"/>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_Toc11179 </w:instrText>
      </w:r>
      <w:r>
        <w:rPr>
          <w:rFonts w:hint="eastAsia" w:ascii="仿宋" w:hAnsi="仿宋" w:eastAsia="仿宋" w:cs="仿宋"/>
          <w:highlight w:val="none"/>
        </w:rPr>
        <w:fldChar w:fldCharType="separate"/>
      </w:r>
      <w:r>
        <w:rPr>
          <w:rFonts w:hint="eastAsia" w:ascii="仿宋" w:hAnsi="仿宋" w:eastAsia="仿宋" w:cs="仿宋"/>
          <w:spacing w:val="10"/>
          <w:szCs w:val="24"/>
          <w:highlight w:val="none"/>
        </w:rPr>
        <w:t>四、投标文件的递交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_Toc11179 \h </w:instrText>
      </w:r>
      <w:r>
        <w:rPr>
          <w:rFonts w:hint="eastAsia" w:ascii="仿宋" w:hAnsi="仿宋" w:eastAsia="仿宋" w:cs="仿宋"/>
          <w:highlight w:val="none"/>
        </w:rPr>
        <w:fldChar w:fldCharType="separate"/>
      </w:r>
      <w:r>
        <w:rPr>
          <w:rFonts w:hint="eastAsia" w:ascii="仿宋" w:hAnsi="仿宋" w:eastAsia="仿宋" w:cs="仿宋"/>
          <w:highlight w:val="none"/>
        </w:rPr>
        <w:t>13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148C324">
      <w:pPr>
        <w:pStyle w:val="24"/>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_Toc25180 </w:instrText>
      </w:r>
      <w:r>
        <w:rPr>
          <w:rFonts w:hint="eastAsia" w:ascii="仿宋" w:hAnsi="仿宋" w:eastAsia="仿宋" w:cs="仿宋"/>
          <w:highlight w:val="none"/>
        </w:rPr>
        <w:fldChar w:fldCharType="separate"/>
      </w:r>
      <w:r>
        <w:rPr>
          <w:rFonts w:hint="eastAsia" w:ascii="仿宋" w:hAnsi="仿宋" w:eastAsia="仿宋" w:cs="仿宋"/>
          <w:spacing w:val="10"/>
          <w:szCs w:val="24"/>
          <w:highlight w:val="none"/>
        </w:rPr>
        <w:t>五、开标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_Toc25180 \h </w:instrText>
      </w:r>
      <w:r>
        <w:rPr>
          <w:rFonts w:hint="eastAsia" w:ascii="仿宋" w:hAnsi="仿宋" w:eastAsia="仿宋" w:cs="仿宋"/>
          <w:highlight w:val="none"/>
        </w:rPr>
        <w:fldChar w:fldCharType="separate"/>
      </w:r>
      <w:r>
        <w:rPr>
          <w:rFonts w:hint="eastAsia" w:ascii="仿宋" w:hAnsi="仿宋" w:eastAsia="仿宋" w:cs="仿宋"/>
          <w:highlight w:val="none"/>
        </w:rPr>
        <w:t>14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9BF2B48">
      <w:pPr>
        <w:pStyle w:val="24"/>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_Toc32271 </w:instrText>
      </w:r>
      <w:r>
        <w:rPr>
          <w:rFonts w:hint="eastAsia" w:ascii="仿宋" w:hAnsi="仿宋" w:eastAsia="仿宋" w:cs="仿宋"/>
          <w:highlight w:val="none"/>
        </w:rPr>
        <w:fldChar w:fldCharType="separate"/>
      </w:r>
      <w:r>
        <w:rPr>
          <w:rFonts w:hint="eastAsia" w:ascii="仿宋" w:hAnsi="仿宋" w:eastAsia="仿宋" w:cs="仿宋"/>
          <w:spacing w:val="10"/>
          <w:szCs w:val="24"/>
          <w:highlight w:val="none"/>
        </w:rPr>
        <w:t>六、评标程序和要求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_Toc32271 \h </w:instrText>
      </w:r>
      <w:r>
        <w:rPr>
          <w:rFonts w:hint="eastAsia" w:ascii="仿宋" w:hAnsi="仿宋" w:eastAsia="仿宋" w:cs="仿宋"/>
          <w:highlight w:val="none"/>
        </w:rPr>
        <w:fldChar w:fldCharType="separate"/>
      </w:r>
      <w:r>
        <w:rPr>
          <w:rFonts w:hint="eastAsia" w:ascii="仿宋" w:hAnsi="仿宋" w:eastAsia="仿宋" w:cs="仿宋"/>
          <w:highlight w:val="none"/>
        </w:rPr>
        <w:t>14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83EA402">
      <w:pPr>
        <w:pStyle w:val="24"/>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_Toc15635 </w:instrText>
      </w:r>
      <w:r>
        <w:rPr>
          <w:rFonts w:hint="eastAsia" w:ascii="仿宋" w:hAnsi="仿宋" w:eastAsia="仿宋" w:cs="仿宋"/>
          <w:highlight w:val="none"/>
        </w:rPr>
        <w:fldChar w:fldCharType="separate"/>
      </w:r>
      <w:r>
        <w:rPr>
          <w:rFonts w:hint="eastAsia" w:ascii="仿宋" w:hAnsi="仿宋" w:eastAsia="仿宋" w:cs="仿宋"/>
          <w:spacing w:val="10"/>
          <w:szCs w:val="24"/>
          <w:highlight w:val="none"/>
        </w:rPr>
        <w:t>七、签订合同</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_Toc15635 \h </w:instrText>
      </w:r>
      <w:r>
        <w:rPr>
          <w:rFonts w:hint="eastAsia" w:ascii="仿宋" w:hAnsi="仿宋" w:eastAsia="仿宋" w:cs="仿宋"/>
          <w:highlight w:val="none"/>
        </w:rPr>
        <w:fldChar w:fldCharType="separate"/>
      </w:r>
      <w:r>
        <w:rPr>
          <w:rFonts w:hint="eastAsia" w:ascii="仿宋" w:hAnsi="仿宋" w:eastAsia="仿宋" w:cs="仿宋"/>
          <w:highlight w:val="none"/>
        </w:rPr>
        <w:t>18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F0E466F">
      <w:pPr>
        <w:pStyle w:val="24"/>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_Toc5466 </w:instrText>
      </w:r>
      <w:r>
        <w:rPr>
          <w:rFonts w:hint="eastAsia" w:ascii="仿宋" w:hAnsi="仿宋" w:eastAsia="仿宋" w:cs="仿宋"/>
          <w:highlight w:val="none"/>
        </w:rPr>
        <w:fldChar w:fldCharType="separate"/>
      </w:r>
      <w:r>
        <w:rPr>
          <w:rFonts w:hint="eastAsia" w:ascii="仿宋" w:hAnsi="仿宋" w:eastAsia="仿宋" w:cs="仿宋"/>
          <w:spacing w:val="10"/>
          <w:szCs w:val="24"/>
          <w:highlight w:val="none"/>
        </w:rPr>
        <w:t>八、招标代理服务费</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_Toc5466 \h </w:instrText>
      </w:r>
      <w:r>
        <w:rPr>
          <w:rFonts w:hint="eastAsia" w:ascii="仿宋" w:hAnsi="仿宋" w:eastAsia="仿宋" w:cs="仿宋"/>
          <w:highlight w:val="none"/>
        </w:rPr>
        <w:fldChar w:fldCharType="separate"/>
      </w:r>
      <w:r>
        <w:rPr>
          <w:rFonts w:hint="eastAsia" w:ascii="仿宋" w:hAnsi="仿宋" w:eastAsia="仿宋" w:cs="仿宋"/>
          <w:highlight w:val="none"/>
        </w:rPr>
        <w:t>19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07B9540">
      <w:pPr>
        <w:pStyle w:val="24"/>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_Toc10622 </w:instrText>
      </w:r>
      <w:r>
        <w:rPr>
          <w:rFonts w:hint="eastAsia" w:ascii="仿宋" w:hAnsi="仿宋" w:eastAsia="仿宋" w:cs="仿宋"/>
          <w:highlight w:val="none"/>
        </w:rPr>
        <w:fldChar w:fldCharType="separate"/>
      </w:r>
      <w:r>
        <w:rPr>
          <w:rFonts w:hint="eastAsia" w:ascii="仿宋" w:hAnsi="仿宋" w:eastAsia="仿宋" w:cs="仿宋"/>
          <w:spacing w:val="10"/>
          <w:szCs w:val="24"/>
          <w:highlight w:val="none"/>
        </w:rPr>
        <w:t>九、保密和披露</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_Toc10622 \h </w:instrText>
      </w:r>
      <w:r>
        <w:rPr>
          <w:rFonts w:hint="eastAsia" w:ascii="仿宋" w:hAnsi="仿宋" w:eastAsia="仿宋" w:cs="仿宋"/>
          <w:highlight w:val="none"/>
        </w:rPr>
        <w:fldChar w:fldCharType="separate"/>
      </w:r>
      <w:r>
        <w:rPr>
          <w:rFonts w:hint="eastAsia" w:ascii="仿宋" w:hAnsi="仿宋" w:eastAsia="仿宋" w:cs="仿宋"/>
          <w:highlight w:val="none"/>
        </w:rPr>
        <w:t>19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754094C">
      <w:pPr>
        <w:pStyle w:val="24"/>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_Toc16217 </w:instrText>
      </w:r>
      <w:r>
        <w:rPr>
          <w:rFonts w:hint="eastAsia" w:ascii="仿宋" w:hAnsi="仿宋" w:eastAsia="仿宋" w:cs="仿宋"/>
          <w:highlight w:val="none"/>
        </w:rPr>
        <w:fldChar w:fldCharType="separate"/>
      </w:r>
      <w:r>
        <w:rPr>
          <w:rFonts w:hint="eastAsia" w:ascii="仿宋" w:hAnsi="仿宋" w:eastAsia="仿宋" w:cs="仿宋"/>
          <w:spacing w:val="10"/>
          <w:szCs w:val="24"/>
          <w:highlight w:val="none"/>
        </w:rPr>
        <w:t>十、询问和质疑</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_Toc16217 \h </w:instrText>
      </w:r>
      <w:r>
        <w:rPr>
          <w:rFonts w:hint="eastAsia" w:ascii="仿宋" w:hAnsi="仿宋" w:eastAsia="仿宋" w:cs="仿宋"/>
          <w:highlight w:val="none"/>
        </w:rPr>
        <w:fldChar w:fldCharType="separate"/>
      </w:r>
      <w:r>
        <w:rPr>
          <w:rFonts w:hint="eastAsia" w:ascii="仿宋" w:hAnsi="仿宋" w:eastAsia="仿宋" w:cs="仿宋"/>
          <w:highlight w:val="none"/>
        </w:rPr>
        <w:t>19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0F76ECF">
      <w:pPr>
        <w:pStyle w:val="22"/>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_Toc19301 </w:instrText>
      </w:r>
      <w:r>
        <w:rPr>
          <w:rFonts w:hint="eastAsia" w:ascii="仿宋" w:hAnsi="仿宋" w:eastAsia="仿宋" w:cs="仿宋"/>
          <w:highlight w:val="none"/>
        </w:rPr>
        <w:fldChar w:fldCharType="separate"/>
      </w:r>
      <w:r>
        <w:rPr>
          <w:rFonts w:hint="eastAsia" w:ascii="仿宋" w:hAnsi="仿宋" w:eastAsia="仿宋" w:cs="仿宋"/>
          <w:spacing w:val="20"/>
          <w:szCs w:val="28"/>
          <w:highlight w:val="none"/>
        </w:rPr>
        <w:t>第四部分  商务、技术要求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_Toc19301 \h </w:instrText>
      </w:r>
      <w:r>
        <w:rPr>
          <w:rFonts w:hint="eastAsia" w:ascii="仿宋" w:hAnsi="仿宋" w:eastAsia="仿宋" w:cs="仿宋"/>
          <w:highlight w:val="none"/>
        </w:rPr>
        <w:fldChar w:fldCharType="separate"/>
      </w:r>
      <w:r>
        <w:rPr>
          <w:rFonts w:hint="eastAsia" w:ascii="仿宋" w:hAnsi="仿宋" w:eastAsia="仿宋" w:cs="仿宋"/>
          <w:highlight w:val="none"/>
        </w:rPr>
        <w:t>21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4EE0139">
      <w:pPr>
        <w:pStyle w:val="22"/>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_Toc12571 </w:instrText>
      </w:r>
      <w:r>
        <w:rPr>
          <w:rFonts w:hint="eastAsia" w:ascii="仿宋" w:hAnsi="仿宋" w:eastAsia="仿宋" w:cs="仿宋"/>
          <w:highlight w:val="none"/>
        </w:rPr>
        <w:fldChar w:fldCharType="separate"/>
      </w:r>
      <w:r>
        <w:rPr>
          <w:rFonts w:hint="eastAsia" w:ascii="仿宋" w:hAnsi="仿宋" w:eastAsia="仿宋" w:cs="仿宋"/>
          <w:spacing w:val="20"/>
          <w:szCs w:val="28"/>
          <w:highlight w:val="none"/>
        </w:rPr>
        <w:t>第五部分  评标标准和评标方法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_Toc12571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E130B3A">
      <w:pPr>
        <w:pStyle w:val="22"/>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_Toc19037 </w:instrText>
      </w:r>
      <w:r>
        <w:rPr>
          <w:rFonts w:hint="eastAsia" w:ascii="仿宋" w:hAnsi="仿宋" w:eastAsia="仿宋" w:cs="仿宋"/>
          <w:highlight w:val="none"/>
        </w:rPr>
        <w:fldChar w:fldCharType="separate"/>
      </w:r>
      <w:r>
        <w:rPr>
          <w:rFonts w:hint="eastAsia" w:ascii="仿宋" w:hAnsi="仿宋" w:eastAsia="仿宋" w:cs="仿宋"/>
          <w:spacing w:val="20"/>
          <w:szCs w:val="28"/>
          <w:highlight w:val="none"/>
        </w:rPr>
        <w:t>第六部分  合同原则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_Toc19037 \h </w:instrText>
      </w:r>
      <w:r>
        <w:rPr>
          <w:rFonts w:hint="eastAsia" w:ascii="仿宋" w:hAnsi="仿宋" w:eastAsia="仿宋" w:cs="仿宋"/>
          <w:highlight w:val="none"/>
        </w:rPr>
        <w:fldChar w:fldCharType="separate"/>
      </w:r>
      <w:r>
        <w:rPr>
          <w:rFonts w:hint="eastAsia" w:ascii="仿宋" w:hAnsi="仿宋" w:eastAsia="仿宋" w:cs="仿宋"/>
          <w:highlight w:val="none"/>
        </w:rPr>
        <w:t>37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423DD92">
      <w:pPr>
        <w:pStyle w:val="22"/>
        <w:tabs>
          <w:tab w:val="right" w:leader="dot" w:pos="8958"/>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_Toc15439 </w:instrText>
      </w:r>
      <w:r>
        <w:rPr>
          <w:rFonts w:hint="eastAsia" w:ascii="仿宋" w:hAnsi="仿宋" w:eastAsia="仿宋" w:cs="仿宋"/>
          <w:highlight w:val="none"/>
        </w:rPr>
        <w:fldChar w:fldCharType="separate"/>
      </w:r>
      <w:r>
        <w:rPr>
          <w:rFonts w:hint="eastAsia" w:ascii="仿宋" w:hAnsi="仿宋" w:eastAsia="仿宋" w:cs="仿宋"/>
          <w:spacing w:val="20"/>
          <w:szCs w:val="28"/>
          <w:highlight w:val="none"/>
        </w:rPr>
        <w:t>第七部分  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_Toc15439 \h </w:instrText>
      </w:r>
      <w:r>
        <w:rPr>
          <w:rFonts w:hint="eastAsia" w:ascii="仿宋" w:hAnsi="仿宋" w:eastAsia="仿宋" w:cs="仿宋"/>
          <w:highlight w:val="none"/>
        </w:rPr>
        <w:fldChar w:fldCharType="separate"/>
      </w:r>
      <w:r>
        <w:rPr>
          <w:rFonts w:hint="eastAsia" w:ascii="仿宋" w:hAnsi="仿宋" w:eastAsia="仿宋" w:cs="仿宋"/>
          <w:highlight w:val="none"/>
        </w:rPr>
        <w:t>42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A65ABE2">
      <w:pPr>
        <w:pStyle w:val="22"/>
        <w:tabs>
          <w:tab w:val="right" w:leader="dot" w:pos="8958"/>
        </w:tabs>
        <w:spacing w:line="360" w:lineRule="auto"/>
        <w:rPr>
          <w:rFonts w:hint="eastAsia" w:ascii="仿宋" w:hAnsi="仿宋" w:eastAsia="仿宋" w:cs="仿宋"/>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_Toc17063 </w:instrText>
      </w:r>
      <w:r>
        <w:rPr>
          <w:rFonts w:hint="eastAsia" w:ascii="仿宋" w:hAnsi="仿宋" w:eastAsia="仿宋" w:cs="仿宋"/>
          <w:highlight w:val="none"/>
        </w:rPr>
        <w:fldChar w:fldCharType="separate"/>
      </w:r>
      <w:r>
        <w:rPr>
          <w:rFonts w:hint="eastAsia" w:ascii="仿宋" w:hAnsi="仿宋" w:eastAsia="仿宋" w:cs="仿宋"/>
          <w:spacing w:val="20"/>
          <w:szCs w:val="28"/>
          <w:highlight w:val="none"/>
        </w:rPr>
        <w:t>第八部分  相关附件</w:t>
      </w:r>
      <w:r>
        <w:rPr>
          <w:rFonts w:hint="eastAsia" w:ascii="仿宋" w:hAnsi="仿宋" w:eastAsia="仿宋" w:cs="仿宋"/>
          <w:highlight w:val="none"/>
        </w:rPr>
        <w:tab/>
      </w:r>
      <w:r>
        <w:rPr>
          <w:rFonts w:hint="eastAsia" w:ascii="仿宋" w:hAnsi="仿宋" w:eastAsia="仿宋" w:cs="仿宋"/>
          <w:highlight w:val="none"/>
          <w:lang w:val="en-US" w:eastAsia="zh-CN"/>
        </w:rPr>
        <w:t>6</w:t>
      </w:r>
      <w:r>
        <w:rPr>
          <w:rFonts w:hint="eastAsia" w:ascii="仿宋" w:hAnsi="仿宋" w:eastAsia="仿宋" w:cs="仿宋"/>
          <w:highlight w:val="none"/>
        </w:rPr>
        <w:fldChar w:fldCharType="end"/>
      </w:r>
      <w:r>
        <w:rPr>
          <w:rFonts w:hint="eastAsia" w:ascii="仿宋" w:hAnsi="仿宋" w:eastAsia="仿宋" w:cs="仿宋"/>
          <w:highlight w:val="none"/>
          <w:lang w:val="en-US" w:eastAsia="zh-CN"/>
        </w:rPr>
        <w:t>3</w:t>
      </w:r>
    </w:p>
    <w:p w14:paraId="50E83C6B">
      <w:pPr>
        <w:spacing w:line="360" w:lineRule="auto"/>
        <w:rPr>
          <w:rFonts w:hint="eastAsia" w:ascii="仿宋" w:hAnsi="仿宋" w:eastAsia="仿宋" w:cs="仿宋"/>
          <w:highlight w:val="none"/>
        </w:rPr>
      </w:pPr>
      <w:r>
        <w:rPr>
          <w:rFonts w:hint="eastAsia" w:ascii="仿宋" w:hAnsi="仿宋" w:eastAsia="仿宋" w:cs="仿宋"/>
          <w:highlight w:val="none"/>
        </w:rPr>
        <w:fldChar w:fldCharType="end"/>
      </w:r>
    </w:p>
    <w:p w14:paraId="73E50D74">
      <w:pPr>
        <w:rPr>
          <w:rFonts w:hint="eastAsia" w:ascii="仿宋" w:hAnsi="仿宋" w:eastAsia="仿宋" w:cs="仿宋"/>
          <w:highlight w:val="none"/>
        </w:rPr>
      </w:pPr>
    </w:p>
    <w:p w14:paraId="36A961DA">
      <w:pPr>
        <w:rPr>
          <w:rFonts w:hint="eastAsia" w:ascii="仿宋" w:hAnsi="仿宋" w:eastAsia="仿宋" w:cs="仿宋"/>
          <w:highlight w:val="none"/>
        </w:rPr>
      </w:pPr>
    </w:p>
    <w:p w14:paraId="717A6073">
      <w:pPr>
        <w:rPr>
          <w:rFonts w:hint="eastAsia" w:ascii="仿宋" w:hAnsi="仿宋" w:eastAsia="仿宋" w:cs="仿宋"/>
          <w:highlight w:val="none"/>
        </w:rPr>
      </w:pPr>
    </w:p>
    <w:p w14:paraId="4F9A3EA5">
      <w:pPr>
        <w:rPr>
          <w:rFonts w:hint="eastAsia" w:ascii="仿宋" w:hAnsi="仿宋" w:eastAsia="仿宋" w:cs="仿宋"/>
          <w:highlight w:val="none"/>
        </w:rPr>
      </w:pPr>
    </w:p>
    <w:p w14:paraId="4DF34533">
      <w:pPr>
        <w:rPr>
          <w:rFonts w:hint="eastAsia" w:ascii="仿宋" w:hAnsi="仿宋" w:eastAsia="仿宋" w:cs="仿宋"/>
          <w:highlight w:val="none"/>
        </w:rPr>
      </w:pPr>
    </w:p>
    <w:p w14:paraId="632256FF">
      <w:pPr>
        <w:pStyle w:val="2"/>
        <w:rPr>
          <w:rFonts w:hint="eastAsia" w:ascii="仿宋" w:hAnsi="仿宋" w:eastAsia="仿宋" w:cs="仿宋"/>
          <w:highlight w:val="none"/>
        </w:rPr>
      </w:pPr>
    </w:p>
    <w:p w14:paraId="51EF1E54">
      <w:pPr>
        <w:pStyle w:val="2"/>
        <w:rPr>
          <w:rFonts w:hint="eastAsia" w:ascii="仿宋" w:hAnsi="仿宋" w:eastAsia="仿宋" w:cs="仿宋"/>
          <w:highlight w:val="none"/>
        </w:rPr>
      </w:pPr>
    </w:p>
    <w:p w14:paraId="15FCECE6">
      <w:pPr>
        <w:rPr>
          <w:rFonts w:hint="eastAsia" w:ascii="仿宋" w:hAnsi="仿宋" w:eastAsia="仿宋" w:cs="仿宋"/>
          <w:highlight w:val="none"/>
        </w:rPr>
      </w:pPr>
    </w:p>
    <w:p w14:paraId="3C4C57FF">
      <w:pPr>
        <w:pStyle w:val="2"/>
        <w:rPr>
          <w:rFonts w:hint="eastAsia" w:ascii="仿宋" w:hAnsi="仿宋" w:eastAsia="仿宋" w:cs="仿宋"/>
          <w:highlight w:val="none"/>
        </w:rPr>
      </w:pPr>
    </w:p>
    <w:p w14:paraId="27F064B1">
      <w:pPr>
        <w:pStyle w:val="2"/>
        <w:rPr>
          <w:rFonts w:hint="eastAsia" w:ascii="仿宋" w:hAnsi="仿宋" w:eastAsia="仿宋" w:cs="仿宋"/>
          <w:highlight w:val="none"/>
        </w:rPr>
      </w:pPr>
    </w:p>
    <w:p w14:paraId="7E71ABB0">
      <w:pPr>
        <w:pStyle w:val="2"/>
        <w:rPr>
          <w:rFonts w:hint="eastAsia" w:ascii="仿宋" w:hAnsi="仿宋" w:eastAsia="仿宋" w:cs="仿宋"/>
          <w:highlight w:val="none"/>
        </w:rPr>
      </w:pPr>
    </w:p>
    <w:p w14:paraId="07111988">
      <w:pPr>
        <w:pStyle w:val="2"/>
        <w:rPr>
          <w:rFonts w:hint="eastAsia" w:ascii="仿宋" w:hAnsi="仿宋" w:eastAsia="仿宋" w:cs="仿宋"/>
          <w:highlight w:val="none"/>
        </w:rPr>
      </w:pPr>
    </w:p>
    <w:p w14:paraId="31A53088">
      <w:pPr>
        <w:pStyle w:val="2"/>
        <w:rPr>
          <w:rFonts w:hint="eastAsia" w:ascii="仿宋" w:hAnsi="仿宋" w:eastAsia="仿宋" w:cs="仿宋"/>
          <w:highlight w:val="none"/>
        </w:rPr>
      </w:pPr>
    </w:p>
    <w:p w14:paraId="78A2D3BE">
      <w:pPr>
        <w:pStyle w:val="2"/>
        <w:rPr>
          <w:rFonts w:hint="eastAsia" w:ascii="仿宋" w:hAnsi="仿宋" w:eastAsia="仿宋" w:cs="仿宋"/>
          <w:highlight w:val="none"/>
        </w:rPr>
        <w:sectPr>
          <w:footerReference r:id="rId4" w:type="first"/>
          <w:headerReference r:id="rId3" w:type="default"/>
          <w:pgSz w:w="11906" w:h="16838"/>
          <w:pgMar w:top="1418" w:right="1474" w:bottom="1560" w:left="1474" w:header="851" w:footer="992" w:gutter="0"/>
          <w:pgNumType w:start="1"/>
          <w:cols w:space="720" w:num="1"/>
          <w:titlePg/>
          <w:docGrid w:type="lines" w:linePitch="312" w:charSpace="0"/>
        </w:sectPr>
      </w:pPr>
    </w:p>
    <w:p w14:paraId="763927DD">
      <w:pPr>
        <w:pStyle w:val="65"/>
        <w:numPr>
          <w:ilvl w:val="0"/>
          <w:numId w:val="0"/>
        </w:numPr>
        <w:snapToGrid w:val="0"/>
        <w:spacing w:before="0" w:after="0"/>
        <w:rPr>
          <w:rFonts w:hint="eastAsia" w:ascii="仿宋" w:hAnsi="仿宋" w:eastAsia="仿宋" w:cs="仿宋"/>
          <w:color w:val="000000"/>
          <w:spacing w:val="20"/>
          <w:szCs w:val="28"/>
          <w:highlight w:val="none"/>
        </w:rPr>
      </w:pPr>
      <w:r>
        <w:rPr>
          <w:rFonts w:hint="eastAsia" w:ascii="仿宋" w:hAnsi="仿宋" w:eastAsia="仿宋" w:cs="仿宋"/>
          <w:color w:val="000000"/>
          <w:highlight w:val="none"/>
        </w:rPr>
        <w:t xml:space="preserve"> </w:t>
      </w:r>
      <w:bookmarkStart w:id="2" w:name="_Toc352761927"/>
      <w:bookmarkStart w:id="3" w:name="_Toc19433"/>
      <w:r>
        <w:rPr>
          <w:rFonts w:hint="eastAsia" w:ascii="仿宋" w:hAnsi="仿宋" w:eastAsia="仿宋" w:cs="仿宋"/>
          <w:color w:val="000000"/>
          <w:spacing w:val="20"/>
          <w:szCs w:val="28"/>
          <w:highlight w:val="none"/>
        </w:rPr>
        <w:t xml:space="preserve">第一部分  </w:t>
      </w:r>
      <w:bookmarkEnd w:id="2"/>
      <w:r>
        <w:rPr>
          <w:rFonts w:hint="eastAsia" w:ascii="仿宋" w:hAnsi="仿宋" w:eastAsia="仿宋" w:cs="仿宋"/>
          <w:color w:val="000000"/>
          <w:spacing w:val="20"/>
          <w:szCs w:val="28"/>
          <w:highlight w:val="none"/>
        </w:rPr>
        <w:t>招标公告</w:t>
      </w:r>
      <w:bookmarkEnd w:id="3"/>
    </w:p>
    <w:p w14:paraId="560FEA44">
      <w:pPr>
        <w:pStyle w:val="65"/>
        <w:numPr>
          <w:ilvl w:val="0"/>
          <w:numId w:val="0"/>
        </w:numPr>
        <w:snapToGrid w:val="0"/>
        <w:spacing w:before="0" w:after="0"/>
        <w:rPr>
          <w:rFonts w:hint="eastAsia" w:ascii="仿宋" w:hAnsi="仿宋" w:eastAsia="仿宋" w:cs="仿宋"/>
          <w:color w:val="000000"/>
          <w:spacing w:val="20"/>
          <w:szCs w:val="28"/>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5ABF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Pr>
          <w:p w14:paraId="416D9F30">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项目概况</w:t>
            </w:r>
          </w:p>
          <w:p w14:paraId="7E41EFE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仿宋" w:hAnsi="仿宋" w:eastAsia="仿宋" w:cs="仿宋"/>
                <w:b/>
                <w:bCs/>
                <w:color w:val="000000"/>
                <w:sz w:val="21"/>
                <w:szCs w:val="21"/>
                <w:highlight w:val="none"/>
                <w:vertAlign w:val="baseline"/>
              </w:rPr>
            </w:pPr>
            <w:r>
              <w:rPr>
                <w:rFonts w:hint="eastAsia" w:ascii="仿宋" w:hAnsi="仿宋" w:eastAsia="仿宋" w:cs="仿宋"/>
                <w:color w:val="auto"/>
                <w:sz w:val="21"/>
                <w:szCs w:val="21"/>
                <w:highlight w:val="none"/>
                <w:lang w:val="en" w:eastAsia="zh-CN"/>
              </w:rPr>
              <w:t>侯马市民政局购买乡（街道）民政服务站项目</w:t>
            </w:r>
            <w:r>
              <w:rPr>
                <w:rFonts w:hint="eastAsia" w:ascii="仿宋" w:hAnsi="仿宋" w:eastAsia="仿宋" w:cs="仿宋"/>
                <w:color w:val="auto"/>
                <w:sz w:val="21"/>
                <w:szCs w:val="21"/>
                <w:highlight w:val="none"/>
                <w:lang w:val="en"/>
              </w:rPr>
              <w:t>采购项目的潜在投标人应在山西省政府采购网（http://www.ccgp-shanxi.gov.cn/home.html）采购平台免费获取</w:t>
            </w:r>
            <w:r>
              <w:rPr>
                <w:rFonts w:hint="eastAsia" w:ascii="仿宋" w:hAnsi="仿宋" w:eastAsia="仿宋" w:cs="仿宋"/>
                <w:color w:val="auto"/>
                <w:sz w:val="21"/>
                <w:szCs w:val="21"/>
                <w:highlight w:val="none"/>
              </w:rPr>
              <w:t>招标文件，并于</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6</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15</w:t>
            </w: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09</w:t>
            </w:r>
            <w:r>
              <w:rPr>
                <w:rFonts w:hint="eastAsia" w:ascii="仿宋" w:hAnsi="仿宋" w:eastAsia="仿宋" w:cs="仿宋"/>
                <w:bCs/>
                <w:color w:val="auto"/>
                <w:sz w:val="21"/>
                <w:szCs w:val="21"/>
                <w:highlight w:val="none"/>
              </w:rPr>
              <w:t>点</w:t>
            </w:r>
            <w:r>
              <w:rPr>
                <w:rFonts w:hint="eastAsia" w:ascii="仿宋" w:hAnsi="仿宋" w:eastAsia="仿宋" w:cs="仿宋"/>
                <w:bCs/>
                <w:color w:val="auto"/>
                <w:sz w:val="21"/>
                <w:szCs w:val="21"/>
                <w:highlight w:val="none"/>
                <w:lang w:val="en-US" w:eastAsia="zh-CN"/>
              </w:rPr>
              <w:t>00</w:t>
            </w:r>
            <w:r>
              <w:rPr>
                <w:rFonts w:hint="eastAsia" w:ascii="仿宋" w:hAnsi="仿宋" w:eastAsia="仿宋" w:cs="仿宋"/>
                <w:bCs/>
                <w:color w:val="auto"/>
                <w:sz w:val="21"/>
                <w:szCs w:val="21"/>
                <w:highlight w:val="none"/>
              </w:rPr>
              <w:t>分（北京时间）前递交投标文件</w:t>
            </w:r>
            <w:r>
              <w:rPr>
                <w:rFonts w:hint="eastAsia" w:ascii="仿宋" w:hAnsi="仿宋" w:eastAsia="仿宋" w:cs="仿宋"/>
                <w:color w:val="auto"/>
                <w:sz w:val="21"/>
                <w:szCs w:val="21"/>
                <w:highlight w:val="none"/>
              </w:rPr>
              <w:t>。</w:t>
            </w:r>
          </w:p>
        </w:tc>
      </w:tr>
    </w:tbl>
    <w:p w14:paraId="17BFF904">
      <w:pPr>
        <w:pStyle w:val="26"/>
        <w:autoSpaceDE w:val="0"/>
        <w:adjustRightInd w:val="0"/>
        <w:snapToGrid w:val="0"/>
        <w:spacing w:before="0" w:beforeAutospacing="0" w:after="0" w:afterAutospacing="0" w:line="360" w:lineRule="auto"/>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一、项目基本情况：</w:t>
      </w:r>
    </w:p>
    <w:p w14:paraId="5D22C5D0">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项目编号</w:t>
      </w:r>
      <w:r>
        <w:rPr>
          <w:rFonts w:hint="eastAsia" w:ascii="仿宋" w:hAnsi="仿宋" w:eastAsia="仿宋" w:cs="仿宋"/>
          <w:color w:val="auto"/>
          <w:sz w:val="21"/>
          <w:szCs w:val="21"/>
          <w:highlight w:val="none"/>
        </w:rPr>
        <w:t>：1410812026CGK00028</w:t>
      </w:r>
    </w:p>
    <w:p w14:paraId="050D90BB">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bookmarkStart w:id="4" w:name="_Hlk110193452"/>
      <w:r>
        <w:rPr>
          <w:rFonts w:hint="eastAsia" w:ascii="仿宋" w:hAnsi="仿宋" w:eastAsia="仿宋" w:cs="仿宋"/>
          <w:color w:val="000000"/>
          <w:sz w:val="21"/>
          <w:szCs w:val="21"/>
          <w:highlight w:val="none"/>
        </w:rPr>
        <w:t>项目名称：</w:t>
      </w:r>
      <w:bookmarkEnd w:id="4"/>
      <w:r>
        <w:rPr>
          <w:rFonts w:hint="eastAsia" w:ascii="仿宋" w:hAnsi="仿宋" w:eastAsia="仿宋" w:cs="仿宋"/>
          <w:color w:val="000000"/>
          <w:sz w:val="21"/>
          <w:szCs w:val="21"/>
          <w:highlight w:val="none"/>
          <w:lang w:eastAsia="zh-CN"/>
        </w:rPr>
        <w:t>侯马市民政局购买乡（街道）民政服务站项目</w:t>
      </w:r>
    </w:p>
    <w:p w14:paraId="5F23F47F">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3、采购方式：公开招标；</w:t>
      </w:r>
    </w:p>
    <w:p w14:paraId="2D2622A3">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4、预算金额：</w:t>
      </w:r>
      <w:r>
        <w:rPr>
          <w:rFonts w:hint="eastAsia" w:ascii="仿宋" w:hAnsi="仿宋" w:eastAsia="仿宋" w:cs="仿宋"/>
          <w:color w:val="000000"/>
          <w:sz w:val="21"/>
          <w:szCs w:val="21"/>
          <w:highlight w:val="none"/>
          <w:lang w:eastAsia="zh-CN"/>
        </w:rPr>
        <w:t>4827300</w:t>
      </w:r>
      <w:r>
        <w:rPr>
          <w:rFonts w:hint="eastAsia" w:ascii="仿宋" w:hAnsi="仿宋" w:eastAsia="仿宋" w:cs="仿宋"/>
          <w:color w:val="000000"/>
          <w:sz w:val="21"/>
          <w:szCs w:val="21"/>
          <w:highlight w:val="none"/>
        </w:rPr>
        <w:t>元/三年（</w:t>
      </w:r>
      <w:r>
        <w:rPr>
          <w:rFonts w:hint="eastAsia" w:ascii="仿宋" w:hAnsi="仿宋" w:eastAsia="仿宋" w:cs="仿宋"/>
          <w:color w:val="000000"/>
          <w:sz w:val="21"/>
          <w:szCs w:val="21"/>
          <w:highlight w:val="none"/>
          <w:lang w:eastAsia="zh-CN"/>
        </w:rPr>
        <w:t>1609100.00</w:t>
      </w:r>
      <w:r>
        <w:rPr>
          <w:rFonts w:hint="eastAsia" w:ascii="仿宋" w:hAnsi="仿宋" w:eastAsia="仿宋" w:cs="仿宋"/>
          <w:color w:val="000000"/>
          <w:sz w:val="21"/>
          <w:szCs w:val="21"/>
          <w:highlight w:val="none"/>
        </w:rPr>
        <w:t>元/年）</w:t>
      </w:r>
    </w:p>
    <w:p w14:paraId="7F803508">
      <w:pPr>
        <w:pStyle w:val="26"/>
        <w:autoSpaceDE w:val="0"/>
        <w:adjustRightInd w:val="0"/>
        <w:snapToGrid w:val="0"/>
        <w:spacing w:before="0" w:beforeAutospacing="0" w:after="0" w:afterAutospacing="0" w:line="360" w:lineRule="auto"/>
        <w:ind w:left="0" w:leftChars="0" w:firstLine="638" w:firstLineChars="304"/>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最高限价（控制价）：</w:t>
      </w:r>
      <w:r>
        <w:rPr>
          <w:rFonts w:hint="eastAsia" w:ascii="仿宋" w:hAnsi="仿宋" w:eastAsia="仿宋" w:cs="仿宋"/>
          <w:color w:val="000000"/>
          <w:sz w:val="21"/>
          <w:szCs w:val="21"/>
          <w:highlight w:val="none"/>
          <w:lang w:eastAsia="zh-CN"/>
        </w:rPr>
        <w:t>4827300</w:t>
      </w:r>
      <w:r>
        <w:rPr>
          <w:rFonts w:hint="eastAsia" w:ascii="仿宋" w:hAnsi="仿宋" w:eastAsia="仿宋" w:cs="仿宋"/>
          <w:color w:val="000000"/>
          <w:sz w:val="21"/>
          <w:szCs w:val="21"/>
          <w:highlight w:val="none"/>
        </w:rPr>
        <w:t>元/三年（</w:t>
      </w:r>
      <w:r>
        <w:rPr>
          <w:rFonts w:hint="eastAsia" w:ascii="仿宋" w:hAnsi="仿宋" w:eastAsia="仿宋" w:cs="仿宋"/>
          <w:color w:val="000000"/>
          <w:sz w:val="21"/>
          <w:szCs w:val="21"/>
          <w:highlight w:val="none"/>
          <w:lang w:eastAsia="zh-CN"/>
        </w:rPr>
        <w:t>1609100.00</w:t>
      </w:r>
      <w:r>
        <w:rPr>
          <w:rFonts w:hint="eastAsia" w:ascii="仿宋" w:hAnsi="仿宋" w:eastAsia="仿宋" w:cs="仿宋"/>
          <w:color w:val="000000"/>
          <w:sz w:val="21"/>
          <w:szCs w:val="21"/>
          <w:highlight w:val="none"/>
        </w:rPr>
        <w:t>元/年）</w:t>
      </w:r>
    </w:p>
    <w:p w14:paraId="1E29D2E2">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采购需求：</w:t>
      </w:r>
      <w:r>
        <w:rPr>
          <w:rFonts w:hint="eastAsia" w:ascii="仿宋" w:hAnsi="仿宋" w:eastAsia="仿宋" w:cs="仿宋"/>
          <w:color w:val="000000"/>
          <w:sz w:val="21"/>
          <w:szCs w:val="21"/>
          <w:highlight w:val="none"/>
          <w:lang w:val="en-US" w:eastAsia="zh-CN"/>
        </w:rPr>
        <w:t>采购驻场服务，购买社会救助领域、养老服务领域、儿童福利与未成年人保护领域、社会事务和福利领域、其他服务领域的公共服务和相关辅助性服务。具体内容详见招标文件。</w:t>
      </w:r>
    </w:p>
    <w:p w14:paraId="57F66129">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合同履行期限：</w:t>
      </w:r>
      <w:r>
        <w:rPr>
          <w:rFonts w:hint="eastAsia" w:ascii="仿宋" w:hAnsi="仿宋" w:eastAsia="仿宋" w:cs="仿宋"/>
          <w:color w:val="000000"/>
          <w:sz w:val="21"/>
          <w:szCs w:val="21"/>
          <w:highlight w:val="none"/>
          <w:lang w:eastAsia="zh-CN"/>
        </w:rPr>
        <w:t>三年，实行一年一签、一年</w:t>
      </w:r>
      <w:r>
        <w:rPr>
          <w:rFonts w:hint="eastAsia" w:ascii="仿宋" w:hAnsi="仿宋" w:eastAsia="仿宋" w:cs="仿宋"/>
          <w:color w:val="000000"/>
          <w:sz w:val="21"/>
          <w:szCs w:val="21"/>
          <w:highlight w:val="none"/>
          <w:lang w:val="en-US" w:eastAsia="zh-CN"/>
        </w:rPr>
        <w:t>二</w:t>
      </w:r>
      <w:r>
        <w:rPr>
          <w:rFonts w:hint="eastAsia" w:ascii="仿宋" w:hAnsi="仿宋" w:eastAsia="仿宋" w:cs="仿宋"/>
          <w:color w:val="000000"/>
          <w:sz w:val="21"/>
          <w:szCs w:val="21"/>
          <w:highlight w:val="none"/>
          <w:lang w:eastAsia="zh-CN"/>
        </w:rPr>
        <w:t>验收、一年</w:t>
      </w:r>
      <w:r>
        <w:rPr>
          <w:rFonts w:hint="eastAsia" w:ascii="仿宋" w:hAnsi="仿宋" w:eastAsia="仿宋" w:cs="仿宋"/>
          <w:color w:val="000000"/>
          <w:sz w:val="21"/>
          <w:szCs w:val="21"/>
          <w:highlight w:val="none"/>
          <w:lang w:val="en-US" w:eastAsia="zh-CN"/>
        </w:rPr>
        <w:t>三</w:t>
      </w:r>
      <w:r>
        <w:rPr>
          <w:rFonts w:hint="eastAsia" w:ascii="仿宋" w:hAnsi="仿宋" w:eastAsia="仿宋" w:cs="仿宋"/>
          <w:color w:val="000000"/>
          <w:sz w:val="21"/>
          <w:szCs w:val="21"/>
          <w:highlight w:val="none"/>
          <w:lang w:eastAsia="zh-CN"/>
        </w:rPr>
        <w:t>付款；</w:t>
      </w:r>
    </w:p>
    <w:p w14:paraId="0A6DF687">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b/>
          <w:bCs/>
          <w:color w:val="000000"/>
          <w:sz w:val="21"/>
          <w:szCs w:val="21"/>
          <w:highlight w:val="none"/>
        </w:rPr>
      </w:pP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本项目</w:t>
      </w:r>
      <w:r>
        <w:rPr>
          <w:rFonts w:hint="eastAsia" w:ascii="仿宋" w:hAnsi="仿宋" w:eastAsia="仿宋" w:cs="仿宋"/>
          <w:color w:val="000000"/>
          <w:sz w:val="21"/>
          <w:szCs w:val="21"/>
          <w:highlight w:val="none"/>
          <w:lang w:val="en-US" w:eastAsia="zh-CN"/>
        </w:rPr>
        <w:t>不</w:t>
      </w:r>
      <w:r>
        <w:rPr>
          <w:rFonts w:hint="eastAsia" w:ascii="仿宋" w:hAnsi="仿宋" w:eastAsia="仿宋" w:cs="仿宋"/>
          <w:color w:val="000000"/>
          <w:sz w:val="21"/>
          <w:szCs w:val="21"/>
          <w:highlight w:val="none"/>
        </w:rPr>
        <w:t>接受联合体投标。</w:t>
      </w:r>
    </w:p>
    <w:p w14:paraId="3EED33A2">
      <w:pPr>
        <w:pStyle w:val="26"/>
        <w:autoSpaceDE w:val="0"/>
        <w:adjustRightInd w:val="0"/>
        <w:snapToGrid w:val="0"/>
        <w:spacing w:before="0" w:beforeAutospacing="0" w:after="0" w:afterAutospacing="0" w:line="360" w:lineRule="auto"/>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二、投标人的资格要求：</w:t>
      </w:r>
    </w:p>
    <w:p w14:paraId="316970FF">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1、满足《中华人民共和国政府采购法》第二十二条规定。</w:t>
      </w:r>
    </w:p>
    <w:p w14:paraId="47B32A18">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2、落实政府采购政策需满足的资格要求：</w:t>
      </w:r>
      <w:r>
        <w:rPr>
          <w:rFonts w:hint="eastAsia" w:ascii="仿宋" w:hAnsi="仿宋" w:eastAsia="仿宋" w:cs="仿宋"/>
          <w:color w:val="000000"/>
          <w:sz w:val="21"/>
          <w:szCs w:val="21"/>
          <w:highlight w:val="none"/>
          <w:lang w:val="en-US" w:eastAsia="zh-CN"/>
        </w:rPr>
        <w:t>无</w:t>
      </w:r>
      <w:r>
        <w:rPr>
          <w:rFonts w:hint="eastAsia" w:ascii="仿宋" w:hAnsi="仿宋" w:eastAsia="仿宋" w:cs="仿宋"/>
          <w:color w:val="000000"/>
          <w:sz w:val="21"/>
          <w:szCs w:val="21"/>
          <w:highlight w:val="none"/>
        </w:rPr>
        <w:t>。</w:t>
      </w:r>
    </w:p>
    <w:p w14:paraId="61350B7D">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000000"/>
          <w:sz w:val="21"/>
          <w:szCs w:val="21"/>
          <w:highlight w:val="none"/>
        </w:rPr>
        <w:t>3、本项目的特定资格要求：</w:t>
      </w:r>
      <w:r>
        <w:rPr>
          <w:rFonts w:hint="eastAsia" w:ascii="仿宋" w:hAnsi="仿宋" w:eastAsia="仿宋" w:cs="仿宋"/>
          <w:color w:val="auto"/>
          <w:sz w:val="21"/>
          <w:szCs w:val="21"/>
          <w:highlight w:val="none"/>
          <w:lang w:eastAsia="zh-CN"/>
        </w:rPr>
        <w:t>无</w:t>
      </w:r>
      <w:r>
        <w:rPr>
          <w:rFonts w:hint="eastAsia" w:ascii="仿宋" w:hAnsi="仿宋" w:eastAsia="仿宋" w:cs="仿宋"/>
          <w:color w:val="auto"/>
          <w:sz w:val="21"/>
          <w:szCs w:val="21"/>
          <w:highlight w:val="none"/>
        </w:rPr>
        <w:t>。</w:t>
      </w:r>
    </w:p>
    <w:p w14:paraId="0E1AAB2D">
      <w:pPr>
        <w:pStyle w:val="26"/>
        <w:autoSpaceDE w:val="0"/>
        <w:adjustRightInd w:val="0"/>
        <w:snapToGrid w:val="0"/>
        <w:spacing w:before="0" w:beforeAutospacing="0" w:after="0" w:afterAutospacing="0" w:line="360" w:lineRule="auto"/>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三、获取招标文件</w:t>
      </w:r>
    </w:p>
    <w:p w14:paraId="29C7D5DB">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000000"/>
          <w:sz w:val="21"/>
          <w:szCs w:val="21"/>
          <w:highlight w:val="none"/>
        </w:rPr>
        <w:t>1、获取时间</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23</w:t>
      </w:r>
      <w:r>
        <w:rPr>
          <w:rFonts w:hint="eastAsia" w:ascii="仿宋" w:hAnsi="仿宋" w:eastAsia="仿宋" w:cs="仿宋"/>
          <w:color w:val="auto"/>
          <w:sz w:val="21"/>
          <w:szCs w:val="21"/>
          <w:highlight w:val="none"/>
        </w:rPr>
        <w:t>日00时00分至</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29</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23</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59</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59</w:t>
      </w:r>
      <w:r>
        <w:rPr>
          <w:rFonts w:hint="eastAsia" w:ascii="仿宋" w:hAnsi="仿宋" w:eastAsia="仿宋" w:cs="仿宋"/>
          <w:color w:val="auto"/>
          <w:sz w:val="21"/>
          <w:szCs w:val="21"/>
          <w:highlight w:val="none"/>
        </w:rPr>
        <w:t>秒（北京时间，法定节假日除外 ）。</w:t>
      </w:r>
    </w:p>
    <w:p w14:paraId="07DE3DF6">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2、获取方式：山西政府采购平台（https://login.sxzfcg.zcygov.cn/user-login/#/login）线上获取。</w:t>
      </w:r>
    </w:p>
    <w:p w14:paraId="48C2B162">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3、售价：0。</w:t>
      </w:r>
    </w:p>
    <w:p w14:paraId="6540A30B">
      <w:pPr>
        <w:pStyle w:val="26"/>
        <w:autoSpaceDE w:val="0"/>
        <w:adjustRightInd w:val="0"/>
        <w:snapToGrid w:val="0"/>
        <w:spacing w:before="0" w:beforeAutospacing="0" w:after="0" w:afterAutospacing="0" w:line="360" w:lineRule="auto"/>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四、</w:t>
      </w:r>
      <w:r>
        <w:rPr>
          <w:rFonts w:hint="eastAsia" w:ascii="仿宋" w:hAnsi="仿宋" w:eastAsia="仿宋" w:cs="仿宋"/>
          <w:b/>
          <w:bCs/>
          <w:color w:val="000000"/>
          <w:sz w:val="21"/>
          <w:szCs w:val="21"/>
          <w:highlight w:val="none"/>
          <w:lang w:val="en-US" w:eastAsia="zh-CN"/>
        </w:rPr>
        <w:t>提交投标文件截止时间、开标时间和地点</w:t>
      </w:r>
    </w:p>
    <w:p w14:paraId="0197D501">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000000"/>
          <w:sz w:val="21"/>
          <w:szCs w:val="21"/>
          <w:highlight w:val="none"/>
        </w:rPr>
        <w:t>1、提交投标</w:t>
      </w:r>
      <w:r>
        <w:rPr>
          <w:rFonts w:hint="eastAsia" w:ascii="仿宋" w:hAnsi="仿宋" w:eastAsia="仿宋" w:cs="仿宋"/>
          <w:color w:val="auto"/>
          <w:sz w:val="21"/>
          <w:szCs w:val="21"/>
          <w:highlight w:val="none"/>
        </w:rPr>
        <w:t>文件截止时间：</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日09点</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0分（北京时间）</w:t>
      </w:r>
    </w:p>
    <w:p w14:paraId="449E6B0D">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2、提交方式：山西政府采购网政采云平台。</w:t>
      </w:r>
    </w:p>
    <w:p w14:paraId="3488A1F6">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3、开标时间：</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日09点</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0分（北京时间）</w:t>
      </w:r>
    </w:p>
    <w:p w14:paraId="75F9AC0E">
      <w:pPr>
        <w:pStyle w:val="26"/>
        <w:autoSpaceDE w:val="0"/>
        <w:adjustRightInd w:val="0"/>
        <w:snapToGrid w:val="0"/>
        <w:spacing w:before="0" w:beforeAutospacing="0" w:after="0" w:afterAutospacing="0"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4、开标地点：山西政府采购网政采云平台。</w:t>
      </w:r>
    </w:p>
    <w:p w14:paraId="2DF8261C">
      <w:pPr>
        <w:pStyle w:val="26"/>
        <w:widowControl w:val="0"/>
        <w:autoSpaceDE w:val="0"/>
        <w:adjustRightInd w:val="0"/>
        <w:spacing w:before="0" w:beforeAutospacing="0" w:after="0" w:afterAutospacing="0" w:line="360" w:lineRule="auto"/>
        <w:jc w:val="both"/>
        <w:textAlignment w:val="baseline"/>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lang w:val="en-US" w:eastAsia="zh-CN"/>
        </w:rPr>
        <w:t>五</w:t>
      </w:r>
      <w:r>
        <w:rPr>
          <w:rFonts w:hint="eastAsia" w:ascii="仿宋" w:hAnsi="仿宋" w:eastAsia="仿宋" w:cs="仿宋"/>
          <w:b/>
          <w:bCs/>
          <w:color w:val="000000"/>
          <w:sz w:val="21"/>
          <w:szCs w:val="21"/>
          <w:highlight w:val="none"/>
        </w:rPr>
        <w:t>、公告期限</w:t>
      </w:r>
      <w:r>
        <w:rPr>
          <w:rFonts w:hint="eastAsia" w:ascii="仿宋" w:hAnsi="仿宋" w:eastAsia="仿宋" w:cs="仿宋"/>
          <w:b/>
          <w:bCs/>
          <w:color w:val="000000"/>
          <w:sz w:val="21"/>
          <w:szCs w:val="21"/>
          <w:highlight w:val="none"/>
        </w:rPr>
        <w:tab/>
      </w:r>
    </w:p>
    <w:p w14:paraId="1B98D949">
      <w:pPr>
        <w:pStyle w:val="26"/>
        <w:widowControl w:val="0"/>
        <w:autoSpaceDE w:val="0"/>
        <w:adjustRightInd w:val="0"/>
        <w:spacing w:before="0" w:beforeAutospacing="0" w:after="0" w:afterAutospacing="0" w:line="360" w:lineRule="auto"/>
        <w:ind w:firstLine="420" w:firstLineChars="200"/>
        <w:jc w:val="both"/>
        <w:textAlignment w:val="baseline"/>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自本公告发布之日起5个工作日。</w:t>
      </w:r>
    </w:p>
    <w:p w14:paraId="4FF910AF">
      <w:pPr>
        <w:pStyle w:val="26"/>
        <w:autoSpaceDE w:val="0"/>
        <w:adjustRightInd w:val="0"/>
        <w:snapToGrid w:val="0"/>
        <w:spacing w:before="0" w:beforeAutospacing="0" w:after="0" w:afterAutospacing="0" w:line="360" w:lineRule="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六</w:t>
      </w:r>
      <w:r>
        <w:rPr>
          <w:rFonts w:hint="eastAsia" w:ascii="仿宋" w:hAnsi="仿宋" w:eastAsia="仿宋" w:cs="仿宋"/>
          <w:b/>
          <w:bCs/>
          <w:color w:val="000000"/>
          <w:sz w:val="21"/>
          <w:szCs w:val="21"/>
          <w:highlight w:val="none"/>
        </w:rPr>
        <w:t>、其他补充事宜</w:t>
      </w:r>
      <w:r>
        <w:rPr>
          <w:rFonts w:hint="eastAsia" w:ascii="仿宋" w:hAnsi="仿宋" w:eastAsia="仿宋" w:cs="仿宋"/>
          <w:b/>
          <w:bCs/>
          <w:color w:val="000000"/>
          <w:sz w:val="21"/>
          <w:szCs w:val="21"/>
          <w:highlight w:val="none"/>
          <w:lang w:val="en-US" w:eastAsia="zh-CN"/>
        </w:rPr>
        <w:t>无</w:t>
      </w:r>
    </w:p>
    <w:p w14:paraId="4C5F4E31">
      <w:pPr>
        <w:pStyle w:val="26"/>
        <w:autoSpaceDE w:val="0"/>
        <w:adjustRightInd w:val="0"/>
        <w:snapToGrid w:val="0"/>
        <w:spacing w:before="0" w:beforeAutospacing="0" w:after="0" w:afterAutospacing="0" w:line="360" w:lineRule="auto"/>
        <w:ind w:firstLine="480" w:firstLineChars="200"/>
        <w:rPr>
          <w:rFonts w:hint="eastAsia" w:ascii="仿宋" w:hAnsi="仿宋" w:eastAsia="仿宋" w:cs="仿宋"/>
          <w:color w:val="000000"/>
          <w:szCs w:val="21"/>
          <w:highlight w:val="none"/>
        </w:rPr>
      </w:pPr>
      <w:bookmarkStart w:id="45" w:name="_GoBack"/>
      <w:bookmarkEnd w:id="45"/>
      <w:r>
        <w:rPr>
          <w:rFonts w:hint="eastAsia" w:ascii="仿宋" w:hAnsi="仿宋" w:eastAsia="仿宋" w:cs="仿宋"/>
          <w:color w:val="000000"/>
          <w:szCs w:val="21"/>
          <w:highlight w:val="none"/>
          <w:lang w:val="en-US" w:eastAsia="zh-CN"/>
        </w:rPr>
        <w:t>无</w:t>
      </w:r>
      <w:r>
        <w:rPr>
          <w:rFonts w:hint="eastAsia" w:ascii="仿宋" w:hAnsi="仿宋" w:eastAsia="仿宋" w:cs="仿宋"/>
          <w:color w:val="000000"/>
          <w:szCs w:val="21"/>
          <w:highlight w:val="none"/>
        </w:rPr>
        <w:t>。</w:t>
      </w:r>
    </w:p>
    <w:p w14:paraId="023E0DBD">
      <w:pPr>
        <w:pStyle w:val="26"/>
        <w:autoSpaceDE w:val="0"/>
        <w:adjustRightInd w:val="0"/>
        <w:snapToGrid w:val="0"/>
        <w:spacing w:before="0" w:beforeAutospacing="0" w:after="0" w:afterAutospacing="0" w:line="360" w:lineRule="auto"/>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lang w:val="en-US" w:eastAsia="zh-CN"/>
        </w:rPr>
        <w:t>七</w:t>
      </w:r>
      <w:r>
        <w:rPr>
          <w:rFonts w:hint="eastAsia" w:ascii="仿宋" w:hAnsi="仿宋" w:eastAsia="仿宋" w:cs="仿宋"/>
          <w:b/>
          <w:bCs/>
          <w:color w:val="000000"/>
          <w:sz w:val="21"/>
          <w:szCs w:val="21"/>
          <w:highlight w:val="none"/>
        </w:rPr>
        <w:t>、凡对本次采购提出询问，请按以下方式联系：</w:t>
      </w:r>
    </w:p>
    <w:p w14:paraId="6B858058">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1、采购人信息</w:t>
      </w:r>
    </w:p>
    <w:p w14:paraId="11F594B7">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称：侯马市民政局</w:t>
      </w:r>
    </w:p>
    <w:p w14:paraId="1DDAC5A2">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联系人：王波</w:t>
      </w:r>
    </w:p>
    <w:p w14:paraId="0C46A884">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地  址：侯马市程王路南一巷    </w:t>
      </w:r>
    </w:p>
    <w:p w14:paraId="097FE89A">
      <w:pPr>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项目联系方式：</w:t>
      </w:r>
      <w:r>
        <w:rPr>
          <w:rFonts w:hint="eastAsia" w:ascii="仿宋" w:hAnsi="仿宋" w:eastAsia="仿宋" w:cs="仿宋"/>
          <w:color w:val="auto"/>
          <w:sz w:val="21"/>
          <w:szCs w:val="21"/>
          <w:highlight w:val="none"/>
          <w:lang w:eastAsia="zh-CN"/>
        </w:rPr>
        <w:t>0357-4223950、17635276688</w:t>
      </w:r>
    </w:p>
    <w:p w14:paraId="77BA787D">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2、采购代理机构信息</w:t>
      </w:r>
    </w:p>
    <w:p w14:paraId="6F5C35F4">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称：山西浩坤工程项目管理有限公司</w:t>
      </w:r>
    </w:p>
    <w:p w14:paraId="1B48E4AF">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地  址：山西省临汾市尧都区刘村镇滨河西路富力湾小区A2综合楼1917号 </w:t>
      </w:r>
    </w:p>
    <w:p w14:paraId="3C3F1B1A">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项目联系人：杜女士</w:t>
      </w:r>
    </w:p>
    <w:p w14:paraId="09152968">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联系方式：13835764443</w:t>
      </w:r>
    </w:p>
    <w:p w14:paraId="376B2868">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3、项目联系方式 </w:t>
      </w:r>
    </w:p>
    <w:p w14:paraId="17DB6239">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项目联系人：杜女士</w:t>
      </w:r>
    </w:p>
    <w:p w14:paraId="07EAA125">
      <w:pPr>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color w:val="auto"/>
          <w:sz w:val="21"/>
          <w:szCs w:val="21"/>
          <w:highlight w:val="none"/>
        </w:rPr>
        <w:t>联系方式：13835764443</w:t>
      </w:r>
      <w:r>
        <w:rPr>
          <w:rFonts w:hint="eastAsia" w:ascii="仿宋" w:hAnsi="仿宋" w:eastAsia="仿宋" w:cs="仿宋"/>
          <w:color w:val="000000"/>
          <w:szCs w:val="21"/>
          <w:highlight w:val="none"/>
        </w:rPr>
        <w:br w:type="page"/>
      </w:r>
    </w:p>
    <w:p w14:paraId="2F3788FE">
      <w:pPr>
        <w:pStyle w:val="65"/>
        <w:numPr>
          <w:ilvl w:val="0"/>
          <w:numId w:val="0"/>
        </w:numPr>
        <w:snapToGrid w:val="0"/>
        <w:spacing w:before="0" w:after="156" w:afterLines="50"/>
        <w:rPr>
          <w:rFonts w:hint="eastAsia" w:ascii="仿宋" w:hAnsi="仿宋" w:eastAsia="仿宋" w:cs="仿宋"/>
          <w:color w:val="000000"/>
          <w:spacing w:val="20"/>
          <w:szCs w:val="28"/>
          <w:highlight w:val="none"/>
        </w:rPr>
      </w:pPr>
      <w:bookmarkStart w:id="5" w:name="_Toc352761928"/>
      <w:bookmarkStart w:id="6" w:name="_Toc21332"/>
      <w:r>
        <w:rPr>
          <w:rFonts w:hint="eastAsia" w:ascii="仿宋" w:hAnsi="仿宋" w:eastAsia="仿宋" w:cs="仿宋"/>
          <w:color w:val="000000"/>
          <w:spacing w:val="20"/>
          <w:szCs w:val="28"/>
          <w:highlight w:val="none"/>
        </w:rPr>
        <w:t>第二部分  投标人须知前附表</w:t>
      </w:r>
      <w:bookmarkEnd w:id="5"/>
      <w:bookmarkEnd w:id="6"/>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660"/>
      </w:tblGrid>
      <w:tr w14:paraId="7961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9" w:type="dxa"/>
            <w:noWrap w:val="0"/>
            <w:vAlign w:val="center"/>
          </w:tcPr>
          <w:p w14:paraId="6A461A76">
            <w:pPr>
              <w:snapToGrid w:val="0"/>
              <w:spacing w:line="390" w:lineRule="exact"/>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序号</w:t>
            </w:r>
          </w:p>
        </w:tc>
        <w:tc>
          <w:tcPr>
            <w:tcW w:w="1799" w:type="dxa"/>
            <w:noWrap w:val="0"/>
            <w:vAlign w:val="center"/>
          </w:tcPr>
          <w:p w14:paraId="50476BC4">
            <w:pPr>
              <w:snapToGrid w:val="0"/>
              <w:spacing w:line="390" w:lineRule="exact"/>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内  容</w:t>
            </w:r>
          </w:p>
        </w:tc>
        <w:tc>
          <w:tcPr>
            <w:tcW w:w="6660" w:type="dxa"/>
            <w:noWrap w:val="0"/>
            <w:vAlign w:val="center"/>
          </w:tcPr>
          <w:p w14:paraId="481425C1">
            <w:pPr>
              <w:pStyle w:val="18"/>
              <w:snapToGrid w:val="0"/>
              <w:spacing w:line="390" w:lineRule="exact"/>
              <w:jc w:val="center"/>
              <w:rPr>
                <w:rFonts w:hint="eastAsia" w:ascii="仿宋" w:hAnsi="仿宋" w:eastAsia="仿宋" w:cs="仿宋"/>
                <w:b/>
                <w:color w:val="000000"/>
                <w:highlight w:val="none"/>
              </w:rPr>
            </w:pPr>
            <w:r>
              <w:rPr>
                <w:rFonts w:hint="eastAsia" w:ascii="仿宋" w:hAnsi="仿宋" w:eastAsia="仿宋" w:cs="仿宋"/>
                <w:b/>
                <w:color w:val="000000"/>
                <w:kern w:val="0"/>
                <w:highlight w:val="none"/>
              </w:rPr>
              <w:t>说明与要求</w:t>
            </w:r>
          </w:p>
        </w:tc>
      </w:tr>
      <w:tr w14:paraId="40D5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48194188">
            <w:pPr>
              <w:snapToGrid w:val="0"/>
              <w:spacing w:line="390" w:lineRule="exact"/>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1</w:t>
            </w:r>
          </w:p>
        </w:tc>
        <w:tc>
          <w:tcPr>
            <w:tcW w:w="1799" w:type="dxa"/>
            <w:noWrap w:val="0"/>
            <w:vAlign w:val="center"/>
          </w:tcPr>
          <w:p w14:paraId="5A2B7EF3">
            <w:pPr>
              <w:jc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SA"/>
              </w:rPr>
              <w:t>投标人资格条件</w:t>
            </w:r>
          </w:p>
        </w:tc>
        <w:tc>
          <w:tcPr>
            <w:tcW w:w="6660" w:type="dxa"/>
            <w:noWrap w:val="0"/>
            <w:vAlign w:val="center"/>
          </w:tcPr>
          <w:p w14:paraId="6FA1BB78">
            <w:pPr>
              <w:spacing w:line="360" w:lineRule="auto"/>
              <w:rPr>
                <w:rFonts w:hint="eastAsia" w:ascii="仿宋" w:hAnsi="仿宋" w:eastAsia="仿宋" w:cs="仿宋"/>
                <w:highlight w:val="none"/>
              </w:rPr>
            </w:pPr>
            <w:r>
              <w:rPr>
                <w:rFonts w:hint="eastAsia" w:ascii="仿宋" w:hAnsi="仿宋" w:eastAsia="仿宋" w:cs="仿宋"/>
                <w:highlight w:val="none"/>
              </w:rPr>
              <w:t>1.满足《中华人民共和国政府采购法》第二十二条规定：</w:t>
            </w:r>
          </w:p>
          <w:p w14:paraId="607B5F01">
            <w:pPr>
              <w:pStyle w:val="26"/>
              <w:autoSpaceDE w:val="0"/>
              <w:adjustRightInd w:val="0"/>
              <w:snapToGrid w:val="0"/>
              <w:spacing w:before="0" w:beforeAutospacing="0" w:after="0" w:afterAutospacing="0" w:line="360" w:lineRule="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落实政府采购政策需满足的资格要求：</w:t>
            </w:r>
            <w:r>
              <w:rPr>
                <w:rFonts w:hint="eastAsia" w:ascii="仿宋" w:hAnsi="仿宋" w:eastAsia="仿宋" w:cs="仿宋"/>
                <w:color w:val="000000"/>
                <w:sz w:val="21"/>
                <w:szCs w:val="21"/>
                <w:highlight w:val="none"/>
                <w:lang w:val="en-US" w:eastAsia="zh-CN"/>
              </w:rPr>
              <w:t>无</w:t>
            </w:r>
            <w:r>
              <w:rPr>
                <w:rFonts w:hint="eastAsia" w:ascii="仿宋" w:hAnsi="仿宋" w:eastAsia="仿宋" w:cs="仿宋"/>
                <w:color w:val="000000"/>
                <w:sz w:val="21"/>
                <w:szCs w:val="21"/>
                <w:highlight w:val="none"/>
              </w:rPr>
              <w:t>。</w:t>
            </w:r>
          </w:p>
          <w:p w14:paraId="7FB0B5FA">
            <w:pPr>
              <w:pStyle w:val="26"/>
              <w:autoSpaceDE w:val="0"/>
              <w:adjustRightInd w:val="0"/>
              <w:snapToGrid w:val="0"/>
              <w:spacing w:before="0" w:beforeAutospacing="0" w:after="0" w:afterAutospacing="0" w:line="360" w:lineRule="auto"/>
              <w:rPr>
                <w:rFonts w:hint="eastAsia" w:ascii="仿宋" w:hAnsi="仿宋" w:eastAsia="仿宋" w:cs="仿宋"/>
                <w:highlight w:val="none"/>
                <w:lang w:eastAsia="zh-CN"/>
              </w:rPr>
            </w:pPr>
            <w:r>
              <w:rPr>
                <w:rFonts w:hint="eastAsia" w:ascii="仿宋" w:hAnsi="仿宋" w:eastAsia="仿宋" w:cs="仿宋"/>
                <w:color w:val="000000"/>
                <w:sz w:val="21"/>
                <w:szCs w:val="21"/>
                <w:highlight w:val="none"/>
              </w:rPr>
              <w:t>3</w:t>
            </w:r>
            <w:r>
              <w:rPr>
                <w:rFonts w:hint="eastAsia" w:ascii="仿宋" w:hAnsi="仿宋" w:eastAsia="仿宋" w:cs="仿宋"/>
                <w:color w:val="000000"/>
                <w:sz w:val="21"/>
                <w:szCs w:val="21"/>
                <w:highlight w:val="none"/>
                <w:lang w:val="en-US" w:eastAsia="zh-CN"/>
              </w:rPr>
              <w:t>.</w:t>
            </w:r>
            <w:r>
              <w:rPr>
                <w:rFonts w:hint="eastAsia" w:ascii="仿宋" w:hAnsi="仿宋" w:eastAsia="仿宋" w:cs="仿宋"/>
                <w:color w:val="000000"/>
                <w:sz w:val="21"/>
                <w:szCs w:val="21"/>
                <w:highlight w:val="none"/>
              </w:rPr>
              <w:t>本项目的特定资格要求：</w:t>
            </w:r>
            <w:r>
              <w:rPr>
                <w:rFonts w:hint="eastAsia" w:ascii="仿宋" w:hAnsi="仿宋" w:eastAsia="仿宋" w:cs="仿宋"/>
                <w:color w:val="auto"/>
                <w:sz w:val="21"/>
                <w:szCs w:val="21"/>
                <w:highlight w:val="none"/>
                <w:lang w:eastAsia="zh-CN"/>
              </w:rPr>
              <w:t>无</w:t>
            </w:r>
            <w:r>
              <w:rPr>
                <w:rFonts w:hint="eastAsia" w:ascii="仿宋" w:hAnsi="仿宋" w:eastAsia="仿宋" w:cs="仿宋"/>
                <w:color w:val="auto"/>
                <w:sz w:val="21"/>
                <w:szCs w:val="21"/>
                <w:highlight w:val="none"/>
              </w:rPr>
              <w:t>。</w:t>
            </w:r>
          </w:p>
        </w:tc>
      </w:tr>
      <w:tr w14:paraId="01A0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5429F4C2">
            <w:pPr>
              <w:snapToGrid w:val="0"/>
              <w:spacing w:line="390" w:lineRule="exact"/>
              <w:jc w:val="center"/>
              <w:rPr>
                <w:rFonts w:hint="eastAsia" w:ascii="仿宋" w:hAnsi="仿宋" w:eastAsia="仿宋" w:cs="仿宋"/>
                <w:b/>
                <w:color w:val="000000"/>
                <w:szCs w:val="21"/>
                <w:highlight w:val="none"/>
                <w:lang w:eastAsia="zh-CN"/>
              </w:rPr>
            </w:pPr>
            <w:r>
              <w:rPr>
                <w:rFonts w:hint="eastAsia" w:ascii="仿宋" w:hAnsi="仿宋" w:eastAsia="仿宋" w:cs="仿宋"/>
                <w:b/>
                <w:color w:val="000000"/>
                <w:szCs w:val="21"/>
                <w:highlight w:val="none"/>
                <w:lang w:val="en-US" w:eastAsia="zh-CN"/>
              </w:rPr>
              <w:t>2</w:t>
            </w:r>
          </w:p>
        </w:tc>
        <w:tc>
          <w:tcPr>
            <w:tcW w:w="1799" w:type="dxa"/>
            <w:noWrap w:val="0"/>
            <w:vAlign w:val="center"/>
          </w:tcPr>
          <w:p w14:paraId="60E6F369">
            <w:pPr>
              <w:snapToGrid w:val="0"/>
              <w:spacing w:line="390" w:lineRule="exact"/>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是否允许联合体投标</w:t>
            </w:r>
          </w:p>
        </w:tc>
        <w:tc>
          <w:tcPr>
            <w:tcW w:w="6660" w:type="dxa"/>
            <w:noWrap w:val="0"/>
            <w:vAlign w:val="center"/>
          </w:tcPr>
          <w:p w14:paraId="62981A52">
            <w:pPr>
              <w:rPr>
                <w:rFonts w:hint="eastAsia" w:ascii="仿宋" w:hAnsi="仿宋" w:eastAsia="仿宋" w:cs="仿宋"/>
                <w:color w:val="000000"/>
                <w:highlight w:val="none"/>
              </w:rPr>
            </w:pPr>
            <w:r>
              <w:rPr>
                <w:rFonts w:hint="eastAsia" w:ascii="仿宋" w:hAnsi="仿宋" w:eastAsia="仿宋" w:cs="仿宋"/>
                <w:bCs/>
                <w:color w:val="000000"/>
                <w:szCs w:val="21"/>
                <w:highlight w:val="none"/>
              </w:rPr>
              <w:t>否</w:t>
            </w:r>
          </w:p>
        </w:tc>
      </w:tr>
      <w:tr w14:paraId="75EA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5A250168">
            <w:pPr>
              <w:snapToGrid w:val="0"/>
              <w:spacing w:line="390" w:lineRule="exact"/>
              <w:jc w:val="center"/>
              <w:rPr>
                <w:rFonts w:hint="eastAsia" w:ascii="仿宋" w:hAnsi="仿宋" w:eastAsia="仿宋" w:cs="仿宋"/>
                <w:b/>
                <w:color w:val="000000"/>
                <w:szCs w:val="21"/>
                <w:highlight w:val="none"/>
                <w:lang w:eastAsia="zh-CN"/>
              </w:rPr>
            </w:pPr>
            <w:r>
              <w:rPr>
                <w:rFonts w:hint="eastAsia" w:ascii="仿宋" w:hAnsi="仿宋" w:eastAsia="仿宋" w:cs="仿宋"/>
                <w:b/>
                <w:color w:val="000000"/>
                <w:szCs w:val="21"/>
                <w:highlight w:val="none"/>
                <w:lang w:val="en-US" w:eastAsia="zh-CN"/>
              </w:rPr>
              <w:t>3</w:t>
            </w:r>
          </w:p>
        </w:tc>
        <w:tc>
          <w:tcPr>
            <w:tcW w:w="1799" w:type="dxa"/>
            <w:noWrap w:val="0"/>
            <w:vAlign w:val="center"/>
          </w:tcPr>
          <w:p w14:paraId="65570402">
            <w:pPr>
              <w:snapToGrid w:val="0"/>
              <w:spacing w:line="390" w:lineRule="exact"/>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投标文件份数</w:t>
            </w:r>
          </w:p>
        </w:tc>
        <w:tc>
          <w:tcPr>
            <w:tcW w:w="6660" w:type="dxa"/>
            <w:noWrap w:val="0"/>
            <w:vAlign w:val="center"/>
          </w:tcPr>
          <w:p w14:paraId="7206FD4E">
            <w:pPr>
              <w:pStyle w:val="18"/>
              <w:snapToGrid w:val="0"/>
              <w:spacing w:line="390" w:lineRule="exact"/>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无需提供纸质版标书</w:t>
            </w:r>
            <w:r>
              <w:rPr>
                <w:rFonts w:hint="eastAsia" w:ascii="仿宋" w:hAnsi="仿宋" w:eastAsia="仿宋" w:cs="仿宋"/>
                <w:color w:val="000000"/>
                <w:highlight w:val="none"/>
              </w:rPr>
              <w:t>。</w:t>
            </w:r>
          </w:p>
        </w:tc>
      </w:tr>
      <w:tr w14:paraId="7962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1193EE06">
            <w:pPr>
              <w:snapToGrid w:val="0"/>
              <w:spacing w:line="390" w:lineRule="exact"/>
              <w:jc w:val="center"/>
              <w:rPr>
                <w:rFonts w:hint="eastAsia" w:ascii="仿宋" w:hAnsi="仿宋" w:eastAsia="仿宋" w:cs="仿宋"/>
                <w:b/>
                <w:szCs w:val="21"/>
                <w:highlight w:val="none"/>
                <w:lang w:eastAsia="zh-CN"/>
              </w:rPr>
            </w:pPr>
            <w:bookmarkStart w:id="7" w:name="_Hlk82007067"/>
            <w:r>
              <w:rPr>
                <w:rFonts w:hint="eastAsia" w:ascii="仿宋" w:hAnsi="仿宋" w:eastAsia="仿宋" w:cs="仿宋"/>
                <w:b/>
                <w:szCs w:val="21"/>
                <w:highlight w:val="none"/>
                <w:lang w:val="en-US" w:eastAsia="zh-CN"/>
              </w:rPr>
              <w:t>4</w:t>
            </w:r>
          </w:p>
        </w:tc>
        <w:tc>
          <w:tcPr>
            <w:tcW w:w="1799" w:type="dxa"/>
            <w:noWrap w:val="0"/>
            <w:vAlign w:val="center"/>
          </w:tcPr>
          <w:p w14:paraId="04ABA808">
            <w:pPr>
              <w:spacing w:line="360" w:lineRule="exact"/>
              <w:ind w:left="315" w:hanging="315" w:hangingChars="150"/>
              <w:rPr>
                <w:rFonts w:hint="eastAsia" w:ascii="仿宋" w:hAnsi="仿宋" w:eastAsia="仿宋" w:cs="仿宋"/>
                <w:szCs w:val="21"/>
                <w:highlight w:val="none"/>
              </w:rPr>
            </w:pPr>
            <w:r>
              <w:rPr>
                <w:rFonts w:hint="eastAsia" w:ascii="仿宋" w:hAnsi="仿宋" w:eastAsia="仿宋" w:cs="仿宋"/>
                <w:szCs w:val="21"/>
                <w:highlight w:val="none"/>
              </w:rPr>
              <w:t>投标人应提交的资格证明文件</w:t>
            </w:r>
          </w:p>
          <w:p w14:paraId="3B0551F5">
            <w:pPr>
              <w:spacing w:line="360" w:lineRule="exact"/>
              <w:ind w:left="315" w:hanging="315" w:hangingChars="150"/>
              <w:rPr>
                <w:rFonts w:hint="eastAsia" w:ascii="仿宋" w:hAnsi="仿宋" w:eastAsia="仿宋" w:cs="仿宋"/>
                <w:szCs w:val="21"/>
                <w:highlight w:val="none"/>
              </w:rPr>
            </w:pPr>
            <w:r>
              <w:rPr>
                <w:rFonts w:hint="eastAsia" w:ascii="仿宋" w:hAnsi="仿宋" w:eastAsia="仿宋" w:cs="仿宋"/>
                <w:szCs w:val="21"/>
                <w:highlight w:val="none"/>
              </w:rPr>
              <w:t>（包括但不限于）</w:t>
            </w:r>
          </w:p>
        </w:tc>
        <w:tc>
          <w:tcPr>
            <w:tcW w:w="6660" w:type="dxa"/>
            <w:noWrap w:val="0"/>
            <w:vAlign w:val="center"/>
          </w:tcPr>
          <w:p w14:paraId="05A72576">
            <w:pPr>
              <w:spacing w:line="360" w:lineRule="exact"/>
              <w:ind w:left="315" w:hanging="315" w:hangingChars="150"/>
              <w:rPr>
                <w:rFonts w:hint="eastAsia" w:ascii="仿宋" w:hAnsi="仿宋" w:eastAsia="仿宋" w:cs="仿宋"/>
                <w:szCs w:val="21"/>
                <w:highlight w:val="none"/>
              </w:rPr>
            </w:pPr>
            <w:r>
              <w:rPr>
                <w:rFonts w:hint="eastAsia" w:ascii="仿宋" w:hAnsi="仿宋" w:eastAsia="仿宋" w:cs="仿宋"/>
                <w:szCs w:val="21"/>
                <w:highlight w:val="none"/>
              </w:rPr>
              <w:t>投标人应按下列顺序提交资格证明文件，其中加*项为实质性响应条款。</w:t>
            </w:r>
          </w:p>
          <w:p w14:paraId="36DBA4D9">
            <w:pPr>
              <w:spacing w:line="360" w:lineRule="exact"/>
              <w:ind w:left="315" w:hanging="315" w:hangingChars="15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*1.具有独立承担民事责任的能力证明文件</w:t>
            </w:r>
          </w:p>
          <w:p w14:paraId="52F43B72">
            <w:pPr>
              <w:spacing w:line="360" w:lineRule="exact"/>
              <w:ind w:left="315" w:hanging="315" w:hangingChars="15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投标人须提供具有独立承担民事责任能力的承诺函（见‘投标文件格式’）；</w:t>
            </w:r>
          </w:p>
          <w:p w14:paraId="5D8ED4F1">
            <w:pPr>
              <w:spacing w:line="360" w:lineRule="exact"/>
              <w:ind w:left="315" w:hanging="315" w:hangingChars="15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*2.具有良好的商业信誉和健全的财务会计制度证明文件</w:t>
            </w:r>
          </w:p>
          <w:p w14:paraId="4FFCB10C">
            <w:pPr>
              <w:spacing w:line="360" w:lineRule="exact"/>
              <w:ind w:left="315" w:hanging="315" w:hangingChars="15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投标人须提供具有良好的商业信誉和健全的财务会计制度的承诺函（见‘投标文件格式’）；</w:t>
            </w:r>
          </w:p>
          <w:p w14:paraId="74AE1F3C">
            <w:pPr>
              <w:spacing w:line="360" w:lineRule="exact"/>
              <w:ind w:left="315" w:hanging="315" w:hangingChars="15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*3.具有履行合同所必需的设备和专业技术能力证明文件</w:t>
            </w:r>
          </w:p>
          <w:p w14:paraId="34B4EDFE">
            <w:pPr>
              <w:spacing w:line="360" w:lineRule="exact"/>
              <w:ind w:left="315" w:hanging="315" w:hangingChars="15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投标人须提供履行合同能力的承诺函（见‘投标文件格式’）；</w:t>
            </w:r>
          </w:p>
          <w:p w14:paraId="6F1D29E6">
            <w:pPr>
              <w:spacing w:line="360" w:lineRule="exact"/>
              <w:ind w:left="315" w:hanging="315" w:hangingChars="15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*4.依法缴纳税收和社会保障资金证明文件</w:t>
            </w:r>
          </w:p>
          <w:p w14:paraId="613FD8A0">
            <w:pPr>
              <w:spacing w:line="360" w:lineRule="exact"/>
              <w:ind w:left="315" w:hanging="315" w:hangingChars="15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投标人须提供依法缴纳税收和社会保障资金的承诺函（见‘投标文件格式’）；</w:t>
            </w:r>
          </w:p>
          <w:p w14:paraId="262418E4">
            <w:pPr>
              <w:spacing w:line="360" w:lineRule="exact"/>
              <w:ind w:left="315" w:hanging="315" w:hangingChars="15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*5.参加政府采购活动前三年内，在经营活动中没有重大违法记录证明文件</w:t>
            </w:r>
          </w:p>
          <w:p w14:paraId="5B98AF47">
            <w:pPr>
              <w:spacing w:line="360" w:lineRule="exact"/>
              <w:ind w:left="315" w:hanging="315" w:hangingChars="150"/>
              <w:rPr>
                <w:rFonts w:hint="eastAsia" w:ascii="仿宋" w:hAnsi="仿宋" w:eastAsia="仿宋" w:cs="仿宋"/>
                <w:highlight w:val="none"/>
              </w:rPr>
            </w:pPr>
            <w:r>
              <w:rPr>
                <w:rFonts w:hint="eastAsia" w:ascii="仿宋" w:hAnsi="仿宋" w:eastAsia="仿宋" w:cs="仿宋"/>
                <w:szCs w:val="21"/>
                <w:highlight w:val="none"/>
                <w:lang w:val="en-US" w:eastAsia="zh-CN"/>
              </w:rPr>
              <w:t>投标人须提供近三年无重大违法记录的承诺函（见‘投标文件格式’）；</w:t>
            </w:r>
          </w:p>
          <w:p w14:paraId="273A4D73">
            <w:pPr>
              <w:spacing w:line="360" w:lineRule="exact"/>
              <w:ind w:left="315" w:hanging="315" w:hangingChars="150"/>
              <w:rPr>
                <w:rFonts w:hint="eastAsia" w:ascii="仿宋" w:hAnsi="仿宋" w:eastAsia="仿宋" w:cs="仿宋"/>
                <w:szCs w:val="21"/>
                <w:highlight w:val="none"/>
              </w:rPr>
            </w:pP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开户许可证或基本存款账户信息（复印件加盖投标人公章）；</w:t>
            </w:r>
          </w:p>
          <w:p w14:paraId="5BDBD958">
            <w:pPr>
              <w:spacing w:line="360" w:lineRule="exact"/>
              <w:ind w:left="315" w:hanging="315" w:hangingChars="150"/>
              <w:rPr>
                <w:rFonts w:hint="eastAsia" w:ascii="仿宋" w:hAnsi="仿宋" w:eastAsia="仿宋" w:cs="仿宋"/>
                <w:szCs w:val="21"/>
                <w:highlight w:val="none"/>
              </w:rPr>
            </w:pP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投标人交纳投标保证金的汇款凭证（复印件加盖投标人公章）；</w:t>
            </w:r>
          </w:p>
          <w:p w14:paraId="2BD47CBF">
            <w:pPr>
              <w:spacing w:line="360" w:lineRule="exact"/>
              <w:ind w:left="315" w:hanging="315" w:hangingChars="150"/>
              <w:rPr>
                <w:rFonts w:hint="eastAsia" w:ascii="仿宋" w:hAnsi="仿宋" w:eastAsia="仿宋" w:cs="仿宋"/>
                <w:szCs w:val="21"/>
                <w:highlight w:val="none"/>
              </w:rPr>
            </w:pP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投标人认为需要提供的其他资格证明文件。</w:t>
            </w:r>
          </w:p>
        </w:tc>
      </w:tr>
      <w:tr w14:paraId="254A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60CDBA35">
            <w:pPr>
              <w:snapToGrid w:val="0"/>
              <w:spacing w:line="390" w:lineRule="exact"/>
              <w:jc w:val="center"/>
              <w:rPr>
                <w:rFonts w:hint="eastAsia" w:ascii="仿宋" w:hAnsi="仿宋" w:eastAsia="仿宋" w:cs="仿宋"/>
                <w:b/>
                <w:szCs w:val="21"/>
                <w:highlight w:val="none"/>
                <w:lang w:eastAsia="zh-CN"/>
              </w:rPr>
            </w:pPr>
            <w:r>
              <w:rPr>
                <w:rFonts w:hint="eastAsia" w:ascii="仿宋" w:hAnsi="仿宋" w:eastAsia="仿宋" w:cs="仿宋"/>
                <w:b/>
                <w:szCs w:val="21"/>
                <w:highlight w:val="none"/>
                <w:lang w:val="en-US" w:eastAsia="zh-CN"/>
              </w:rPr>
              <w:t>5</w:t>
            </w:r>
          </w:p>
        </w:tc>
        <w:tc>
          <w:tcPr>
            <w:tcW w:w="1799" w:type="dxa"/>
            <w:noWrap w:val="0"/>
            <w:vAlign w:val="center"/>
          </w:tcPr>
          <w:p w14:paraId="4972AED6">
            <w:pPr>
              <w:snapToGrid w:val="0"/>
              <w:spacing w:line="390" w:lineRule="exact"/>
              <w:rPr>
                <w:rFonts w:hint="eastAsia" w:ascii="仿宋" w:hAnsi="仿宋" w:eastAsia="仿宋" w:cs="仿宋"/>
                <w:b/>
                <w:szCs w:val="21"/>
                <w:highlight w:val="none"/>
              </w:rPr>
            </w:pPr>
            <w:r>
              <w:rPr>
                <w:rFonts w:hint="eastAsia" w:ascii="仿宋" w:hAnsi="仿宋" w:eastAsia="仿宋" w:cs="仿宋"/>
                <w:b/>
                <w:szCs w:val="21"/>
                <w:highlight w:val="none"/>
              </w:rPr>
              <w:t>投标人应提交的商务、技术文件（包括但不限于）</w:t>
            </w:r>
          </w:p>
        </w:tc>
        <w:tc>
          <w:tcPr>
            <w:tcW w:w="6660" w:type="dxa"/>
            <w:noWrap w:val="0"/>
            <w:vAlign w:val="center"/>
          </w:tcPr>
          <w:p w14:paraId="010E2003">
            <w:pPr>
              <w:tabs>
                <w:tab w:val="left" w:pos="612"/>
                <w:tab w:val="left" w:pos="1332"/>
              </w:tabs>
              <w:spacing w:line="400" w:lineRule="exact"/>
              <w:rPr>
                <w:rFonts w:hint="eastAsia" w:ascii="仿宋" w:hAnsi="仿宋" w:eastAsia="仿宋" w:cs="仿宋"/>
                <w:szCs w:val="21"/>
                <w:highlight w:val="none"/>
              </w:rPr>
            </w:pPr>
            <w:r>
              <w:rPr>
                <w:rFonts w:hint="eastAsia" w:ascii="仿宋" w:hAnsi="仿宋" w:eastAsia="仿宋" w:cs="仿宋"/>
                <w:szCs w:val="21"/>
                <w:highlight w:val="none"/>
              </w:rPr>
              <w:t>本次投标人应按下列顺序提交商务技术文件，其中加*项为实质性响应条款。</w:t>
            </w:r>
          </w:p>
          <w:p w14:paraId="7FFE1EC7">
            <w:pPr>
              <w:spacing w:line="360" w:lineRule="exact"/>
              <w:rPr>
                <w:rFonts w:hint="eastAsia" w:ascii="仿宋" w:hAnsi="仿宋" w:eastAsia="仿宋" w:cs="仿宋"/>
                <w:b/>
                <w:bCs/>
                <w:szCs w:val="21"/>
                <w:highlight w:val="none"/>
              </w:rPr>
            </w:pPr>
            <w:r>
              <w:rPr>
                <w:rFonts w:hint="eastAsia" w:ascii="仿宋" w:hAnsi="仿宋" w:eastAsia="仿宋" w:cs="仿宋"/>
                <w:b/>
                <w:bCs/>
                <w:szCs w:val="21"/>
                <w:highlight w:val="none"/>
              </w:rPr>
              <w:t>（一）商务部分：</w:t>
            </w:r>
          </w:p>
          <w:p w14:paraId="0D3B19E6">
            <w:pPr>
              <w:spacing w:line="360" w:lineRule="exact"/>
              <w:rPr>
                <w:rFonts w:hint="eastAsia" w:ascii="仿宋" w:hAnsi="仿宋" w:eastAsia="仿宋" w:cs="仿宋"/>
                <w:szCs w:val="21"/>
                <w:highlight w:val="none"/>
              </w:rPr>
            </w:pPr>
            <w:r>
              <w:rPr>
                <w:rFonts w:hint="eastAsia" w:ascii="仿宋" w:hAnsi="仿宋" w:eastAsia="仿宋" w:cs="仿宋"/>
                <w:szCs w:val="21"/>
                <w:highlight w:val="none"/>
              </w:rPr>
              <w:t>1、*法定代表人身份证明书（格式见第七部分）；</w:t>
            </w:r>
          </w:p>
          <w:p w14:paraId="26933A38">
            <w:pPr>
              <w:spacing w:line="360" w:lineRule="exact"/>
              <w:rPr>
                <w:rFonts w:hint="eastAsia" w:ascii="仿宋" w:hAnsi="仿宋" w:eastAsia="仿宋" w:cs="仿宋"/>
                <w:szCs w:val="21"/>
                <w:highlight w:val="none"/>
              </w:rPr>
            </w:pPr>
            <w:r>
              <w:rPr>
                <w:rFonts w:hint="eastAsia" w:ascii="仿宋" w:hAnsi="仿宋" w:eastAsia="仿宋" w:cs="仿宋"/>
                <w:szCs w:val="21"/>
                <w:highlight w:val="none"/>
              </w:rPr>
              <w:t>2、*法定代表人授权委托书（格式见第七部分）；</w:t>
            </w:r>
          </w:p>
          <w:p w14:paraId="126ED716">
            <w:pPr>
              <w:spacing w:line="360" w:lineRule="exact"/>
              <w:rPr>
                <w:rFonts w:hint="eastAsia" w:ascii="仿宋" w:hAnsi="仿宋" w:eastAsia="仿宋" w:cs="仿宋"/>
                <w:szCs w:val="21"/>
                <w:highlight w:val="none"/>
              </w:rPr>
            </w:pPr>
            <w:r>
              <w:rPr>
                <w:rFonts w:hint="eastAsia" w:ascii="仿宋" w:hAnsi="仿宋" w:eastAsia="仿宋" w:cs="仿宋"/>
                <w:szCs w:val="21"/>
                <w:highlight w:val="none"/>
              </w:rPr>
              <w:t>3、*投标函（格式见第七部分）；</w:t>
            </w:r>
          </w:p>
          <w:p w14:paraId="56F220A6">
            <w:pPr>
              <w:spacing w:line="360" w:lineRule="exact"/>
              <w:rPr>
                <w:rFonts w:hint="eastAsia" w:ascii="仿宋" w:hAnsi="仿宋" w:eastAsia="仿宋" w:cs="仿宋"/>
                <w:szCs w:val="21"/>
                <w:highlight w:val="none"/>
              </w:rPr>
            </w:pPr>
            <w:r>
              <w:rPr>
                <w:rFonts w:hint="eastAsia" w:ascii="仿宋" w:hAnsi="仿宋" w:eastAsia="仿宋" w:cs="仿宋"/>
                <w:szCs w:val="21"/>
                <w:highlight w:val="none"/>
              </w:rPr>
              <w:t>4、*开标一览表（格式见第七部分）；</w:t>
            </w:r>
          </w:p>
          <w:p w14:paraId="1C081B68">
            <w:pPr>
              <w:spacing w:line="360" w:lineRule="exact"/>
              <w:rPr>
                <w:rFonts w:hint="eastAsia" w:ascii="仿宋" w:hAnsi="仿宋" w:eastAsia="仿宋" w:cs="仿宋"/>
                <w:szCs w:val="21"/>
                <w:highlight w:val="none"/>
              </w:rPr>
            </w:pPr>
            <w:r>
              <w:rPr>
                <w:rFonts w:hint="eastAsia" w:ascii="仿宋" w:hAnsi="仿宋" w:eastAsia="仿宋" w:cs="仿宋"/>
                <w:szCs w:val="21"/>
                <w:highlight w:val="none"/>
              </w:rPr>
              <w:t>分项报价明细表（格式见第七部分）；</w:t>
            </w:r>
          </w:p>
          <w:p w14:paraId="78A6A203">
            <w:pPr>
              <w:spacing w:line="3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、投标人基本情况表（格式见第七部分）；</w:t>
            </w:r>
          </w:p>
          <w:p w14:paraId="5B304E71">
            <w:pPr>
              <w:spacing w:line="3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、近</w:t>
            </w:r>
            <w:r>
              <w:rPr>
                <w:rFonts w:hint="eastAsia" w:ascii="仿宋" w:hAnsi="仿宋" w:eastAsia="仿宋" w:cs="仿宋"/>
                <w:szCs w:val="21"/>
                <w:highlight w:val="none"/>
                <w:lang w:val="en-US" w:eastAsia="zh-CN"/>
              </w:rPr>
              <w:t>三</w:t>
            </w:r>
            <w:r>
              <w:rPr>
                <w:rFonts w:hint="eastAsia" w:ascii="仿宋" w:hAnsi="仿宋" w:eastAsia="仿宋" w:cs="仿宋"/>
                <w:szCs w:val="21"/>
                <w:highlight w:val="none"/>
              </w:rPr>
              <w:t>年同类型案例及相关证明资料；</w:t>
            </w:r>
          </w:p>
          <w:p w14:paraId="413D36FA">
            <w:pPr>
              <w:spacing w:line="3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、商务、技术条款偏离表（格式见第七部分）；</w:t>
            </w:r>
          </w:p>
          <w:p w14:paraId="41632A51">
            <w:pPr>
              <w:spacing w:line="360" w:lineRule="exact"/>
              <w:rPr>
                <w:rFonts w:hint="eastAsia" w:ascii="仿宋" w:hAnsi="仿宋" w:eastAsia="仿宋" w:cs="仿宋"/>
                <w:b/>
                <w:bCs/>
                <w:szCs w:val="21"/>
                <w:highlight w:val="none"/>
              </w:rPr>
            </w:pPr>
            <w:r>
              <w:rPr>
                <w:rFonts w:hint="eastAsia" w:ascii="仿宋" w:hAnsi="仿宋" w:eastAsia="仿宋" w:cs="仿宋"/>
                <w:b/>
                <w:bCs/>
                <w:szCs w:val="21"/>
                <w:highlight w:val="none"/>
              </w:rPr>
              <w:t>（二）技术服务部分</w:t>
            </w:r>
            <w:r>
              <w:rPr>
                <w:rFonts w:hint="eastAsia" w:ascii="仿宋" w:hAnsi="仿宋" w:eastAsia="仿宋" w:cs="仿宋"/>
                <w:b/>
                <w:bCs/>
                <w:highlight w:val="none"/>
              </w:rPr>
              <w:t>：</w:t>
            </w:r>
          </w:p>
          <w:p w14:paraId="6D1F1AFA">
            <w:pPr>
              <w:spacing w:line="36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w:t>
            </w:r>
            <w:r>
              <w:rPr>
                <w:rFonts w:hint="eastAsia" w:ascii="仿宋" w:hAnsi="仿宋" w:eastAsia="仿宋" w:cs="仿宋"/>
                <w:bCs/>
                <w:szCs w:val="21"/>
                <w:highlight w:val="none"/>
                <w:lang w:val="zh-CN"/>
              </w:rPr>
              <w:t>服务方案</w:t>
            </w:r>
            <w:r>
              <w:rPr>
                <w:rFonts w:hint="eastAsia" w:ascii="仿宋" w:hAnsi="仿宋" w:eastAsia="仿宋" w:cs="仿宋"/>
                <w:szCs w:val="21"/>
                <w:highlight w:val="none"/>
              </w:rPr>
              <w:t>（格式自拟）；</w:t>
            </w:r>
          </w:p>
          <w:p w14:paraId="2C2DF53B">
            <w:pPr>
              <w:spacing w:line="3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、投标人认为需要提供的其他商务技术材料；</w:t>
            </w:r>
          </w:p>
          <w:p w14:paraId="73101672">
            <w:pPr>
              <w:spacing w:line="360" w:lineRule="exact"/>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、投标对政府采购相关政策要求的响应情况（格式见第七部分）</w:t>
            </w:r>
          </w:p>
        </w:tc>
      </w:tr>
      <w:bookmarkEnd w:id="7"/>
      <w:tr w14:paraId="4E37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5015CAEA">
            <w:pPr>
              <w:snapToGrid w:val="0"/>
              <w:spacing w:line="390" w:lineRule="exact"/>
              <w:jc w:val="center"/>
              <w:rPr>
                <w:rFonts w:hint="eastAsia" w:ascii="仿宋" w:hAnsi="仿宋" w:eastAsia="仿宋" w:cs="仿宋"/>
                <w:b/>
                <w:color w:val="000000"/>
                <w:szCs w:val="21"/>
                <w:highlight w:val="none"/>
                <w:lang w:val="en-US" w:eastAsia="zh-CN"/>
              </w:rPr>
            </w:pPr>
            <w:r>
              <w:rPr>
                <w:rFonts w:hint="eastAsia" w:ascii="仿宋" w:hAnsi="仿宋" w:eastAsia="仿宋" w:cs="仿宋"/>
                <w:b/>
                <w:color w:val="000000"/>
                <w:szCs w:val="21"/>
                <w:highlight w:val="none"/>
                <w:lang w:val="en-US" w:eastAsia="zh-CN"/>
              </w:rPr>
              <w:t>6</w:t>
            </w:r>
          </w:p>
        </w:tc>
        <w:tc>
          <w:tcPr>
            <w:tcW w:w="1799" w:type="dxa"/>
            <w:noWrap w:val="0"/>
            <w:vAlign w:val="center"/>
          </w:tcPr>
          <w:p w14:paraId="60CD4F4F">
            <w:pPr>
              <w:snapToGrid w:val="0"/>
              <w:spacing w:line="390" w:lineRule="exact"/>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投标保证金</w:t>
            </w:r>
          </w:p>
        </w:tc>
        <w:tc>
          <w:tcPr>
            <w:tcW w:w="6660" w:type="dxa"/>
            <w:noWrap w:val="0"/>
            <w:vAlign w:val="center"/>
          </w:tcPr>
          <w:p w14:paraId="19B687E9">
            <w:pPr>
              <w:rPr>
                <w:rFonts w:hint="eastAsia" w:ascii="仿宋" w:hAnsi="仿宋" w:eastAsia="仿宋" w:cs="仿宋"/>
                <w:szCs w:val="21"/>
                <w:highlight w:val="none"/>
              </w:rPr>
            </w:pPr>
            <w:r>
              <w:rPr>
                <w:rFonts w:hint="eastAsia" w:ascii="仿宋" w:hAnsi="仿宋" w:eastAsia="仿宋" w:cs="仿宋"/>
                <w:szCs w:val="21"/>
                <w:highlight w:val="none"/>
              </w:rPr>
              <w:t>投标保证金采用银行汇票、电汇、银行保函（银行保函可以是银行直接出具的保函或经金融服务平台出具的银行保函）支票倒送或网上银行支付方式之一进行交纳，须从</w:t>
            </w:r>
            <w:r>
              <w:rPr>
                <w:rFonts w:hint="eastAsia" w:ascii="仿宋" w:hAnsi="仿宋" w:eastAsia="仿宋" w:cs="仿宋"/>
                <w:szCs w:val="21"/>
                <w:highlight w:val="none"/>
                <w:lang w:eastAsia="zh-CN"/>
              </w:rPr>
              <w:t>投标人</w:t>
            </w:r>
            <w:r>
              <w:rPr>
                <w:rFonts w:hint="eastAsia" w:ascii="仿宋" w:hAnsi="仿宋" w:eastAsia="仿宋" w:cs="仿宋"/>
                <w:szCs w:val="21"/>
                <w:highlight w:val="none"/>
              </w:rPr>
              <w:t>的基本账户汇出，现场不收取现金。</w:t>
            </w:r>
          </w:p>
          <w:p w14:paraId="6EEAE163">
            <w:pPr>
              <w:rPr>
                <w:rFonts w:hint="eastAsia" w:ascii="仿宋" w:hAnsi="仿宋" w:eastAsia="仿宋" w:cs="仿宋"/>
                <w:szCs w:val="21"/>
                <w:highlight w:val="none"/>
                <w:lang w:val="en-US" w:eastAsia="zh-CN"/>
              </w:rPr>
            </w:pPr>
            <w:r>
              <w:rPr>
                <w:rFonts w:hint="eastAsia" w:ascii="仿宋" w:hAnsi="仿宋" w:eastAsia="仿宋" w:cs="仿宋"/>
                <w:szCs w:val="21"/>
                <w:highlight w:val="none"/>
              </w:rPr>
              <w:t>投标保证金金额：</w:t>
            </w:r>
            <w:r>
              <w:rPr>
                <w:rFonts w:hint="eastAsia" w:ascii="仿宋" w:hAnsi="仿宋" w:eastAsia="仿宋" w:cs="仿宋"/>
                <w:szCs w:val="21"/>
                <w:highlight w:val="none"/>
                <w:lang w:val="en-US" w:eastAsia="zh-CN"/>
              </w:rPr>
              <w:t>40000元</w:t>
            </w:r>
          </w:p>
          <w:p w14:paraId="2C08CED0">
            <w:pPr>
              <w:rPr>
                <w:rFonts w:hint="eastAsia" w:ascii="仿宋" w:hAnsi="仿宋" w:eastAsia="仿宋" w:cs="仿宋"/>
                <w:b/>
                <w:sz w:val="21"/>
                <w:szCs w:val="21"/>
                <w:highlight w:val="none"/>
              </w:rPr>
            </w:pPr>
            <w:r>
              <w:rPr>
                <w:rFonts w:hint="eastAsia" w:ascii="仿宋" w:hAnsi="仿宋" w:eastAsia="仿宋" w:cs="仿宋"/>
                <w:b/>
                <w:sz w:val="21"/>
                <w:szCs w:val="21"/>
                <w:highlight w:val="none"/>
              </w:rPr>
              <w:t>接受投标保证金的账户：</w:t>
            </w:r>
          </w:p>
          <w:p w14:paraId="2A1927C3">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开户名称：山西浩坤工程项目管理有限公司</w:t>
            </w:r>
          </w:p>
          <w:p w14:paraId="5A681863">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开户行：山西尧都农村商业银行股份有限公司城郊支行</w:t>
            </w:r>
          </w:p>
          <w:p w14:paraId="17D4003B">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账号：601161240007911960</w:t>
            </w:r>
          </w:p>
          <w:p w14:paraId="2EBD5639">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行号：402177000343</w:t>
            </w:r>
          </w:p>
          <w:p w14:paraId="31F889E7">
            <w:pPr>
              <w:rPr>
                <w:rFonts w:hint="eastAsia" w:ascii="仿宋" w:hAnsi="仿宋" w:eastAsia="仿宋" w:cs="仿宋"/>
                <w:sz w:val="21"/>
                <w:szCs w:val="21"/>
                <w:highlight w:val="none"/>
              </w:rPr>
            </w:pPr>
            <w:r>
              <w:rPr>
                <w:rFonts w:hint="eastAsia" w:ascii="仿宋" w:hAnsi="仿宋" w:eastAsia="仿宋" w:cs="仿宋"/>
                <w:sz w:val="21"/>
                <w:szCs w:val="21"/>
                <w:highlight w:val="none"/>
              </w:rPr>
              <w:t>投标保证金交纳在截止时间前，以银行的到账时间为准。</w:t>
            </w:r>
          </w:p>
          <w:p w14:paraId="0D379FB5">
            <w:pPr>
              <w:rPr>
                <w:rFonts w:hint="eastAsia" w:ascii="仿宋" w:hAnsi="仿宋" w:eastAsia="仿宋" w:cs="仿宋"/>
                <w:sz w:val="21"/>
                <w:szCs w:val="21"/>
                <w:highlight w:val="none"/>
              </w:rPr>
            </w:pPr>
            <w:r>
              <w:rPr>
                <w:rFonts w:hint="eastAsia" w:ascii="仿宋" w:hAnsi="仿宋" w:eastAsia="仿宋" w:cs="仿宋"/>
                <w:sz w:val="21"/>
                <w:szCs w:val="21"/>
                <w:highlight w:val="none"/>
              </w:rPr>
              <w:t>注：1、采用电汇时，请务必在汇款单位附加信息或用途栏注明项目的</w:t>
            </w:r>
            <w:r>
              <w:rPr>
                <w:rFonts w:hint="eastAsia" w:ascii="仿宋" w:hAnsi="仿宋" w:eastAsia="仿宋" w:cs="仿宋"/>
                <w:sz w:val="21"/>
                <w:szCs w:val="21"/>
                <w:highlight w:val="none"/>
                <w:lang w:eastAsia="zh-CN"/>
              </w:rPr>
              <w:t>项目编号</w:t>
            </w:r>
            <w:r>
              <w:rPr>
                <w:rFonts w:hint="eastAsia" w:ascii="仿宋" w:hAnsi="仿宋" w:eastAsia="仿宋" w:cs="仿宋"/>
                <w:sz w:val="21"/>
                <w:szCs w:val="21"/>
                <w:highlight w:val="none"/>
              </w:rPr>
              <w:t>及</w:t>
            </w:r>
            <w:r>
              <w:rPr>
                <w:rFonts w:hint="eastAsia" w:ascii="仿宋" w:hAnsi="仿宋" w:eastAsia="仿宋" w:cs="仿宋"/>
                <w:sz w:val="21"/>
                <w:szCs w:val="21"/>
                <w:highlight w:val="none"/>
                <w:lang w:val="en-US" w:eastAsia="zh-CN"/>
              </w:rPr>
              <w:t>标段</w:t>
            </w:r>
            <w:r>
              <w:rPr>
                <w:rFonts w:hint="eastAsia" w:ascii="仿宋" w:hAnsi="仿宋" w:eastAsia="仿宋" w:cs="仿宋"/>
                <w:sz w:val="21"/>
                <w:szCs w:val="21"/>
                <w:highlight w:val="none"/>
              </w:rPr>
              <w:t>号，未注明</w:t>
            </w:r>
            <w:r>
              <w:rPr>
                <w:rFonts w:hint="eastAsia" w:ascii="仿宋" w:hAnsi="仿宋" w:eastAsia="仿宋" w:cs="仿宋"/>
                <w:sz w:val="21"/>
                <w:szCs w:val="21"/>
                <w:highlight w:val="none"/>
                <w:lang w:eastAsia="zh-CN"/>
              </w:rPr>
              <w:t>项目编号</w:t>
            </w:r>
            <w:r>
              <w:rPr>
                <w:rFonts w:hint="eastAsia" w:ascii="仿宋" w:hAnsi="仿宋" w:eastAsia="仿宋" w:cs="仿宋"/>
                <w:sz w:val="21"/>
                <w:szCs w:val="21"/>
                <w:highlight w:val="none"/>
              </w:rPr>
              <w:t>及</w:t>
            </w:r>
            <w:r>
              <w:rPr>
                <w:rFonts w:hint="eastAsia" w:ascii="仿宋" w:hAnsi="仿宋" w:eastAsia="仿宋" w:cs="仿宋"/>
                <w:sz w:val="21"/>
                <w:szCs w:val="21"/>
                <w:highlight w:val="none"/>
                <w:lang w:val="en-US" w:eastAsia="zh-CN"/>
              </w:rPr>
              <w:t>标段</w:t>
            </w:r>
            <w:r>
              <w:rPr>
                <w:rFonts w:hint="eastAsia" w:ascii="仿宋" w:hAnsi="仿宋" w:eastAsia="仿宋" w:cs="仿宋"/>
                <w:sz w:val="21"/>
                <w:szCs w:val="21"/>
                <w:highlight w:val="none"/>
              </w:rPr>
              <w:t xml:space="preserve">号的，视为投标保证金无效，按无效投标处理。  </w:t>
            </w:r>
          </w:p>
          <w:p w14:paraId="77F9CF72">
            <w:pPr>
              <w:rPr>
                <w:rFonts w:hint="eastAsia" w:ascii="仿宋" w:hAnsi="仿宋" w:eastAsia="仿宋" w:cs="仿宋"/>
                <w:sz w:val="21"/>
                <w:szCs w:val="21"/>
                <w:highlight w:val="none"/>
              </w:rPr>
            </w:pPr>
            <w:r>
              <w:rPr>
                <w:rFonts w:hint="eastAsia" w:ascii="仿宋" w:hAnsi="仿宋" w:eastAsia="仿宋" w:cs="仿宋"/>
                <w:sz w:val="21"/>
                <w:szCs w:val="21"/>
                <w:highlight w:val="none"/>
              </w:rPr>
              <w:t>2、因银行结算，不可抗力等非</w:t>
            </w:r>
            <w:r>
              <w:rPr>
                <w:rFonts w:hint="eastAsia" w:ascii="仿宋" w:hAnsi="仿宋" w:eastAsia="仿宋" w:cs="仿宋"/>
                <w:sz w:val="21"/>
                <w:szCs w:val="21"/>
                <w:highlight w:val="none"/>
                <w:lang w:eastAsia="zh-CN"/>
              </w:rPr>
              <w:t>采购人</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招标代理</w:t>
            </w:r>
            <w:r>
              <w:rPr>
                <w:rFonts w:hint="eastAsia" w:ascii="仿宋" w:hAnsi="仿宋" w:eastAsia="仿宋" w:cs="仿宋"/>
                <w:sz w:val="21"/>
                <w:szCs w:val="21"/>
                <w:highlight w:val="none"/>
              </w:rPr>
              <w:t>原因造成的投标保证金不能及时到账，后果由投标人自行承担。</w:t>
            </w:r>
          </w:p>
          <w:p w14:paraId="316F04C2">
            <w:pPr>
              <w:rPr>
                <w:rFonts w:hint="eastAsia" w:ascii="仿宋" w:hAnsi="仿宋" w:eastAsia="仿宋" w:cs="仿宋"/>
                <w:color w:val="000000"/>
                <w:spacing w:val="10"/>
                <w:kern w:val="0"/>
                <w:highlight w:val="none"/>
              </w:rPr>
            </w:pPr>
            <w:r>
              <w:rPr>
                <w:rFonts w:hint="eastAsia" w:ascii="仿宋" w:hAnsi="仿宋" w:eastAsia="仿宋" w:cs="仿宋"/>
                <w:sz w:val="21"/>
                <w:szCs w:val="21"/>
                <w:highlight w:val="none"/>
              </w:rPr>
              <w:t>3、投标保证金的有效期与投标有效期一致。</w:t>
            </w:r>
          </w:p>
        </w:tc>
      </w:tr>
      <w:tr w14:paraId="18BD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center"/>
          </w:tcPr>
          <w:p w14:paraId="0221959E">
            <w:pPr>
              <w:snapToGrid w:val="0"/>
              <w:spacing w:line="390" w:lineRule="exact"/>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7</w:t>
            </w:r>
          </w:p>
        </w:tc>
        <w:tc>
          <w:tcPr>
            <w:tcW w:w="1799" w:type="dxa"/>
            <w:noWrap w:val="0"/>
            <w:vAlign w:val="center"/>
          </w:tcPr>
          <w:p w14:paraId="3BBC4B7C">
            <w:pPr>
              <w:snapToGrid w:val="0"/>
              <w:spacing w:line="390" w:lineRule="exact"/>
              <w:rPr>
                <w:rFonts w:hint="eastAsia" w:ascii="仿宋" w:hAnsi="仿宋" w:eastAsia="仿宋" w:cs="仿宋"/>
                <w:b/>
                <w:bCs/>
                <w:color w:val="000000"/>
                <w:szCs w:val="21"/>
                <w:highlight w:val="none"/>
              </w:rPr>
            </w:pPr>
            <w:r>
              <w:rPr>
                <w:rFonts w:hint="eastAsia" w:ascii="仿宋" w:hAnsi="仿宋" w:eastAsia="仿宋" w:cs="仿宋"/>
                <w:b/>
                <w:color w:val="000000"/>
                <w:szCs w:val="21"/>
                <w:highlight w:val="none"/>
              </w:rPr>
              <w:t>投标文件有效期</w:t>
            </w:r>
          </w:p>
        </w:tc>
        <w:tc>
          <w:tcPr>
            <w:tcW w:w="6660" w:type="dxa"/>
            <w:noWrap w:val="0"/>
            <w:vAlign w:val="center"/>
          </w:tcPr>
          <w:p w14:paraId="69758E63">
            <w:pPr>
              <w:spacing w:line="39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90个日历天（自递交投标文件截止之日起计算）</w:t>
            </w:r>
          </w:p>
        </w:tc>
      </w:tr>
      <w:tr w14:paraId="0ECF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center"/>
          </w:tcPr>
          <w:p w14:paraId="0AF128CF">
            <w:pPr>
              <w:snapToGrid w:val="0"/>
              <w:spacing w:line="390" w:lineRule="exact"/>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8</w:t>
            </w:r>
          </w:p>
        </w:tc>
        <w:tc>
          <w:tcPr>
            <w:tcW w:w="1799" w:type="dxa"/>
            <w:noWrap w:val="0"/>
            <w:vAlign w:val="center"/>
          </w:tcPr>
          <w:p w14:paraId="452BA630">
            <w:pPr>
              <w:snapToGrid w:val="0"/>
              <w:spacing w:line="390" w:lineRule="exact"/>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政府采购相关政策要求</w:t>
            </w:r>
          </w:p>
        </w:tc>
        <w:tc>
          <w:tcPr>
            <w:tcW w:w="6660" w:type="dxa"/>
            <w:noWrap w:val="0"/>
            <w:vAlign w:val="center"/>
          </w:tcPr>
          <w:p w14:paraId="02340D9F">
            <w:pPr>
              <w:tabs>
                <w:tab w:val="left" w:pos="612"/>
                <w:tab w:val="left" w:pos="1332"/>
              </w:tabs>
              <w:spacing w:line="4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、小型、微型企业参加本项目投标要求：</w:t>
            </w:r>
          </w:p>
          <w:p w14:paraId="2EACC323">
            <w:pPr>
              <w:tabs>
                <w:tab w:val="left" w:pos="612"/>
                <w:tab w:val="left" w:pos="1332"/>
              </w:tabs>
              <w:spacing w:line="4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根据工信部等部委发布的《关于印发中小企业划型标准规定的通知》（工信部联企业〔2011〕300号），按照本次采购标的对应的所属行业中小企业划分标准，符合条件的中小企业应按照招标文件格式提供《中小企业声明函》（格式见第八部分）。</w:t>
            </w:r>
          </w:p>
          <w:p w14:paraId="23787EF0">
            <w:pPr>
              <w:tabs>
                <w:tab w:val="left" w:pos="612"/>
                <w:tab w:val="left" w:pos="1332"/>
              </w:tabs>
              <w:spacing w:line="4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2</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根据财政部、工业和信息化部发布的《政府采购促进中小企业发展管理办法》（财库〔2020〕46号）和财政部发布的《关于进一步加大政府采购支持中小企业力度的通知》（财库〔2022〕19号）规定，对小微企业报价给予1</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%的扣除，用扣除后的价格参加评审。</w:t>
            </w:r>
          </w:p>
          <w:p w14:paraId="79F33E7F">
            <w:pPr>
              <w:tabs>
                <w:tab w:val="left" w:pos="612"/>
                <w:tab w:val="left" w:pos="1332"/>
              </w:tabs>
              <w:spacing w:line="4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3</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小微企业提供本企业制造的货物、承建的工程或者承接的服务，或者提供其他小微企业制造的货物，享受价格折扣优惠政策。</w:t>
            </w:r>
            <w:r>
              <w:rPr>
                <w:rFonts w:hint="eastAsia" w:ascii="仿宋" w:hAnsi="仿宋" w:eastAsia="仿宋" w:cs="仿宋"/>
                <w:color w:val="000000"/>
                <w:szCs w:val="21"/>
                <w:highlight w:val="none"/>
                <w:lang w:eastAsia="zh-CN"/>
              </w:rPr>
              <w:t>投标人</w:t>
            </w:r>
            <w:r>
              <w:rPr>
                <w:rFonts w:hint="eastAsia" w:ascii="仿宋" w:hAnsi="仿宋" w:eastAsia="仿宋" w:cs="仿宋"/>
                <w:color w:val="000000"/>
                <w:szCs w:val="21"/>
                <w:highlight w:val="none"/>
              </w:rPr>
              <w:t>提供的货物既有小微企业制造货物，也有中大型企业制造货物的，不享受价格折扣优惠政策。</w:t>
            </w:r>
          </w:p>
          <w:p w14:paraId="4981F9B1">
            <w:pPr>
              <w:tabs>
                <w:tab w:val="left" w:pos="612"/>
                <w:tab w:val="left" w:pos="1332"/>
              </w:tabs>
              <w:spacing w:line="4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、残疾人福利性单位参加本项目投标的要求：</w:t>
            </w:r>
          </w:p>
          <w:p w14:paraId="0CD90812">
            <w:pPr>
              <w:tabs>
                <w:tab w:val="left" w:pos="612"/>
                <w:tab w:val="left" w:pos="1332"/>
              </w:tabs>
              <w:spacing w:line="4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（1）须根据财库【2017】141号《关于促进残疾人就业政府采购政策的通知》的要求，如实填写残疾人福利性单位声明函（格式见第八部分）。</w:t>
            </w:r>
          </w:p>
          <w:p w14:paraId="799A6741">
            <w:pPr>
              <w:tabs>
                <w:tab w:val="left" w:pos="612"/>
                <w:tab w:val="left" w:pos="1332"/>
              </w:tabs>
              <w:spacing w:line="4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w:t>
            </w:r>
            <w:r>
              <w:rPr>
                <w:rFonts w:hint="eastAsia" w:ascii="仿宋" w:hAnsi="仿宋" w:eastAsia="仿宋" w:cs="仿宋"/>
                <w:color w:val="000000"/>
                <w:szCs w:val="21"/>
                <w:highlight w:val="none"/>
                <w:lang w:eastAsia="zh-CN"/>
              </w:rPr>
              <w:t>投标人</w:t>
            </w:r>
            <w:r>
              <w:rPr>
                <w:rFonts w:hint="eastAsia" w:ascii="仿宋" w:hAnsi="仿宋" w:eastAsia="仿宋" w:cs="仿宋"/>
                <w:color w:val="000000"/>
                <w:szCs w:val="21"/>
                <w:highlight w:val="none"/>
              </w:rPr>
              <w:t>提供的《残疾人福利性单位声明函》与事实不符的，依照《政府采购法》第七十七条第一款的规定追究法律责任。</w:t>
            </w:r>
          </w:p>
          <w:p w14:paraId="1E4909AE">
            <w:pPr>
              <w:tabs>
                <w:tab w:val="left" w:pos="612"/>
                <w:tab w:val="left" w:pos="1332"/>
              </w:tabs>
              <w:spacing w:line="4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投标人参加本次投标活动，上述要求（如涉及的话），均应作出响应。</w:t>
            </w:r>
          </w:p>
          <w:p w14:paraId="39492CD0">
            <w:pPr>
              <w:tabs>
                <w:tab w:val="left" w:pos="612"/>
                <w:tab w:val="left" w:pos="1332"/>
              </w:tabs>
              <w:spacing w:line="4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、监狱企业参加本项目投标的要求：须按照财政部、司法部关于政府采购支持监狱企业发展有关问题的通知(财库〔2014〕68号) 的标准提供相关证明材料。</w:t>
            </w:r>
          </w:p>
        </w:tc>
      </w:tr>
      <w:tr w14:paraId="0276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49" w:type="dxa"/>
            <w:noWrap w:val="0"/>
            <w:vAlign w:val="center"/>
          </w:tcPr>
          <w:p w14:paraId="3EF5BA5A">
            <w:pPr>
              <w:snapToGrid w:val="0"/>
              <w:spacing w:line="390" w:lineRule="exact"/>
              <w:jc w:val="center"/>
              <w:rPr>
                <w:rFonts w:hint="eastAsia" w:ascii="仿宋" w:hAnsi="仿宋" w:eastAsia="仿宋" w:cs="仿宋"/>
                <w:b/>
                <w:color w:val="000000"/>
                <w:szCs w:val="21"/>
                <w:highlight w:val="none"/>
                <w:lang w:eastAsia="zh-CN"/>
              </w:rPr>
            </w:pPr>
            <w:r>
              <w:rPr>
                <w:rFonts w:hint="eastAsia" w:ascii="仿宋" w:hAnsi="仿宋" w:eastAsia="仿宋" w:cs="仿宋"/>
                <w:b/>
                <w:color w:val="000000"/>
                <w:szCs w:val="21"/>
                <w:highlight w:val="none"/>
                <w:lang w:val="en-US" w:eastAsia="zh-CN"/>
              </w:rPr>
              <w:t>9</w:t>
            </w:r>
          </w:p>
        </w:tc>
        <w:tc>
          <w:tcPr>
            <w:tcW w:w="1799" w:type="dxa"/>
            <w:noWrap w:val="0"/>
            <w:vAlign w:val="center"/>
          </w:tcPr>
          <w:p w14:paraId="5555376F">
            <w:pPr>
              <w:adjustRightInd w:val="0"/>
              <w:spacing w:line="360" w:lineRule="exact"/>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评标委员会构成</w:t>
            </w:r>
          </w:p>
        </w:tc>
        <w:tc>
          <w:tcPr>
            <w:tcW w:w="6660" w:type="dxa"/>
            <w:noWrap w:val="0"/>
            <w:vAlign w:val="center"/>
          </w:tcPr>
          <w:p w14:paraId="5F14B263">
            <w:pPr>
              <w:adjustRightInd w:val="0"/>
              <w:snapToGrid w:val="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评标委员会由</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人及以上单数组成，其中</w:t>
            </w:r>
            <w:r>
              <w:rPr>
                <w:rFonts w:hint="eastAsia" w:ascii="仿宋" w:hAnsi="仿宋" w:eastAsia="仿宋" w:cs="仿宋"/>
                <w:color w:val="000000"/>
                <w:szCs w:val="21"/>
                <w:highlight w:val="none"/>
                <w:lang w:eastAsia="zh-CN"/>
              </w:rPr>
              <w:t>采购人</w:t>
            </w:r>
            <w:r>
              <w:rPr>
                <w:rFonts w:hint="eastAsia" w:ascii="仿宋" w:hAnsi="仿宋" w:eastAsia="仿宋" w:cs="仿宋"/>
                <w:color w:val="000000"/>
                <w:szCs w:val="21"/>
                <w:highlight w:val="none"/>
              </w:rPr>
              <w:t>代表</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名，经济、技术等方面的专家</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名。</w:t>
            </w:r>
          </w:p>
          <w:p w14:paraId="61AB545D">
            <w:pPr>
              <w:adjustRightInd w:val="0"/>
              <w:snapToGrid w:val="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评标专家确定方式：政府采购评标专家库随机抽取。</w:t>
            </w:r>
          </w:p>
        </w:tc>
      </w:tr>
      <w:tr w14:paraId="7F73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center"/>
          </w:tcPr>
          <w:p w14:paraId="41CFEA2A">
            <w:pPr>
              <w:snapToGrid w:val="0"/>
              <w:spacing w:line="390" w:lineRule="exact"/>
              <w:jc w:val="center"/>
              <w:rPr>
                <w:rFonts w:hint="eastAsia" w:ascii="仿宋" w:hAnsi="仿宋" w:eastAsia="仿宋" w:cs="仿宋"/>
                <w:b/>
                <w:szCs w:val="21"/>
                <w:highlight w:val="none"/>
                <w:lang w:val="en-US" w:eastAsia="zh-CN"/>
              </w:rPr>
            </w:pPr>
            <w:r>
              <w:rPr>
                <w:rFonts w:hint="eastAsia" w:ascii="仿宋" w:hAnsi="仿宋" w:eastAsia="仿宋" w:cs="仿宋"/>
                <w:b/>
                <w:color w:val="000000"/>
                <w:szCs w:val="21"/>
                <w:highlight w:val="none"/>
                <w:lang w:val="en-US" w:eastAsia="zh-CN"/>
              </w:rPr>
              <w:t>10</w:t>
            </w:r>
          </w:p>
        </w:tc>
        <w:tc>
          <w:tcPr>
            <w:tcW w:w="1799" w:type="dxa"/>
            <w:noWrap w:val="0"/>
            <w:vAlign w:val="center"/>
          </w:tcPr>
          <w:p w14:paraId="3459F0B3">
            <w:pPr>
              <w:adjustRightInd w:val="0"/>
              <w:spacing w:line="36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现场考察</w:t>
            </w:r>
          </w:p>
        </w:tc>
        <w:tc>
          <w:tcPr>
            <w:tcW w:w="6660" w:type="dxa"/>
            <w:noWrap w:val="0"/>
            <w:vAlign w:val="center"/>
          </w:tcPr>
          <w:p w14:paraId="684593E6">
            <w:pPr>
              <w:tabs>
                <w:tab w:val="left" w:pos="612"/>
                <w:tab w:val="left" w:pos="1332"/>
              </w:tabs>
              <w:spacing w:line="400" w:lineRule="exact"/>
              <w:rPr>
                <w:rFonts w:hint="eastAsia" w:ascii="仿宋" w:hAnsi="仿宋" w:eastAsia="仿宋" w:cs="仿宋"/>
                <w:szCs w:val="21"/>
                <w:highlight w:val="none"/>
              </w:rPr>
            </w:pPr>
            <w:r>
              <w:rPr>
                <w:rFonts w:hint="eastAsia" w:ascii="仿宋" w:hAnsi="仿宋" w:eastAsia="仿宋" w:cs="仿宋"/>
                <w:szCs w:val="21"/>
                <w:highlight w:val="none"/>
              </w:rPr>
              <w:t>不组织</w:t>
            </w:r>
          </w:p>
        </w:tc>
      </w:tr>
      <w:tr w14:paraId="1D31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center"/>
          </w:tcPr>
          <w:p w14:paraId="02E1C202">
            <w:pPr>
              <w:snapToGrid w:val="0"/>
              <w:spacing w:line="390" w:lineRule="exact"/>
              <w:jc w:val="center"/>
              <w:rPr>
                <w:rFonts w:hint="eastAsia" w:ascii="仿宋" w:hAnsi="仿宋" w:eastAsia="仿宋" w:cs="仿宋"/>
                <w:b/>
                <w:szCs w:val="21"/>
                <w:highlight w:val="none"/>
                <w:lang w:eastAsia="zh-CN"/>
              </w:rPr>
            </w:pPr>
            <w:r>
              <w:rPr>
                <w:rFonts w:hint="eastAsia" w:ascii="仿宋" w:hAnsi="仿宋" w:eastAsia="仿宋" w:cs="仿宋"/>
                <w:b/>
                <w:szCs w:val="21"/>
                <w:highlight w:val="none"/>
              </w:rPr>
              <w:t>1</w:t>
            </w:r>
            <w:r>
              <w:rPr>
                <w:rFonts w:hint="eastAsia" w:ascii="仿宋" w:hAnsi="仿宋" w:eastAsia="仿宋" w:cs="仿宋"/>
                <w:b/>
                <w:szCs w:val="21"/>
                <w:highlight w:val="none"/>
                <w:lang w:val="en-US" w:eastAsia="zh-CN"/>
              </w:rPr>
              <w:t>1</w:t>
            </w:r>
          </w:p>
        </w:tc>
        <w:tc>
          <w:tcPr>
            <w:tcW w:w="1799" w:type="dxa"/>
            <w:noWrap w:val="0"/>
            <w:vAlign w:val="center"/>
          </w:tcPr>
          <w:p w14:paraId="3ECE9B39">
            <w:pPr>
              <w:adjustRightInd w:val="0"/>
              <w:spacing w:line="36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开标前答疑会</w:t>
            </w:r>
          </w:p>
        </w:tc>
        <w:tc>
          <w:tcPr>
            <w:tcW w:w="6660" w:type="dxa"/>
            <w:noWrap w:val="0"/>
            <w:vAlign w:val="center"/>
          </w:tcPr>
          <w:p w14:paraId="700FE209">
            <w:pPr>
              <w:tabs>
                <w:tab w:val="left" w:pos="612"/>
                <w:tab w:val="left" w:pos="1332"/>
              </w:tabs>
              <w:spacing w:line="400" w:lineRule="exact"/>
              <w:rPr>
                <w:rFonts w:hint="eastAsia" w:ascii="仿宋" w:hAnsi="仿宋" w:eastAsia="仿宋" w:cs="仿宋"/>
                <w:szCs w:val="21"/>
                <w:highlight w:val="none"/>
              </w:rPr>
            </w:pPr>
            <w:r>
              <w:rPr>
                <w:rFonts w:hint="eastAsia" w:ascii="仿宋" w:hAnsi="仿宋" w:eastAsia="仿宋" w:cs="仿宋"/>
                <w:szCs w:val="21"/>
                <w:highlight w:val="none"/>
              </w:rPr>
              <w:t>不召开</w:t>
            </w:r>
          </w:p>
        </w:tc>
      </w:tr>
      <w:tr w14:paraId="7DB4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9" w:type="dxa"/>
            <w:noWrap w:val="0"/>
            <w:vAlign w:val="center"/>
          </w:tcPr>
          <w:p w14:paraId="13F0B5EC">
            <w:pPr>
              <w:snapToGrid w:val="0"/>
              <w:spacing w:line="390" w:lineRule="exact"/>
              <w:jc w:val="center"/>
              <w:rPr>
                <w:rFonts w:hint="eastAsia" w:ascii="仿宋" w:hAnsi="仿宋" w:eastAsia="仿宋" w:cs="仿宋"/>
                <w:b/>
                <w:color w:val="000000"/>
                <w:szCs w:val="21"/>
                <w:highlight w:val="none"/>
                <w:lang w:eastAsia="zh-CN"/>
              </w:rPr>
            </w:pPr>
            <w:r>
              <w:rPr>
                <w:rFonts w:hint="eastAsia" w:ascii="仿宋" w:hAnsi="仿宋" w:eastAsia="仿宋" w:cs="仿宋"/>
                <w:b/>
                <w:szCs w:val="21"/>
                <w:highlight w:val="none"/>
              </w:rPr>
              <w:t>1</w:t>
            </w:r>
            <w:r>
              <w:rPr>
                <w:rFonts w:hint="eastAsia" w:ascii="仿宋" w:hAnsi="仿宋" w:eastAsia="仿宋" w:cs="仿宋"/>
                <w:b/>
                <w:szCs w:val="21"/>
                <w:highlight w:val="none"/>
                <w:lang w:val="en-US" w:eastAsia="zh-CN"/>
              </w:rPr>
              <w:t>2</w:t>
            </w:r>
          </w:p>
        </w:tc>
        <w:tc>
          <w:tcPr>
            <w:tcW w:w="1799" w:type="dxa"/>
            <w:noWrap w:val="0"/>
            <w:vAlign w:val="center"/>
          </w:tcPr>
          <w:p w14:paraId="7D7E8219">
            <w:pPr>
              <w:adjustRightInd w:val="0"/>
              <w:spacing w:line="360" w:lineRule="exact"/>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无效投标情形</w:t>
            </w:r>
          </w:p>
        </w:tc>
        <w:tc>
          <w:tcPr>
            <w:tcW w:w="6660" w:type="dxa"/>
            <w:noWrap w:val="0"/>
            <w:vAlign w:val="center"/>
          </w:tcPr>
          <w:p w14:paraId="5103BE7B">
            <w:pPr>
              <w:adjustRightInd w:val="0"/>
              <w:snapToGrid w:val="0"/>
              <w:spacing w:before="78" w:beforeLines="25"/>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详见本招标文件第三部分投标人须知第20.1、20.2、20.3条的规定</w:t>
            </w:r>
          </w:p>
        </w:tc>
      </w:tr>
      <w:tr w14:paraId="7F4D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9" w:type="dxa"/>
            <w:noWrap w:val="0"/>
            <w:vAlign w:val="center"/>
          </w:tcPr>
          <w:p w14:paraId="0907C74E">
            <w:pPr>
              <w:snapToGrid w:val="0"/>
              <w:spacing w:line="390" w:lineRule="exact"/>
              <w:jc w:val="center"/>
              <w:rPr>
                <w:rFonts w:hint="eastAsia" w:ascii="仿宋" w:hAnsi="仿宋" w:eastAsia="仿宋" w:cs="仿宋"/>
                <w:b/>
                <w:color w:val="000000"/>
                <w:szCs w:val="21"/>
                <w:highlight w:val="none"/>
                <w:lang w:eastAsia="zh-CN"/>
              </w:rPr>
            </w:pPr>
            <w:r>
              <w:rPr>
                <w:rFonts w:hint="eastAsia" w:ascii="仿宋" w:hAnsi="仿宋" w:eastAsia="仿宋" w:cs="仿宋"/>
                <w:b/>
                <w:color w:val="000000"/>
                <w:szCs w:val="21"/>
                <w:highlight w:val="none"/>
              </w:rPr>
              <w:t>1</w:t>
            </w:r>
            <w:r>
              <w:rPr>
                <w:rFonts w:hint="eastAsia" w:ascii="仿宋" w:hAnsi="仿宋" w:eastAsia="仿宋" w:cs="仿宋"/>
                <w:b/>
                <w:color w:val="000000"/>
                <w:szCs w:val="21"/>
                <w:highlight w:val="none"/>
                <w:lang w:val="en-US" w:eastAsia="zh-CN"/>
              </w:rPr>
              <w:t>3</w:t>
            </w:r>
          </w:p>
        </w:tc>
        <w:tc>
          <w:tcPr>
            <w:tcW w:w="1799" w:type="dxa"/>
            <w:noWrap w:val="0"/>
            <w:vAlign w:val="center"/>
          </w:tcPr>
          <w:p w14:paraId="02373E41">
            <w:pPr>
              <w:adjustRightInd w:val="0"/>
              <w:spacing w:line="360" w:lineRule="exact"/>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代理服务费</w:t>
            </w:r>
          </w:p>
        </w:tc>
        <w:tc>
          <w:tcPr>
            <w:tcW w:w="6660" w:type="dxa"/>
            <w:noWrap w:val="0"/>
            <w:vAlign w:val="center"/>
          </w:tcPr>
          <w:p w14:paraId="403A753D">
            <w:pPr>
              <w:tabs>
                <w:tab w:val="left" w:pos="612"/>
                <w:tab w:val="left" w:pos="1332"/>
              </w:tabs>
              <w:spacing w:line="4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中标</w:t>
            </w:r>
            <w:r>
              <w:rPr>
                <w:rFonts w:hint="eastAsia" w:ascii="仿宋" w:hAnsi="仿宋" w:eastAsia="仿宋" w:cs="仿宋"/>
                <w:color w:val="000000"/>
                <w:szCs w:val="21"/>
                <w:highlight w:val="none"/>
                <w:lang w:eastAsia="zh-CN"/>
              </w:rPr>
              <w:t>人</w:t>
            </w:r>
            <w:r>
              <w:rPr>
                <w:rFonts w:hint="eastAsia" w:ascii="仿宋" w:hAnsi="仿宋" w:eastAsia="仿宋" w:cs="仿宋"/>
                <w:color w:val="000000"/>
                <w:szCs w:val="21"/>
                <w:highlight w:val="none"/>
              </w:rPr>
              <w:t>向</w:t>
            </w:r>
            <w:r>
              <w:rPr>
                <w:rFonts w:hint="eastAsia" w:ascii="仿宋" w:hAnsi="仿宋" w:eastAsia="仿宋" w:cs="仿宋"/>
                <w:color w:val="000000"/>
                <w:szCs w:val="21"/>
                <w:highlight w:val="none"/>
                <w:lang w:eastAsia="zh-CN"/>
              </w:rPr>
              <w:t>招标代理机构</w:t>
            </w:r>
            <w:r>
              <w:rPr>
                <w:rFonts w:hint="eastAsia" w:ascii="仿宋" w:hAnsi="仿宋" w:eastAsia="仿宋" w:cs="仿宋"/>
                <w:color w:val="000000"/>
                <w:szCs w:val="21"/>
                <w:highlight w:val="none"/>
              </w:rPr>
              <w:t>缴纳招标代理服务费。</w:t>
            </w:r>
          </w:p>
          <w:p w14:paraId="7AEE4F4F">
            <w:pPr>
              <w:tabs>
                <w:tab w:val="left" w:pos="612"/>
                <w:tab w:val="left" w:pos="1332"/>
              </w:tabs>
              <w:spacing w:line="4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参照中华人民共和国国家发展计划委员会（2002）1980号文件的计算方法进行收取。</w:t>
            </w:r>
          </w:p>
          <w:p w14:paraId="74AAD965">
            <w:pPr>
              <w:pStyle w:val="2"/>
              <w:tabs>
                <w:tab w:val="left" w:pos="612"/>
                <w:tab w:val="left" w:pos="1332"/>
              </w:tabs>
              <w:adjustRightInd/>
              <w:snapToGrid/>
              <w:spacing w:line="400" w:lineRule="exact"/>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由中标单位在领取中标通知书时一次性向</w:t>
            </w:r>
            <w:r>
              <w:rPr>
                <w:rFonts w:hint="eastAsia" w:ascii="仿宋" w:hAnsi="仿宋" w:eastAsia="仿宋" w:cs="仿宋"/>
                <w:color w:val="000000"/>
                <w:kern w:val="2"/>
                <w:sz w:val="21"/>
                <w:szCs w:val="21"/>
                <w:highlight w:val="none"/>
                <w:lang w:eastAsia="zh-CN"/>
              </w:rPr>
              <w:t>招标代理机构</w:t>
            </w:r>
            <w:r>
              <w:rPr>
                <w:rFonts w:hint="eastAsia" w:ascii="仿宋" w:hAnsi="仿宋" w:eastAsia="仿宋" w:cs="仿宋"/>
                <w:color w:val="000000"/>
                <w:kern w:val="2"/>
                <w:sz w:val="21"/>
                <w:szCs w:val="21"/>
                <w:highlight w:val="none"/>
              </w:rPr>
              <w:t>缴纳。</w:t>
            </w:r>
          </w:p>
        </w:tc>
      </w:tr>
      <w:tr w14:paraId="666F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9" w:type="dxa"/>
            <w:noWrap w:val="0"/>
            <w:vAlign w:val="center"/>
          </w:tcPr>
          <w:p w14:paraId="7BDC4185">
            <w:pPr>
              <w:snapToGrid w:val="0"/>
              <w:spacing w:line="390" w:lineRule="exact"/>
              <w:jc w:val="center"/>
              <w:rPr>
                <w:rFonts w:hint="eastAsia" w:ascii="仿宋" w:hAnsi="仿宋" w:eastAsia="仿宋" w:cs="仿宋"/>
                <w:b/>
                <w:color w:val="000000"/>
                <w:szCs w:val="21"/>
                <w:highlight w:val="none"/>
                <w:lang w:eastAsia="zh-CN"/>
              </w:rPr>
            </w:pPr>
            <w:r>
              <w:rPr>
                <w:rFonts w:hint="eastAsia" w:ascii="仿宋" w:hAnsi="仿宋" w:eastAsia="仿宋" w:cs="仿宋"/>
                <w:b/>
                <w:color w:val="000000"/>
                <w:szCs w:val="21"/>
                <w:highlight w:val="none"/>
              </w:rPr>
              <w:t>1</w:t>
            </w:r>
            <w:r>
              <w:rPr>
                <w:rFonts w:hint="eastAsia" w:ascii="仿宋" w:hAnsi="仿宋" w:eastAsia="仿宋" w:cs="仿宋"/>
                <w:b/>
                <w:color w:val="000000"/>
                <w:szCs w:val="21"/>
                <w:highlight w:val="none"/>
                <w:lang w:val="en-US" w:eastAsia="zh-CN"/>
              </w:rPr>
              <w:t>4</w:t>
            </w:r>
          </w:p>
        </w:tc>
        <w:tc>
          <w:tcPr>
            <w:tcW w:w="1799" w:type="dxa"/>
            <w:noWrap w:val="0"/>
            <w:vAlign w:val="center"/>
          </w:tcPr>
          <w:p w14:paraId="4D07A5F0">
            <w:pPr>
              <w:adjustRightInd w:val="0"/>
              <w:spacing w:line="360" w:lineRule="exact"/>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说明</w:t>
            </w:r>
          </w:p>
        </w:tc>
        <w:tc>
          <w:tcPr>
            <w:tcW w:w="6660" w:type="dxa"/>
            <w:noWrap w:val="0"/>
            <w:vAlign w:val="center"/>
          </w:tcPr>
          <w:p w14:paraId="1137AB1F">
            <w:pPr>
              <w:tabs>
                <w:tab w:val="left" w:pos="612"/>
                <w:tab w:val="left" w:pos="1332"/>
              </w:tabs>
              <w:spacing w:line="400" w:lineRule="exact"/>
              <w:rPr>
                <w:rFonts w:hint="eastAsia" w:ascii="仿宋" w:hAnsi="仿宋" w:eastAsia="仿宋" w:cs="仿宋"/>
                <w:highlight w:val="none"/>
              </w:rPr>
            </w:pPr>
            <w:r>
              <w:rPr>
                <w:rFonts w:hint="eastAsia" w:ascii="仿宋" w:hAnsi="仿宋" w:eastAsia="仿宋" w:cs="仿宋"/>
                <w:highlight w:val="none"/>
              </w:rPr>
              <w:t>1、本投标文件所有时间均为北京时间；</w:t>
            </w:r>
          </w:p>
          <w:p w14:paraId="77258289">
            <w:pPr>
              <w:spacing w:line="276" w:lineRule="auto"/>
              <w:rPr>
                <w:rFonts w:hint="eastAsia" w:ascii="仿宋" w:hAnsi="仿宋" w:eastAsia="仿宋" w:cs="仿宋"/>
                <w:highlight w:val="none"/>
              </w:rPr>
            </w:pPr>
            <w:r>
              <w:rPr>
                <w:rFonts w:hint="eastAsia" w:ascii="仿宋" w:hAnsi="仿宋" w:eastAsia="仿宋" w:cs="仿宋"/>
                <w:highlight w:val="none"/>
              </w:rPr>
              <w:t>2、评标委员会认为</w:t>
            </w:r>
            <w:r>
              <w:rPr>
                <w:rFonts w:hint="eastAsia" w:ascii="仿宋" w:hAnsi="仿宋" w:eastAsia="仿宋" w:cs="仿宋"/>
                <w:highlight w:val="none"/>
                <w:lang w:eastAsia="zh-CN"/>
              </w:rPr>
              <w:t>投标人</w:t>
            </w:r>
            <w:r>
              <w:rPr>
                <w:rFonts w:hint="eastAsia" w:ascii="仿宋" w:hAnsi="仿宋" w:eastAsia="仿宋" w:cs="仿宋"/>
                <w:highlight w:val="none"/>
              </w:rPr>
              <w:t>的报价明显低于其他通过符合性审查</w:t>
            </w:r>
            <w:r>
              <w:rPr>
                <w:rFonts w:hint="eastAsia" w:ascii="仿宋" w:hAnsi="仿宋" w:eastAsia="仿宋" w:cs="仿宋"/>
                <w:highlight w:val="none"/>
                <w:lang w:eastAsia="zh-CN"/>
              </w:rPr>
              <w:t>投标人</w:t>
            </w:r>
            <w:r>
              <w:rPr>
                <w:rFonts w:hint="eastAsia" w:ascii="仿宋" w:hAnsi="仿宋" w:eastAsia="仿宋" w:cs="仿宋"/>
                <w:highlight w:val="none"/>
              </w:rPr>
              <w:t>的报价，有可能影响所投</w:t>
            </w:r>
            <w:r>
              <w:rPr>
                <w:rFonts w:hint="eastAsia" w:ascii="仿宋" w:hAnsi="仿宋" w:eastAsia="仿宋" w:cs="仿宋"/>
                <w:highlight w:val="none"/>
                <w:lang w:val="en-US" w:eastAsia="zh-CN"/>
              </w:rPr>
              <w:t>标包</w:t>
            </w:r>
            <w:r>
              <w:rPr>
                <w:rFonts w:hint="eastAsia" w:ascii="仿宋" w:hAnsi="仿宋" w:eastAsia="仿宋" w:cs="仿宋"/>
                <w:highlight w:val="none"/>
              </w:rPr>
              <w:t>质量或者不能诚信履约的，应当要求其在评标现场合理的时间内提供说明，必要时提交相关证明材料；</w:t>
            </w:r>
            <w:r>
              <w:rPr>
                <w:rFonts w:hint="eastAsia" w:ascii="仿宋" w:hAnsi="仿宋" w:eastAsia="仿宋" w:cs="仿宋"/>
                <w:highlight w:val="none"/>
                <w:lang w:eastAsia="zh-CN"/>
              </w:rPr>
              <w:t>投标人</w:t>
            </w:r>
            <w:r>
              <w:rPr>
                <w:rFonts w:hint="eastAsia" w:ascii="仿宋" w:hAnsi="仿宋" w:eastAsia="仿宋" w:cs="仿宋"/>
                <w:highlight w:val="none"/>
              </w:rPr>
              <w:t>在规定时间内不能证明其报价合理性的，评标委员会应当将其作为无效投标处理。</w:t>
            </w:r>
          </w:p>
          <w:p w14:paraId="252453AF">
            <w:pPr>
              <w:spacing w:line="276" w:lineRule="auto"/>
              <w:rPr>
                <w:rFonts w:hint="eastAsia" w:ascii="仿宋" w:hAnsi="仿宋" w:eastAsia="仿宋" w:cs="仿宋"/>
                <w:highlight w:val="none"/>
              </w:rPr>
            </w:pPr>
            <w:r>
              <w:rPr>
                <w:rFonts w:hint="eastAsia" w:ascii="仿宋" w:hAnsi="仿宋" w:eastAsia="仿宋" w:cs="仿宋"/>
                <w:highlight w:val="none"/>
              </w:rPr>
              <w:t>3、本项目不允许分包和转包。</w:t>
            </w:r>
          </w:p>
          <w:p w14:paraId="73831E89">
            <w:pPr>
              <w:spacing w:line="276" w:lineRule="auto"/>
              <w:rPr>
                <w:rFonts w:hint="eastAsia" w:ascii="仿宋" w:hAnsi="仿宋" w:eastAsia="仿宋" w:cs="仿宋"/>
                <w:highlight w:val="none"/>
                <w:lang w:val="en-US" w:eastAsia="zh-CN"/>
              </w:rPr>
            </w:pPr>
            <w:r>
              <w:rPr>
                <w:rFonts w:hint="eastAsia" w:ascii="仿宋" w:hAnsi="仿宋" w:eastAsia="仿宋" w:cs="仿宋"/>
                <w:highlight w:val="none"/>
              </w:rPr>
              <w:t>4、本项目验收工作由</w:t>
            </w:r>
            <w:r>
              <w:rPr>
                <w:rFonts w:hint="eastAsia" w:ascii="仿宋" w:hAnsi="仿宋" w:eastAsia="仿宋" w:cs="仿宋"/>
                <w:highlight w:val="none"/>
                <w:lang w:eastAsia="zh-CN"/>
              </w:rPr>
              <w:t>采购人</w:t>
            </w:r>
            <w:r>
              <w:rPr>
                <w:rFonts w:hint="eastAsia" w:ascii="仿宋" w:hAnsi="仿宋" w:eastAsia="仿宋" w:cs="仿宋"/>
                <w:highlight w:val="none"/>
              </w:rPr>
              <w:t>组织实施。</w:t>
            </w:r>
          </w:p>
        </w:tc>
      </w:tr>
      <w:tr w14:paraId="039C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9" w:type="dxa"/>
            <w:noWrap w:val="0"/>
            <w:vAlign w:val="center"/>
          </w:tcPr>
          <w:p w14:paraId="04A682BF">
            <w:pPr>
              <w:snapToGrid w:val="0"/>
              <w:spacing w:line="390" w:lineRule="exact"/>
              <w:jc w:val="center"/>
              <w:rPr>
                <w:rFonts w:hint="eastAsia" w:ascii="仿宋" w:hAnsi="仿宋" w:eastAsia="仿宋" w:cs="仿宋"/>
                <w:b/>
                <w:color w:val="000000"/>
                <w:szCs w:val="21"/>
                <w:highlight w:val="none"/>
                <w:lang w:eastAsia="zh-CN"/>
              </w:rPr>
            </w:pPr>
            <w:r>
              <w:rPr>
                <w:rFonts w:hint="eastAsia" w:ascii="仿宋" w:hAnsi="仿宋" w:eastAsia="仿宋" w:cs="仿宋"/>
                <w:b/>
                <w:color w:val="000000"/>
                <w:szCs w:val="21"/>
                <w:highlight w:val="none"/>
              </w:rPr>
              <w:t>1</w:t>
            </w:r>
            <w:r>
              <w:rPr>
                <w:rFonts w:hint="eastAsia" w:ascii="仿宋" w:hAnsi="仿宋" w:eastAsia="仿宋" w:cs="仿宋"/>
                <w:b/>
                <w:color w:val="000000"/>
                <w:szCs w:val="21"/>
                <w:highlight w:val="none"/>
                <w:lang w:val="en-US" w:eastAsia="zh-CN"/>
              </w:rPr>
              <w:t>5</w:t>
            </w:r>
          </w:p>
        </w:tc>
        <w:tc>
          <w:tcPr>
            <w:tcW w:w="1799" w:type="dxa"/>
            <w:noWrap w:val="0"/>
            <w:vAlign w:val="center"/>
          </w:tcPr>
          <w:p w14:paraId="318BEEA7">
            <w:pPr>
              <w:pStyle w:val="26"/>
              <w:autoSpaceDE w:val="0"/>
              <w:adjustRightInd w:val="0"/>
              <w:snapToGrid w:val="0"/>
              <w:spacing w:before="0" w:beforeAutospacing="0" w:after="0" w:afterAutospacing="0" w:line="360" w:lineRule="auto"/>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提交投标文件截止时间、开标时间和地</w:t>
            </w:r>
          </w:p>
        </w:tc>
        <w:tc>
          <w:tcPr>
            <w:tcW w:w="6660" w:type="dxa"/>
            <w:noWrap w:val="0"/>
            <w:vAlign w:val="center"/>
          </w:tcPr>
          <w:p w14:paraId="64DF7AF9">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w:t>
            </w:r>
            <w:r>
              <w:rPr>
                <w:rFonts w:hint="eastAsia" w:ascii="仿宋" w:hAnsi="仿宋" w:eastAsia="仿宋" w:cs="仿宋"/>
                <w:bCs/>
                <w:color w:val="auto"/>
                <w:sz w:val="21"/>
                <w:szCs w:val="21"/>
                <w:highlight w:val="none"/>
              </w:rPr>
              <w:t>投标文件上传截止时间、开标时间：</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日上午9点00分（北京时间）；</w:t>
            </w:r>
          </w:p>
          <w:p w14:paraId="3DA5ED75">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2、投标文件提交地点：投标文件上传至山西省政府采购网（http://www.ccgp-shanxi.gov.cn/home.html）采购平台</w:t>
            </w:r>
            <w:r>
              <w:rPr>
                <w:rFonts w:hint="eastAsia" w:ascii="仿宋" w:hAnsi="仿宋" w:eastAsia="仿宋" w:cs="仿宋"/>
                <w:color w:val="auto"/>
                <w:sz w:val="21"/>
                <w:szCs w:val="21"/>
                <w:highlight w:val="none"/>
                <w:lang w:eastAsia="zh-CN"/>
              </w:rPr>
              <w:t>，并使用</w:t>
            </w:r>
            <w:r>
              <w:rPr>
                <w:rFonts w:hint="eastAsia" w:ascii="仿宋" w:hAnsi="仿宋" w:eastAsia="仿宋" w:cs="仿宋"/>
                <w:color w:val="auto"/>
                <w:sz w:val="21"/>
                <w:szCs w:val="21"/>
                <w:highlight w:val="none"/>
              </w:rPr>
              <w:t>CA</w:t>
            </w:r>
            <w:r>
              <w:rPr>
                <w:rFonts w:hint="eastAsia" w:ascii="仿宋" w:hAnsi="仿宋" w:eastAsia="仿宋" w:cs="仿宋"/>
                <w:color w:val="auto"/>
                <w:sz w:val="21"/>
                <w:szCs w:val="21"/>
                <w:highlight w:val="none"/>
                <w:lang w:eastAsia="zh-CN"/>
              </w:rPr>
              <w:t>数字证书进行加密上传投标文件</w:t>
            </w:r>
          </w:p>
          <w:p w14:paraId="01E839D0">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3、开标地点：山西省政府采购网-山西政府采购平台</w:t>
            </w:r>
          </w:p>
          <w:p w14:paraId="3B9DFE2F">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auto"/>
                <w:sz w:val="21"/>
                <w:szCs w:val="21"/>
                <w:highlight w:val="none"/>
              </w:rPr>
              <w:t>4、网上开标（电子投标文件）解密时间</w:t>
            </w: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eastAsia="zh-CN"/>
              </w:rPr>
              <w:t>供应商需携带</w:t>
            </w:r>
            <w:r>
              <w:rPr>
                <w:rFonts w:hint="eastAsia" w:ascii="仿宋" w:hAnsi="仿宋" w:eastAsia="仿宋" w:cs="仿宋"/>
                <w:color w:val="auto"/>
                <w:sz w:val="21"/>
                <w:szCs w:val="21"/>
                <w:highlight w:val="none"/>
              </w:rPr>
              <w:t>CA</w:t>
            </w:r>
            <w:r>
              <w:rPr>
                <w:rFonts w:hint="eastAsia" w:ascii="仿宋" w:hAnsi="仿宋" w:eastAsia="仿宋" w:cs="仿宋"/>
                <w:bCs/>
                <w:color w:val="auto"/>
                <w:sz w:val="21"/>
                <w:szCs w:val="21"/>
                <w:highlight w:val="none"/>
                <w:lang w:eastAsia="zh-CN"/>
              </w:rPr>
              <w:t>数字证书在</w:t>
            </w:r>
            <w:r>
              <w:rPr>
                <w:rFonts w:hint="eastAsia" w:ascii="仿宋" w:hAnsi="仿宋" w:eastAsia="仿宋" w:cs="仿宋"/>
                <w:color w:val="auto"/>
                <w:sz w:val="21"/>
                <w:szCs w:val="21"/>
                <w:highlight w:val="none"/>
              </w:rPr>
              <w:t>电子投标文件上传截止时间后</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0分钟内</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北京时间）</w:t>
            </w:r>
            <w:r>
              <w:rPr>
                <w:rFonts w:hint="eastAsia" w:ascii="仿宋" w:hAnsi="仿宋" w:eastAsia="仿宋" w:cs="仿宋"/>
                <w:color w:val="auto"/>
                <w:sz w:val="21"/>
                <w:szCs w:val="21"/>
                <w:highlight w:val="none"/>
                <w:lang w:eastAsia="zh-CN"/>
              </w:rPr>
              <w:t>完成解密。</w:t>
            </w:r>
          </w:p>
        </w:tc>
      </w:tr>
      <w:tr w14:paraId="6A67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49" w:type="dxa"/>
            <w:noWrap w:val="0"/>
            <w:vAlign w:val="center"/>
          </w:tcPr>
          <w:p w14:paraId="0F167CB1">
            <w:pPr>
              <w:snapToGrid w:val="0"/>
              <w:spacing w:line="390" w:lineRule="exact"/>
              <w:jc w:val="center"/>
              <w:rPr>
                <w:rFonts w:hint="eastAsia" w:ascii="仿宋" w:hAnsi="仿宋" w:eastAsia="仿宋" w:cs="仿宋"/>
                <w:b/>
                <w:color w:val="000000"/>
                <w:szCs w:val="21"/>
                <w:highlight w:val="none"/>
                <w:lang w:eastAsia="zh-CN"/>
              </w:rPr>
            </w:pPr>
            <w:r>
              <w:rPr>
                <w:rFonts w:hint="eastAsia" w:ascii="仿宋" w:hAnsi="仿宋" w:eastAsia="仿宋" w:cs="仿宋"/>
                <w:b/>
                <w:color w:val="000000"/>
                <w:szCs w:val="21"/>
                <w:highlight w:val="none"/>
              </w:rPr>
              <w:t>1</w:t>
            </w:r>
            <w:r>
              <w:rPr>
                <w:rFonts w:hint="eastAsia" w:ascii="仿宋" w:hAnsi="仿宋" w:eastAsia="仿宋" w:cs="仿宋"/>
                <w:b/>
                <w:color w:val="000000"/>
                <w:szCs w:val="21"/>
                <w:highlight w:val="none"/>
                <w:lang w:val="en-US" w:eastAsia="zh-CN"/>
              </w:rPr>
              <w:t>6</w:t>
            </w:r>
          </w:p>
        </w:tc>
        <w:tc>
          <w:tcPr>
            <w:tcW w:w="1799" w:type="dxa"/>
            <w:noWrap w:val="0"/>
            <w:vAlign w:val="center"/>
          </w:tcPr>
          <w:p w14:paraId="589089F7">
            <w:pPr>
              <w:pStyle w:val="26"/>
              <w:autoSpaceDE w:val="0"/>
              <w:adjustRightInd w:val="0"/>
              <w:snapToGrid w:val="0"/>
              <w:spacing w:before="0" w:beforeAutospacing="0" w:after="0" w:afterAutospacing="0" w:line="360" w:lineRule="auto"/>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评标办法</w:t>
            </w:r>
          </w:p>
        </w:tc>
        <w:tc>
          <w:tcPr>
            <w:tcW w:w="6660" w:type="dxa"/>
            <w:noWrap w:val="0"/>
            <w:vAlign w:val="center"/>
          </w:tcPr>
          <w:p w14:paraId="01F37AAE">
            <w:pPr>
              <w:pStyle w:val="26"/>
              <w:autoSpaceDE w:val="0"/>
              <w:adjustRightInd w:val="0"/>
              <w:snapToGrid w:val="0"/>
              <w:spacing w:before="0" w:beforeAutospacing="0" w:after="0" w:afterAutospacing="0"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综合评</w:t>
            </w:r>
            <w:r>
              <w:rPr>
                <w:rFonts w:hint="eastAsia" w:ascii="仿宋" w:hAnsi="仿宋" w:eastAsia="仿宋" w:cs="仿宋"/>
                <w:sz w:val="21"/>
                <w:szCs w:val="21"/>
                <w:highlight w:val="none"/>
                <w:lang w:val="en-US" w:eastAsia="zh-CN"/>
              </w:rPr>
              <w:t>分</w:t>
            </w:r>
            <w:r>
              <w:rPr>
                <w:rFonts w:hint="eastAsia" w:ascii="仿宋" w:hAnsi="仿宋" w:eastAsia="仿宋" w:cs="仿宋"/>
                <w:sz w:val="21"/>
                <w:szCs w:val="21"/>
                <w:highlight w:val="none"/>
              </w:rPr>
              <w:t>法。</w:t>
            </w:r>
          </w:p>
        </w:tc>
      </w:tr>
      <w:tr w14:paraId="765B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49" w:type="dxa"/>
            <w:noWrap w:val="0"/>
            <w:vAlign w:val="center"/>
          </w:tcPr>
          <w:p w14:paraId="0F30C201">
            <w:pPr>
              <w:snapToGrid w:val="0"/>
              <w:spacing w:line="390" w:lineRule="exact"/>
              <w:jc w:val="center"/>
              <w:rPr>
                <w:rFonts w:hint="eastAsia" w:ascii="仿宋" w:hAnsi="仿宋" w:eastAsia="仿宋" w:cs="仿宋"/>
                <w:b/>
                <w:color w:val="000000"/>
                <w:szCs w:val="21"/>
                <w:highlight w:val="none"/>
                <w:lang w:eastAsia="zh-CN"/>
              </w:rPr>
            </w:pPr>
            <w:r>
              <w:rPr>
                <w:rFonts w:hint="eastAsia" w:ascii="仿宋" w:hAnsi="仿宋" w:eastAsia="仿宋" w:cs="仿宋"/>
                <w:b/>
                <w:color w:val="000000"/>
                <w:szCs w:val="21"/>
                <w:highlight w:val="none"/>
              </w:rPr>
              <w:t>1</w:t>
            </w:r>
            <w:r>
              <w:rPr>
                <w:rFonts w:hint="eastAsia" w:ascii="仿宋" w:hAnsi="仿宋" w:eastAsia="仿宋" w:cs="仿宋"/>
                <w:b/>
                <w:color w:val="000000"/>
                <w:szCs w:val="21"/>
                <w:highlight w:val="none"/>
                <w:lang w:val="en-US" w:eastAsia="zh-CN"/>
              </w:rPr>
              <w:t>7</w:t>
            </w:r>
          </w:p>
        </w:tc>
        <w:tc>
          <w:tcPr>
            <w:tcW w:w="1799" w:type="dxa"/>
            <w:noWrap w:val="0"/>
            <w:vAlign w:val="center"/>
          </w:tcPr>
          <w:p w14:paraId="7F15EF7B">
            <w:pPr>
              <w:pStyle w:val="26"/>
              <w:autoSpaceDE w:val="0"/>
              <w:adjustRightInd w:val="0"/>
              <w:snapToGrid w:val="0"/>
              <w:spacing w:before="0" w:beforeAutospacing="0" w:after="0" w:afterAutospacing="0" w:line="360" w:lineRule="auto"/>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中标单位确定</w:t>
            </w:r>
          </w:p>
        </w:tc>
        <w:tc>
          <w:tcPr>
            <w:tcW w:w="6660" w:type="dxa"/>
            <w:noWrap w:val="0"/>
            <w:vAlign w:val="center"/>
          </w:tcPr>
          <w:p w14:paraId="105831F0">
            <w:pPr>
              <w:pStyle w:val="26"/>
              <w:autoSpaceDE w:val="0"/>
              <w:adjustRightInd w:val="0"/>
              <w:snapToGrid w:val="0"/>
              <w:spacing w:before="0" w:beforeAutospacing="0" w:after="0" w:afterAutospacing="0"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投标文件满足招标文件全部实质性要求且最终得分最高的</w:t>
            </w: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为中标单位。</w:t>
            </w:r>
          </w:p>
        </w:tc>
      </w:tr>
      <w:tr w14:paraId="6823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49" w:type="dxa"/>
            <w:noWrap w:val="0"/>
            <w:vAlign w:val="center"/>
          </w:tcPr>
          <w:p w14:paraId="0FB657B2">
            <w:pPr>
              <w:snapToGrid w:val="0"/>
              <w:spacing w:line="390" w:lineRule="exact"/>
              <w:jc w:val="center"/>
              <w:rPr>
                <w:rFonts w:hint="eastAsia" w:ascii="仿宋" w:hAnsi="仿宋" w:eastAsia="仿宋" w:cs="仿宋"/>
                <w:b/>
                <w:color w:val="000000"/>
                <w:szCs w:val="21"/>
                <w:highlight w:val="none"/>
                <w:lang w:val="en-US" w:eastAsia="zh-CN"/>
              </w:rPr>
            </w:pPr>
            <w:r>
              <w:rPr>
                <w:rFonts w:hint="eastAsia" w:ascii="仿宋" w:hAnsi="仿宋" w:eastAsia="仿宋" w:cs="仿宋"/>
                <w:b/>
                <w:color w:val="000000"/>
                <w:szCs w:val="21"/>
                <w:highlight w:val="none"/>
                <w:lang w:val="en-US" w:eastAsia="zh-CN"/>
              </w:rPr>
              <w:t>18</w:t>
            </w:r>
          </w:p>
        </w:tc>
        <w:tc>
          <w:tcPr>
            <w:tcW w:w="1799" w:type="dxa"/>
            <w:noWrap w:val="0"/>
            <w:vAlign w:val="center"/>
          </w:tcPr>
          <w:p w14:paraId="260A819C">
            <w:pPr>
              <w:pStyle w:val="26"/>
              <w:autoSpaceDE w:val="0"/>
              <w:adjustRightInd w:val="0"/>
              <w:snapToGrid w:val="0"/>
              <w:spacing w:before="0" w:beforeAutospacing="0" w:after="0" w:afterAutospacing="0" w:line="360" w:lineRule="auto"/>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本项目所属行业</w:t>
            </w:r>
          </w:p>
        </w:tc>
        <w:tc>
          <w:tcPr>
            <w:tcW w:w="6660" w:type="dxa"/>
            <w:noWrap w:val="0"/>
            <w:vAlign w:val="center"/>
          </w:tcPr>
          <w:p w14:paraId="51C2B871">
            <w:pPr>
              <w:pStyle w:val="26"/>
              <w:autoSpaceDE w:val="0"/>
              <w:adjustRightInd w:val="0"/>
              <w:snapToGrid w:val="0"/>
              <w:spacing w:before="0" w:beforeAutospacing="0" w:after="0" w:afterAutospacing="0"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其他未列明行业</w:t>
            </w:r>
          </w:p>
        </w:tc>
      </w:tr>
      <w:tr w14:paraId="5422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49" w:type="dxa"/>
            <w:noWrap w:val="0"/>
            <w:vAlign w:val="center"/>
          </w:tcPr>
          <w:p w14:paraId="0AC16636">
            <w:pPr>
              <w:snapToGrid w:val="0"/>
              <w:spacing w:line="390" w:lineRule="exact"/>
              <w:jc w:val="center"/>
              <w:rPr>
                <w:rFonts w:hint="eastAsia" w:ascii="仿宋" w:hAnsi="仿宋" w:eastAsia="仿宋" w:cs="仿宋"/>
                <w:b/>
                <w:color w:val="000000"/>
                <w:szCs w:val="21"/>
                <w:highlight w:val="none"/>
                <w:lang w:val="en-US" w:eastAsia="zh-CN"/>
              </w:rPr>
            </w:pPr>
            <w:r>
              <w:rPr>
                <w:rFonts w:hint="eastAsia" w:ascii="仿宋" w:hAnsi="仿宋" w:eastAsia="仿宋" w:cs="仿宋"/>
                <w:b/>
                <w:color w:val="000000"/>
                <w:szCs w:val="21"/>
                <w:highlight w:val="none"/>
                <w:lang w:val="en-US" w:eastAsia="zh-CN"/>
              </w:rPr>
              <w:t>19</w:t>
            </w:r>
          </w:p>
        </w:tc>
        <w:tc>
          <w:tcPr>
            <w:tcW w:w="1799" w:type="dxa"/>
            <w:noWrap w:val="0"/>
            <w:vAlign w:val="center"/>
          </w:tcPr>
          <w:p w14:paraId="062C5EA2">
            <w:pPr>
              <w:wordWrap w:val="0"/>
              <w:snapToGrid w:val="0"/>
              <w:jc w:val="center"/>
              <w:rPr>
                <w:rFonts w:hint="eastAsia" w:ascii="仿宋" w:hAnsi="仿宋" w:eastAsia="仿宋" w:cs="仿宋"/>
                <w:b/>
                <w:bCs/>
                <w:sz w:val="21"/>
                <w:szCs w:val="21"/>
                <w:highlight w:val="none"/>
                <w:lang w:val="en-US" w:eastAsia="zh-CN"/>
              </w:rPr>
            </w:pPr>
            <w:r>
              <w:rPr>
                <w:rFonts w:hint="eastAsia" w:ascii="仿宋" w:hAnsi="仿宋" w:eastAsia="仿宋" w:cs="仿宋"/>
                <w:kern w:val="0"/>
                <w:sz w:val="21"/>
                <w:szCs w:val="21"/>
                <w:highlight w:val="none"/>
                <w:lang w:val="en-US" w:eastAsia="zh-CN"/>
              </w:rPr>
              <w:t>强化政府采购异常低价审查</w:t>
            </w:r>
          </w:p>
        </w:tc>
        <w:tc>
          <w:tcPr>
            <w:tcW w:w="6660" w:type="dxa"/>
            <w:noWrap w:val="0"/>
            <w:vAlign w:val="center"/>
          </w:tcPr>
          <w:p w14:paraId="4DA0625C">
            <w:pPr>
              <w:snapToGrid w:val="0"/>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 xml:space="preserve">（一）采购人应当在采购文件中明确，政府采购评审中出现下列情形之一的，评审委员会应当 </w:t>
            </w:r>
          </w:p>
          <w:p w14:paraId="3CD90F27">
            <w:pPr>
              <w:snapToGrid w:val="0"/>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 xml:space="preserve">启动异常低价投标（响应）审查程序： </w:t>
            </w:r>
          </w:p>
          <w:p w14:paraId="3E326444">
            <w:pPr>
              <w:snapToGrid w:val="0"/>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 xml:space="preserve">1.投标（响应）报价低于全部通过符合性审查供应商投标（响应）报价平均值 50%的，即投标（响应）报价。 </w:t>
            </w:r>
          </w:p>
          <w:p w14:paraId="2249DA79">
            <w:pPr>
              <w:snapToGrid w:val="0"/>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 xml:space="preserve">2.投标（响应）报价低于通过符合性审查的次低报价供应商投标（响应）报价 50%的，即投标（响应）报价。 </w:t>
            </w:r>
          </w:p>
          <w:p w14:paraId="3524514A">
            <w:pPr>
              <w:snapToGrid w:val="0"/>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 xml:space="preserve">3.投标（响应）报价低于采购项目最高限价 45%的，即投标（响应）报价。 </w:t>
            </w:r>
          </w:p>
          <w:p w14:paraId="2ADA80B1">
            <w:pPr>
              <w:snapToGrid w:val="0"/>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 xml:space="preserve">4.评审委员会基于专业判断，认为供应商报价过低，有可能影响产品质量或者不能诚信履约的其他情形。 </w:t>
            </w:r>
          </w:p>
          <w:p w14:paraId="379422DD">
            <w:pPr>
              <w:snapToGrid w:val="0"/>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 xml:space="preserve">采购人可以结合具体项目实际情况，提高上述第 1 项至第 3 项中启动异常低价投标（响应）审查的数值标准，但是最高不得超过 65%。相关法律法规对供应商报价有规定的，从其规定。 </w:t>
            </w:r>
          </w:p>
          <w:p w14:paraId="51C57AB5">
            <w:pPr>
              <w:snapToGrid w:val="0"/>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 xml:space="preserve">（二）评审委员会启动异常低价投标（响应）审查后，属于前述第 1 项至第 4 项情形的，应当 </w:t>
            </w:r>
          </w:p>
          <w:p w14:paraId="3ACC77F9">
            <w:pPr>
              <w:snapToGrid w:val="0"/>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 xml:space="preserve">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 </w:t>
            </w:r>
          </w:p>
          <w:p w14:paraId="60774FEA">
            <w:pPr>
              <w:snapToGrid w:val="0"/>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 xml:space="preserve">评审委员会依据专业经验，参考同类项目中标（成交）价格、类似产品市场价格水平、行业人 </w:t>
            </w:r>
          </w:p>
          <w:p w14:paraId="209C212C">
            <w:pPr>
              <w:snapToGrid w:val="0"/>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 xml:space="preserve">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4C76874">
            <w:pPr>
              <w:snapToGrid w:val="0"/>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1C865373">
            <w:pPr>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bl>
    <w:p w14:paraId="679CC93F">
      <w:pPr>
        <w:snapToGrid w:val="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注：本表内容与投标人须知内容不一致的，以本表内容为准。</w:t>
      </w:r>
    </w:p>
    <w:p w14:paraId="596F1947">
      <w:pPr>
        <w:pStyle w:val="65"/>
        <w:numPr>
          <w:ilvl w:val="0"/>
          <w:numId w:val="0"/>
        </w:numPr>
        <w:snapToGrid w:val="0"/>
        <w:spacing w:before="0" w:after="0"/>
        <w:rPr>
          <w:rFonts w:hint="eastAsia" w:ascii="仿宋" w:hAnsi="仿宋" w:eastAsia="仿宋" w:cs="仿宋"/>
          <w:color w:val="000000"/>
          <w:spacing w:val="20"/>
          <w:szCs w:val="28"/>
          <w:highlight w:val="none"/>
        </w:rPr>
        <w:sectPr>
          <w:footerReference r:id="rId6" w:type="first"/>
          <w:footerReference r:id="rId5" w:type="default"/>
          <w:pgSz w:w="11906" w:h="16838"/>
          <w:pgMar w:top="1418" w:right="1474" w:bottom="1560" w:left="1474" w:header="851" w:footer="992" w:gutter="0"/>
          <w:pgNumType w:fmt="decimal" w:start="1"/>
          <w:cols w:space="720" w:num="1"/>
          <w:titlePg/>
          <w:docGrid w:type="lines" w:linePitch="312" w:charSpace="0"/>
        </w:sectPr>
      </w:pPr>
      <w:bookmarkStart w:id="8" w:name="_Toc352761929"/>
    </w:p>
    <w:p w14:paraId="3FA245FC">
      <w:pPr>
        <w:pStyle w:val="65"/>
        <w:numPr>
          <w:ilvl w:val="0"/>
          <w:numId w:val="0"/>
        </w:numPr>
        <w:snapToGrid w:val="0"/>
        <w:spacing w:before="0" w:after="0"/>
        <w:rPr>
          <w:rFonts w:hint="eastAsia" w:ascii="仿宋" w:hAnsi="仿宋" w:eastAsia="仿宋" w:cs="仿宋"/>
          <w:color w:val="000000"/>
          <w:spacing w:val="20"/>
          <w:szCs w:val="28"/>
          <w:highlight w:val="none"/>
        </w:rPr>
      </w:pPr>
      <w:bookmarkStart w:id="9" w:name="_Toc17581"/>
      <w:r>
        <w:rPr>
          <w:rFonts w:hint="eastAsia" w:ascii="仿宋" w:hAnsi="仿宋" w:eastAsia="仿宋" w:cs="仿宋"/>
          <w:color w:val="000000"/>
          <w:spacing w:val="20"/>
          <w:szCs w:val="28"/>
          <w:highlight w:val="none"/>
        </w:rPr>
        <w:t>第三部分  投标人须知</w:t>
      </w:r>
      <w:bookmarkEnd w:id="8"/>
      <w:bookmarkEnd w:id="9"/>
    </w:p>
    <w:p w14:paraId="46A0E577">
      <w:pPr>
        <w:pStyle w:val="4"/>
        <w:numPr>
          <w:ilvl w:val="0"/>
          <w:numId w:val="0"/>
        </w:numPr>
        <w:spacing w:before="31" w:beforeLines="10" w:after="31" w:afterLines="10" w:line="480" w:lineRule="exact"/>
        <w:ind w:left="539"/>
        <w:jc w:val="both"/>
        <w:rPr>
          <w:rFonts w:hint="eastAsia" w:ascii="仿宋" w:hAnsi="仿宋" w:eastAsia="仿宋" w:cs="仿宋"/>
          <w:color w:val="000000"/>
          <w:spacing w:val="10"/>
          <w:sz w:val="24"/>
          <w:szCs w:val="24"/>
          <w:highlight w:val="none"/>
        </w:rPr>
      </w:pPr>
      <w:bookmarkStart w:id="10" w:name="_Toc28871"/>
      <w:bookmarkStart w:id="11" w:name="_Toc352761930"/>
      <w:r>
        <w:rPr>
          <w:rFonts w:hint="eastAsia" w:ascii="仿宋" w:hAnsi="仿宋" w:eastAsia="仿宋" w:cs="仿宋"/>
          <w:color w:val="000000"/>
          <w:spacing w:val="10"/>
          <w:sz w:val="24"/>
          <w:szCs w:val="24"/>
          <w:highlight w:val="none"/>
        </w:rPr>
        <w:t>一、总则</w:t>
      </w:r>
      <w:bookmarkEnd w:id="10"/>
      <w:bookmarkEnd w:id="11"/>
    </w:p>
    <w:p w14:paraId="21BFC5E8">
      <w:pPr>
        <w:pStyle w:val="54"/>
        <w:snapToGrid w:val="0"/>
        <w:spacing w:line="480" w:lineRule="exact"/>
        <w:ind w:firstLine="462" w:firstLineChars="200"/>
        <w:textAlignment w:val="auto"/>
        <w:rPr>
          <w:rFonts w:hint="eastAsia" w:ascii="仿宋" w:hAnsi="仿宋" w:eastAsia="仿宋" w:cs="仿宋"/>
          <w:b/>
          <w:color w:val="000000"/>
          <w:spacing w:val="10"/>
          <w:highlight w:val="none"/>
        </w:rPr>
      </w:pPr>
      <w:r>
        <w:rPr>
          <w:rFonts w:hint="eastAsia" w:ascii="仿宋" w:hAnsi="仿宋" w:eastAsia="仿宋" w:cs="仿宋"/>
          <w:b/>
          <w:color w:val="000000"/>
          <w:spacing w:val="10"/>
          <w:highlight w:val="none"/>
        </w:rPr>
        <w:t>1. 适用范围</w:t>
      </w:r>
    </w:p>
    <w:p w14:paraId="5525057C">
      <w:pPr>
        <w:pStyle w:val="54"/>
        <w:snapToGrid w:val="0"/>
        <w:spacing w:line="480" w:lineRule="exact"/>
        <w:ind w:firstLine="420" w:firstLineChars="200"/>
        <w:textAlignment w:val="auto"/>
        <w:rPr>
          <w:rFonts w:hint="eastAsia" w:ascii="仿宋" w:hAnsi="仿宋" w:eastAsia="仿宋" w:cs="仿宋"/>
          <w:b/>
          <w:color w:val="000000"/>
          <w:spacing w:val="10"/>
          <w:highlight w:val="none"/>
        </w:rPr>
      </w:pPr>
      <w:r>
        <w:rPr>
          <w:rFonts w:hint="eastAsia" w:ascii="仿宋" w:hAnsi="仿宋" w:eastAsia="仿宋" w:cs="仿宋"/>
          <w:color w:val="000000"/>
          <w:highlight w:val="none"/>
        </w:rPr>
        <w:t>本招标文件仅适用于本次招投标活动。</w:t>
      </w:r>
    </w:p>
    <w:p w14:paraId="1B29C857">
      <w:pPr>
        <w:pStyle w:val="54"/>
        <w:tabs>
          <w:tab w:val="left" w:pos="0"/>
        </w:tabs>
        <w:snapToGrid w:val="0"/>
        <w:spacing w:line="480" w:lineRule="exact"/>
        <w:ind w:left="473" w:leftChars="225"/>
        <w:textAlignment w:val="auto"/>
        <w:rPr>
          <w:rFonts w:hint="eastAsia" w:ascii="仿宋" w:hAnsi="仿宋" w:eastAsia="仿宋" w:cs="仿宋"/>
          <w:b/>
          <w:color w:val="000000"/>
          <w:spacing w:val="10"/>
          <w:highlight w:val="none"/>
        </w:rPr>
      </w:pPr>
      <w:r>
        <w:rPr>
          <w:rFonts w:hint="eastAsia" w:ascii="仿宋" w:hAnsi="仿宋" w:eastAsia="仿宋" w:cs="仿宋"/>
          <w:b/>
          <w:color w:val="000000"/>
          <w:spacing w:val="10"/>
          <w:highlight w:val="none"/>
        </w:rPr>
        <w:t>2. 定义</w:t>
      </w:r>
    </w:p>
    <w:p w14:paraId="34F0A381">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2.1 “</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”指本次招标活动的采购单位，即 “</w:t>
      </w:r>
      <w:r>
        <w:rPr>
          <w:rFonts w:hint="eastAsia" w:ascii="仿宋" w:hAnsi="仿宋" w:eastAsia="仿宋" w:cs="仿宋"/>
          <w:color w:val="000000"/>
          <w:highlight w:val="none"/>
          <w:lang w:eastAsia="zh-CN"/>
        </w:rPr>
        <w:t>侯马市民政局</w:t>
      </w:r>
      <w:r>
        <w:rPr>
          <w:rFonts w:hint="eastAsia" w:ascii="仿宋" w:hAnsi="仿宋" w:eastAsia="仿宋" w:cs="仿宋"/>
          <w:color w:val="000000"/>
          <w:highlight w:val="none"/>
        </w:rPr>
        <w:t>”。</w:t>
      </w:r>
    </w:p>
    <w:p w14:paraId="0182E7DA">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2.2 “</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”指组织本次招标活动的执行机构，即“</w:t>
      </w:r>
      <w:r>
        <w:rPr>
          <w:rFonts w:hint="eastAsia" w:ascii="仿宋" w:hAnsi="仿宋" w:eastAsia="仿宋" w:cs="仿宋"/>
          <w:color w:val="000000"/>
          <w:highlight w:val="none"/>
          <w:lang w:eastAsia="zh-CN"/>
        </w:rPr>
        <w:t>山西浩坤工程项目管理有限公司</w:t>
      </w:r>
      <w:r>
        <w:rPr>
          <w:rFonts w:hint="eastAsia" w:ascii="仿宋" w:hAnsi="仿宋" w:eastAsia="仿宋" w:cs="仿宋"/>
          <w:color w:val="000000"/>
          <w:highlight w:val="none"/>
        </w:rPr>
        <w:t>”。</w:t>
      </w:r>
    </w:p>
    <w:p w14:paraId="18B2F8AB">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2.3 “投标人”指符合本招标文件规定并向</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提交投标文件的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w:t>
      </w:r>
    </w:p>
    <w:p w14:paraId="75366B96">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2.4 “货物”指</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按招标文件的规定，须向</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提供的各种形态和种类的物品及其他有关技术资料和材料。</w:t>
      </w:r>
    </w:p>
    <w:p w14:paraId="25F71305">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2.5 “服务”指招标文件所表述的投标人须向</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提供的服务和应当履行的承诺和义务。</w:t>
      </w:r>
    </w:p>
    <w:p w14:paraId="00346CF8">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2.6 本招标文件各部分规定的期间以时、日、月、年计算。</w:t>
      </w:r>
    </w:p>
    <w:p w14:paraId="1CF5945F">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2.7 本须知中单独对货物所描述的要求，只针对涉及采购货物。</w:t>
      </w:r>
    </w:p>
    <w:p w14:paraId="64EFB9B1">
      <w:pPr>
        <w:pStyle w:val="54"/>
        <w:tabs>
          <w:tab w:val="left" w:pos="0"/>
        </w:tabs>
        <w:snapToGrid w:val="0"/>
        <w:spacing w:line="480" w:lineRule="exact"/>
        <w:ind w:left="473" w:leftChars="225"/>
        <w:textAlignment w:val="auto"/>
        <w:rPr>
          <w:rFonts w:hint="eastAsia" w:ascii="仿宋" w:hAnsi="仿宋" w:eastAsia="仿宋" w:cs="仿宋"/>
          <w:b/>
          <w:color w:val="000000"/>
          <w:spacing w:val="10"/>
          <w:highlight w:val="none"/>
        </w:rPr>
      </w:pPr>
      <w:r>
        <w:rPr>
          <w:rFonts w:hint="eastAsia" w:ascii="仿宋" w:hAnsi="仿宋" w:eastAsia="仿宋" w:cs="仿宋"/>
          <w:b/>
          <w:color w:val="000000"/>
          <w:spacing w:val="10"/>
          <w:highlight w:val="none"/>
        </w:rPr>
        <w:t>3. 合格的投标人</w:t>
      </w:r>
    </w:p>
    <w:p w14:paraId="04B7E900">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3.1 具有本项目供应或实施及服务能力，符合、承认并承诺履行本招标文件各项规定的国内投标人。</w:t>
      </w:r>
    </w:p>
    <w:p w14:paraId="764ED2CC">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3.2 投标人必须是已在中国境内依法登记注册，并持有符合法律法规规定的有效证件的投标人。</w:t>
      </w:r>
    </w:p>
    <w:p w14:paraId="0D6E0F97">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3.3 具备《中华人民共和国政府采购法》第二十二条规定的条件和本项目所需的特定条件及有关法律、法规关于</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的规定，有能力提供招标采购货物的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。并按照《中华人民共和国政府采购法实施条例》第十七条的规定，提供资格证明文件，具体提供的材料详见投标人须知前附表序号5的要求。</w:t>
      </w:r>
    </w:p>
    <w:p w14:paraId="532C6F21">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w:t>
      </w: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 xml:space="preserve"> 单位负责人为同一人或者存在控股、管理关系的不同单位，不得同时参加本项目同一包件的投标。为本项目提供项目管理、监理、检测等服务的投标人，不得再参加本项目的投标。</w:t>
      </w:r>
    </w:p>
    <w:p w14:paraId="34FF0347">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 xml:space="preserve"> 本次招标是否允许由两个以上投标人组成一个联合体以一个投标人身份共同参加投标，详见投标人须知前附表序号</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的规定。</w:t>
      </w:r>
    </w:p>
    <w:p w14:paraId="2E424E77">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.1 联合体各方均应当符合《政府采购法》第二十二条规定的条件，联合体各方均应按照本部分3.3条的要求提供相关材料。</w:t>
      </w:r>
    </w:p>
    <w:p w14:paraId="50A8F905">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.2 本项目的特殊要求规定投标人特定条件的，联合体各方的同类资质按照资质等级较低的确定联合体资质等级。</w:t>
      </w:r>
    </w:p>
    <w:p w14:paraId="5E1B151A">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.3 联合体各方之间应当签订联合投标协议，明确约定联合体各方承担的工作和相应的责任，并将联合投标协议连同投标文件一并提交。</w:t>
      </w:r>
    </w:p>
    <w:p w14:paraId="672B8746">
      <w:pPr>
        <w:pStyle w:val="54"/>
        <w:snapToGrid w:val="0"/>
        <w:spacing w:line="480" w:lineRule="exact"/>
        <w:ind w:firstLine="422" w:firstLineChars="200"/>
        <w:textAlignment w:val="auto"/>
        <w:rPr>
          <w:rFonts w:hint="eastAsia" w:ascii="仿宋" w:hAnsi="仿宋" w:eastAsia="仿宋" w:cs="仿宋"/>
          <w:b/>
          <w:color w:val="000000"/>
          <w:highlight w:val="none"/>
        </w:rPr>
      </w:pPr>
      <w:r>
        <w:rPr>
          <w:rFonts w:hint="eastAsia" w:ascii="仿宋" w:hAnsi="仿宋" w:eastAsia="仿宋" w:cs="仿宋"/>
          <w:b/>
          <w:color w:val="000000"/>
          <w:highlight w:val="none"/>
        </w:rPr>
        <w:t>4. 投标费用</w:t>
      </w:r>
    </w:p>
    <w:p w14:paraId="0170B1B0">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投标人应承担所有与准备和参加投标有关的费用，</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（或</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)在任何情况下均无义务和责任承担这些费用。</w:t>
      </w:r>
    </w:p>
    <w:p w14:paraId="6F753CB8">
      <w:pPr>
        <w:pStyle w:val="54"/>
        <w:snapToGrid w:val="0"/>
        <w:spacing w:line="480" w:lineRule="exact"/>
        <w:textAlignment w:val="auto"/>
        <w:rPr>
          <w:rFonts w:hint="eastAsia" w:ascii="仿宋" w:hAnsi="仿宋" w:eastAsia="仿宋" w:cs="仿宋"/>
          <w:b/>
          <w:color w:val="000000"/>
          <w:spacing w:val="10"/>
          <w:highlight w:val="none"/>
        </w:rPr>
      </w:pPr>
      <w:r>
        <w:rPr>
          <w:rFonts w:hint="eastAsia" w:ascii="仿宋" w:hAnsi="仿宋" w:eastAsia="仿宋" w:cs="仿宋"/>
          <w:b/>
          <w:color w:val="000000"/>
          <w:spacing w:val="10"/>
          <w:highlight w:val="none"/>
        </w:rPr>
        <w:t xml:space="preserve">    5. 通知</w:t>
      </w:r>
    </w:p>
    <w:p w14:paraId="03A4F1F5">
      <w:pPr>
        <w:pStyle w:val="54"/>
        <w:snapToGrid w:val="0"/>
        <w:spacing w:line="480" w:lineRule="exact"/>
        <w:ind w:firstLine="420" w:firstLineChars="200"/>
        <w:textAlignment w:val="auto"/>
        <w:rPr>
          <w:rFonts w:hint="eastAsia" w:ascii="仿宋" w:hAnsi="仿宋" w:eastAsia="仿宋" w:cs="仿宋"/>
          <w:color w:val="000000"/>
          <w:highlight w:val="none"/>
        </w:rPr>
      </w:pPr>
      <w:bookmarkStart w:id="12" w:name="_Toc352761931"/>
      <w:r>
        <w:rPr>
          <w:rFonts w:hint="eastAsia" w:ascii="仿宋" w:hAnsi="仿宋" w:eastAsia="仿宋" w:cs="仿宋"/>
          <w:color w:val="000000"/>
          <w:highlight w:val="none"/>
        </w:rPr>
        <w:t>对与本项目有关的通知，</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将以书面(包括书面材料、信函、传真、电子邮件等，下同)或以在本次招标公告刊登的媒体上发布公告的形式送达所有已登记并领取了招标文件的投标人，联系方式以投标人的登记为准。因登记有误或传真线路故障导致通知延迟送达或无法送达，</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将不承担责任。</w:t>
      </w:r>
    </w:p>
    <w:p w14:paraId="1F1F0369">
      <w:pPr>
        <w:pStyle w:val="4"/>
        <w:numPr>
          <w:ilvl w:val="0"/>
          <w:numId w:val="0"/>
        </w:numPr>
        <w:spacing w:before="31" w:beforeLines="10" w:after="31" w:afterLines="10" w:line="480" w:lineRule="exact"/>
        <w:ind w:left="539"/>
        <w:jc w:val="both"/>
        <w:rPr>
          <w:rFonts w:hint="eastAsia" w:ascii="仿宋" w:hAnsi="仿宋" w:eastAsia="仿宋" w:cs="仿宋"/>
          <w:color w:val="000000"/>
          <w:spacing w:val="10"/>
          <w:sz w:val="24"/>
          <w:szCs w:val="24"/>
          <w:highlight w:val="none"/>
        </w:rPr>
      </w:pPr>
      <w:bookmarkStart w:id="13" w:name="_Toc26424"/>
      <w:r>
        <w:rPr>
          <w:rFonts w:hint="eastAsia" w:ascii="仿宋" w:hAnsi="仿宋" w:eastAsia="仿宋" w:cs="仿宋"/>
          <w:color w:val="000000"/>
          <w:spacing w:val="10"/>
          <w:sz w:val="24"/>
          <w:szCs w:val="24"/>
          <w:highlight w:val="none"/>
        </w:rPr>
        <w:t>二、招标文件</w:t>
      </w:r>
      <w:bookmarkEnd w:id="12"/>
      <w:bookmarkEnd w:id="13"/>
    </w:p>
    <w:p w14:paraId="0967536F">
      <w:pPr>
        <w:pStyle w:val="54"/>
        <w:snapToGrid w:val="0"/>
        <w:spacing w:line="480" w:lineRule="exact"/>
        <w:ind w:firstLine="462" w:firstLineChars="200"/>
        <w:textAlignment w:val="auto"/>
        <w:rPr>
          <w:rFonts w:hint="eastAsia" w:ascii="仿宋" w:hAnsi="仿宋" w:eastAsia="仿宋" w:cs="仿宋"/>
          <w:b/>
          <w:color w:val="000000"/>
          <w:spacing w:val="10"/>
          <w:highlight w:val="none"/>
        </w:rPr>
      </w:pPr>
      <w:r>
        <w:rPr>
          <w:rFonts w:hint="eastAsia" w:ascii="仿宋" w:hAnsi="仿宋" w:eastAsia="仿宋" w:cs="仿宋"/>
          <w:b/>
          <w:color w:val="000000"/>
          <w:spacing w:val="10"/>
          <w:highlight w:val="none"/>
        </w:rPr>
        <w:t>6. 招标文件的内容</w:t>
      </w:r>
    </w:p>
    <w:p w14:paraId="3C98BC53">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6.1 招标文件由下列八部分内容组成：</w:t>
      </w:r>
    </w:p>
    <w:p w14:paraId="583A5D44">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第一部分 招标公告；</w:t>
      </w:r>
    </w:p>
    <w:p w14:paraId="12BF8AB7">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第二部分 投标人须知前附表；</w:t>
      </w:r>
    </w:p>
    <w:p w14:paraId="5C135A91">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第三部分 投标人须知；</w:t>
      </w:r>
    </w:p>
    <w:p w14:paraId="19C64E3C">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第四部分 商务技术要求；</w:t>
      </w:r>
    </w:p>
    <w:p w14:paraId="1515B0D7">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第五部分 评标标准和评标方法； </w:t>
      </w:r>
    </w:p>
    <w:p w14:paraId="34BAD82D">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第六部分 合同原则；</w:t>
      </w:r>
    </w:p>
    <w:p w14:paraId="30B951C1">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第七部分 投标文件格式；</w:t>
      </w:r>
    </w:p>
    <w:p w14:paraId="3635E818">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第八部分 相关附件。</w:t>
      </w:r>
    </w:p>
    <w:p w14:paraId="2B8AA8EA">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6.2 招标文件中落实政府采购政策的相关要求详见前附表序号</w:t>
      </w:r>
      <w:r>
        <w:rPr>
          <w:rFonts w:hint="eastAsia" w:ascii="仿宋" w:hAnsi="仿宋" w:eastAsia="仿宋" w:cs="仿宋"/>
          <w:color w:val="000000"/>
          <w:highlight w:val="none"/>
          <w:lang w:val="en-US" w:eastAsia="zh-CN"/>
        </w:rPr>
        <w:t>8</w:t>
      </w:r>
      <w:r>
        <w:rPr>
          <w:rFonts w:hint="eastAsia" w:ascii="仿宋" w:hAnsi="仿宋" w:eastAsia="仿宋" w:cs="仿宋"/>
          <w:color w:val="000000"/>
          <w:highlight w:val="none"/>
        </w:rPr>
        <w:t>的规定。</w:t>
      </w:r>
    </w:p>
    <w:p w14:paraId="762E2923">
      <w:pPr>
        <w:pStyle w:val="54"/>
        <w:wordWrap w:val="0"/>
        <w:topLinePunct/>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6.3</w:t>
      </w:r>
      <w:r>
        <w:rPr>
          <w:rFonts w:hint="eastAsia" w:ascii="仿宋" w:hAnsi="仿宋" w:eastAsia="仿宋" w:cs="仿宋"/>
          <w:color w:val="000000"/>
          <w:highlight w:val="none"/>
          <w:lang w:val="en-US" w:eastAsia="zh-CN"/>
        </w:rPr>
        <w:t>招标</w:t>
      </w:r>
      <w:r>
        <w:rPr>
          <w:rFonts w:hint="eastAsia" w:ascii="仿宋" w:hAnsi="仿宋" w:eastAsia="仿宋" w:cs="仿宋"/>
          <w:color w:val="000000"/>
          <w:highlight w:val="none"/>
        </w:rPr>
        <w:t>代理机构开标后对投标人的信用信息进行查询，查询渠道为信用中国网（http://www.creditchina.gov.cn）和中国政府采购网（http://www.ccgp.gov.cn）；截止时间为开标当日；查询内容为信用中国网的失信被执行人、</w:t>
      </w:r>
      <w:r>
        <w:rPr>
          <w:rFonts w:hint="eastAsia" w:ascii="仿宋" w:hAnsi="仿宋" w:eastAsia="仿宋" w:cs="仿宋"/>
          <w:color w:val="000000"/>
          <w:highlight w:val="none"/>
          <w:lang w:eastAsia="zh-CN"/>
        </w:rPr>
        <w:t>重大税收违法失信主体</w:t>
      </w:r>
      <w:r>
        <w:rPr>
          <w:rFonts w:hint="eastAsia" w:ascii="仿宋" w:hAnsi="仿宋" w:eastAsia="仿宋" w:cs="仿宋"/>
          <w:color w:val="000000"/>
          <w:highlight w:val="none"/>
        </w:rPr>
        <w:t>、政府采购严重违法失信</w:t>
      </w:r>
      <w:r>
        <w:rPr>
          <w:rFonts w:hint="eastAsia" w:ascii="仿宋" w:hAnsi="仿宋" w:eastAsia="仿宋" w:cs="仿宋"/>
          <w:color w:val="000000"/>
          <w:highlight w:val="none"/>
          <w:lang w:val="en-US" w:eastAsia="zh-CN"/>
        </w:rPr>
        <w:t>行为</w:t>
      </w:r>
      <w:r>
        <w:rPr>
          <w:rFonts w:hint="eastAsia" w:ascii="仿宋" w:hAnsi="仿宋" w:eastAsia="仿宋" w:cs="仿宋"/>
          <w:color w:val="000000"/>
          <w:highlight w:val="none"/>
        </w:rPr>
        <w:t>名单记录情况和中国政府采购网上的政府采购严重违法失信行为信息记录情况；查询结果存在问题的将留存证据并对投标文件做无效投标处理。</w:t>
      </w:r>
    </w:p>
    <w:p w14:paraId="4C18897C">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6.4除非特殊要求，招标文件不单独提供招标项目使用地的自然环境、气候条件、公用设施情况，投标人被视为熟悉上述与履行合同有关的一切情况。</w:t>
      </w:r>
    </w:p>
    <w:p w14:paraId="534F8232">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6.5招标文件的解释权归</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所有。当对一个问题有多种解释时以</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解释为准。</w:t>
      </w:r>
    </w:p>
    <w:p w14:paraId="1D74B233">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6.6 招标文件未作须知明示，而又有法律、法规规定的，</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将依据法律法规的规定进行解释。</w:t>
      </w:r>
    </w:p>
    <w:p w14:paraId="002EB6D8">
      <w:pPr>
        <w:pStyle w:val="54"/>
        <w:snapToGrid w:val="0"/>
        <w:spacing w:line="480" w:lineRule="exact"/>
        <w:ind w:firstLine="462" w:firstLineChars="200"/>
        <w:textAlignment w:val="auto"/>
        <w:rPr>
          <w:rFonts w:hint="eastAsia" w:ascii="仿宋" w:hAnsi="仿宋" w:eastAsia="仿宋" w:cs="仿宋"/>
          <w:b/>
          <w:color w:val="000000"/>
          <w:spacing w:val="10"/>
          <w:highlight w:val="none"/>
        </w:rPr>
      </w:pPr>
      <w:r>
        <w:rPr>
          <w:rFonts w:hint="eastAsia" w:ascii="仿宋" w:hAnsi="仿宋" w:eastAsia="仿宋" w:cs="仿宋"/>
          <w:b/>
          <w:color w:val="000000"/>
          <w:spacing w:val="10"/>
          <w:highlight w:val="none"/>
        </w:rPr>
        <w:t>7. 招标文件的澄清和修改</w:t>
      </w:r>
    </w:p>
    <w:p w14:paraId="577FD948">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7.1 在投标截止时间至少15日前，无论出于何种原因，</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可依据</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或投标人要求澄清的问题而修改招标文件，并在财政部门指定的政府采购信息发布媒体上发布更正（变更）公告。</w:t>
      </w:r>
    </w:p>
    <w:p w14:paraId="46006003">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7.2 修改的内容可能影响投标文件编制的，将顺延至少15日提交投标文件的截止时间。</w:t>
      </w:r>
    </w:p>
    <w:p w14:paraId="44BCC55F">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7.3 如延长投标截止时间和开标时间或项目因故暂停，</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将在招标文件要求提交投标文件截止时间前，在财政部门指定的政府采购信息发布媒体上发布更正（变更）公告。</w:t>
      </w:r>
    </w:p>
    <w:p w14:paraId="1094C617">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7.4 更正公告或变更公告的内容为招标文件的必要组成部分，对所有投标人均具有约束作用。</w:t>
      </w:r>
    </w:p>
    <w:p w14:paraId="4ABCF246">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7.5 澄清、修改及其它答复的效力：无论是否根据潜在投标人的澄清、修改或进行其它答复的要求，一旦对招标文件做出澄清、修改或进行其它答复，即刻发生效力，有关的补充文件，应当作为招标文件的组成部分，对所有潜在投标人均具有约束力。</w:t>
      </w:r>
    </w:p>
    <w:p w14:paraId="22FDF4E3">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7.6</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或者</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可以在招标文件提供期限截止后，组织已获取招标文件的潜在投标人现场考察或者召开标前答疑会。是否组织现场考察或者召开答疑会的，详见投标人前附表第12、13项。而无论代理机构是否安排踏勘现场，潜在投标人均应当将相关的因素作为投标所应当考虑或依据的因素。</w:t>
      </w:r>
    </w:p>
    <w:p w14:paraId="2D7F4A6F">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7.7 </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将视情况确定是否召开标前会。如果召开标前会，将向所有已购买了招标文件的投标人发出通知。</w:t>
      </w:r>
    </w:p>
    <w:p w14:paraId="5A70CAED">
      <w:pPr>
        <w:pStyle w:val="4"/>
        <w:numPr>
          <w:ilvl w:val="0"/>
          <w:numId w:val="0"/>
        </w:numPr>
        <w:spacing w:before="31" w:beforeLines="10" w:after="31" w:afterLines="10" w:line="480" w:lineRule="exact"/>
        <w:ind w:left="539"/>
        <w:jc w:val="both"/>
        <w:rPr>
          <w:rFonts w:hint="eastAsia" w:ascii="仿宋" w:hAnsi="仿宋" w:eastAsia="仿宋" w:cs="仿宋"/>
          <w:color w:val="000000"/>
          <w:spacing w:val="10"/>
          <w:sz w:val="24"/>
          <w:szCs w:val="24"/>
          <w:highlight w:val="none"/>
        </w:rPr>
      </w:pPr>
      <w:bookmarkStart w:id="14" w:name="_Toc25107"/>
      <w:bookmarkStart w:id="15" w:name="_Toc352761932"/>
      <w:r>
        <w:rPr>
          <w:rFonts w:hint="eastAsia" w:ascii="仿宋" w:hAnsi="仿宋" w:eastAsia="仿宋" w:cs="仿宋"/>
          <w:color w:val="000000"/>
          <w:spacing w:val="10"/>
          <w:sz w:val="24"/>
          <w:szCs w:val="24"/>
          <w:highlight w:val="none"/>
        </w:rPr>
        <w:t>三、投标文件</w:t>
      </w:r>
      <w:bookmarkEnd w:id="14"/>
      <w:bookmarkEnd w:id="15"/>
      <w:r>
        <w:rPr>
          <w:rFonts w:hint="eastAsia" w:ascii="仿宋" w:hAnsi="仿宋" w:eastAsia="仿宋" w:cs="仿宋"/>
          <w:color w:val="000000"/>
          <w:spacing w:val="10"/>
          <w:sz w:val="24"/>
          <w:szCs w:val="24"/>
          <w:highlight w:val="none"/>
        </w:rPr>
        <w:t xml:space="preserve">     </w:t>
      </w:r>
    </w:p>
    <w:p w14:paraId="187B347D">
      <w:pPr>
        <w:pStyle w:val="54"/>
        <w:snapToGrid w:val="0"/>
        <w:spacing w:line="480" w:lineRule="exact"/>
        <w:ind w:firstLine="462" w:firstLineChars="200"/>
        <w:textAlignment w:val="auto"/>
        <w:rPr>
          <w:rFonts w:hint="eastAsia" w:ascii="仿宋" w:hAnsi="仿宋" w:eastAsia="仿宋" w:cs="仿宋"/>
          <w:b/>
          <w:color w:val="000000"/>
          <w:spacing w:val="10"/>
          <w:highlight w:val="none"/>
        </w:rPr>
      </w:pPr>
      <w:r>
        <w:rPr>
          <w:rFonts w:hint="eastAsia" w:ascii="仿宋" w:hAnsi="仿宋" w:eastAsia="仿宋" w:cs="仿宋"/>
          <w:b/>
          <w:color w:val="000000"/>
          <w:spacing w:val="10"/>
          <w:highlight w:val="none"/>
        </w:rPr>
        <w:t>8. 投标文件的语言和计量单位</w:t>
      </w:r>
    </w:p>
    <w:p w14:paraId="0572E934">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8.1 投标人提交的投标文件（包括技术文件和资料的说明）以及投标人与</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就有关投标的所有来往函电均应使用中文简体字。进口产品需提供中英文说明书，外文资料必须提供中文译文，并保持与原文一致，否则，产生的不利后果由投标人承担。</w:t>
      </w:r>
    </w:p>
    <w:p w14:paraId="37057DAA">
      <w:pPr>
        <w:pStyle w:val="54"/>
        <w:tabs>
          <w:tab w:val="left" w:pos="7050"/>
        </w:tabs>
        <w:snapToGrid w:val="0"/>
        <w:spacing w:line="480" w:lineRule="exact"/>
        <w:ind w:firstLine="432" w:firstLineChars="206"/>
        <w:textAlignment w:val="auto"/>
        <w:rPr>
          <w:rFonts w:hint="eastAsia" w:ascii="仿宋" w:hAnsi="仿宋" w:eastAsia="仿宋" w:cs="仿宋"/>
          <w:color w:val="000000"/>
          <w:highlight w:val="none"/>
        </w:rPr>
      </w:pPr>
      <w:r>
        <w:rPr>
          <w:rFonts w:hint="eastAsia" w:ascii="仿宋" w:hAnsi="仿宋" w:eastAsia="仿宋" w:cs="仿宋"/>
          <w:color w:val="000000"/>
          <w:highlight w:val="none"/>
        </w:rPr>
        <w:t>8.2 投标文件所使用的计量单位，必须使用国家法定计量单位。</w:t>
      </w:r>
    </w:p>
    <w:p w14:paraId="49C3F6BC">
      <w:pPr>
        <w:pStyle w:val="54"/>
        <w:tabs>
          <w:tab w:val="left" w:pos="7050"/>
        </w:tabs>
        <w:snapToGrid w:val="0"/>
        <w:spacing w:line="480" w:lineRule="exact"/>
        <w:ind w:firstLine="432" w:firstLineChars="206"/>
        <w:textAlignment w:val="auto"/>
        <w:rPr>
          <w:rFonts w:hint="eastAsia" w:ascii="仿宋" w:hAnsi="仿宋" w:eastAsia="仿宋" w:cs="仿宋"/>
          <w:color w:val="000000"/>
          <w:spacing w:val="10"/>
          <w:highlight w:val="none"/>
        </w:rPr>
      </w:pPr>
      <w:r>
        <w:rPr>
          <w:rFonts w:hint="eastAsia" w:ascii="仿宋" w:hAnsi="仿宋" w:eastAsia="仿宋" w:cs="仿宋"/>
          <w:color w:val="000000"/>
          <w:highlight w:val="none"/>
        </w:rPr>
        <w:t>8.3原版为外文的证书类文件，以及由外国人做出的本人签名、外国公司的名称或外国印章等可以是外文，但应当提供中文翻译文件并加盖投标人公章。</w:t>
      </w:r>
    </w:p>
    <w:p w14:paraId="0B12D850">
      <w:pPr>
        <w:pStyle w:val="54"/>
        <w:snapToGrid w:val="0"/>
        <w:spacing w:line="480" w:lineRule="exact"/>
        <w:ind w:firstLine="462" w:firstLineChars="200"/>
        <w:textAlignment w:val="auto"/>
        <w:rPr>
          <w:rFonts w:hint="eastAsia" w:ascii="仿宋" w:hAnsi="仿宋" w:eastAsia="仿宋" w:cs="仿宋"/>
          <w:b/>
          <w:bCs/>
          <w:color w:val="000000"/>
          <w:spacing w:val="10"/>
          <w:highlight w:val="none"/>
        </w:rPr>
      </w:pPr>
      <w:r>
        <w:rPr>
          <w:rFonts w:hint="eastAsia" w:ascii="仿宋" w:hAnsi="仿宋" w:eastAsia="仿宋" w:cs="仿宋"/>
          <w:b/>
          <w:bCs/>
          <w:color w:val="000000"/>
          <w:spacing w:val="10"/>
          <w:highlight w:val="none"/>
        </w:rPr>
        <w:t>9. 投标文件的编制</w:t>
      </w:r>
    </w:p>
    <w:p w14:paraId="606431FC">
      <w:pPr>
        <w:pStyle w:val="54"/>
        <w:snapToGrid w:val="0"/>
        <w:spacing w:line="48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9.1电子投标文件</w:t>
      </w:r>
    </w:p>
    <w:p w14:paraId="44D1FD9C">
      <w:pPr>
        <w:pStyle w:val="54"/>
        <w:snapToGrid w:val="0"/>
        <w:spacing w:line="48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（1）投标人（</w:t>
      </w:r>
      <w:r>
        <w:rPr>
          <w:rFonts w:hint="eastAsia" w:ascii="仿宋" w:hAnsi="仿宋" w:eastAsia="仿宋" w:cs="仿宋"/>
          <w:highlight w:val="none"/>
          <w:lang w:eastAsia="zh-CN"/>
        </w:rPr>
        <w:t>投标人</w:t>
      </w:r>
      <w:r>
        <w:rPr>
          <w:rFonts w:hint="eastAsia" w:ascii="仿宋" w:hAnsi="仿宋" w:eastAsia="仿宋" w:cs="仿宋"/>
          <w:highlight w:val="none"/>
        </w:rPr>
        <w:t>）应使用政采云平台的投标文件编制工具（政府分散采购），按照操作手册编制电子投标文件，并使用数字证书（CA）按招标（采购）文件规定签字</w:t>
      </w:r>
      <w:r>
        <w:rPr>
          <w:rFonts w:hint="eastAsia" w:ascii="仿宋" w:hAnsi="仿宋" w:eastAsia="仿宋" w:cs="仿宋"/>
          <w:highlight w:val="none"/>
          <w:lang w:val="en-US" w:eastAsia="zh-CN"/>
        </w:rPr>
        <w:t>或</w:t>
      </w:r>
      <w:r>
        <w:rPr>
          <w:rFonts w:hint="eastAsia" w:ascii="仿宋" w:hAnsi="仿宋" w:eastAsia="仿宋" w:cs="仿宋"/>
          <w:highlight w:val="none"/>
        </w:rPr>
        <w:t>签章。同时使用数字证书（CA）对投标文件进行加密。</w:t>
      </w:r>
    </w:p>
    <w:p w14:paraId="612BA16C">
      <w:pPr>
        <w:pStyle w:val="54"/>
        <w:snapToGrid w:val="0"/>
        <w:spacing w:line="48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（2）电子投标文件所附各类证件、证书、证明，均要求采用扫描件。</w:t>
      </w:r>
    </w:p>
    <w:p w14:paraId="7C562632">
      <w:pPr>
        <w:pStyle w:val="54"/>
        <w:snapToGrid w:val="0"/>
        <w:spacing w:line="480" w:lineRule="exact"/>
        <w:ind w:firstLine="460" w:firstLineChars="200"/>
        <w:jc w:val="left"/>
        <w:rPr>
          <w:rFonts w:hint="eastAsia" w:ascii="仿宋" w:hAnsi="仿宋" w:eastAsia="仿宋" w:cs="仿宋"/>
          <w:bCs/>
          <w:spacing w:val="10"/>
          <w:highlight w:val="none"/>
          <w:lang w:eastAsia="zh-CN"/>
        </w:rPr>
      </w:pPr>
      <w:r>
        <w:rPr>
          <w:rFonts w:hint="eastAsia" w:ascii="仿宋" w:hAnsi="仿宋" w:eastAsia="仿宋" w:cs="仿宋"/>
          <w:bCs/>
          <w:spacing w:val="10"/>
          <w:highlight w:val="none"/>
        </w:rPr>
        <w:t>9.2纸质投标文件</w:t>
      </w:r>
      <w:r>
        <w:rPr>
          <w:rFonts w:hint="eastAsia" w:ascii="仿宋" w:hAnsi="仿宋" w:eastAsia="仿宋" w:cs="仿宋"/>
          <w:bCs/>
          <w:spacing w:val="10"/>
          <w:highlight w:val="none"/>
          <w:lang w:eastAsia="zh-CN"/>
        </w:rPr>
        <w:t>（</w:t>
      </w:r>
      <w:r>
        <w:rPr>
          <w:rFonts w:hint="eastAsia" w:ascii="仿宋" w:hAnsi="仿宋" w:eastAsia="仿宋" w:cs="仿宋"/>
          <w:bCs/>
          <w:spacing w:val="10"/>
          <w:highlight w:val="none"/>
          <w:lang w:val="en-US" w:eastAsia="zh-CN"/>
        </w:rPr>
        <w:t>无需提供纸质版投标文件</w:t>
      </w:r>
      <w:r>
        <w:rPr>
          <w:rFonts w:hint="eastAsia" w:ascii="仿宋" w:hAnsi="仿宋" w:eastAsia="仿宋" w:cs="仿宋"/>
          <w:bCs/>
          <w:spacing w:val="10"/>
          <w:highlight w:val="none"/>
          <w:lang w:eastAsia="zh-CN"/>
        </w:rPr>
        <w:t>）</w:t>
      </w:r>
    </w:p>
    <w:p w14:paraId="3E3F365E">
      <w:pPr>
        <w:pStyle w:val="54"/>
        <w:snapToGrid w:val="0"/>
        <w:spacing w:line="480" w:lineRule="exact"/>
        <w:ind w:firstLine="432" w:firstLineChars="206"/>
        <w:textAlignment w:val="auto"/>
        <w:rPr>
          <w:rFonts w:hint="eastAsia" w:ascii="仿宋" w:hAnsi="仿宋" w:eastAsia="仿宋" w:cs="仿宋"/>
          <w:color w:val="000000"/>
          <w:highlight w:val="none"/>
        </w:rPr>
      </w:pPr>
      <w:r>
        <w:rPr>
          <w:rFonts w:hint="eastAsia" w:ascii="仿宋" w:hAnsi="仿宋" w:eastAsia="仿宋" w:cs="仿宋"/>
          <w:color w:val="000000"/>
          <w:highlight w:val="none"/>
        </w:rPr>
        <w:t>9.3投标保证金</w:t>
      </w:r>
    </w:p>
    <w:p w14:paraId="0D900533">
      <w:pPr>
        <w:pStyle w:val="54"/>
        <w:snapToGrid w:val="0"/>
        <w:spacing w:line="48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9.3.1本项目是否要求投标人提交保证金，及要求投标人应提交的投标保证金金额详见投标人须知前附表序号</w:t>
      </w:r>
      <w:r>
        <w:rPr>
          <w:rFonts w:hint="eastAsia" w:ascii="仿宋" w:hAnsi="仿宋" w:eastAsia="仿宋" w:cs="仿宋"/>
          <w:highlight w:val="none"/>
          <w:lang w:val="en-US" w:eastAsia="zh-CN"/>
        </w:rPr>
        <w:t>6</w:t>
      </w:r>
      <w:r>
        <w:rPr>
          <w:rFonts w:hint="eastAsia" w:ascii="仿宋" w:hAnsi="仿宋" w:eastAsia="仿宋" w:cs="仿宋"/>
          <w:highlight w:val="none"/>
        </w:rPr>
        <w:t>的相关规定。</w:t>
      </w:r>
    </w:p>
    <w:p w14:paraId="68F2B4CF">
      <w:pPr>
        <w:snapToGrid w:val="0"/>
        <w:spacing w:line="480" w:lineRule="exact"/>
        <w:ind w:firstLine="420" w:firstLineChars="200"/>
        <w:rPr>
          <w:rFonts w:hint="eastAsia" w:ascii="仿宋" w:hAnsi="仿宋" w:eastAsia="仿宋" w:cs="仿宋"/>
          <w:b/>
          <w:i/>
          <w:szCs w:val="21"/>
          <w:highlight w:val="none"/>
        </w:rPr>
      </w:pPr>
      <w:r>
        <w:rPr>
          <w:rFonts w:hint="eastAsia" w:ascii="仿宋" w:hAnsi="仿宋" w:eastAsia="仿宋" w:cs="仿宋"/>
          <w:szCs w:val="21"/>
          <w:highlight w:val="none"/>
        </w:rPr>
        <w:t>9.3.2未中标人的投标保证金将在中标通知书发出后5个工作日内退付。</w:t>
      </w:r>
    </w:p>
    <w:p w14:paraId="10647C7B">
      <w:pPr>
        <w:snapToGrid w:val="0"/>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9.3.3中标人与</w:t>
      </w:r>
      <w:r>
        <w:rPr>
          <w:rFonts w:hint="eastAsia" w:ascii="仿宋" w:hAnsi="仿宋" w:eastAsia="仿宋" w:cs="仿宋"/>
          <w:szCs w:val="21"/>
          <w:highlight w:val="none"/>
          <w:lang w:eastAsia="zh-CN"/>
        </w:rPr>
        <w:t>采购人</w:t>
      </w:r>
      <w:r>
        <w:rPr>
          <w:rFonts w:hint="eastAsia" w:ascii="仿宋" w:hAnsi="仿宋" w:eastAsia="仿宋" w:cs="仿宋"/>
          <w:szCs w:val="21"/>
          <w:highlight w:val="none"/>
        </w:rPr>
        <w:t>签订政府采购合同后，须将所有合同送</w:t>
      </w:r>
      <w:r>
        <w:rPr>
          <w:rFonts w:hint="eastAsia" w:ascii="仿宋" w:hAnsi="仿宋" w:eastAsia="仿宋" w:cs="仿宋"/>
          <w:szCs w:val="21"/>
          <w:highlight w:val="none"/>
          <w:lang w:eastAsia="zh-CN"/>
        </w:rPr>
        <w:t>招标代理机构</w:t>
      </w:r>
      <w:r>
        <w:rPr>
          <w:rFonts w:hint="eastAsia" w:ascii="仿宋" w:hAnsi="仿宋" w:eastAsia="仿宋" w:cs="仿宋"/>
          <w:szCs w:val="21"/>
          <w:highlight w:val="none"/>
        </w:rPr>
        <w:t>备案，中标人的投标保证金将在采购合同签订后5个工作日内退还。</w:t>
      </w:r>
    </w:p>
    <w:p w14:paraId="66C37722">
      <w:pPr>
        <w:snapToGrid w:val="0"/>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9.3.4有下列情形之一的，投标保证金将不予退还： </w:t>
      </w:r>
    </w:p>
    <w:p w14:paraId="618703B3">
      <w:pPr>
        <w:snapToGrid w:val="0"/>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（1）投标人在规定的投标有效期内撤销或修改其投标文件；</w:t>
      </w:r>
    </w:p>
    <w:p w14:paraId="4751457D">
      <w:pPr>
        <w:snapToGrid w:val="0"/>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（2）中标人在收到中标通知书后，无正当理由拒签合同协议书；</w:t>
      </w:r>
    </w:p>
    <w:p w14:paraId="53FCEC5D">
      <w:pPr>
        <w:snapToGrid w:val="0"/>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（3）投标人提交了虚假资料。</w:t>
      </w:r>
    </w:p>
    <w:p w14:paraId="1315000E">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9.4投标报价</w:t>
      </w:r>
    </w:p>
    <w:p w14:paraId="2BEB1AF8">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9.4.1 所有投标报价均以人民币元为计算单位。只要投报了一个确定数额的总价，无论分项价格是否全部填报了相应的金额或免费字样，报价均被视为已经包含了但并不限于各项购买货物/服务及其运送、安装、调试、验收、保险、国内协作费、劳务费、专家咨询费、税金等一切相关服务等费用。在其它情况下，由于分项报价填报不完整、不清楚或存在其它任何失误，所导致的任何不利后果均应当由投标人自行承担。</w:t>
      </w:r>
    </w:p>
    <w:p w14:paraId="03965BA5">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9.4.2 投标人报出的总价为货物全部完成交付的最终价格。</w:t>
      </w:r>
    </w:p>
    <w:p w14:paraId="04011FA6">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9.4.3投标人必须整包进行投标，不得拆包分项投标。</w:t>
      </w:r>
    </w:p>
    <w:p w14:paraId="425A360E">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9.4.4 本次招标不接受可选择或可调整的投标报价。</w:t>
      </w:r>
    </w:p>
    <w:p w14:paraId="36316425">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9.4.5 投标人应提供货物的单价（包括货物报价、装箱、包装、包装物料、送货、安装调试费、保险费用及其他应有的费用）、总价及其他事项。</w:t>
      </w:r>
    </w:p>
    <w:p w14:paraId="4B7A0A5E">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9.4.6 任何超出招标文件要求而额外赠送的货物、服务等其他形式的优惠，在评标时将不作为价格折算的必备条件。</w:t>
      </w:r>
    </w:p>
    <w:p w14:paraId="2D77D8AC">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9.4.7 对于有配件、耗材、选件、备件和特殊工具的货物，还应填报投标货物配件、耗材、选件、备件及特殊工具清单，注明品牌、型号、产地、功能、单价、批量折扣等内容，该表格式由投标人自行设计。</w:t>
      </w:r>
    </w:p>
    <w:p w14:paraId="39C88017">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9.4.8采用综合评分法的，最低报价不能作为中标的保证。 </w:t>
      </w:r>
    </w:p>
    <w:p w14:paraId="300A156E">
      <w:pPr>
        <w:pStyle w:val="54"/>
        <w:snapToGrid w:val="0"/>
        <w:spacing w:line="480" w:lineRule="exact"/>
        <w:ind w:firstLine="434" w:firstLineChars="206"/>
        <w:textAlignment w:val="auto"/>
        <w:rPr>
          <w:rFonts w:hint="eastAsia" w:ascii="仿宋" w:hAnsi="仿宋" w:eastAsia="仿宋" w:cs="仿宋"/>
          <w:b/>
          <w:color w:val="000000"/>
          <w:highlight w:val="none"/>
        </w:rPr>
      </w:pPr>
      <w:r>
        <w:rPr>
          <w:rFonts w:hint="eastAsia" w:ascii="仿宋" w:hAnsi="仿宋" w:eastAsia="仿宋" w:cs="仿宋"/>
          <w:b/>
          <w:color w:val="000000"/>
          <w:highlight w:val="none"/>
        </w:rPr>
        <w:t>10. 投标内容填写说明</w:t>
      </w:r>
    </w:p>
    <w:p w14:paraId="08290F69">
      <w:pPr>
        <w:pStyle w:val="54"/>
        <w:snapToGrid w:val="0"/>
        <w:spacing w:line="480" w:lineRule="exact"/>
        <w:ind w:firstLine="420" w:firstLineChars="200"/>
        <w:textAlignment w:val="auto"/>
        <w:rPr>
          <w:rFonts w:hint="eastAsia" w:ascii="仿宋" w:hAnsi="仿宋" w:eastAsia="仿宋" w:cs="仿宋"/>
          <w:b/>
          <w:color w:val="000000"/>
          <w:highlight w:val="none"/>
        </w:rPr>
      </w:pPr>
      <w:r>
        <w:rPr>
          <w:rFonts w:hint="eastAsia" w:ascii="仿宋" w:hAnsi="仿宋" w:eastAsia="仿宋" w:cs="仿宋"/>
          <w:color w:val="000000"/>
          <w:highlight w:val="none"/>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r>
        <w:rPr>
          <w:rFonts w:hint="eastAsia" w:ascii="仿宋" w:hAnsi="仿宋" w:eastAsia="仿宋" w:cs="仿宋"/>
          <w:highlight w:val="none"/>
        </w:rPr>
        <w:t>招标文件加“*”条款为不可偏离项。</w:t>
      </w:r>
    </w:p>
    <w:p w14:paraId="71E68A56">
      <w:pPr>
        <w:spacing w:line="480" w:lineRule="exact"/>
        <w:ind w:firstLine="432" w:firstLineChars="206"/>
        <w:rPr>
          <w:rFonts w:hint="eastAsia" w:ascii="仿宋" w:hAnsi="仿宋" w:eastAsia="仿宋" w:cs="仿宋"/>
          <w:color w:val="000000"/>
          <w:highlight w:val="none"/>
        </w:rPr>
      </w:pPr>
      <w:r>
        <w:rPr>
          <w:rFonts w:hint="eastAsia" w:ascii="仿宋" w:hAnsi="仿宋" w:eastAsia="仿宋" w:cs="仿宋"/>
          <w:color w:val="000000"/>
          <w:szCs w:val="21"/>
          <w:highlight w:val="none"/>
        </w:rPr>
        <w:t>10.2  投标文件由招标文件第二部分投标人须知前附表序号</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、序号</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要求提交的文件组成，有固定格式要求的须按第七部分提供的统一格式逐项填写，不准有空项；无相应内容可填的项应填写“无”、“未测试”、“没有相应指标”等明确的回答文字。</w:t>
      </w:r>
    </w:p>
    <w:p w14:paraId="2534E823">
      <w:pPr>
        <w:spacing w:line="480" w:lineRule="exact"/>
        <w:ind w:firstLine="432" w:firstLineChars="206"/>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10.3开标一览表为在开标仪式上唱标的内容，要求按格式统一填写</w:t>
      </w:r>
      <w:r>
        <w:rPr>
          <w:rFonts w:hint="eastAsia" w:ascii="仿宋" w:hAnsi="仿宋" w:eastAsia="仿宋" w:cs="仿宋"/>
          <w:color w:val="000000"/>
          <w:highlight w:val="none"/>
        </w:rPr>
        <w:t>，不得自行增减内容</w:t>
      </w:r>
      <w:r>
        <w:rPr>
          <w:rFonts w:hint="eastAsia" w:ascii="仿宋" w:hAnsi="仿宋" w:eastAsia="仿宋" w:cs="仿宋"/>
          <w:color w:val="000000"/>
          <w:szCs w:val="21"/>
          <w:highlight w:val="none"/>
        </w:rPr>
        <w:t>。</w:t>
      </w:r>
    </w:p>
    <w:p w14:paraId="31B49E43">
      <w:pPr>
        <w:spacing w:line="480" w:lineRule="exact"/>
        <w:ind w:firstLine="432" w:firstLineChars="206"/>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10.4投标人必须保证投标文件所提供的全部资料真实</w:t>
      </w:r>
      <w:r>
        <w:rPr>
          <w:rFonts w:hint="eastAsia" w:ascii="仿宋" w:hAnsi="仿宋" w:eastAsia="仿宋" w:cs="仿宋"/>
          <w:color w:val="000000"/>
          <w:highlight w:val="none"/>
        </w:rPr>
        <w:t>有效</w:t>
      </w:r>
      <w:r>
        <w:rPr>
          <w:rFonts w:hint="eastAsia" w:ascii="仿宋" w:hAnsi="仿宋" w:eastAsia="仿宋" w:cs="仿宋"/>
          <w:color w:val="000000"/>
          <w:szCs w:val="21"/>
          <w:highlight w:val="none"/>
        </w:rPr>
        <w:t>，并接受评标委员会对其中任何资料进一步审查的要求，</w:t>
      </w:r>
      <w:r>
        <w:rPr>
          <w:rFonts w:hint="eastAsia" w:ascii="仿宋" w:hAnsi="仿宋" w:eastAsia="仿宋" w:cs="仿宋"/>
          <w:color w:val="000000"/>
          <w:highlight w:val="none"/>
        </w:rPr>
        <w:t>且承担相应的法律责任。</w:t>
      </w:r>
    </w:p>
    <w:p w14:paraId="54BD1FE3">
      <w:pPr>
        <w:spacing w:line="480" w:lineRule="exact"/>
        <w:ind w:firstLine="432" w:firstLineChars="206"/>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10.5因投标文件字迹潦草、提交资料不清晰或表达不清楚所引起的不利后果由投标人承担。</w:t>
      </w:r>
    </w:p>
    <w:p w14:paraId="0A435CA2">
      <w:pPr>
        <w:spacing w:line="480" w:lineRule="exact"/>
        <w:ind w:firstLine="432" w:firstLineChars="206"/>
        <w:rPr>
          <w:rFonts w:hint="eastAsia" w:ascii="仿宋" w:hAnsi="仿宋" w:eastAsia="仿宋" w:cs="仿宋"/>
          <w:b/>
          <w:color w:val="000000"/>
          <w:szCs w:val="21"/>
          <w:highlight w:val="none"/>
        </w:rPr>
      </w:pPr>
      <w:r>
        <w:rPr>
          <w:rFonts w:hint="eastAsia" w:ascii="仿宋" w:hAnsi="仿宋" w:eastAsia="仿宋" w:cs="仿宋"/>
          <w:color w:val="000000"/>
          <w:szCs w:val="21"/>
          <w:highlight w:val="none"/>
        </w:rPr>
        <w:t>10.6为提倡诚实信用的投标行为，特别要求投标人应本着诚信的原则，在本次投标文件的偏离表中，以审慎的态度明确、清楚地披露各项偏离。若投标人对某一事项是否存在或是否属于偏离不能确定，亦必须在偏离表中清楚地表明该偏离事项，并可以注明‘不能确定’的字样。</w:t>
      </w:r>
    </w:p>
    <w:p w14:paraId="6C1A570E">
      <w:pPr>
        <w:spacing w:line="480" w:lineRule="exact"/>
        <w:ind w:firstLine="434" w:firstLineChars="206"/>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11.投标文件的有效期</w:t>
      </w:r>
    </w:p>
    <w:p w14:paraId="61FA63B4">
      <w:pPr>
        <w:pStyle w:val="54"/>
        <w:snapToGrid w:val="0"/>
        <w:spacing w:line="480" w:lineRule="exact"/>
        <w:ind w:firstLine="432" w:firstLineChars="206"/>
        <w:textAlignment w:val="auto"/>
        <w:rPr>
          <w:rFonts w:hint="eastAsia" w:ascii="仿宋" w:hAnsi="仿宋" w:eastAsia="仿宋" w:cs="仿宋"/>
          <w:color w:val="000000"/>
          <w:highlight w:val="none"/>
        </w:rPr>
      </w:pPr>
      <w:r>
        <w:rPr>
          <w:rFonts w:hint="eastAsia" w:ascii="仿宋" w:hAnsi="仿宋" w:eastAsia="仿宋" w:cs="仿宋"/>
          <w:color w:val="000000"/>
          <w:highlight w:val="none"/>
        </w:rPr>
        <w:t>本项目投标文件的有效期为90个日历天。有效期短于该规定期限的投标将被拒绝。</w:t>
      </w:r>
    </w:p>
    <w:p w14:paraId="14B1C9CA">
      <w:pPr>
        <w:spacing w:line="480" w:lineRule="exact"/>
        <w:ind w:firstLine="434" w:firstLineChars="206"/>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12.投标文件的签署</w:t>
      </w:r>
    </w:p>
    <w:p w14:paraId="693BB17B">
      <w:pPr>
        <w:pStyle w:val="54"/>
        <w:snapToGrid w:val="0"/>
        <w:spacing w:line="480" w:lineRule="exact"/>
        <w:ind w:firstLine="420" w:firstLineChars="200"/>
        <w:textAlignment w:val="auto"/>
        <w:rPr>
          <w:rFonts w:hint="eastAsia" w:ascii="仿宋" w:hAnsi="仿宋" w:eastAsia="仿宋" w:cs="仿宋"/>
          <w:color w:val="000000"/>
          <w:highlight w:val="none"/>
        </w:rPr>
      </w:pPr>
      <w:bookmarkStart w:id="16" w:name="_Toc352761933"/>
      <w:r>
        <w:rPr>
          <w:rFonts w:hint="eastAsia" w:ascii="仿宋" w:hAnsi="仿宋" w:eastAsia="仿宋" w:cs="仿宋"/>
          <w:color w:val="000000"/>
          <w:highlight w:val="none"/>
        </w:rPr>
        <w:t>12.1 组成投标文件的各种文件均应遵守本条规定。</w:t>
      </w:r>
    </w:p>
    <w:p w14:paraId="2911AE54">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12.2 投标人在投标文件及相关文件的签订、履行、通知等事项中的“单位盖章”、“印章”、“公章”等处均仅指与投标人名称全称相一致的标准公章，不得使用其它（如带有“专用章”等字样）的印章，</w:t>
      </w:r>
      <w:r>
        <w:rPr>
          <w:rFonts w:hint="eastAsia" w:ascii="仿宋" w:hAnsi="仿宋" w:eastAsia="仿宋" w:cs="仿宋"/>
          <w:b/>
          <w:color w:val="000000"/>
          <w:highlight w:val="none"/>
        </w:rPr>
        <w:t>否则将做无效投标处理。</w:t>
      </w:r>
    </w:p>
    <w:p w14:paraId="37B8068A">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12.3投标人应按照招标文件要求，电子投标文件所附证书证件均为扫描件，并采用单位和个人数字证书，按招标文件要求在相应位置由法定代表人（单位负责人）或委托代理人签字或加盖电子印章并加盖单位电子印章。投标文件的封面下方以及其他招标文件要求的位置填写投标人全称加盖公章，在指定位置签署法定代表人或投标人代表的全名。</w:t>
      </w:r>
    </w:p>
    <w:p w14:paraId="7BE04E66">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12.4投标人须注意：为合理节约政府采购评审成本，提倡诚实信用的投标行为，特别要求投标人应本着诚信精神，在本次投标文件的偏离表和其它偏离文件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负偏离或被认定为属于负偏离，则评委会有权视该条款是否为主要技术、商务条款而决定是否对该投标予以拒绝。</w:t>
      </w:r>
    </w:p>
    <w:p w14:paraId="4C237C46">
      <w:pPr>
        <w:pStyle w:val="4"/>
        <w:numPr>
          <w:ilvl w:val="0"/>
          <w:numId w:val="0"/>
        </w:numPr>
        <w:spacing w:before="31" w:beforeLines="10" w:after="31" w:afterLines="10" w:line="480" w:lineRule="exact"/>
        <w:jc w:val="both"/>
        <w:rPr>
          <w:rFonts w:hint="eastAsia" w:ascii="仿宋" w:hAnsi="仿宋" w:eastAsia="仿宋" w:cs="仿宋"/>
          <w:color w:val="000000"/>
          <w:spacing w:val="10"/>
          <w:sz w:val="24"/>
          <w:szCs w:val="24"/>
          <w:highlight w:val="none"/>
        </w:rPr>
      </w:pPr>
      <w:bookmarkStart w:id="17" w:name="_Toc11179"/>
      <w:r>
        <w:rPr>
          <w:rFonts w:hint="eastAsia" w:ascii="仿宋" w:hAnsi="仿宋" w:eastAsia="仿宋" w:cs="仿宋"/>
          <w:color w:val="000000"/>
          <w:spacing w:val="10"/>
          <w:sz w:val="24"/>
          <w:szCs w:val="24"/>
          <w:highlight w:val="none"/>
        </w:rPr>
        <w:t>四、投标文件的递交</w:t>
      </w:r>
      <w:bookmarkEnd w:id="16"/>
      <w:bookmarkEnd w:id="17"/>
      <w:r>
        <w:rPr>
          <w:rFonts w:hint="eastAsia" w:ascii="仿宋" w:hAnsi="仿宋" w:eastAsia="仿宋" w:cs="仿宋"/>
          <w:color w:val="000000"/>
          <w:spacing w:val="10"/>
          <w:sz w:val="24"/>
          <w:szCs w:val="24"/>
          <w:highlight w:val="none"/>
        </w:rPr>
        <w:t xml:space="preserve">     </w:t>
      </w:r>
    </w:p>
    <w:p w14:paraId="6B92A27D">
      <w:pPr>
        <w:spacing w:line="480" w:lineRule="exact"/>
        <w:ind w:firstLine="434" w:firstLineChars="206"/>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13. 投标文件的密封及标记</w:t>
      </w:r>
    </w:p>
    <w:p w14:paraId="298C47F5">
      <w:pPr>
        <w:spacing w:line="480" w:lineRule="exact"/>
        <w:ind w:firstLine="432" w:firstLineChars="206"/>
        <w:rPr>
          <w:rFonts w:hint="eastAsia" w:ascii="仿宋" w:hAnsi="仿宋" w:eastAsia="仿宋" w:cs="仿宋"/>
          <w:szCs w:val="21"/>
          <w:highlight w:val="none"/>
        </w:rPr>
      </w:pPr>
      <w:r>
        <w:rPr>
          <w:rFonts w:hint="eastAsia" w:ascii="仿宋" w:hAnsi="仿宋" w:eastAsia="仿宋" w:cs="仿宋"/>
          <w:szCs w:val="21"/>
          <w:highlight w:val="none"/>
        </w:rPr>
        <w:t>13.1 电子投标文件应按以下方法</w:t>
      </w:r>
    </w:p>
    <w:p w14:paraId="6E96D235">
      <w:pPr>
        <w:spacing w:line="480" w:lineRule="exact"/>
        <w:ind w:firstLine="432" w:firstLineChars="206"/>
        <w:rPr>
          <w:rFonts w:hint="eastAsia" w:ascii="仿宋" w:hAnsi="仿宋" w:eastAsia="仿宋" w:cs="仿宋"/>
          <w:szCs w:val="21"/>
          <w:highlight w:val="none"/>
          <w:lang w:eastAsia="zh-CN"/>
        </w:rPr>
      </w:pPr>
      <w:r>
        <w:rPr>
          <w:rFonts w:hint="eastAsia" w:ascii="仿宋" w:hAnsi="仿宋" w:eastAsia="仿宋" w:cs="仿宋"/>
          <w:szCs w:val="21"/>
          <w:highlight w:val="none"/>
        </w:rPr>
        <w:t>（1）电子投标文件使用电子投标书编制工具编制完成，投标截止时间前在政采云平台投标客户端完成递交（上传）中进行递交（上传），开标现场须携带CA数字证书解锁电子投标文件。</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可远程解密</w:t>
      </w:r>
      <w:r>
        <w:rPr>
          <w:rFonts w:hint="eastAsia" w:ascii="仿宋" w:hAnsi="仿宋" w:eastAsia="仿宋" w:cs="仿宋"/>
          <w:szCs w:val="21"/>
          <w:highlight w:val="none"/>
          <w:lang w:eastAsia="zh-CN"/>
        </w:rPr>
        <w:t>）。</w:t>
      </w:r>
    </w:p>
    <w:p w14:paraId="693AE563">
      <w:pPr>
        <w:spacing w:line="480" w:lineRule="exact"/>
        <w:ind w:firstLine="432" w:firstLineChars="206"/>
        <w:rPr>
          <w:rFonts w:hint="eastAsia" w:ascii="仿宋" w:hAnsi="仿宋" w:eastAsia="仿宋" w:cs="仿宋"/>
          <w:szCs w:val="21"/>
          <w:highlight w:val="none"/>
          <w:lang w:eastAsia="zh-CN"/>
        </w:rPr>
      </w:pPr>
      <w:r>
        <w:rPr>
          <w:rFonts w:hint="eastAsia" w:ascii="仿宋" w:hAnsi="仿宋" w:eastAsia="仿宋" w:cs="仿宋"/>
          <w:szCs w:val="21"/>
          <w:highlight w:val="none"/>
        </w:rPr>
        <w:t>13.2纸质投标文件应按以下方法密封：</w:t>
      </w:r>
      <w:r>
        <w:rPr>
          <w:rFonts w:hint="eastAsia" w:ascii="仿宋" w:hAnsi="仿宋" w:eastAsia="仿宋" w:cs="仿宋"/>
          <w:szCs w:val="21"/>
          <w:highlight w:val="none"/>
          <w:lang w:eastAsia="zh-CN"/>
        </w:rPr>
        <w:t>无需提供纸质版投标文件</w:t>
      </w:r>
    </w:p>
    <w:p w14:paraId="2984ADF2">
      <w:pPr>
        <w:spacing w:line="480" w:lineRule="exact"/>
        <w:ind w:firstLine="434" w:firstLineChars="206"/>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14．投标截止时间</w:t>
      </w:r>
    </w:p>
    <w:p w14:paraId="2A4560F2">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14.1 </w:t>
      </w:r>
      <w:r>
        <w:rPr>
          <w:rFonts w:hint="eastAsia" w:ascii="仿宋" w:hAnsi="仿宋" w:eastAsia="仿宋" w:cs="仿宋"/>
          <w:highlight w:val="none"/>
        </w:rPr>
        <w:t>投标人须将</w:t>
      </w:r>
      <w:r>
        <w:rPr>
          <w:rFonts w:hint="eastAsia" w:ascii="仿宋" w:hAnsi="仿宋" w:eastAsia="仿宋" w:cs="仿宋"/>
          <w:color w:val="000000"/>
          <w:highlight w:val="none"/>
        </w:rPr>
        <w:t>投标文件按招标文件第一部分招标公告中规定的时间、地点送达。在投标截止时间后送达的投标文件，</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将拒绝接收投标人的投标文件。</w:t>
      </w:r>
    </w:p>
    <w:p w14:paraId="586DA664">
      <w:pPr>
        <w:pStyle w:val="54"/>
        <w:snapToGrid w:val="0"/>
        <w:spacing w:line="48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14.2网上递交： 投标文件递交截止时间前在政采云平台投标客户端（http://www.ccgp-shanxi.gov.cn/sxCategory15/sxCategory202/sxCategory20201/327.html）完成递交（上传），递交截止时间前未完成投标文件上传的，视为撤回投标文件，投标人自行承担责任。</w:t>
      </w:r>
    </w:p>
    <w:p w14:paraId="133B2CDF">
      <w:pPr>
        <w:spacing w:line="480" w:lineRule="exact"/>
        <w:ind w:firstLine="434" w:firstLineChars="206"/>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15．投标文件的补充、修改和撤回</w:t>
      </w:r>
    </w:p>
    <w:p w14:paraId="0322609B">
      <w:pPr>
        <w:pStyle w:val="54"/>
        <w:snapToGrid w:val="0"/>
        <w:spacing w:line="480" w:lineRule="exact"/>
        <w:ind w:firstLine="474" w:firstLineChars="226"/>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15.1投标人在开标解密截止时间前，可对投标文件进行补充、修改或者撤回。</w:t>
      </w:r>
    </w:p>
    <w:p w14:paraId="2C1D441A">
      <w:pPr>
        <w:pStyle w:val="54"/>
        <w:snapToGrid w:val="0"/>
        <w:spacing w:line="480" w:lineRule="exact"/>
        <w:ind w:firstLine="474" w:firstLineChars="226"/>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15.2投标人对电子投标文件的补充、修改应在电子投标文件上进行，修改完成后重新上传。</w:t>
      </w:r>
    </w:p>
    <w:p w14:paraId="0B6BAEC0">
      <w:pPr>
        <w:pStyle w:val="54"/>
        <w:snapToGrid w:val="0"/>
        <w:spacing w:line="480" w:lineRule="exact"/>
        <w:ind w:firstLine="474" w:firstLineChars="226"/>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15.3在招标文件要求的投标文件提交截止时间之后，投标人不得对其投标文件进行补充、修改或撤回。</w:t>
      </w:r>
    </w:p>
    <w:p w14:paraId="37E23BFA">
      <w:pPr>
        <w:pStyle w:val="4"/>
        <w:numPr>
          <w:ilvl w:val="0"/>
          <w:numId w:val="0"/>
        </w:numPr>
        <w:spacing w:before="31" w:beforeLines="10" w:after="31" w:afterLines="10" w:line="480" w:lineRule="exact"/>
        <w:ind w:left="539"/>
        <w:jc w:val="both"/>
        <w:rPr>
          <w:rFonts w:hint="eastAsia" w:ascii="仿宋" w:hAnsi="仿宋" w:eastAsia="仿宋" w:cs="仿宋"/>
          <w:color w:val="000000"/>
          <w:spacing w:val="10"/>
          <w:sz w:val="24"/>
          <w:szCs w:val="24"/>
          <w:highlight w:val="none"/>
        </w:rPr>
      </w:pPr>
      <w:bookmarkStart w:id="18" w:name="_Toc352761934"/>
      <w:bookmarkStart w:id="19" w:name="_Toc25180"/>
      <w:r>
        <w:rPr>
          <w:rFonts w:hint="eastAsia" w:ascii="仿宋" w:hAnsi="仿宋" w:eastAsia="仿宋" w:cs="仿宋"/>
          <w:color w:val="000000"/>
          <w:spacing w:val="10"/>
          <w:sz w:val="24"/>
          <w:szCs w:val="24"/>
          <w:highlight w:val="none"/>
        </w:rPr>
        <w:t>五、开标</w:t>
      </w:r>
      <w:bookmarkEnd w:id="18"/>
      <w:bookmarkEnd w:id="19"/>
      <w:r>
        <w:rPr>
          <w:rFonts w:hint="eastAsia" w:ascii="仿宋" w:hAnsi="仿宋" w:eastAsia="仿宋" w:cs="仿宋"/>
          <w:color w:val="000000"/>
          <w:spacing w:val="10"/>
          <w:sz w:val="24"/>
          <w:szCs w:val="24"/>
          <w:highlight w:val="none"/>
        </w:rPr>
        <w:t xml:space="preserve">     </w:t>
      </w:r>
    </w:p>
    <w:p w14:paraId="015A0C79">
      <w:pPr>
        <w:spacing w:line="480" w:lineRule="exact"/>
        <w:ind w:firstLine="476" w:firstLineChars="226"/>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16. 开标及其有关事项</w:t>
      </w:r>
    </w:p>
    <w:p w14:paraId="3E62D78D">
      <w:pPr>
        <w:pStyle w:val="54"/>
        <w:snapToGrid w:val="0"/>
        <w:spacing w:line="480" w:lineRule="exact"/>
        <w:ind w:firstLine="474" w:firstLineChars="226"/>
        <w:textAlignment w:val="auto"/>
        <w:rPr>
          <w:rFonts w:hint="eastAsia" w:ascii="仿宋" w:hAnsi="仿宋" w:eastAsia="仿宋" w:cs="仿宋"/>
          <w:color w:val="000000"/>
          <w:highlight w:val="none"/>
        </w:rPr>
      </w:pPr>
      <w:bookmarkStart w:id="20" w:name="_Toc352761935"/>
      <w:r>
        <w:rPr>
          <w:rFonts w:hint="eastAsia" w:ascii="仿宋" w:hAnsi="仿宋" w:eastAsia="仿宋" w:cs="仿宋"/>
          <w:color w:val="000000"/>
          <w:highlight w:val="none"/>
        </w:rPr>
        <w:t>16.1</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按招标文件规定的时间、地点主持开标活动，投标人代表及有关工作人员参加。</w:t>
      </w:r>
    </w:p>
    <w:p w14:paraId="01E53E95">
      <w:pPr>
        <w:pStyle w:val="54"/>
        <w:snapToGrid w:val="0"/>
        <w:spacing w:line="480" w:lineRule="exact"/>
        <w:ind w:firstLine="474" w:firstLineChars="226"/>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16.2 参加开标的投标人代表必须在投标人递交投标文件及签到登记表上签到。</w:t>
      </w:r>
    </w:p>
    <w:p w14:paraId="7C486162">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16.3 投标人通过电子招标投标交易平台对已递交的电子投标文件进行解密。</w:t>
      </w:r>
    </w:p>
    <w:p w14:paraId="164B6CB0">
      <w:pPr>
        <w:pStyle w:val="54"/>
        <w:snapToGrid w:val="0"/>
        <w:spacing w:line="480" w:lineRule="exact"/>
        <w:ind w:firstLine="525" w:firstLineChars="25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16.4 </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将当众宣读投标人名称、投标报价、投标保证金的交纳情况以及</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认为适当的其他内容。投标人的报价或认为应唱出的事项未被唱出或唱出有误，应在征求澄清说明时及时声明或提请注意，否则</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对此不承担任何责任。</w:t>
      </w:r>
    </w:p>
    <w:p w14:paraId="7D5236FC">
      <w:pPr>
        <w:pStyle w:val="54"/>
        <w:snapToGrid w:val="0"/>
        <w:spacing w:line="480" w:lineRule="exact"/>
        <w:ind w:firstLine="525" w:firstLineChars="25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16.5 </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将按规定编制唱标记录，由参加开标的各投标人代表和相关工作人员签字确认后存档备查。投标人未参加开标的，视同认可开标结果。</w:t>
      </w:r>
    </w:p>
    <w:p w14:paraId="1E2C6E30">
      <w:pPr>
        <w:pStyle w:val="54"/>
        <w:snapToGrid w:val="0"/>
        <w:spacing w:line="480" w:lineRule="exact"/>
        <w:ind w:firstLine="525" w:firstLineChars="25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16.6投标人代表对开标过程和开标记录有疑义，以及认为</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相关工作人员有需要回避的情形的，应当场提出询问或者回避申请。</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对投标人代表提出的询问或者回避申请应当及时处理。</w:t>
      </w:r>
    </w:p>
    <w:p w14:paraId="499CE7F8">
      <w:pPr>
        <w:pStyle w:val="4"/>
        <w:numPr>
          <w:ilvl w:val="0"/>
          <w:numId w:val="0"/>
        </w:numPr>
        <w:spacing w:before="31" w:beforeLines="10" w:after="31" w:afterLines="10" w:line="480" w:lineRule="exact"/>
        <w:jc w:val="both"/>
        <w:rPr>
          <w:rFonts w:hint="eastAsia" w:ascii="仿宋" w:hAnsi="仿宋" w:eastAsia="仿宋" w:cs="仿宋"/>
          <w:color w:val="000000"/>
          <w:spacing w:val="10"/>
          <w:sz w:val="24"/>
          <w:szCs w:val="24"/>
          <w:highlight w:val="none"/>
        </w:rPr>
      </w:pPr>
      <w:bookmarkStart w:id="21" w:name="_Toc32271"/>
      <w:r>
        <w:rPr>
          <w:rFonts w:hint="eastAsia" w:ascii="仿宋" w:hAnsi="仿宋" w:eastAsia="仿宋" w:cs="仿宋"/>
          <w:color w:val="000000"/>
          <w:spacing w:val="10"/>
          <w:sz w:val="24"/>
          <w:szCs w:val="24"/>
          <w:highlight w:val="none"/>
        </w:rPr>
        <w:t>六、评标程序和要求</w:t>
      </w:r>
      <w:bookmarkEnd w:id="20"/>
      <w:bookmarkEnd w:id="21"/>
    </w:p>
    <w:p w14:paraId="50D2E41B">
      <w:pPr>
        <w:pStyle w:val="54"/>
        <w:snapToGrid w:val="0"/>
        <w:spacing w:line="480" w:lineRule="exact"/>
        <w:ind w:firstLine="476" w:firstLineChars="226"/>
        <w:textAlignment w:val="auto"/>
        <w:rPr>
          <w:rFonts w:hint="eastAsia" w:ascii="仿宋" w:hAnsi="仿宋" w:eastAsia="仿宋" w:cs="仿宋"/>
          <w:b/>
          <w:color w:val="000000"/>
          <w:highlight w:val="none"/>
        </w:rPr>
      </w:pPr>
      <w:r>
        <w:rPr>
          <w:rFonts w:hint="eastAsia" w:ascii="仿宋" w:hAnsi="仿宋" w:eastAsia="仿宋" w:cs="仿宋"/>
          <w:b/>
          <w:color w:val="000000"/>
          <w:highlight w:val="none"/>
        </w:rPr>
        <w:t>17. 投标人资格性审查</w:t>
      </w:r>
    </w:p>
    <w:p w14:paraId="6EE30216">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公开招标采购项目开标结束后，</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或</w:t>
      </w:r>
      <w:r>
        <w:rPr>
          <w:rFonts w:hint="eastAsia" w:ascii="仿宋" w:hAnsi="仿宋" w:eastAsia="仿宋" w:cs="仿宋"/>
          <w:color w:val="000000"/>
          <w:highlight w:val="none"/>
          <w:lang w:val="en-US" w:eastAsia="zh-CN"/>
        </w:rPr>
        <w:t>招标</w:t>
      </w:r>
      <w:r>
        <w:rPr>
          <w:rFonts w:hint="eastAsia" w:ascii="仿宋" w:hAnsi="仿宋" w:eastAsia="仿宋" w:cs="仿宋"/>
          <w:color w:val="000000"/>
          <w:highlight w:val="none"/>
        </w:rPr>
        <w:t>代理机构按照招标文件第五部分中资格审查的内容及标准对投标人提交的投标文件进行资格审查，以确定投标人是否具备投标资格。审查后合格投标人不足3家的不得评标。</w:t>
      </w:r>
    </w:p>
    <w:p w14:paraId="2252F6EE">
      <w:pPr>
        <w:pStyle w:val="54"/>
        <w:snapToGrid w:val="0"/>
        <w:spacing w:line="480" w:lineRule="exact"/>
        <w:ind w:firstLine="476" w:firstLineChars="226"/>
        <w:textAlignment w:val="auto"/>
        <w:rPr>
          <w:rFonts w:hint="eastAsia" w:ascii="仿宋" w:hAnsi="仿宋" w:eastAsia="仿宋" w:cs="仿宋"/>
          <w:b/>
          <w:color w:val="000000"/>
          <w:highlight w:val="none"/>
        </w:rPr>
      </w:pPr>
      <w:r>
        <w:rPr>
          <w:rFonts w:hint="eastAsia" w:ascii="仿宋" w:hAnsi="仿宋" w:eastAsia="仿宋" w:cs="仿宋"/>
          <w:b/>
          <w:color w:val="000000"/>
          <w:highlight w:val="none"/>
        </w:rPr>
        <w:t>18. 组建评标委员会</w:t>
      </w:r>
    </w:p>
    <w:p w14:paraId="518A7195">
      <w:pPr>
        <w:pStyle w:val="54"/>
        <w:snapToGrid w:val="0"/>
        <w:spacing w:line="480" w:lineRule="exact"/>
        <w:ind w:firstLine="420" w:firstLineChars="200"/>
        <w:textAlignment w:val="auto"/>
        <w:rPr>
          <w:rFonts w:hint="eastAsia" w:ascii="仿宋" w:hAnsi="仿宋" w:eastAsia="仿宋" w:cs="仿宋"/>
          <w:highlight w:val="none"/>
        </w:rPr>
      </w:pPr>
      <w:r>
        <w:rPr>
          <w:rFonts w:hint="eastAsia" w:ascii="仿宋" w:hAnsi="仿宋" w:eastAsia="仿宋" w:cs="仿宋"/>
          <w:color w:val="000000"/>
          <w:highlight w:val="none"/>
        </w:rPr>
        <w:t xml:space="preserve">18.1 </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根据政府采购有关法律法规和本招标文件的规定，结合本招标项目的特点组建评标委员会，对具备实质性响应的投标文件进行评估和比较。</w:t>
      </w:r>
      <w:r>
        <w:rPr>
          <w:rFonts w:hint="eastAsia" w:ascii="仿宋" w:hAnsi="仿宋" w:eastAsia="仿宋" w:cs="仿宋"/>
          <w:highlight w:val="none"/>
        </w:rPr>
        <w:t>评标委员会由</w:t>
      </w:r>
      <w:r>
        <w:rPr>
          <w:rFonts w:hint="eastAsia" w:ascii="仿宋" w:hAnsi="仿宋" w:eastAsia="仿宋" w:cs="仿宋"/>
          <w:highlight w:val="none"/>
          <w:lang w:val="en-US" w:eastAsia="zh-CN"/>
        </w:rPr>
        <w:t>5</w:t>
      </w:r>
      <w:r>
        <w:rPr>
          <w:rFonts w:hint="eastAsia" w:ascii="仿宋" w:hAnsi="仿宋" w:eastAsia="仿宋" w:cs="仿宋"/>
          <w:highlight w:val="none"/>
        </w:rPr>
        <w:t>人组成，其中经济、技术等方面的专家不少于三分之二。</w:t>
      </w:r>
    </w:p>
    <w:p w14:paraId="28EDE5CB">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18.2 评标委员会负责完成具体的评标事务，提出经评标委员会签字的书面评标报告。</w:t>
      </w:r>
    </w:p>
    <w:p w14:paraId="139C53D2">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18.3 </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负责组织项目的评标工作。</w:t>
      </w:r>
    </w:p>
    <w:p w14:paraId="4D5E08F8">
      <w:pPr>
        <w:pStyle w:val="54"/>
        <w:snapToGrid w:val="0"/>
        <w:spacing w:line="480" w:lineRule="exact"/>
        <w:ind w:firstLine="476" w:firstLineChars="226"/>
        <w:textAlignment w:val="auto"/>
        <w:rPr>
          <w:rFonts w:hint="eastAsia" w:ascii="仿宋" w:hAnsi="仿宋" w:eastAsia="仿宋" w:cs="仿宋"/>
          <w:b/>
          <w:color w:val="000000"/>
          <w:highlight w:val="none"/>
        </w:rPr>
      </w:pPr>
      <w:r>
        <w:rPr>
          <w:rFonts w:hint="eastAsia" w:ascii="仿宋" w:hAnsi="仿宋" w:eastAsia="仿宋" w:cs="仿宋"/>
          <w:b/>
          <w:color w:val="000000"/>
          <w:highlight w:val="none"/>
        </w:rPr>
        <w:t>19. 投标文件符合性审查</w:t>
      </w:r>
    </w:p>
    <w:p w14:paraId="3315417B">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评标委员会依据招标文件第五部分评标标准和评标办法中的规定，从投标文件的有效性、完整性和对招标文件的商务、技术等实质性要求作出响应程度进行审查，以确定是否对招标文件的实质性要求作出响应。</w:t>
      </w:r>
    </w:p>
    <w:p w14:paraId="64CB8CD3">
      <w:pPr>
        <w:pStyle w:val="54"/>
        <w:snapToGrid w:val="0"/>
        <w:spacing w:line="480" w:lineRule="exact"/>
        <w:ind w:firstLine="476" w:firstLineChars="226"/>
        <w:textAlignment w:val="auto"/>
        <w:rPr>
          <w:rFonts w:hint="eastAsia" w:ascii="仿宋" w:hAnsi="仿宋" w:eastAsia="仿宋" w:cs="仿宋"/>
          <w:b/>
          <w:color w:val="000000"/>
          <w:highlight w:val="none"/>
        </w:rPr>
      </w:pPr>
      <w:r>
        <w:rPr>
          <w:rFonts w:hint="eastAsia" w:ascii="仿宋" w:hAnsi="仿宋" w:eastAsia="仿宋" w:cs="仿宋"/>
          <w:b/>
          <w:color w:val="000000"/>
          <w:highlight w:val="none"/>
        </w:rPr>
        <w:t>20.评审中遵循的原则</w:t>
      </w:r>
    </w:p>
    <w:p w14:paraId="0C29F1EC">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20.1审查中，投标人存在下列情况之一的，投标无效：</w:t>
      </w:r>
    </w:p>
    <w:p w14:paraId="243EE870">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（1）招标文件要求的投标人特定资质证明文件不全或无效的；</w:t>
      </w:r>
    </w:p>
    <w:p w14:paraId="2F111FF9">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（2）投标有效期不足的；</w:t>
      </w:r>
    </w:p>
    <w:p w14:paraId="6B5639D6">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（3）投标货物的性能、规格、数量、售后服务、交货时间、服务方案、售后服务承诺等不满足招标文件中的相关要求和超出本招标文件可接受的偏差范围的；</w:t>
      </w:r>
    </w:p>
    <w:p w14:paraId="4C947A96">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（4）未按照招标文件规定报价的；</w:t>
      </w:r>
    </w:p>
    <w:p w14:paraId="7AB4BCD5">
      <w:pPr>
        <w:spacing w:line="48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highlight w:val="none"/>
        </w:rPr>
        <w:t>（5）</w:t>
      </w:r>
      <w:r>
        <w:rPr>
          <w:rFonts w:hint="eastAsia" w:ascii="仿宋" w:hAnsi="仿宋" w:eastAsia="仿宋" w:cs="仿宋"/>
          <w:color w:val="000000"/>
          <w:szCs w:val="21"/>
          <w:highlight w:val="none"/>
        </w:rPr>
        <w:t>投标文件未按招标文件规定标记、密封的；</w:t>
      </w:r>
    </w:p>
    <w:p w14:paraId="724FF127">
      <w:pPr>
        <w:spacing w:line="48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highlight w:val="none"/>
        </w:rPr>
        <w:t>（6）</w:t>
      </w:r>
      <w:r>
        <w:rPr>
          <w:rFonts w:hint="eastAsia" w:ascii="仿宋" w:hAnsi="仿宋" w:eastAsia="仿宋" w:cs="仿宋"/>
          <w:color w:val="000000"/>
          <w:szCs w:val="21"/>
          <w:highlight w:val="none"/>
        </w:rPr>
        <w:t>投标文件未按照招标文件要求盖章或签字的；</w:t>
      </w:r>
    </w:p>
    <w:p w14:paraId="574D5749">
      <w:pPr>
        <w:spacing w:line="48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highlight w:val="none"/>
        </w:rPr>
        <w:t>（7）</w:t>
      </w:r>
      <w:r>
        <w:rPr>
          <w:rFonts w:hint="eastAsia" w:ascii="仿宋" w:hAnsi="仿宋" w:eastAsia="仿宋" w:cs="仿宋"/>
          <w:color w:val="000000"/>
          <w:szCs w:val="21"/>
          <w:highlight w:val="none"/>
        </w:rPr>
        <w:t>在提交投标文件截止时间以后送达的投标文件；</w:t>
      </w:r>
    </w:p>
    <w:p w14:paraId="2CB2EF6A">
      <w:pPr>
        <w:spacing w:line="48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highlight w:val="none"/>
        </w:rPr>
        <w:t>（8）</w:t>
      </w:r>
      <w:r>
        <w:rPr>
          <w:rFonts w:hint="eastAsia" w:ascii="仿宋" w:hAnsi="仿宋" w:eastAsia="仿宋" w:cs="仿宋"/>
          <w:color w:val="000000"/>
          <w:szCs w:val="21"/>
          <w:highlight w:val="none"/>
        </w:rPr>
        <w:t>未按评标委员会要求对投标文件进行澄清（说明或者更正）的；</w:t>
      </w:r>
    </w:p>
    <w:p w14:paraId="3C8EDFFB">
      <w:pPr>
        <w:spacing w:line="48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highlight w:val="none"/>
        </w:rPr>
        <w:t>（9）投标人</w:t>
      </w:r>
      <w:r>
        <w:rPr>
          <w:rFonts w:hint="eastAsia" w:ascii="仿宋" w:hAnsi="仿宋" w:eastAsia="仿宋" w:cs="仿宋"/>
          <w:color w:val="000000"/>
          <w:szCs w:val="21"/>
          <w:highlight w:val="none"/>
        </w:rPr>
        <w:t>未按照招标文件要求提交投标保证金的；</w:t>
      </w:r>
    </w:p>
    <w:p w14:paraId="5836D5CE">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（10）投标人未按照招标文件要求编制投标文件的；</w:t>
      </w:r>
    </w:p>
    <w:p w14:paraId="2D20B47F">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（11）如技术需求中含国家强制性采购的节能产品、环境标志产品，投标人未按照国家规定提供相应产品的；</w:t>
      </w:r>
    </w:p>
    <w:p w14:paraId="651AE2FA">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（12）投标报价不唯一；</w:t>
      </w:r>
    </w:p>
    <w:p w14:paraId="29E39881">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（13）投标文件附有本招标文件不能接受的条件；</w:t>
      </w:r>
    </w:p>
    <w:p w14:paraId="1862A4FE">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（14）不符合招标文件中规定的其他实质性要求。</w:t>
      </w:r>
    </w:p>
    <w:p w14:paraId="3ADA2BEC">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20.2在评标过程中发现投标人有下列情形的，评标委员会应认定其投标无效，并书面报告本级财政部门： </w:t>
      </w:r>
    </w:p>
    <w:p w14:paraId="29035C29">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（1）有恶意串通的；</w:t>
      </w:r>
    </w:p>
    <w:p w14:paraId="131721A3">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（2）有妨碍其他投标人的竞争行为的；</w:t>
      </w:r>
    </w:p>
    <w:p w14:paraId="5411C517">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（3）有损害</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或者其他投标人的合法权益的。</w:t>
      </w:r>
    </w:p>
    <w:p w14:paraId="7396F520">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20.3投标人有下列情形之一的，视为串通投标，其投标无效：</w:t>
      </w:r>
    </w:p>
    <w:p w14:paraId="66238315">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（1）不同投标人的投标文件由同一单位或者个人编制；</w:t>
      </w:r>
    </w:p>
    <w:p w14:paraId="1D2F37FB">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（2）不同投标人委托同一单位或者个人办理投标事宜；</w:t>
      </w:r>
    </w:p>
    <w:p w14:paraId="0075AA53">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（3）不同投标人的投标文件载明的项目管理成员或者联系人为同一人；</w:t>
      </w:r>
    </w:p>
    <w:p w14:paraId="352156EE">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（4）不同投标人的投标文件异常一致或者投标报价呈规律性差异；</w:t>
      </w:r>
    </w:p>
    <w:p w14:paraId="079DC9BC">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（5）不同投标人的投标文件相互混装；</w:t>
      </w:r>
    </w:p>
    <w:p w14:paraId="143F2B8C">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（6）不同投标人的投标保证金从同一单位或者个人的账户转出。</w:t>
      </w:r>
    </w:p>
    <w:p w14:paraId="03DAF0C3">
      <w:pPr>
        <w:pStyle w:val="54"/>
        <w:snapToGrid w:val="0"/>
        <w:spacing w:line="480" w:lineRule="exact"/>
        <w:ind w:firstLine="474" w:firstLineChars="226"/>
        <w:textAlignment w:val="auto"/>
        <w:rPr>
          <w:rFonts w:hint="eastAsia" w:ascii="仿宋" w:hAnsi="仿宋" w:eastAsia="仿宋" w:cs="仿宋"/>
          <w:highlight w:val="none"/>
        </w:rPr>
      </w:pPr>
      <w:r>
        <w:rPr>
          <w:rFonts w:hint="eastAsia" w:ascii="仿宋" w:hAnsi="仿宋" w:eastAsia="仿宋" w:cs="仿宋"/>
          <w:color w:val="000000"/>
          <w:highlight w:val="none"/>
        </w:rPr>
        <w:t>20.4</w:t>
      </w:r>
      <w:r>
        <w:rPr>
          <w:rFonts w:hint="eastAsia" w:ascii="仿宋" w:hAnsi="仿宋" w:eastAsia="仿宋" w:cs="仿宋"/>
          <w:highlight w:val="none"/>
        </w:rPr>
        <w:t xml:space="preserve">审查中，对明显的文字和计算错误按下述原则处理： </w:t>
      </w:r>
    </w:p>
    <w:p w14:paraId="24FE62F4">
      <w:pPr>
        <w:pStyle w:val="54"/>
        <w:snapToGrid w:val="0"/>
        <w:spacing w:line="480" w:lineRule="exact"/>
        <w:ind w:firstLine="474" w:firstLineChars="226"/>
        <w:textAlignment w:val="auto"/>
        <w:rPr>
          <w:rFonts w:hint="eastAsia" w:ascii="仿宋" w:hAnsi="仿宋" w:eastAsia="仿宋" w:cs="仿宋"/>
          <w:highlight w:val="none"/>
        </w:rPr>
      </w:pPr>
      <w:r>
        <w:rPr>
          <w:rFonts w:hint="eastAsia" w:ascii="仿宋" w:hAnsi="仿宋" w:eastAsia="仿宋" w:cs="仿宋"/>
          <w:highlight w:val="none"/>
        </w:rPr>
        <w:t>A、开标报价一览表内容与投标文件中相应内容不一致的,以开标报价一览表为准；</w:t>
      </w:r>
    </w:p>
    <w:p w14:paraId="276A71DB">
      <w:pPr>
        <w:pStyle w:val="54"/>
        <w:snapToGrid w:val="0"/>
        <w:spacing w:line="480" w:lineRule="exact"/>
        <w:ind w:firstLine="474" w:firstLineChars="226"/>
        <w:textAlignment w:val="auto"/>
        <w:rPr>
          <w:rFonts w:hint="eastAsia" w:ascii="仿宋" w:hAnsi="仿宋" w:eastAsia="仿宋" w:cs="仿宋"/>
          <w:highlight w:val="none"/>
        </w:rPr>
      </w:pPr>
      <w:r>
        <w:rPr>
          <w:rFonts w:hint="eastAsia" w:ascii="仿宋" w:hAnsi="仿宋" w:eastAsia="仿宋" w:cs="仿宋"/>
          <w:highlight w:val="none"/>
        </w:rPr>
        <w:t>B、大写金额和小写金额不一致的，以大写金额为准；</w:t>
      </w:r>
    </w:p>
    <w:p w14:paraId="6E52F8AC">
      <w:pPr>
        <w:pStyle w:val="54"/>
        <w:snapToGrid w:val="0"/>
        <w:spacing w:line="480" w:lineRule="exact"/>
        <w:ind w:firstLine="474" w:firstLineChars="226"/>
        <w:textAlignment w:val="auto"/>
        <w:rPr>
          <w:rFonts w:hint="eastAsia" w:ascii="仿宋" w:hAnsi="仿宋" w:eastAsia="仿宋" w:cs="仿宋"/>
          <w:highlight w:val="none"/>
        </w:rPr>
      </w:pPr>
      <w:r>
        <w:rPr>
          <w:rFonts w:hint="eastAsia" w:ascii="仿宋" w:hAnsi="仿宋" w:eastAsia="仿宋" w:cs="仿宋"/>
          <w:highlight w:val="none"/>
        </w:rPr>
        <w:t>C、单价金额小数点或百分比有明显错误的，以开标报价一览表的总价为准，并修改单价；</w:t>
      </w:r>
    </w:p>
    <w:p w14:paraId="48AA9071">
      <w:pPr>
        <w:pStyle w:val="54"/>
        <w:snapToGrid w:val="0"/>
        <w:spacing w:line="480" w:lineRule="exact"/>
        <w:ind w:firstLine="474" w:firstLineChars="226"/>
        <w:textAlignment w:val="auto"/>
        <w:rPr>
          <w:rFonts w:hint="eastAsia" w:ascii="仿宋" w:hAnsi="仿宋" w:eastAsia="仿宋" w:cs="仿宋"/>
          <w:highlight w:val="none"/>
        </w:rPr>
      </w:pPr>
      <w:r>
        <w:rPr>
          <w:rFonts w:hint="eastAsia" w:ascii="仿宋" w:hAnsi="仿宋" w:eastAsia="仿宋" w:cs="仿宋"/>
          <w:highlight w:val="none"/>
        </w:rPr>
        <w:t xml:space="preserve">D、总价金额与按单价汇总金额不一致的，以单价金额计算结果为准； </w:t>
      </w:r>
    </w:p>
    <w:p w14:paraId="65BF9537">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评标委员会将要求投标人按上述原则以书面形式调整确认，投标人确认后的报价对投标人具有约束力，如果投标人不予确认，其投标无效。</w:t>
      </w:r>
    </w:p>
    <w:p w14:paraId="7B1A444A">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20.5 如果多个投标人所投核心产品全部为同一品牌的按下述原则处理：</w:t>
      </w:r>
    </w:p>
    <w:p w14:paraId="5D122CAF">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提供相同品牌产品且通过资格审查、符合性审查的不同投标人参加同一合同项下投标的，按一家投标人计算，评审后得分最高的同品牌投标人获得中标人推荐资格；评审得分相同的，由</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或者</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委托评标委员会采取随机抽取方式确定，其他同品牌投标人不作为中标候选人。</w:t>
      </w:r>
    </w:p>
    <w:p w14:paraId="672E51CB">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非单一产品采购项目，技术需求书中标注“※”的产品为核心产品。多家投标人提供的核心产品品牌完全相同的，按上述规定处理。  </w:t>
      </w:r>
    </w:p>
    <w:p w14:paraId="45BADFE7">
      <w:pPr>
        <w:spacing w:line="480" w:lineRule="exact"/>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 xml:space="preserve">    21. 投标的澄清</w:t>
      </w:r>
    </w:p>
    <w:p w14:paraId="308D8B74">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21.1 对投标文件中含义不明确、同类问题表述不一致或者有明显文字和计算错误等内容评标委员会可以要求投标人作必要的澄清、说明或者纠正。该要求应当采用书面形式,并由评标委员会专家签字。</w:t>
      </w:r>
    </w:p>
    <w:p w14:paraId="392451F5">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21.2 投标人必须按照评标委员会要求的内容和时间做出书面答复，该答复须经法定代表人或投标人代表签字认可，作为投标文件内容的一部分。投标人的澄清、说明或者补正不得超出投标文件的范围或者改变投标文件的实质性内容。</w:t>
      </w:r>
    </w:p>
    <w:p w14:paraId="182D6D00">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21.3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仿宋" w:hAnsi="仿宋" w:eastAsia="仿宋" w:cs="仿宋"/>
          <w:b/>
          <w:color w:val="000000"/>
          <w:highlight w:val="none"/>
        </w:rPr>
        <w:t>无效投标处理</w:t>
      </w:r>
      <w:r>
        <w:rPr>
          <w:rFonts w:hint="eastAsia" w:ascii="仿宋" w:hAnsi="仿宋" w:eastAsia="仿宋" w:cs="仿宋"/>
          <w:color w:val="000000"/>
          <w:highlight w:val="none"/>
        </w:rPr>
        <w:t>。</w:t>
      </w:r>
    </w:p>
    <w:p w14:paraId="2EA4FD46">
      <w:pPr>
        <w:spacing w:line="480" w:lineRule="exact"/>
        <w:ind w:firstLine="434" w:firstLineChars="206"/>
        <w:rPr>
          <w:rFonts w:hint="eastAsia" w:ascii="仿宋" w:hAnsi="仿宋" w:eastAsia="仿宋" w:cs="仿宋"/>
          <w:b/>
          <w:color w:val="000000"/>
          <w:highlight w:val="none"/>
        </w:rPr>
      </w:pPr>
      <w:r>
        <w:rPr>
          <w:rFonts w:hint="eastAsia" w:ascii="仿宋" w:hAnsi="仿宋" w:eastAsia="仿宋" w:cs="仿宋"/>
          <w:b/>
          <w:color w:val="000000"/>
          <w:highlight w:val="none"/>
        </w:rPr>
        <w:t>22. 比较与评价（详细评审）</w:t>
      </w:r>
    </w:p>
    <w:p w14:paraId="5AC37BF6">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22.1 评标委员会只对资格性审查和符合性审查合格的投标文件进行商务和技术评估，综合比较和评价。</w:t>
      </w:r>
    </w:p>
    <w:p w14:paraId="50A493CC">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22.2 采用综合评分法评审的应按照招标文件第五部分评标标准和评标办法中规定的评标方法、中标条件以及评分细则进行。</w:t>
      </w:r>
    </w:p>
    <w:p w14:paraId="21562C7E">
      <w:pPr>
        <w:pStyle w:val="54"/>
        <w:snapToGrid w:val="0"/>
        <w:spacing w:line="480" w:lineRule="exact"/>
        <w:ind w:firstLine="422" w:firstLineChars="200"/>
        <w:textAlignment w:val="auto"/>
        <w:rPr>
          <w:rFonts w:hint="eastAsia" w:ascii="仿宋" w:hAnsi="仿宋" w:eastAsia="仿宋" w:cs="仿宋"/>
          <w:b/>
          <w:bCs/>
          <w:color w:val="000000"/>
          <w:highlight w:val="none"/>
        </w:rPr>
      </w:pPr>
      <w:r>
        <w:rPr>
          <w:rFonts w:hint="eastAsia" w:ascii="仿宋" w:hAnsi="仿宋" w:eastAsia="仿宋" w:cs="仿宋"/>
          <w:b/>
          <w:bCs/>
          <w:color w:val="000000"/>
          <w:highlight w:val="none"/>
        </w:rPr>
        <w:t>23. 评审复核</w:t>
      </w:r>
    </w:p>
    <w:p w14:paraId="799C53AF">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23.1评标结果汇总完成后，除下列情形外，任何人不得修改评标结果：</w:t>
      </w:r>
    </w:p>
    <w:p w14:paraId="1A431FE0">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（1）分值汇总计算错误的；</w:t>
      </w:r>
    </w:p>
    <w:p w14:paraId="66D7045E">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（2）分项评分超出评分标准范围的；</w:t>
      </w:r>
    </w:p>
    <w:p w14:paraId="5CCC0C28">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（3）评标委员会成员对客观评审因素评分不一致的；</w:t>
      </w:r>
    </w:p>
    <w:p w14:paraId="591B8AD6">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（4）经评标委员会认定评分畸高、畸低的。</w:t>
      </w:r>
    </w:p>
    <w:p w14:paraId="792A882D">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23.2评标报告签署前，经复核发现存在以上情形之一的，评标委员会应当当场修改评标结果，并在评标报告中记载；评标报告签署后，</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或者</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发现存在以上情形之一的，应当组织原评标委员会进行重新评审，重新评审改变评标结果的，书面报告本级财政部门。</w:t>
      </w:r>
    </w:p>
    <w:p w14:paraId="6B8C5E7F">
      <w:pPr>
        <w:spacing w:line="480" w:lineRule="exact"/>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 xml:space="preserve">    24. 确定中标候选人 </w:t>
      </w:r>
    </w:p>
    <w:p w14:paraId="689720FE">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评标委员会应当根据综合评分情况，按照评审得分由高到低</w:t>
      </w:r>
      <w:r>
        <w:rPr>
          <w:rFonts w:hint="eastAsia" w:ascii="仿宋" w:hAnsi="仿宋" w:eastAsia="仿宋" w:cs="仿宋"/>
          <w:highlight w:val="none"/>
        </w:rPr>
        <w:t>的顺序推荐1名中标候</w:t>
      </w:r>
      <w:r>
        <w:rPr>
          <w:rFonts w:hint="eastAsia" w:ascii="仿宋" w:hAnsi="仿宋" w:eastAsia="仿宋" w:cs="仿宋"/>
          <w:color w:val="000000"/>
          <w:highlight w:val="none"/>
        </w:rPr>
        <w:t>选人，并经</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委托，依据本招标文件“确定中标人”原则确定中标人。</w:t>
      </w:r>
    </w:p>
    <w:p w14:paraId="0E6435CA">
      <w:pPr>
        <w:spacing w:line="480" w:lineRule="exact"/>
        <w:ind w:firstLine="476" w:firstLineChars="226"/>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25. 编写评标报告</w:t>
      </w:r>
    </w:p>
    <w:p w14:paraId="75D8A2DE">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评标委员会主任委员根据全体评标成员签字的原始记录和评标结果编写评标报告，并由全体评标成员共同签字确认。</w:t>
      </w:r>
    </w:p>
    <w:p w14:paraId="618754DA">
      <w:pPr>
        <w:spacing w:line="480" w:lineRule="exact"/>
        <w:ind w:firstLine="476" w:firstLineChars="226"/>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26. 评标过程保密</w:t>
      </w:r>
    </w:p>
    <w:p w14:paraId="0A2B1CB3">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开标之后，直到授予中标人合同止，凡是属于审查、澄清、评价和比较投标的有关资料以及授标意向等，均不得向投标人或其他与评标无关的人员透露。</w:t>
      </w:r>
    </w:p>
    <w:p w14:paraId="3C7B90AD">
      <w:pPr>
        <w:spacing w:line="480" w:lineRule="exact"/>
        <w:ind w:firstLine="476" w:firstLineChars="226"/>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27. 关于投标人瑕疵滞后发现的处理规则</w:t>
      </w:r>
    </w:p>
    <w:p w14:paraId="18A9CC8C">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无论基于何种原因，各项本应做拒绝投标处理的情形，即便未被及时发现而使该投标人进入初审、详细评审或其它后续程序，包括已经签约的情形。一旦被发现存在上述情形，</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均有权决定取消该投标人的此前评议结果，或决定对该投标予以拒绝，并有权采取相应的补救及纠正措施。</w:t>
      </w:r>
    </w:p>
    <w:p w14:paraId="34684E96">
      <w:pPr>
        <w:spacing w:line="480" w:lineRule="exact"/>
        <w:ind w:firstLine="476" w:firstLineChars="226"/>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28. 采购项目废标</w:t>
      </w:r>
    </w:p>
    <w:p w14:paraId="2A101E55">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28.1 在评标过程中，评标委员会发现有下列情形之一的，应对采购项目予以废标：</w:t>
      </w:r>
    </w:p>
    <w:p w14:paraId="6F4A3B33">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（1）符合专业条件的投标人或者对招标文件作实质响应的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数量不足3家的；</w:t>
      </w:r>
    </w:p>
    <w:p w14:paraId="1931D612">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（2）投标人的报价均超过采购预算的；</w:t>
      </w:r>
    </w:p>
    <w:p w14:paraId="77D097DD">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（3）出现影响采购公正的违法、违规行为的；</w:t>
      </w:r>
    </w:p>
    <w:p w14:paraId="54712EE6">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（4）因重大变故，采购任务取消的。</w:t>
      </w:r>
    </w:p>
    <w:p w14:paraId="5F07D76B">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采购项目废标后，评标委员会应做出书面报告。</w:t>
      </w:r>
    </w:p>
    <w:p w14:paraId="5F21846B">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28.2 废标后，</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将在财政部门指定的媒体上发布废标结果公告，并依法重新组织采购活动。</w:t>
      </w:r>
    </w:p>
    <w:p w14:paraId="76BC055E">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28.3 投标截止时间结束后参加投标的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不足三家,或在评标期间出现对招标文件作出实质响应的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不足三家情形的，</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将视具体情况组织重新招标或报告政府采购监管部门，按政府采购监管部门答复的意见改为其他方式继续采购。</w:t>
      </w:r>
    </w:p>
    <w:p w14:paraId="3D6D1F5B">
      <w:pPr>
        <w:pStyle w:val="54"/>
        <w:snapToGrid w:val="0"/>
        <w:spacing w:line="480" w:lineRule="exact"/>
        <w:ind w:firstLine="422" w:firstLineChars="200"/>
        <w:textAlignment w:val="auto"/>
        <w:rPr>
          <w:rFonts w:hint="eastAsia" w:ascii="仿宋" w:hAnsi="仿宋" w:eastAsia="仿宋" w:cs="仿宋"/>
          <w:b/>
          <w:bCs/>
          <w:color w:val="000000"/>
          <w:highlight w:val="none"/>
        </w:rPr>
      </w:pPr>
      <w:r>
        <w:rPr>
          <w:rFonts w:hint="eastAsia" w:ascii="仿宋" w:hAnsi="仿宋" w:eastAsia="仿宋" w:cs="仿宋"/>
          <w:b/>
          <w:bCs/>
          <w:color w:val="000000"/>
          <w:highlight w:val="none"/>
        </w:rPr>
        <w:t>29、电子交易系统异常情况处置</w:t>
      </w:r>
    </w:p>
    <w:p w14:paraId="0AF6E57F">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color w:val="000000"/>
          <w:highlight w:val="none"/>
        </w:rPr>
        <w:t>29.1</w:t>
      </w:r>
      <w:r>
        <w:rPr>
          <w:rFonts w:hint="eastAsia" w:ascii="仿宋" w:hAnsi="仿宋" w:eastAsia="仿宋" w:cs="仿宋"/>
          <w:highlight w:val="none"/>
          <w:lang w:eastAsia="zh-CN"/>
        </w:rPr>
        <w:t>采购人</w:t>
      </w:r>
      <w:r>
        <w:rPr>
          <w:rFonts w:hint="eastAsia" w:ascii="仿宋" w:hAnsi="仿宋" w:eastAsia="仿宋" w:cs="仿宋"/>
          <w:highlight w:val="none"/>
        </w:rPr>
        <w:t>或</w:t>
      </w:r>
      <w:r>
        <w:rPr>
          <w:rFonts w:hint="eastAsia" w:ascii="仿宋" w:hAnsi="仿宋" w:eastAsia="仿宋" w:cs="仿宋"/>
          <w:highlight w:val="none"/>
          <w:lang w:eastAsia="zh-CN"/>
        </w:rPr>
        <w:t>招标代理机构</w:t>
      </w:r>
      <w:r>
        <w:rPr>
          <w:rFonts w:hint="eastAsia" w:ascii="仿宋" w:hAnsi="仿宋" w:eastAsia="仿宋" w:cs="仿宋"/>
          <w:highlight w:val="none"/>
        </w:rPr>
        <w:t>负责组织电子开标、评标活动，当政采云平台出现异常且2小时内无法解决或恢复时，经交易中心同意后,</w:t>
      </w:r>
      <w:r>
        <w:rPr>
          <w:rFonts w:hint="eastAsia" w:ascii="仿宋" w:hAnsi="仿宋" w:eastAsia="仿宋" w:cs="仿宋"/>
          <w:highlight w:val="none"/>
          <w:lang w:eastAsia="zh-CN"/>
        </w:rPr>
        <w:t>采购人</w:t>
      </w:r>
      <w:r>
        <w:rPr>
          <w:rFonts w:hint="eastAsia" w:ascii="仿宋" w:hAnsi="仿宋" w:eastAsia="仿宋" w:cs="仿宋"/>
          <w:highlight w:val="none"/>
        </w:rPr>
        <w:t>或</w:t>
      </w:r>
      <w:r>
        <w:rPr>
          <w:rFonts w:hint="eastAsia" w:ascii="仿宋" w:hAnsi="仿宋" w:eastAsia="仿宋" w:cs="仿宋"/>
          <w:highlight w:val="none"/>
          <w:lang w:val="en-US" w:eastAsia="zh-CN"/>
        </w:rPr>
        <w:t>招标</w:t>
      </w:r>
      <w:r>
        <w:rPr>
          <w:rFonts w:hint="eastAsia" w:ascii="仿宋" w:hAnsi="仿宋" w:eastAsia="仿宋" w:cs="仿宋"/>
          <w:highlight w:val="none"/>
        </w:rPr>
        <w:t>代理机构可启动纸质响应文件进行线下开标、评标活动。</w:t>
      </w:r>
    </w:p>
    <w:p w14:paraId="63ADA4BA">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29.2待系统恢复后，</w:t>
      </w:r>
      <w:r>
        <w:rPr>
          <w:rFonts w:hint="eastAsia" w:ascii="仿宋" w:hAnsi="仿宋" w:eastAsia="仿宋" w:cs="仿宋"/>
          <w:highlight w:val="none"/>
          <w:lang w:eastAsia="zh-CN"/>
        </w:rPr>
        <w:t>采购人</w:t>
      </w:r>
      <w:r>
        <w:rPr>
          <w:rFonts w:hint="eastAsia" w:ascii="仿宋" w:hAnsi="仿宋" w:eastAsia="仿宋" w:cs="仿宋"/>
          <w:highlight w:val="none"/>
        </w:rPr>
        <w:t>或</w:t>
      </w:r>
      <w:r>
        <w:rPr>
          <w:rFonts w:hint="eastAsia" w:ascii="仿宋" w:hAnsi="仿宋" w:eastAsia="仿宋" w:cs="仿宋"/>
          <w:highlight w:val="none"/>
          <w:lang w:eastAsia="zh-CN"/>
        </w:rPr>
        <w:t>招标代理机构</w:t>
      </w:r>
      <w:r>
        <w:rPr>
          <w:rFonts w:hint="eastAsia" w:ascii="仿宋" w:hAnsi="仿宋" w:eastAsia="仿宋" w:cs="仿宋"/>
          <w:highlight w:val="none"/>
        </w:rPr>
        <w:t>须把线下开标、评标结果数据录入政采云平台电子交易系统。</w:t>
      </w:r>
    </w:p>
    <w:p w14:paraId="10192390">
      <w:pPr>
        <w:pStyle w:val="4"/>
        <w:numPr>
          <w:ilvl w:val="1"/>
          <w:numId w:val="0"/>
        </w:numPr>
        <w:spacing w:before="31" w:beforeLines="10" w:after="31" w:afterLines="10" w:line="480" w:lineRule="exact"/>
        <w:jc w:val="both"/>
        <w:rPr>
          <w:rFonts w:hint="eastAsia" w:ascii="仿宋" w:hAnsi="仿宋" w:eastAsia="仿宋" w:cs="仿宋"/>
          <w:color w:val="000000"/>
          <w:spacing w:val="10"/>
          <w:sz w:val="24"/>
          <w:szCs w:val="24"/>
          <w:highlight w:val="none"/>
        </w:rPr>
      </w:pPr>
      <w:bookmarkStart w:id="22" w:name="_Toc15635"/>
      <w:r>
        <w:rPr>
          <w:rFonts w:hint="eastAsia" w:ascii="仿宋" w:hAnsi="仿宋" w:eastAsia="仿宋" w:cs="仿宋"/>
          <w:color w:val="000000"/>
          <w:spacing w:val="10"/>
          <w:sz w:val="24"/>
          <w:szCs w:val="24"/>
          <w:highlight w:val="none"/>
        </w:rPr>
        <w:t>七、签订合同</w:t>
      </w:r>
      <w:bookmarkEnd w:id="22"/>
    </w:p>
    <w:p w14:paraId="33CA6FB2">
      <w:pPr>
        <w:spacing w:line="480" w:lineRule="exact"/>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 xml:space="preserve">    29．中标通知</w:t>
      </w:r>
    </w:p>
    <w:p w14:paraId="1BA9B731">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29.1 中标人确定后，</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将在刊登本次招标公告的媒体上发布中标公告，并以书面形式向中标人发出中标通知书，但该中标结果的有效性不依赖于未中标的投标人是否知道中标结果。中标通知书对</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和中标人具有同等法律效力。中标通知书发出以后，</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改变中标结果或者中标人放弃中标，应当承担相应的法律责任。</w:t>
      </w:r>
    </w:p>
    <w:p w14:paraId="137EC5A1">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29.2 </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对未中标的投标人不作未中标原因的解释。</w:t>
      </w:r>
    </w:p>
    <w:p w14:paraId="28AD18CE">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29.3 中标通知书是合同的组成部分。</w:t>
      </w:r>
    </w:p>
    <w:p w14:paraId="2FEF3312">
      <w:pPr>
        <w:pStyle w:val="54"/>
        <w:snapToGrid w:val="0"/>
        <w:spacing w:line="480" w:lineRule="exact"/>
        <w:ind w:firstLine="464" w:firstLineChars="220"/>
        <w:textAlignment w:val="auto"/>
        <w:rPr>
          <w:rFonts w:hint="eastAsia" w:ascii="仿宋" w:hAnsi="仿宋" w:eastAsia="仿宋" w:cs="仿宋"/>
          <w:color w:val="000000"/>
          <w:highlight w:val="none"/>
        </w:rPr>
      </w:pPr>
      <w:r>
        <w:rPr>
          <w:rFonts w:hint="eastAsia" w:ascii="仿宋" w:hAnsi="仿宋" w:eastAsia="仿宋" w:cs="仿宋"/>
          <w:b/>
          <w:color w:val="000000"/>
          <w:highlight w:val="none"/>
        </w:rPr>
        <w:t>30．签订合同</w:t>
      </w:r>
    </w:p>
    <w:p w14:paraId="241B7A7F">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30.1 中标人应在接到中标通知书30日内与</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签订政府采购合同。</w:t>
      </w:r>
    </w:p>
    <w:p w14:paraId="6F7BDA69">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30.2 中标人应按照招标文件、投标文件及评标过程中的有关澄清、说明或者补正文件的内容与</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签订合同。中标人不得再与</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签订背离合同实质性内容的其它协议或声明。</w:t>
      </w:r>
    </w:p>
    <w:p w14:paraId="6663A35B">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30.3本文件第四部分商务、技术要求商务条件中要求中标人提交履约保证金的，中标人须按照规定向</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提交履约保证金。</w:t>
      </w:r>
    </w:p>
    <w:p w14:paraId="6CC9A5C9">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30.4 中标人应当自合同或补充合同签订之日起2个工作日内，向</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送达一份合同存档。</w:t>
      </w:r>
    </w:p>
    <w:p w14:paraId="11B10E75">
      <w:pPr>
        <w:pStyle w:val="4"/>
        <w:numPr>
          <w:ilvl w:val="1"/>
          <w:numId w:val="0"/>
        </w:numPr>
        <w:spacing w:before="31" w:beforeLines="10" w:after="31" w:afterLines="10" w:line="480" w:lineRule="exact"/>
        <w:ind w:left="447"/>
        <w:jc w:val="both"/>
        <w:rPr>
          <w:rFonts w:hint="eastAsia" w:ascii="仿宋" w:hAnsi="仿宋" w:eastAsia="仿宋" w:cs="仿宋"/>
          <w:color w:val="000000"/>
          <w:spacing w:val="10"/>
          <w:sz w:val="24"/>
          <w:szCs w:val="24"/>
          <w:highlight w:val="none"/>
        </w:rPr>
      </w:pPr>
      <w:bookmarkStart w:id="23" w:name="_Toc5466"/>
      <w:r>
        <w:rPr>
          <w:rFonts w:hint="eastAsia" w:ascii="仿宋" w:hAnsi="仿宋" w:eastAsia="仿宋" w:cs="仿宋"/>
          <w:color w:val="000000"/>
          <w:spacing w:val="10"/>
          <w:sz w:val="24"/>
          <w:szCs w:val="24"/>
          <w:highlight w:val="none"/>
        </w:rPr>
        <w:t>八、招标代理服务费</w:t>
      </w:r>
      <w:bookmarkEnd w:id="23"/>
      <w:r>
        <w:rPr>
          <w:rFonts w:hint="eastAsia" w:ascii="仿宋" w:hAnsi="仿宋" w:eastAsia="仿宋" w:cs="仿宋"/>
          <w:color w:val="000000"/>
          <w:spacing w:val="10"/>
          <w:sz w:val="24"/>
          <w:szCs w:val="24"/>
          <w:highlight w:val="none"/>
        </w:rPr>
        <w:t>　　</w:t>
      </w:r>
    </w:p>
    <w:p w14:paraId="2453DF99">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31. </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参照</w:t>
      </w:r>
      <w:r>
        <w:rPr>
          <w:rFonts w:hint="eastAsia" w:ascii="仿宋" w:hAnsi="仿宋" w:eastAsia="仿宋" w:cs="仿宋"/>
          <w:bCs/>
          <w:color w:val="000000"/>
          <w:highlight w:val="none"/>
        </w:rPr>
        <w:t>中华人民共和国国家发展计划委员会（2002）1980号文件规定的收费标准收取招标代理服务费</w:t>
      </w:r>
      <w:r>
        <w:rPr>
          <w:rFonts w:hint="eastAsia" w:ascii="仿宋" w:hAnsi="仿宋" w:eastAsia="仿宋" w:cs="仿宋"/>
          <w:color w:val="000000"/>
          <w:highlight w:val="none"/>
        </w:rPr>
        <w:t>。中标人在领取中标通知书时向</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一次性全额支付招标代理服务费。</w:t>
      </w:r>
    </w:p>
    <w:p w14:paraId="7C8E1F2A">
      <w:pPr>
        <w:pStyle w:val="4"/>
        <w:numPr>
          <w:ilvl w:val="1"/>
          <w:numId w:val="0"/>
        </w:numPr>
        <w:spacing w:before="31" w:beforeLines="10" w:after="31" w:afterLines="10" w:line="480" w:lineRule="exact"/>
        <w:ind w:left="420"/>
        <w:jc w:val="both"/>
        <w:rPr>
          <w:rFonts w:hint="eastAsia" w:ascii="仿宋" w:hAnsi="仿宋" w:eastAsia="仿宋" w:cs="仿宋"/>
          <w:color w:val="000000"/>
          <w:spacing w:val="10"/>
          <w:sz w:val="24"/>
          <w:szCs w:val="24"/>
          <w:highlight w:val="none"/>
        </w:rPr>
      </w:pPr>
      <w:bookmarkStart w:id="24" w:name="_Toc10622"/>
      <w:r>
        <w:rPr>
          <w:rFonts w:hint="eastAsia" w:ascii="仿宋" w:hAnsi="仿宋" w:eastAsia="仿宋" w:cs="仿宋"/>
          <w:color w:val="000000"/>
          <w:spacing w:val="10"/>
          <w:sz w:val="24"/>
          <w:szCs w:val="24"/>
          <w:highlight w:val="none"/>
        </w:rPr>
        <w:t>九、保密和披露</w:t>
      </w:r>
      <w:bookmarkEnd w:id="24"/>
    </w:p>
    <w:p w14:paraId="712F9813">
      <w:pPr>
        <w:pStyle w:val="54"/>
        <w:adjustRightInd/>
        <w:spacing w:line="480" w:lineRule="exact"/>
        <w:ind w:left="1" w:firstLine="25" w:firstLineChars="12"/>
        <w:textAlignment w:val="auto"/>
        <w:rPr>
          <w:rFonts w:hint="eastAsia" w:ascii="仿宋" w:hAnsi="仿宋" w:eastAsia="仿宋" w:cs="仿宋"/>
          <w:b/>
          <w:color w:val="000000"/>
          <w:highlight w:val="none"/>
        </w:rPr>
      </w:pPr>
      <w:r>
        <w:rPr>
          <w:rFonts w:hint="eastAsia" w:ascii="仿宋" w:hAnsi="仿宋" w:eastAsia="仿宋" w:cs="仿宋"/>
          <w:b/>
          <w:color w:val="000000"/>
          <w:highlight w:val="none"/>
        </w:rPr>
        <w:t xml:space="preserve">    32. 保密</w:t>
      </w:r>
    </w:p>
    <w:p w14:paraId="523F49D7">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 投标人自领取招标文件之日起，须承诺承担本招标项目下的保密义务，不得将因本次招标获得的信息向第三人外传。</w:t>
      </w:r>
    </w:p>
    <w:p w14:paraId="2C5B95E7">
      <w:pPr>
        <w:pStyle w:val="54"/>
        <w:adjustRightInd/>
        <w:spacing w:line="480" w:lineRule="exact"/>
        <w:ind w:firstLine="25" w:firstLineChars="12"/>
        <w:textAlignment w:val="auto"/>
        <w:rPr>
          <w:rFonts w:hint="eastAsia" w:ascii="仿宋" w:hAnsi="仿宋" w:eastAsia="仿宋" w:cs="仿宋"/>
          <w:b/>
          <w:color w:val="000000"/>
          <w:highlight w:val="none"/>
        </w:rPr>
      </w:pPr>
      <w:r>
        <w:rPr>
          <w:rFonts w:hint="eastAsia" w:ascii="仿宋" w:hAnsi="仿宋" w:eastAsia="仿宋" w:cs="仿宋"/>
          <w:b/>
          <w:color w:val="000000"/>
          <w:highlight w:val="none"/>
        </w:rPr>
        <w:t xml:space="preserve">    33. 披露</w:t>
      </w:r>
    </w:p>
    <w:p w14:paraId="54F763E5">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33.1 </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有权将投标人提供的所有资料向有关政府部门或评审标书的有关人员披露。</w:t>
      </w:r>
    </w:p>
    <w:p w14:paraId="1E0E56A5">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33.2 在</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认为适当时或国家机关调查、审查、审计时以及其他符合法律法规规定的情形下，</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3B8238A5">
      <w:pPr>
        <w:pStyle w:val="4"/>
        <w:numPr>
          <w:ilvl w:val="1"/>
          <w:numId w:val="0"/>
        </w:numPr>
        <w:spacing w:before="31" w:beforeLines="10" w:after="31" w:afterLines="10" w:line="480" w:lineRule="exact"/>
        <w:ind w:left="539"/>
        <w:jc w:val="both"/>
        <w:rPr>
          <w:rFonts w:hint="eastAsia" w:ascii="仿宋" w:hAnsi="仿宋" w:eastAsia="仿宋" w:cs="仿宋"/>
          <w:color w:val="000000"/>
          <w:spacing w:val="10"/>
          <w:sz w:val="24"/>
          <w:szCs w:val="24"/>
          <w:highlight w:val="none"/>
        </w:rPr>
      </w:pPr>
      <w:bookmarkStart w:id="25" w:name="_Toc16217"/>
      <w:r>
        <w:rPr>
          <w:rFonts w:hint="eastAsia" w:ascii="仿宋" w:hAnsi="仿宋" w:eastAsia="仿宋" w:cs="仿宋"/>
          <w:color w:val="000000"/>
          <w:spacing w:val="10"/>
          <w:sz w:val="24"/>
          <w:szCs w:val="24"/>
          <w:highlight w:val="none"/>
        </w:rPr>
        <w:t>十、询问和质疑</w:t>
      </w:r>
      <w:bookmarkEnd w:id="25"/>
    </w:p>
    <w:p w14:paraId="4CCBA671">
      <w:pPr>
        <w:pStyle w:val="54"/>
        <w:snapToGrid w:val="0"/>
        <w:spacing w:line="480" w:lineRule="exact"/>
        <w:ind w:left="1" w:firstLine="447" w:firstLineChars="212"/>
        <w:textAlignment w:val="auto"/>
        <w:rPr>
          <w:rFonts w:hint="eastAsia" w:ascii="仿宋" w:hAnsi="仿宋" w:eastAsia="仿宋" w:cs="仿宋"/>
          <w:b/>
          <w:highlight w:val="none"/>
        </w:rPr>
      </w:pPr>
      <w:r>
        <w:rPr>
          <w:rFonts w:hint="eastAsia" w:ascii="仿宋" w:hAnsi="仿宋" w:eastAsia="仿宋" w:cs="仿宋"/>
          <w:b/>
          <w:highlight w:val="none"/>
        </w:rPr>
        <w:t>34. 询问</w:t>
      </w:r>
    </w:p>
    <w:p w14:paraId="2DF27799">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34.1投标人对政府采购活动事项和采购文件、采购结果有疑问的，可按第一部分投标邀请中载明的联系方式、地址口头或书面形式向</w:t>
      </w:r>
      <w:r>
        <w:rPr>
          <w:rFonts w:hint="eastAsia" w:ascii="仿宋" w:hAnsi="仿宋" w:eastAsia="仿宋" w:cs="仿宋"/>
          <w:highlight w:val="none"/>
          <w:lang w:eastAsia="zh-CN"/>
        </w:rPr>
        <w:t>招标代理机构</w:t>
      </w:r>
      <w:r>
        <w:rPr>
          <w:rFonts w:hint="eastAsia" w:ascii="仿宋" w:hAnsi="仿宋" w:eastAsia="仿宋" w:cs="仿宋"/>
          <w:highlight w:val="none"/>
        </w:rPr>
        <w:t>、</w:t>
      </w:r>
      <w:r>
        <w:rPr>
          <w:rFonts w:hint="eastAsia" w:ascii="仿宋" w:hAnsi="仿宋" w:eastAsia="仿宋" w:cs="仿宋"/>
          <w:highlight w:val="none"/>
          <w:lang w:eastAsia="zh-CN"/>
        </w:rPr>
        <w:t>采购人</w:t>
      </w:r>
      <w:r>
        <w:rPr>
          <w:rFonts w:hint="eastAsia" w:ascii="仿宋" w:hAnsi="仿宋" w:eastAsia="仿宋" w:cs="仿宋"/>
          <w:highlight w:val="none"/>
        </w:rPr>
        <w:t>提出询问，</w:t>
      </w:r>
      <w:r>
        <w:rPr>
          <w:rFonts w:hint="eastAsia" w:ascii="仿宋" w:hAnsi="仿宋" w:eastAsia="仿宋" w:cs="仿宋"/>
          <w:highlight w:val="none"/>
          <w:lang w:eastAsia="zh-CN"/>
        </w:rPr>
        <w:t>招标代理机构</w:t>
      </w:r>
      <w:r>
        <w:rPr>
          <w:rFonts w:hint="eastAsia" w:ascii="仿宋" w:hAnsi="仿宋" w:eastAsia="仿宋" w:cs="仿宋"/>
          <w:highlight w:val="none"/>
        </w:rPr>
        <w:t>、</w:t>
      </w:r>
      <w:r>
        <w:rPr>
          <w:rFonts w:hint="eastAsia" w:ascii="仿宋" w:hAnsi="仿宋" w:eastAsia="仿宋" w:cs="仿宋"/>
          <w:highlight w:val="none"/>
          <w:lang w:eastAsia="zh-CN"/>
        </w:rPr>
        <w:t>采购人</w:t>
      </w:r>
      <w:r>
        <w:rPr>
          <w:rFonts w:hint="eastAsia" w:ascii="仿宋" w:hAnsi="仿宋" w:eastAsia="仿宋" w:cs="仿宋"/>
          <w:highlight w:val="none"/>
        </w:rPr>
        <w:t>将依据《中华人民共和国政府采购法实施条例》第五十二条第一款</w:t>
      </w:r>
      <w:r>
        <w:rPr>
          <w:rFonts w:hint="eastAsia" w:ascii="仿宋" w:hAnsi="仿宋" w:eastAsia="仿宋" w:cs="仿宋"/>
          <w:highlight w:val="none"/>
          <w:lang w:eastAsia="zh-CN"/>
        </w:rPr>
        <w:t>采购人</w:t>
      </w:r>
      <w:r>
        <w:rPr>
          <w:rFonts w:hint="eastAsia" w:ascii="仿宋" w:hAnsi="仿宋" w:eastAsia="仿宋" w:cs="仿宋"/>
          <w:highlight w:val="none"/>
        </w:rPr>
        <w:t>或者</w:t>
      </w:r>
      <w:r>
        <w:rPr>
          <w:rFonts w:hint="eastAsia" w:ascii="仿宋" w:hAnsi="仿宋" w:eastAsia="仿宋" w:cs="仿宋"/>
          <w:highlight w:val="none"/>
          <w:lang w:eastAsia="zh-CN"/>
        </w:rPr>
        <w:t>招标代理机构</w:t>
      </w:r>
      <w:r>
        <w:rPr>
          <w:rFonts w:hint="eastAsia" w:ascii="仿宋" w:hAnsi="仿宋" w:eastAsia="仿宋" w:cs="仿宋"/>
          <w:highlight w:val="none"/>
        </w:rPr>
        <w:t>应当在3个工作日内对</w:t>
      </w:r>
      <w:r>
        <w:rPr>
          <w:rFonts w:hint="eastAsia" w:ascii="仿宋" w:hAnsi="仿宋" w:eastAsia="仿宋" w:cs="仿宋"/>
          <w:highlight w:val="none"/>
          <w:lang w:eastAsia="zh-CN"/>
        </w:rPr>
        <w:t>投标人</w:t>
      </w:r>
      <w:r>
        <w:rPr>
          <w:rFonts w:hint="eastAsia" w:ascii="仿宋" w:hAnsi="仿宋" w:eastAsia="仿宋" w:cs="仿宋"/>
          <w:highlight w:val="none"/>
        </w:rPr>
        <w:t>依法提出的询问作出答复。</w:t>
      </w:r>
    </w:p>
    <w:p w14:paraId="4E5E2E61">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34.2询问超出</w:t>
      </w:r>
      <w:r>
        <w:rPr>
          <w:rFonts w:hint="eastAsia" w:ascii="仿宋" w:hAnsi="仿宋" w:eastAsia="仿宋" w:cs="仿宋"/>
          <w:highlight w:val="none"/>
          <w:lang w:eastAsia="zh-CN"/>
        </w:rPr>
        <w:t>采购人</w:t>
      </w:r>
      <w:r>
        <w:rPr>
          <w:rFonts w:hint="eastAsia" w:ascii="仿宋" w:hAnsi="仿宋" w:eastAsia="仿宋" w:cs="仿宋"/>
          <w:highlight w:val="none"/>
        </w:rPr>
        <w:t>对</w:t>
      </w:r>
      <w:r>
        <w:rPr>
          <w:rFonts w:hint="eastAsia" w:ascii="仿宋" w:hAnsi="仿宋" w:eastAsia="仿宋" w:cs="仿宋"/>
          <w:highlight w:val="none"/>
          <w:lang w:eastAsia="zh-CN"/>
        </w:rPr>
        <w:t>招标代理机构</w:t>
      </w:r>
      <w:r>
        <w:rPr>
          <w:rFonts w:hint="eastAsia" w:ascii="仿宋" w:hAnsi="仿宋" w:eastAsia="仿宋" w:cs="仿宋"/>
          <w:highlight w:val="none"/>
        </w:rPr>
        <w:t>委托授权范围的，</w:t>
      </w:r>
      <w:r>
        <w:rPr>
          <w:rFonts w:hint="eastAsia" w:ascii="仿宋" w:hAnsi="仿宋" w:eastAsia="仿宋" w:cs="仿宋"/>
          <w:highlight w:val="none"/>
          <w:lang w:eastAsia="zh-CN"/>
        </w:rPr>
        <w:t>招标代理机构</w:t>
      </w:r>
      <w:r>
        <w:rPr>
          <w:rFonts w:hint="eastAsia" w:ascii="仿宋" w:hAnsi="仿宋" w:eastAsia="仿宋" w:cs="仿宋"/>
          <w:highlight w:val="none"/>
        </w:rPr>
        <w:t>将依据《中华人民共和国政府采购法实施条例》第五十二条第二款的规定</w:t>
      </w:r>
      <w:r>
        <w:rPr>
          <w:rFonts w:hint="eastAsia" w:ascii="仿宋" w:hAnsi="仿宋" w:eastAsia="仿宋" w:cs="仿宋"/>
          <w:highlight w:val="none"/>
          <w:lang w:eastAsia="zh-CN"/>
        </w:rPr>
        <w:t>投标人</w:t>
      </w:r>
      <w:r>
        <w:rPr>
          <w:rFonts w:hint="eastAsia" w:ascii="仿宋" w:hAnsi="仿宋" w:eastAsia="仿宋" w:cs="仿宋"/>
          <w:highlight w:val="none"/>
        </w:rPr>
        <w:t>提出的询问或者质疑超出</w:t>
      </w:r>
      <w:r>
        <w:rPr>
          <w:rFonts w:hint="eastAsia" w:ascii="仿宋" w:hAnsi="仿宋" w:eastAsia="仿宋" w:cs="仿宋"/>
          <w:highlight w:val="none"/>
          <w:lang w:eastAsia="zh-CN"/>
        </w:rPr>
        <w:t>采购人</w:t>
      </w:r>
      <w:r>
        <w:rPr>
          <w:rFonts w:hint="eastAsia" w:ascii="仿宋" w:hAnsi="仿宋" w:eastAsia="仿宋" w:cs="仿宋"/>
          <w:highlight w:val="none"/>
        </w:rPr>
        <w:t>对</w:t>
      </w:r>
      <w:r>
        <w:rPr>
          <w:rFonts w:hint="eastAsia" w:ascii="仿宋" w:hAnsi="仿宋" w:eastAsia="仿宋" w:cs="仿宋"/>
          <w:highlight w:val="none"/>
          <w:lang w:eastAsia="zh-CN"/>
        </w:rPr>
        <w:t>招标代理机构</w:t>
      </w:r>
      <w:r>
        <w:rPr>
          <w:rFonts w:hint="eastAsia" w:ascii="仿宋" w:hAnsi="仿宋" w:eastAsia="仿宋" w:cs="仿宋"/>
          <w:highlight w:val="none"/>
        </w:rPr>
        <w:t>委托授权范围的，</w:t>
      </w:r>
      <w:r>
        <w:rPr>
          <w:rFonts w:hint="eastAsia" w:ascii="仿宋" w:hAnsi="仿宋" w:eastAsia="仿宋" w:cs="仿宋"/>
          <w:highlight w:val="none"/>
          <w:lang w:eastAsia="zh-CN"/>
        </w:rPr>
        <w:t>招标代理机构</w:t>
      </w:r>
      <w:r>
        <w:rPr>
          <w:rFonts w:hint="eastAsia" w:ascii="仿宋" w:hAnsi="仿宋" w:eastAsia="仿宋" w:cs="仿宋"/>
          <w:highlight w:val="none"/>
        </w:rPr>
        <w:t>应当告知</w:t>
      </w:r>
      <w:r>
        <w:rPr>
          <w:rFonts w:hint="eastAsia" w:ascii="仿宋" w:hAnsi="仿宋" w:eastAsia="仿宋" w:cs="仿宋"/>
          <w:highlight w:val="none"/>
          <w:lang w:eastAsia="zh-CN"/>
        </w:rPr>
        <w:t>投标人</w:t>
      </w:r>
      <w:r>
        <w:rPr>
          <w:rFonts w:hint="eastAsia" w:ascii="仿宋" w:hAnsi="仿宋" w:eastAsia="仿宋" w:cs="仿宋"/>
          <w:highlight w:val="none"/>
        </w:rPr>
        <w:t>向</w:t>
      </w:r>
      <w:r>
        <w:rPr>
          <w:rFonts w:hint="eastAsia" w:ascii="仿宋" w:hAnsi="仿宋" w:eastAsia="仿宋" w:cs="仿宋"/>
          <w:highlight w:val="none"/>
          <w:lang w:eastAsia="zh-CN"/>
        </w:rPr>
        <w:t>采购人</w:t>
      </w:r>
      <w:r>
        <w:rPr>
          <w:rFonts w:hint="eastAsia" w:ascii="仿宋" w:hAnsi="仿宋" w:eastAsia="仿宋" w:cs="仿宋"/>
          <w:highlight w:val="none"/>
        </w:rPr>
        <w:t>提出质疑。</w:t>
      </w:r>
    </w:p>
    <w:p w14:paraId="35950B46">
      <w:pPr>
        <w:pStyle w:val="54"/>
        <w:snapToGrid w:val="0"/>
        <w:spacing w:line="480" w:lineRule="exact"/>
        <w:ind w:left="1" w:firstLine="447" w:firstLineChars="212"/>
        <w:textAlignment w:val="auto"/>
        <w:rPr>
          <w:rFonts w:hint="eastAsia" w:ascii="仿宋" w:hAnsi="仿宋" w:eastAsia="仿宋" w:cs="仿宋"/>
          <w:b/>
          <w:color w:val="000000"/>
          <w:highlight w:val="none"/>
        </w:rPr>
      </w:pPr>
      <w:r>
        <w:rPr>
          <w:rFonts w:hint="eastAsia" w:ascii="仿宋" w:hAnsi="仿宋" w:eastAsia="仿宋" w:cs="仿宋"/>
          <w:b/>
          <w:color w:val="000000"/>
          <w:highlight w:val="none"/>
        </w:rPr>
        <w:t>35. 质疑</w:t>
      </w:r>
    </w:p>
    <w:p w14:paraId="7FB6EA98">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35.1投标人认为招标文件、采购过程、中标结果使自己的合法权益受到损害的，应当在知道或者应知其权益受到损害之日起7个工作日内，以书面形式向</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提出质疑。</w:t>
      </w:r>
    </w:p>
    <w:p w14:paraId="5A9CE607">
      <w:pPr>
        <w:pStyle w:val="54"/>
        <w:snapToGrid w:val="0"/>
        <w:spacing w:line="48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35.2 投标人针对同一采购程序环节的质疑须在法定质疑期内一次性提出。</w:t>
      </w:r>
    </w:p>
    <w:p w14:paraId="7FF59E46">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35.3 提出质疑的时限应当符合《中华人民共和国政府采购法实施条例》第五十三条的规定。对本招标文件的质疑，其受到损害之日为收到本招标文件之日。</w:t>
      </w:r>
    </w:p>
    <w:p w14:paraId="5C14BFD0">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35.4 投标人提出的质疑必须符合《中华人民共和国政府采购法实施条例》五十五条的规定，应当有明确的请求和必要的证明材料，否则不予受理。质疑应当以书面形式向</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（或</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）提出，经法定代表人签字并加盖公章。</w:t>
      </w:r>
    </w:p>
    <w:p w14:paraId="235CCA62">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35.5 质疑书应当包括以下主要内容：被质疑项目名称、</w:t>
      </w:r>
      <w:r>
        <w:rPr>
          <w:rFonts w:hint="eastAsia" w:ascii="仿宋" w:hAnsi="仿宋" w:eastAsia="仿宋" w:cs="仿宋"/>
          <w:color w:val="000000"/>
          <w:highlight w:val="none"/>
          <w:lang w:eastAsia="zh-CN"/>
        </w:rPr>
        <w:t>项目编号</w:t>
      </w:r>
      <w:r>
        <w:rPr>
          <w:rFonts w:hint="eastAsia" w:ascii="仿宋" w:hAnsi="仿宋" w:eastAsia="仿宋" w:cs="仿宋"/>
          <w:color w:val="000000"/>
          <w:highlight w:val="none"/>
        </w:rPr>
        <w:t>、招标公告发布时间、质疑事项、法律依据（具体条款）、质疑人全称、法定代表人签字、盖章、有效联系方式（包括手机、传真号码）。</w:t>
      </w:r>
    </w:p>
    <w:p w14:paraId="0153523D">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35.6 质疑应按照“谁主张、谁举证”的原则，质疑书应当附相关证明材料。质疑材料应为简体中文，一式二份。</w:t>
      </w:r>
    </w:p>
    <w:p w14:paraId="3D72EDE5">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35.7 有下列情形之一的，属于无效质疑，</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（或</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）可不予受理：</w:t>
      </w:r>
    </w:p>
    <w:p w14:paraId="2C2196CC">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（1）未在有效期限内提出质疑的；</w:t>
      </w:r>
    </w:p>
    <w:p w14:paraId="7DF2B23F">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（2）质疑未以书面形式提出的；</w:t>
      </w:r>
    </w:p>
    <w:p w14:paraId="78D8A69F">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（3）所提交材料未明示属于质疑材料的；</w:t>
      </w:r>
    </w:p>
    <w:p w14:paraId="2BD662CB">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（4）质疑书没有法定代表人签署本人姓名或印盖本人姓名章并加盖单位公章的；质疑书由参加采购项目的授权代表签署本人姓名或印盖本人姓名章，但没有法定代表人特别授权的；</w:t>
      </w:r>
    </w:p>
    <w:p w14:paraId="0BA775E8">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（5）质疑书未提供有效联系人或联系方式的；</w:t>
      </w:r>
    </w:p>
    <w:p w14:paraId="2CDAFE8B">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（6）质疑事项已经进入投诉或者行政复议或者诉讼程序的；</w:t>
      </w:r>
    </w:p>
    <w:p w14:paraId="0782507D">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（7）质疑书未附相关证明材料，被视为无有效证据支持的；</w:t>
      </w:r>
    </w:p>
    <w:p w14:paraId="1C8DF3C7">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（8）投标人对招标文件条款或技术参数有异议，未在开标前通过澄清或修改程序提出，并且投标人已经参与投标，而于开标后对招标文件提出质疑的；</w:t>
      </w:r>
    </w:p>
    <w:p w14:paraId="1D85399A">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（9）在提出本次质疑前半年内连续三次质疑而无事实依据的；</w:t>
      </w:r>
    </w:p>
    <w:p w14:paraId="37C23B78">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（10）其它不符合受理条件的情形。</w:t>
      </w:r>
    </w:p>
    <w:p w14:paraId="5649260A">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 xml:space="preserve">35.8 </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（或</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）将在收到书面质疑后7个工作日内审查质疑事项，作出答复或相关处理决定，并以书面形式通知质疑投标人和其他有关投标人，但答复的内容不涉及商业秘密。</w:t>
      </w:r>
    </w:p>
    <w:p w14:paraId="0D6650A6">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35.9 质疑投标人对</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（或</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）的答复不满意以及</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（或</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）未在规定的时间内做出答复的，可以在答复期满后15个工作日内向政府采购监管部门投诉。</w:t>
      </w:r>
    </w:p>
    <w:p w14:paraId="050C1781">
      <w:pPr>
        <w:pStyle w:val="54"/>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35.10 投标人进行虚假和恶意质疑的，</w:t>
      </w:r>
      <w:r>
        <w:rPr>
          <w:rFonts w:hint="eastAsia" w:ascii="仿宋" w:hAnsi="仿宋" w:eastAsia="仿宋" w:cs="仿宋"/>
          <w:color w:val="000000"/>
          <w:highlight w:val="none"/>
          <w:lang w:eastAsia="zh-CN"/>
        </w:rPr>
        <w:t>招标代理机构</w:t>
      </w:r>
      <w:r>
        <w:rPr>
          <w:rFonts w:hint="eastAsia" w:ascii="仿宋" w:hAnsi="仿宋" w:eastAsia="仿宋" w:cs="仿宋"/>
          <w:color w:val="000000"/>
          <w:highlight w:val="none"/>
        </w:rPr>
        <w:t>、</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可以提请政府采购监管部门将其列入不良记录名单，在一至三年内禁止参加政府采购活动，并将处理决定在相关政府采购媒体上公布。</w:t>
      </w:r>
    </w:p>
    <w:p w14:paraId="1E2CC3C2">
      <w:pPr>
        <w:pStyle w:val="65"/>
        <w:pageBreakBefore/>
        <w:numPr>
          <w:ilvl w:val="0"/>
          <w:numId w:val="0"/>
        </w:numPr>
        <w:snapToGrid w:val="0"/>
        <w:spacing w:before="0" w:after="0"/>
        <w:rPr>
          <w:rFonts w:hint="eastAsia" w:ascii="仿宋" w:hAnsi="仿宋" w:eastAsia="仿宋" w:cs="仿宋"/>
          <w:spacing w:val="20"/>
          <w:szCs w:val="28"/>
          <w:highlight w:val="none"/>
        </w:rPr>
      </w:pPr>
      <w:bookmarkStart w:id="26" w:name="_Toc19301"/>
      <w:bookmarkStart w:id="27" w:name="_Toc352761948"/>
      <w:r>
        <w:rPr>
          <w:rFonts w:hint="eastAsia" w:ascii="仿宋" w:hAnsi="仿宋" w:eastAsia="仿宋" w:cs="仿宋"/>
          <w:spacing w:val="20"/>
          <w:szCs w:val="28"/>
          <w:highlight w:val="none"/>
        </w:rPr>
        <w:t>第四部分  商务、技术要求</w:t>
      </w:r>
      <w:bookmarkEnd w:id="26"/>
    </w:p>
    <w:p w14:paraId="0EDF26E4">
      <w:pPr>
        <w:widowControl/>
        <w:snapToGrid w:val="0"/>
        <w:spacing w:line="5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一、商务要求</w:t>
      </w:r>
    </w:p>
    <w:p w14:paraId="1219A42C">
      <w:pPr>
        <w:widowControl/>
        <w:snapToGrid w:val="0"/>
        <w:spacing w:line="500" w:lineRule="exact"/>
        <w:jc w:val="center"/>
        <w:rPr>
          <w:rFonts w:hint="eastAsia" w:ascii="仿宋" w:hAnsi="仿宋" w:eastAsia="仿宋" w:cs="仿宋"/>
          <w:b/>
          <w:color w:val="auto"/>
          <w:kern w:val="0"/>
          <w:sz w:val="24"/>
          <w:szCs w:val="24"/>
          <w:highlight w:val="none"/>
        </w:rPr>
      </w:pPr>
    </w:p>
    <w:p w14:paraId="2E606ADA">
      <w:pPr>
        <w:widowControl/>
        <w:snapToGrid w:val="0"/>
        <w:spacing w:line="360" w:lineRule="auto"/>
        <w:jc w:val="left"/>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采购单位：侯马市民政局</w:t>
      </w:r>
    </w:p>
    <w:p w14:paraId="0AB7482A">
      <w:pPr>
        <w:widowControl/>
        <w:snapToGrid w:val="0"/>
        <w:spacing w:line="360" w:lineRule="auto"/>
        <w:jc w:val="left"/>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项目预算：4827300元/三年（1609100.00元/年）</w:t>
      </w:r>
    </w:p>
    <w:p w14:paraId="0A0125EF">
      <w:pPr>
        <w:widowControl/>
        <w:snapToGrid w:val="0"/>
        <w:spacing w:line="360" w:lineRule="auto"/>
        <w:jc w:val="left"/>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项目名称：侯马市民政局购买乡（街道）民政服务站项目</w:t>
      </w:r>
    </w:p>
    <w:p w14:paraId="5E9EDA3A">
      <w:pPr>
        <w:widowControl/>
        <w:snapToGrid w:val="0"/>
        <w:spacing w:line="360" w:lineRule="auto"/>
        <w:jc w:val="left"/>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kern w:val="0"/>
          <w:sz w:val="24"/>
          <w:szCs w:val="24"/>
          <w:highlight w:val="none"/>
          <w:lang w:val="en-US" w:eastAsia="zh-CN"/>
        </w:rPr>
        <w:t>合同履行期限</w:t>
      </w:r>
      <w:r>
        <w:rPr>
          <w:rFonts w:hint="eastAsia" w:ascii="仿宋" w:hAnsi="仿宋" w:eastAsia="仿宋" w:cs="仿宋"/>
          <w:b w:val="0"/>
          <w:bCs/>
          <w:color w:val="auto"/>
          <w:kern w:val="0"/>
          <w:sz w:val="24"/>
          <w:szCs w:val="24"/>
          <w:highlight w:val="none"/>
        </w:rPr>
        <w:t>：</w:t>
      </w:r>
      <w:r>
        <w:rPr>
          <w:rFonts w:hint="eastAsia" w:ascii="仿宋" w:hAnsi="仿宋" w:eastAsia="仿宋" w:cs="仿宋"/>
          <w:b w:val="0"/>
          <w:bCs/>
          <w:color w:val="auto"/>
          <w:kern w:val="0"/>
          <w:sz w:val="24"/>
          <w:szCs w:val="24"/>
          <w:highlight w:val="none"/>
          <w:lang w:val="en-US" w:eastAsia="zh-CN"/>
        </w:rPr>
        <w:t>三年，实行一年一签、一年二验收、一年三付款；</w:t>
      </w:r>
    </w:p>
    <w:p w14:paraId="5DB19315">
      <w:pPr>
        <w:widowControl/>
        <w:snapToGrid w:val="0"/>
        <w:spacing w:line="360" w:lineRule="auto"/>
        <w:jc w:val="left"/>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rPr>
        <w:t>实施地点：侯马市5个街道办事处、3个乡人民政府所辖</w:t>
      </w:r>
      <w:r>
        <w:rPr>
          <w:rFonts w:hint="eastAsia" w:ascii="仿宋" w:hAnsi="仿宋" w:eastAsia="仿宋" w:cs="仿宋"/>
          <w:b w:val="0"/>
          <w:bCs/>
          <w:color w:val="auto"/>
          <w:kern w:val="0"/>
          <w:sz w:val="24"/>
          <w:szCs w:val="24"/>
          <w:highlight w:val="none"/>
          <w:lang w:val="en-US" w:eastAsia="zh-CN"/>
        </w:rPr>
        <w:t>8</w:t>
      </w:r>
      <w:r>
        <w:rPr>
          <w:rFonts w:hint="eastAsia" w:ascii="仿宋" w:hAnsi="仿宋" w:eastAsia="仿宋" w:cs="仿宋"/>
          <w:b w:val="0"/>
          <w:bCs/>
          <w:color w:val="auto"/>
          <w:kern w:val="0"/>
          <w:sz w:val="24"/>
          <w:szCs w:val="24"/>
          <w:highlight w:val="none"/>
        </w:rPr>
        <w:t>个乡（街道）民政服务站</w:t>
      </w:r>
      <w:r>
        <w:rPr>
          <w:rFonts w:hint="eastAsia" w:ascii="仿宋" w:hAnsi="仿宋" w:eastAsia="仿宋" w:cs="仿宋"/>
          <w:b w:val="0"/>
          <w:bCs/>
          <w:color w:val="auto"/>
          <w:kern w:val="0"/>
          <w:sz w:val="24"/>
          <w:szCs w:val="24"/>
          <w:highlight w:val="none"/>
          <w:lang w:val="en-US" w:eastAsia="zh-CN"/>
        </w:rPr>
        <w:t>及1个民政服务总站</w:t>
      </w:r>
    </w:p>
    <w:p w14:paraId="7FF773FC">
      <w:pPr>
        <w:widowControl/>
        <w:snapToGrid w:val="0"/>
        <w:spacing w:line="360" w:lineRule="auto"/>
        <w:jc w:val="center"/>
        <w:rPr>
          <w:rFonts w:hint="eastAsia" w:ascii="仿宋" w:hAnsi="仿宋" w:eastAsia="仿宋" w:cs="仿宋"/>
          <w:b/>
          <w:color w:val="auto"/>
          <w:kern w:val="0"/>
          <w:sz w:val="24"/>
          <w:szCs w:val="24"/>
          <w:highlight w:val="none"/>
          <w:lang w:eastAsia="zh-CN"/>
        </w:rPr>
      </w:pPr>
    </w:p>
    <w:p w14:paraId="08833397">
      <w:pPr>
        <w:widowControl/>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二</w:t>
      </w:r>
      <w:r>
        <w:rPr>
          <w:rFonts w:hint="eastAsia" w:ascii="仿宋" w:hAnsi="仿宋" w:eastAsia="仿宋" w:cs="仿宋"/>
          <w:b/>
          <w:color w:val="auto"/>
          <w:kern w:val="0"/>
          <w:sz w:val="24"/>
          <w:szCs w:val="24"/>
          <w:highlight w:val="none"/>
        </w:rPr>
        <w:t>、技术服务要求</w:t>
      </w:r>
    </w:p>
    <w:p w14:paraId="47C5E3E7">
      <w:pPr>
        <w:keepNext w:val="0"/>
        <w:keepLines w:val="0"/>
        <w:pageBreakBefore w:val="0"/>
        <w:widowControl w:val="0"/>
        <w:kinsoku/>
        <w:wordWrap/>
        <w:overflowPunct/>
        <w:topLinePunct w:val="0"/>
        <w:autoSpaceDE/>
        <w:autoSpaceDN/>
        <w:bidi w:val="0"/>
        <w:adjustRightInd/>
        <w:snapToGrid/>
        <w:spacing w:line="580" w:lineRule="exact"/>
        <w:ind w:firstLine="478" w:firstLineChars="200"/>
        <w:textAlignment w:val="auto"/>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一、民政服务机构职责</w:t>
      </w:r>
    </w:p>
    <w:p w14:paraId="7411D92C">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通过政府购买方式取得承接资格的基层民政服务机构，在签订服务合同（协议）1个月内，按照民政服务站站点设置，招募配齐服务人员；按照购买服务内容开展需求调研、制定服务计划、提供驻站专业服务；做好资料归档、动态推送、进度简报、经验总结等工作，并按时向</w:t>
      </w:r>
      <w:r>
        <w:rPr>
          <w:rFonts w:hint="eastAsia" w:ascii="仿宋" w:hAnsi="仿宋" w:eastAsia="仿宋" w:cs="仿宋"/>
          <w:spacing w:val="-1"/>
          <w:sz w:val="24"/>
          <w:szCs w:val="24"/>
          <w:highlight w:val="none"/>
          <w:lang w:val="en-US" w:eastAsia="zh-CN"/>
        </w:rPr>
        <w:t>采购单位</w:t>
      </w:r>
      <w:r>
        <w:rPr>
          <w:rFonts w:hint="eastAsia" w:ascii="仿宋" w:hAnsi="仿宋" w:eastAsia="仿宋" w:cs="仿宋"/>
          <w:spacing w:val="-1"/>
          <w:sz w:val="24"/>
          <w:szCs w:val="24"/>
          <w:highlight w:val="none"/>
        </w:rPr>
        <w:t>提交月度工作简报、中期工作报告和末期工作报告等。</w:t>
      </w:r>
    </w:p>
    <w:p w14:paraId="6BF0DC4E">
      <w:pPr>
        <w:keepNext w:val="0"/>
        <w:keepLines w:val="0"/>
        <w:pageBreakBefore w:val="0"/>
        <w:widowControl w:val="0"/>
        <w:kinsoku/>
        <w:wordWrap/>
        <w:overflowPunct/>
        <w:topLinePunct w:val="0"/>
        <w:autoSpaceDE/>
        <w:autoSpaceDN/>
        <w:bidi w:val="0"/>
        <w:adjustRightInd/>
        <w:snapToGrid/>
        <w:spacing w:line="580" w:lineRule="exact"/>
        <w:ind w:firstLine="478" w:firstLineChars="200"/>
        <w:textAlignment w:val="auto"/>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二、服务内容</w:t>
      </w:r>
    </w:p>
    <w:p w14:paraId="49FCB7E1">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（一）社会救助领域</w:t>
      </w:r>
    </w:p>
    <w:p w14:paraId="3E7393C9">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协助基层开展最低生活保障、特困人员救助供养、临时救助等经办服务，包括对象排查、家境调查、信息采集录入、自理能力评估、政策宣传等事务性工作；为救助对象提供社会融入、能力提升、资源链接等专业化支持，严格遵循“应保尽保、精准救助”原则。</w:t>
      </w:r>
    </w:p>
    <w:p w14:paraId="5DB8F5AA">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（二）养老服务领域</w:t>
      </w:r>
    </w:p>
    <w:p w14:paraId="390D1EDF">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协助对特困老年人（含机构供养和分散供养）、留守老年人、经济困难的高龄和失能、半失能老年人等特殊群体信息采集、核实工作。重点开展空巢独居、高龄、失能等特殊困难老年人关爱探访，建立动态信息台账；协助核查养老机构入住人员资质，推动养老服务提质增效。服务方面，协助对全市65家日间照料中心的日常管理、量化考核、定期检查</w:t>
      </w:r>
      <w:r>
        <w:rPr>
          <w:rFonts w:hint="eastAsia" w:ascii="仿宋" w:hAnsi="仿宋" w:eastAsia="仿宋" w:cs="仿宋"/>
          <w:spacing w:val="-1"/>
          <w:sz w:val="24"/>
          <w:szCs w:val="24"/>
          <w:highlight w:val="none"/>
          <w:lang w:eastAsia="zh-CN"/>
        </w:rPr>
        <w:t>巡查</w:t>
      </w:r>
      <w:r>
        <w:rPr>
          <w:rFonts w:hint="eastAsia" w:ascii="仿宋" w:hAnsi="仿宋" w:eastAsia="仿宋" w:cs="仿宋"/>
          <w:spacing w:val="-1"/>
          <w:sz w:val="24"/>
          <w:szCs w:val="24"/>
          <w:highlight w:val="none"/>
        </w:rPr>
        <w:t>。</w:t>
      </w:r>
    </w:p>
    <w:p w14:paraId="09CC1345">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（三）儿童福利与未成年人保护领域</w:t>
      </w:r>
    </w:p>
    <w:p w14:paraId="6C93B03E">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协助民政部门做好孤儿、事实无人抚养儿童、农村留守儿童等困境儿童保障工作，开展监护情况排查、心理疏导、成长陪伴等服务；参与未成年人保护工作站运营支持，链接教育、医疗等资源，构建“家庭－社区－机构”联动保护网络。</w:t>
      </w:r>
    </w:p>
    <w:p w14:paraId="116EC392">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（四）社会事务和福利领域</w:t>
      </w:r>
    </w:p>
    <w:p w14:paraId="5AA7720F">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协助开展生活无着流浪乞讨人员救助寻亲、临时安置等辅助性工作；提供惠民殡葬政策宣传、婚姻家庭辅导等服务。参与推动残疾人精神康复、社会融入等服务落地，保障残疾人权益，严格限定事务性、辅助性事项，避免替代民政部门履职。</w:t>
      </w:r>
    </w:p>
    <w:p w14:paraId="2872BA31">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（五）其他服务领域</w:t>
      </w:r>
    </w:p>
    <w:p w14:paraId="14B507F9">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1.为民政服务对象提供情绪疏导、精神抚慰、社会支持网络建设等专业化服务；</w:t>
      </w:r>
    </w:p>
    <w:p w14:paraId="7B07EA47">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2.组织开展慈善宣传、志愿服务项目对接等活动，传播慈善文化，壮大基层慈善力量；</w:t>
      </w:r>
    </w:p>
    <w:p w14:paraId="4F941A61">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3.通过公安、卫健及上级部门数据比对和推送数据，入户核实疑似未注销户籍的死亡人员信息；建立动态死亡人口数据库，关联兜底保障对象（低保、特困、高龄等）信息；协助核查兜底保障资金发放对象生存状态，避免虚报冒领。</w:t>
      </w:r>
    </w:p>
    <w:p w14:paraId="4CCBDF32">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4.完成侯马市民政局交办的其他符合政府购买服务范围的事务性工作。</w:t>
      </w:r>
    </w:p>
    <w:p w14:paraId="7159924C">
      <w:pPr>
        <w:keepNext w:val="0"/>
        <w:keepLines w:val="0"/>
        <w:pageBreakBefore w:val="0"/>
        <w:widowControl w:val="0"/>
        <w:kinsoku/>
        <w:wordWrap/>
        <w:overflowPunct/>
        <w:topLinePunct w:val="0"/>
        <w:autoSpaceDE/>
        <w:autoSpaceDN/>
        <w:bidi w:val="0"/>
        <w:adjustRightInd/>
        <w:snapToGrid/>
        <w:spacing w:line="580" w:lineRule="exact"/>
        <w:ind w:firstLine="478" w:firstLineChars="200"/>
        <w:textAlignment w:val="auto"/>
        <w:rPr>
          <w:rFonts w:hint="eastAsia" w:ascii="仿宋" w:hAnsi="仿宋" w:eastAsia="仿宋" w:cs="仿宋"/>
          <w:b/>
          <w:bCs/>
          <w:spacing w:val="-1"/>
          <w:sz w:val="24"/>
          <w:szCs w:val="24"/>
          <w:highlight w:val="none"/>
          <w:lang w:eastAsia="zh-CN"/>
        </w:rPr>
      </w:pPr>
      <w:r>
        <w:rPr>
          <w:rFonts w:hint="eastAsia" w:ascii="仿宋" w:hAnsi="仿宋" w:eastAsia="仿宋" w:cs="仿宋"/>
          <w:b/>
          <w:bCs/>
          <w:spacing w:val="-1"/>
          <w:sz w:val="24"/>
          <w:szCs w:val="24"/>
          <w:highlight w:val="none"/>
          <w:lang w:val="en-US" w:eastAsia="zh-CN"/>
        </w:rPr>
        <w:t>三、</w:t>
      </w:r>
      <w:r>
        <w:rPr>
          <w:rFonts w:hint="eastAsia" w:ascii="仿宋" w:hAnsi="仿宋" w:eastAsia="仿宋" w:cs="仿宋"/>
          <w:b/>
          <w:bCs/>
          <w:spacing w:val="-1"/>
          <w:sz w:val="24"/>
          <w:szCs w:val="24"/>
          <w:highlight w:val="none"/>
        </w:rPr>
        <w:t>站点</w:t>
      </w:r>
      <w:r>
        <w:rPr>
          <w:rFonts w:hint="eastAsia" w:ascii="仿宋" w:hAnsi="仿宋" w:eastAsia="仿宋" w:cs="仿宋"/>
          <w:b/>
          <w:bCs/>
          <w:spacing w:val="-1"/>
          <w:sz w:val="24"/>
          <w:szCs w:val="24"/>
          <w:highlight w:val="none"/>
          <w:lang w:val="en-US" w:eastAsia="zh-CN"/>
        </w:rPr>
        <w:t>及</w:t>
      </w:r>
      <w:r>
        <w:rPr>
          <w:rFonts w:hint="eastAsia" w:ascii="仿宋" w:hAnsi="仿宋" w:eastAsia="仿宋" w:cs="仿宋"/>
          <w:b/>
          <w:bCs/>
          <w:spacing w:val="-1"/>
          <w:sz w:val="24"/>
          <w:szCs w:val="24"/>
          <w:highlight w:val="none"/>
        </w:rPr>
        <w:t>人员</w:t>
      </w:r>
      <w:r>
        <w:rPr>
          <w:rFonts w:hint="eastAsia" w:ascii="仿宋" w:hAnsi="仿宋" w:eastAsia="仿宋" w:cs="仿宋"/>
          <w:b/>
          <w:bCs/>
          <w:spacing w:val="-1"/>
          <w:sz w:val="24"/>
          <w:szCs w:val="24"/>
          <w:highlight w:val="none"/>
          <w:lang w:val="en-US" w:eastAsia="zh-CN"/>
        </w:rPr>
        <w:t>配置</w:t>
      </w:r>
    </w:p>
    <w:p w14:paraId="53897088">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1"/>
          <w:sz w:val="24"/>
          <w:szCs w:val="24"/>
          <w:highlight w:val="none"/>
        </w:rPr>
        <w:t>设民政服务总站1个、乡</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lang w:val="en-US" w:eastAsia="zh-CN"/>
        </w:rPr>
        <w:t>街道）</w:t>
      </w:r>
      <w:r>
        <w:rPr>
          <w:rFonts w:hint="eastAsia" w:ascii="仿宋" w:hAnsi="仿宋" w:eastAsia="仿宋" w:cs="仿宋"/>
          <w:spacing w:val="-1"/>
          <w:sz w:val="24"/>
          <w:szCs w:val="24"/>
          <w:highlight w:val="none"/>
        </w:rPr>
        <w:t>民政服务站</w:t>
      </w:r>
      <w:r>
        <w:rPr>
          <w:rFonts w:hint="eastAsia" w:ascii="仿宋" w:hAnsi="仿宋" w:eastAsia="仿宋" w:cs="仿宋"/>
          <w:spacing w:val="-1"/>
          <w:sz w:val="24"/>
          <w:szCs w:val="24"/>
          <w:highlight w:val="none"/>
          <w:lang w:val="en-US" w:eastAsia="zh-CN"/>
        </w:rPr>
        <w:t>8</w:t>
      </w:r>
      <w:r>
        <w:rPr>
          <w:rFonts w:hint="eastAsia" w:ascii="仿宋" w:hAnsi="仿宋" w:eastAsia="仿宋" w:cs="仿宋"/>
          <w:spacing w:val="-1"/>
          <w:sz w:val="24"/>
          <w:szCs w:val="24"/>
          <w:highlight w:val="none"/>
        </w:rPr>
        <w:t>个。</w:t>
      </w:r>
    </w:p>
    <w:p w14:paraId="2C163CB2">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2.服务人员基本要求</w:t>
      </w:r>
    </w:p>
    <w:p w14:paraId="07A2276C">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（1）服务意识强，热爱社区工作，善于做群众工作。</w:t>
      </w:r>
    </w:p>
    <w:p w14:paraId="269536A9">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（2）服务能力强，具备一定的组织协调能力和社会工作、社区建设、基层治理等相关专业知识。</w:t>
      </w:r>
    </w:p>
    <w:p w14:paraId="5CF1E19E">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（3）作风正派，处事公道，严于律己，遵纪守法。</w:t>
      </w:r>
    </w:p>
    <w:p w14:paraId="002C8E53">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（4）大专及以上学历，年龄在</w:t>
      </w:r>
      <w:r>
        <w:rPr>
          <w:rFonts w:hint="eastAsia" w:ascii="仿宋" w:hAnsi="仿宋" w:eastAsia="仿宋" w:cs="仿宋"/>
          <w:spacing w:val="-1"/>
          <w:sz w:val="24"/>
          <w:szCs w:val="24"/>
          <w:highlight w:val="none"/>
          <w:lang w:val="en-US" w:eastAsia="zh-CN"/>
        </w:rPr>
        <w:t>40</w:t>
      </w:r>
      <w:r>
        <w:rPr>
          <w:rFonts w:hint="eastAsia" w:ascii="仿宋" w:hAnsi="仿宋" w:eastAsia="仿宋" w:cs="仿宋"/>
          <w:spacing w:val="-1"/>
          <w:sz w:val="24"/>
          <w:szCs w:val="24"/>
          <w:highlight w:val="none"/>
        </w:rPr>
        <w:t>周岁及以下。个人能力特别出色的，可适当放宽年龄条件，但需经民政局认可。</w:t>
      </w:r>
    </w:p>
    <w:p w14:paraId="5876483F">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（5）能使用word、Excel等电脑办公软件，能独立完成常规的公文写作和表格制备，能熟练掌握电脑等必要的办公设备</w:t>
      </w:r>
      <w:r>
        <w:rPr>
          <w:rFonts w:hint="eastAsia" w:ascii="仿宋" w:hAnsi="仿宋" w:eastAsia="仿宋" w:cs="仿宋"/>
          <w:spacing w:val="-1"/>
          <w:sz w:val="24"/>
          <w:szCs w:val="24"/>
          <w:highlight w:val="none"/>
          <w:lang w:eastAsia="zh-CN"/>
        </w:rPr>
        <w:t>的使用。</w:t>
      </w:r>
    </w:p>
    <w:p w14:paraId="5E79AEFA">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（6）取得社会工作执业资格证书的优先。</w:t>
      </w:r>
    </w:p>
    <w:p w14:paraId="07D7AEC6">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3.服务人员薪酬待遇</w:t>
      </w:r>
    </w:p>
    <w:p w14:paraId="6A7A7D18">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承接主体负责聘用站点工作人员，与工作人员签订劳动合同，发放薪酬、缴纳社会保险和实施内部管理，人员工资每人每月</w:t>
      </w:r>
      <w:r>
        <w:rPr>
          <w:rFonts w:hint="eastAsia" w:ascii="仿宋" w:hAnsi="仿宋" w:eastAsia="仿宋" w:cs="仿宋"/>
          <w:spacing w:val="-1"/>
          <w:sz w:val="24"/>
          <w:szCs w:val="24"/>
          <w:highlight w:val="none"/>
          <w:lang w:val="en-US" w:eastAsia="zh-CN"/>
        </w:rPr>
        <w:t>不低于</w:t>
      </w:r>
      <w:r>
        <w:rPr>
          <w:rFonts w:hint="eastAsia" w:ascii="仿宋" w:hAnsi="仿宋" w:eastAsia="仿宋" w:cs="仿宋"/>
          <w:spacing w:val="-1"/>
          <w:sz w:val="24"/>
          <w:szCs w:val="24"/>
          <w:highlight w:val="none"/>
        </w:rPr>
        <w:t>2050元（</w:t>
      </w:r>
      <w:r>
        <w:rPr>
          <w:rFonts w:hint="eastAsia" w:ascii="仿宋" w:hAnsi="仿宋" w:eastAsia="仿宋" w:cs="仿宋"/>
          <w:spacing w:val="-1"/>
          <w:sz w:val="24"/>
          <w:szCs w:val="24"/>
          <w:highlight w:val="none"/>
          <w:lang w:val="en-US" w:eastAsia="zh-CN"/>
        </w:rPr>
        <w:t>仅</w:t>
      </w:r>
      <w:r>
        <w:rPr>
          <w:rFonts w:hint="eastAsia" w:ascii="仿宋" w:hAnsi="仿宋" w:eastAsia="仿宋" w:cs="仿宋"/>
          <w:spacing w:val="-1"/>
          <w:sz w:val="24"/>
          <w:szCs w:val="24"/>
          <w:highlight w:val="none"/>
        </w:rPr>
        <w:t>含社保</w:t>
      </w:r>
      <w:r>
        <w:rPr>
          <w:rFonts w:hint="eastAsia" w:ascii="仿宋" w:hAnsi="仿宋" w:eastAsia="仿宋" w:cs="仿宋"/>
          <w:spacing w:val="-1"/>
          <w:sz w:val="24"/>
          <w:szCs w:val="24"/>
          <w:highlight w:val="none"/>
          <w:lang w:val="en-US" w:eastAsia="zh-CN"/>
        </w:rPr>
        <w:t>个人缴存部分</w:t>
      </w:r>
      <w:r>
        <w:rPr>
          <w:rFonts w:hint="eastAsia" w:ascii="仿宋" w:hAnsi="仿宋" w:eastAsia="仿宋" w:cs="仿宋"/>
          <w:spacing w:val="-1"/>
          <w:sz w:val="24"/>
          <w:szCs w:val="24"/>
          <w:highlight w:val="none"/>
        </w:rPr>
        <w:t>），社会保险（养老、医疗、工伤和失业保险）按照山西省公布的保险缴纳基数据实缴纳，如遇国家相关政策调整社会保险和工资标准等费用，服务</w:t>
      </w:r>
      <w:r>
        <w:rPr>
          <w:rFonts w:hint="eastAsia" w:ascii="仿宋" w:hAnsi="仿宋" w:eastAsia="仿宋" w:cs="仿宋"/>
          <w:spacing w:val="-1"/>
          <w:sz w:val="24"/>
          <w:szCs w:val="24"/>
          <w:highlight w:val="none"/>
          <w:lang w:val="en-US" w:eastAsia="zh-CN"/>
        </w:rPr>
        <w:t>管理</w:t>
      </w:r>
      <w:r>
        <w:rPr>
          <w:rFonts w:hint="eastAsia" w:ascii="仿宋" w:hAnsi="仿宋" w:eastAsia="仿宋" w:cs="仿宋"/>
          <w:spacing w:val="-1"/>
          <w:sz w:val="24"/>
          <w:szCs w:val="24"/>
          <w:highlight w:val="none"/>
        </w:rPr>
        <w:t>费用相应调整。服务人员薪酬待遇为本项目不可变更部分，承接机构不得通过降低此部分费用来拉低标价。</w:t>
      </w:r>
    </w:p>
    <w:p w14:paraId="487D38A3">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4.服务管理费</w:t>
      </w:r>
    </w:p>
    <w:p w14:paraId="71A33699">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服务管理费仅可在该区间浮动，不得超过人员工资及社保总额的5%；人员工资2050元/月/人（含社保）为不可变更项，不得通过降低人员薪酬费用来拉低标价，否则按无效投标处理。</w:t>
      </w:r>
    </w:p>
    <w:p w14:paraId="011676CE">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 xml:space="preserve">  5.</w:t>
      </w:r>
      <w:r>
        <w:rPr>
          <w:rFonts w:hint="eastAsia" w:ascii="仿宋" w:hAnsi="仿宋" w:eastAsia="仿宋" w:cs="仿宋"/>
          <w:spacing w:val="-1"/>
          <w:sz w:val="24"/>
          <w:szCs w:val="24"/>
          <w:highlight w:val="none"/>
        </w:rPr>
        <w:t>人员到岗与稳定性</w:t>
      </w:r>
    </w:p>
    <w:p w14:paraId="4F7FA755">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中标方须在合同签订后7个工作日内完成人员到岗及服务站入驻；逾期未到岗视为违约，采购人有权解除合同。核心人员（项目负责人、驻站社工）确需更换，须提前15个工作日书面报批并经同意。</w:t>
      </w:r>
    </w:p>
    <w:p w14:paraId="0EAAF974">
      <w:pPr>
        <w:pStyle w:val="2"/>
        <w:rPr>
          <w:rFonts w:hint="default" w:eastAsia="仿宋"/>
          <w:highlight w:val="none"/>
          <w:lang w:val="en-US" w:eastAsia="zh-CN"/>
        </w:rPr>
      </w:pPr>
    </w:p>
    <w:p w14:paraId="3AAEE948">
      <w:pPr>
        <w:keepNext w:val="0"/>
        <w:keepLines w:val="0"/>
        <w:pageBreakBefore w:val="0"/>
        <w:widowControl w:val="0"/>
        <w:kinsoku/>
        <w:wordWrap/>
        <w:overflowPunct/>
        <w:topLinePunct w:val="0"/>
        <w:autoSpaceDE/>
        <w:autoSpaceDN/>
        <w:bidi w:val="0"/>
        <w:adjustRightInd/>
        <w:snapToGrid/>
        <w:spacing w:line="580" w:lineRule="exact"/>
        <w:ind w:firstLine="478" w:firstLineChars="200"/>
        <w:textAlignment w:val="auto"/>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lang w:val="en-US" w:eastAsia="zh-CN"/>
        </w:rPr>
        <w:t>四、</w:t>
      </w:r>
      <w:r>
        <w:rPr>
          <w:rFonts w:hint="eastAsia" w:ascii="仿宋" w:hAnsi="仿宋" w:eastAsia="仿宋" w:cs="仿宋"/>
          <w:b/>
          <w:bCs/>
          <w:spacing w:val="-1"/>
          <w:sz w:val="24"/>
          <w:szCs w:val="24"/>
          <w:highlight w:val="none"/>
        </w:rPr>
        <w:t>服务覆盖范围</w:t>
      </w:r>
    </w:p>
    <w:p w14:paraId="2EDCE003">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覆盖侯马市行政区域内5个街道办事处、3个乡人民政府所辖68个行政村</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rPr>
        <w:t>29个社区，服务对象包括：</w:t>
      </w:r>
    </w:p>
    <w:p w14:paraId="35549C10">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1"/>
          <w:sz w:val="24"/>
          <w:szCs w:val="24"/>
          <w:highlight w:val="none"/>
        </w:rPr>
        <w:t>残疾人（含精神障碍患者）</w:t>
      </w:r>
    </w:p>
    <w:p w14:paraId="2DDF912E">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2.</w:t>
      </w:r>
      <w:r>
        <w:rPr>
          <w:rFonts w:hint="eastAsia" w:ascii="仿宋" w:hAnsi="仿宋" w:eastAsia="仿宋" w:cs="仿宋"/>
          <w:spacing w:val="-1"/>
          <w:sz w:val="24"/>
          <w:szCs w:val="24"/>
          <w:highlight w:val="none"/>
        </w:rPr>
        <w:t>城乡低保、特困供养、临时救助、低收入家庭等社会救助对象</w:t>
      </w:r>
    </w:p>
    <w:p w14:paraId="4BB02459">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3.</w:t>
      </w:r>
      <w:r>
        <w:rPr>
          <w:rFonts w:hint="eastAsia" w:ascii="仿宋" w:hAnsi="仿宋" w:eastAsia="仿宋" w:cs="仿宋"/>
          <w:spacing w:val="-1"/>
          <w:sz w:val="24"/>
          <w:szCs w:val="24"/>
          <w:highlight w:val="none"/>
        </w:rPr>
        <w:t>60岁及以上老年人（重点为空巢独居、高龄、</w:t>
      </w:r>
      <w:r>
        <w:rPr>
          <w:rFonts w:hint="eastAsia" w:ascii="仿宋" w:hAnsi="仿宋" w:eastAsia="仿宋" w:cs="仿宋"/>
          <w:spacing w:val="-1"/>
          <w:sz w:val="24"/>
          <w:szCs w:val="24"/>
          <w:highlight w:val="none"/>
          <w:lang w:eastAsia="zh-CN"/>
        </w:rPr>
        <w:t>失能、半失能老年人</w:t>
      </w:r>
      <w:r>
        <w:rPr>
          <w:rFonts w:hint="eastAsia" w:ascii="仿宋" w:hAnsi="仿宋" w:eastAsia="仿宋" w:cs="仿宋"/>
          <w:spacing w:val="-1"/>
          <w:sz w:val="24"/>
          <w:szCs w:val="24"/>
          <w:highlight w:val="none"/>
        </w:rPr>
        <w:t>）</w:t>
      </w:r>
    </w:p>
    <w:p w14:paraId="7B1AE430">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4.</w:t>
      </w:r>
      <w:r>
        <w:rPr>
          <w:rFonts w:hint="eastAsia" w:ascii="仿宋" w:hAnsi="仿宋" w:eastAsia="仿宋" w:cs="仿宋"/>
          <w:spacing w:val="-1"/>
          <w:sz w:val="24"/>
          <w:szCs w:val="24"/>
          <w:highlight w:val="none"/>
        </w:rPr>
        <w:t>孤儿、事实无人抚养儿童、农村留守儿童等困境儿童</w:t>
      </w:r>
    </w:p>
    <w:p w14:paraId="56F3CE50">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5.</w:t>
      </w:r>
      <w:r>
        <w:rPr>
          <w:rFonts w:hint="eastAsia" w:ascii="仿宋" w:hAnsi="仿宋" w:eastAsia="仿宋" w:cs="仿宋"/>
          <w:spacing w:val="-1"/>
          <w:sz w:val="24"/>
          <w:szCs w:val="24"/>
          <w:highlight w:val="none"/>
        </w:rPr>
        <w:t>生活无着流浪乞讨人员</w:t>
      </w:r>
    </w:p>
    <w:p w14:paraId="1CB96059">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其他符合政府购买服务范围的民政服务对象</w:t>
      </w:r>
    </w:p>
    <w:p w14:paraId="594F3617">
      <w:pPr>
        <w:keepNext w:val="0"/>
        <w:keepLines w:val="0"/>
        <w:pageBreakBefore w:val="0"/>
        <w:widowControl w:val="0"/>
        <w:kinsoku/>
        <w:wordWrap/>
        <w:overflowPunct/>
        <w:topLinePunct w:val="0"/>
        <w:autoSpaceDE/>
        <w:autoSpaceDN/>
        <w:bidi w:val="0"/>
        <w:adjustRightInd/>
        <w:snapToGrid/>
        <w:spacing w:line="580" w:lineRule="exact"/>
        <w:ind w:firstLine="478" w:firstLineChars="200"/>
        <w:textAlignment w:val="auto"/>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lang w:val="en-US" w:eastAsia="zh-CN"/>
        </w:rPr>
        <w:t xml:space="preserve">五、 </w:t>
      </w:r>
      <w:r>
        <w:rPr>
          <w:rFonts w:hint="eastAsia" w:ascii="仿宋" w:hAnsi="仿宋" w:eastAsia="仿宋" w:cs="仿宋"/>
          <w:b/>
          <w:bCs/>
          <w:spacing w:val="-1"/>
          <w:sz w:val="24"/>
          <w:szCs w:val="24"/>
          <w:highlight w:val="none"/>
        </w:rPr>
        <w:t>服务要求</w:t>
      </w:r>
    </w:p>
    <w:p w14:paraId="02F925CA">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1"/>
          <w:sz w:val="24"/>
          <w:szCs w:val="24"/>
          <w:highlight w:val="none"/>
        </w:rPr>
        <w:t>合规履职要求：所有服务均限定为事务性、辅助性事项，不得替代采购单位履行法定行政职责；严格执行国家及省市民政相关政策法规，服务流程符合社会工作行业规范。</w:t>
      </w:r>
    </w:p>
    <w:p w14:paraId="07BB0500">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2.预算刚性要求：</w:t>
      </w:r>
      <w:r>
        <w:rPr>
          <w:rFonts w:hint="eastAsia" w:ascii="仿宋" w:hAnsi="仿宋" w:eastAsia="仿宋" w:cs="仿宋"/>
          <w:spacing w:val="-1"/>
          <w:sz w:val="24"/>
          <w:szCs w:val="24"/>
          <w:highlight w:val="none"/>
        </w:rPr>
        <w:t>严格按照</w:t>
      </w:r>
      <w:r>
        <w:rPr>
          <w:rFonts w:hint="eastAsia" w:ascii="仿宋" w:hAnsi="仿宋" w:eastAsia="仿宋" w:cs="仿宋"/>
          <w:spacing w:val="-1"/>
          <w:sz w:val="24"/>
          <w:szCs w:val="24"/>
          <w:highlight w:val="none"/>
          <w:lang w:val="en-US" w:eastAsia="zh-CN"/>
        </w:rPr>
        <w:t>中标价格</w:t>
      </w:r>
      <w:r>
        <w:rPr>
          <w:rFonts w:hint="eastAsia" w:ascii="仿宋" w:hAnsi="仿宋" w:eastAsia="仿宋" w:cs="仿宋"/>
          <w:spacing w:val="-1"/>
          <w:sz w:val="24"/>
          <w:szCs w:val="24"/>
          <w:highlight w:val="none"/>
        </w:rPr>
        <w:t>执行，各项服务经费按本需求书核定标准列支，不得超预算、截留、挪用；经费使用接受财政、审计及民政部门全程监督，接受临汾市财政局预算评审中心绩效评价。</w:t>
      </w:r>
    </w:p>
    <w:p w14:paraId="4C0931BB">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3.</w:t>
      </w:r>
      <w:r>
        <w:rPr>
          <w:rFonts w:hint="eastAsia" w:ascii="仿宋" w:hAnsi="仿宋" w:eastAsia="仿宋" w:cs="仿宋"/>
          <w:spacing w:val="-1"/>
          <w:sz w:val="24"/>
          <w:szCs w:val="24"/>
          <w:highlight w:val="none"/>
        </w:rPr>
        <w:t>数据质量要求：入户核查数据真实准确，误差率≤1%；金民工程等民政信息系统录入及时、完整，准确率100%；各类服务档案规范齐全，实行“一户一档”，可追溯、可核查。</w:t>
      </w:r>
    </w:p>
    <w:p w14:paraId="7BD7814F">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4.</w:t>
      </w:r>
      <w:r>
        <w:rPr>
          <w:rFonts w:hint="eastAsia" w:ascii="仿宋" w:hAnsi="仿宋" w:eastAsia="仿宋" w:cs="仿宋"/>
          <w:spacing w:val="-1"/>
          <w:sz w:val="24"/>
          <w:szCs w:val="24"/>
          <w:highlight w:val="none"/>
        </w:rPr>
        <w:t>服务连续性要求：项目实施期间不得擅自更换核心人员（项目负责人、驻站社工），确需更换的须提前15个工作日书面告知采购单位并经同意；人员到岗率≥95%。</w:t>
      </w:r>
    </w:p>
    <w:p w14:paraId="052144A5">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5.保密安全要求：</w:t>
      </w:r>
      <w:r>
        <w:rPr>
          <w:rFonts w:hint="eastAsia" w:ascii="仿宋" w:hAnsi="仿宋" w:eastAsia="仿宋" w:cs="仿宋"/>
          <w:spacing w:val="-1"/>
          <w:sz w:val="24"/>
          <w:szCs w:val="24"/>
          <w:highlight w:val="none"/>
        </w:rPr>
        <w:t>对服务过程中获取的民政服务对象个人信息严格保密，不得泄露、出售或用于其他用途；制定安全应急预案，保障服务对象人身安全。</w:t>
      </w:r>
    </w:p>
    <w:p w14:paraId="32E5F9E3">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6.报告提交要求：</w:t>
      </w:r>
      <w:r>
        <w:rPr>
          <w:rFonts w:hint="eastAsia" w:ascii="仿宋" w:hAnsi="仿宋" w:eastAsia="仿宋" w:cs="仿宋"/>
          <w:spacing w:val="-1"/>
          <w:sz w:val="24"/>
          <w:szCs w:val="24"/>
          <w:highlight w:val="none"/>
        </w:rPr>
        <w:t>每月5日前提交上月服务进度报告，每季度首月10日前提交上季度工作总结，服务期满后10个工作日内提交年度服务总报告及完整佐证材料。</w:t>
      </w:r>
    </w:p>
    <w:p w14:paraId="03019E50">
      <w:pPr>
        <w:keepNext w:val="0"/>
        <w:keepLines w:val="0"/>
        <w:pageBreakBefore w:val="0"/>
        <w:widowControl w:val="0"/>
        <w:kinsoku/>
        <w:wordWrap/>
        <w:overflowPunct/>
        <w:topLinePunct w:val="0"/>
        <w:autoSpaceDE/>
        <w:autoSpaceDN/>
        <w:bidi w:val="0"/>
        <w:adjustRightInd/>
        <w:snapToGrid/>
        <w:spacing w:line="580" w:lineRule="exact"/>
        <w:ind w:firstLine="478" w:firstLineChars="200"/>
        <w:textAlignment w:val="auto"/>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lang w:val="en-US" w:eastAsia="zh-CN"/>
        </w:rPr>
        <w:t xml:space="preserve">六 </w:t>
      </w:r>
      <w:r>
        <w:rPr>
          <w:rFonts w:hint="eastAsia" w:ascii="仿宋" w:hAnsi="仿宋" w:eastAsia="仿宋" w:cs="仿宋"/>
          <w:b/>
          <w:bCs/>
          <w:spacing w:val="-1"/>
          <w:sz w:val="24"/>
          <w:szCs w:val="24"/>
          <w:highlight w:val="none"/>
        </w:rPr>
        <w:t>具体服务内容及量化指标</w:t>
      </w:r>
    </w:p>
    <w:p w14:paraId="7A7D5A58">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.1社会救助领域</w:t>
      </w:r>
    </w:p>
    <w:tbl>
      <w:tblPr>
        <w:tblStyle w:val="3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664"/>
        <w:gridCol w:w="3377"/>
        <w:gridCol w:w="3481"/>
      </w:tblGrid>
      <w:tr w14:paraId="399B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1664" w:type="dxa"/>
            <w:tcBorders>
              <w:top w:val="single" w:color="4F81BD" w:sz="6" w:space="0"/>
              <w:left w:val="single" w:color="4F81BD" w:sz="6" w:space="0"/>
              <w:bottom w:val="single" w:color="4F81BD" w:sz="6" w:space="0"/>
              <w:right w:val="single" w:color="B8CCE4" w:sz="6" w:space="0"/>
            </w:tcBorders>
            <w:shd w:val="clear" w:color="auto" w:fill="4F81BD"/>
            <w:noWrap w:val="0"/>
            <w:tcMar>
              <w:top w:w="120" w:type="dxa"/>
              <w:left w:w="120" w:type="dxa"/>
              <w:bottom w:w="120" w:type="dxa"/>
              <w:right w:w="120" w:type="dxa"/>
            </w:tcMar>
            <w:vAlign w:val="center"/>
          </w:tcPr>
          <w:p w14:paraId="63CC2740">
            <w:pPr>
              <w:keepNext w:val="0"/>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服务项目</w:t>
            </w:r>
          </w:p>
        </w:tc>
        <w:tc>
          <w:tcPr>
            <w:tcW w:w="3377" w:type="dxa"/>
            <w:tcBorders>
              <w:top w:val="single" w:color="4F81BD" w:sz="6" w:space="0"/>
              <w:left w:val="single" w:color="B8CCE4" w:sz="6" w:space="0"/>
              <w:bottom w:val="single" w:color="4F81BD" w:sz="6" w:space="0"/>
              <w:right w:val="single" w:color="B8CCE4" w:sz="6" w:space="0"/>
            </w:tcBorders>
            <w:shd w:val="clear" w:color="auto" w:fill="4F81BD"/>
            <w:noWrap w:val="0"/>
            <w:tcMar>
              <w:top w:w="120" w:type="dxa"/>
              <w:left w:w="120" w:type="dxa"/>
              <w:bottom w:w="120" w:type="dxa"/>
              <w:right w:w="120" w:type="dxa"/>
            </w:tcMar>
            <w:vAlign w:val="center"/>
          </w:tcPr>
          <w:p w14:paraId="04FD35BA">
            <w:pPr>
              <w:keepNext w:val="0"/>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量化指标</w:t>
            </w:r>
          </w:p>
        </w:tc>
        <w:tc>
          <w:tcPr>
            <w:tcW w:w="3481" w:type="dxa"/>
            <w:tcBorders>
              <w:top w:val="single" w:color="4F81BD" w:sz="6" w:space="0"/>
              <w:left w:val="single" w:color="B8CCE4" w:sz="6" w:space="0"/>
              <w:bottom w:val="single" w:color="4F81BD" w:sz="6" w:space="0"/>
              <w:right w:val="single" w:color="4F81BD" w:sz="6" w:space="0"/>
            </w:tcBorders>
            <w:shd w:val="clear" w:color="auto" w:fill="4F81BD"/>
            <w:noWrap w:val="0"/>
            <w:tcMar>
              <w:top w:w="120" w:type="dxa"/>
              <w:left w:w="120" w:type="dxa"/>
              <w:bottom w:w="120" w:type="dxa"/>
              <w:right w:w="120" w:type="dxa"/>
            </w:tcMar>
            <w:vAlign w:val="center"/>
          </w:tcPr>
          <w:p w14:paraId="1D55DC26">
            <w:pPr>
              <w:keepNext w:val="0"/>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服务要求</w:t>
            </w:r>
          </w:p>
        </w:tc>
      </w:tr>
      <w:tr w14:paraId="7A43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64" w:type="dxa"/>
            <w:tcBorders>
              <w:top w:val="single" w:color="4F81BD"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52639D67">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入户核查</w:t>
            </w:r>
          </w:p>
        </w:tc>
        <w:tc>
          <w:tcPr>
            <w:tcW w:w="3377" w:type="dxa"/>
            <w:tcBorders>
              <w:top w:val="single" w:color="4F81BD"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1B7AF462">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第一次100%复核：不少于4965户（人）第二次30%抽查：不少于1493户（人）</w:t>
            </w:r>
          </w:p>
        </w:tc>
        <w:tc>
          <w:tcPr>
            <w:tcW w:w="3481" w:type="dxa"/>
            <w:tcBorders>
              <w:top w:val="single" w:color="4F81BD"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1746A192">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覆盖低保、特困、残疾人补贴、临时救助、低收入家庭，入户信息采集表签字确认</w:t>
            </w:r>
          </w:p>
        </w:tc>
      </w:tr>
      <w:tr w14:paraId="34A8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64" w:type="dxa"/>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0C288D4E">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档案管理</w:t>
            </w:r>
          </w:p>
        </w:tc>
        <w:tc>
          <w:tcPr>
            <w:tcW w:w="3377" w:type="dxa"/>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26BBC9DD">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不少于2074户（人）</w:t>
            </w:r>
          </w:p>
        </w:tc>
        <w:tc>
          <w:tcPr>
            <w:tcW w:w="3481"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0238618A">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规范整理纸质档案，建立电子台账，档案归档率100%</w:t>
            </w:r>
          </w:p>
        </w:tc>
      </w:tr>
      <w:tr w14:paraId="1AB7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64" w:type="dxa"/>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6D04B625">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信息系统录入</w:t>
            </w:r>
          </w:p>
        </w:tc>
        <w:tc>
          <w:tcPr>
            <w:tcW w:w="3377" w:type="dxa"/>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23340111">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不少于10290条</w:t>
            </w:r>
          </w:p>
        </w:tc>
        <w:tc>
          <w:tcPr>
            <w:tcW w:w="3481"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51AA44CD">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金民工程系统数据录入及时、准确，无漏录、错录</w:t>
            </w:r>
          </w:p>
        </w:tc>
      </w:tr>
      <w:tr w14:paraId="2D61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64" w:type="dxa"/>
            <w:tcBorders>
              <w:top w:val="single" w:color="B8CCE4" w:sz="6" w:space="0"/>
              <w:left w:val="single" w:color="4F81BD" w:sz="6" w:space="0"/>
              <w:bottom w:val="single" w:color="4F81BD" w:sz="6" w:space="0"/>
              <w:right w:val="single" w:color="B8CCE4" w:sz="6" w:space="0"/>
            </w:tcBorders>
            <w:shd w:val="clear" w:color="auto" w:fill="FFFFFF"/>
            <w:noWrap w:val="0"/>
            <w:tcMar>
              <w:top w:w="120" w:type="dxa"/>
              <w:left w:w="120" w:type="dxa"/>
              <w:bottom w:w="120" w:type="dxa"/>
              <w:right w:w="120" w:type="dxa"/>
            </w:tcMar>
            <w:vAlign w:val="center"/>
          </w:tcPr>
          <w:p w14:paraId="3B4EF2A0">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政策宣传</w:t>
            </w:r>
          </w:p>
        </w:tc>
        <w:tc>
          <w:tcPr>
            <w:tcW w:w="3377" w:type="dxa"/>
            <w:tcBorders>
              <w:top w:val="single" w:color="B8CCE4" w:sz="6" w:space="0"/>
              <w:left w:val="single" w:color="B8CCE4" w:sz="6" w:space="0"/>
              <w:bottom w:val="single" w:color="4F81BD" w:sz="6" w:space="0"/>
              <w:right w:val="single" w:color="B8CCE4" w:sz="6" w:space="0"/>
            </w:tcBorders>
            <w:shd w:val="clear" w:color="auto" w:fill="FFFFFF"/>
            <w:noWrap w:val="0"/>
            <w:tcMar>
              <w:top w:w="120" w:type="dxa"/>
              <w:left w:w="120" w:type="dxa"/>
              <w:bottom w:w="120" w:type="dxa"/>
              <w:right w:w="120" w:type="dxa"/>
            </w:tcMar>
            <w:vAlign w:val="center"/>
          </w:tcPr>
          <w:p w14:paraId="6F315A0F">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不少于3场</w:t>
            </w:r>
          </w:p>
        </w:tc>
        <w:tc>
          <w:tcPr>
            <w:tcW w:w="3481" w:type="dxa"/>
            <w:tcBorders>
              <w:top w:val="single" w:color="B8CCE4" w:sz="6" w:space="0"/>
              <w:left w:val="single" w:color="B8CCE4" w:sz="6" w:space="0"/>
              <w:bottom w:val="single" w:color="4F81BD" w:sz="6" w:space="0"/>
              <w:right w:val="single" w:color="4F81BD" w:sz="6" w:space="0"/>
            </w:tcBorders>
            <w:shd w:val="clear" w:color="auto" w:fill="FFFFFF"/>
            <w:noWrap w:val="0"/>
            <w:tcMar>
              <w:top w:w="120" w:type="dxa"/>
              <w:left w:w="120" w:type="dxa"/>
              <w:bottom w:w="120" w:type="dxa"/>
              <w:right w:w="120" w:type="dxa"/>
            </w:tcMar>
            <w:vAlign w:val="center"/>
          </w:tcPr>
          <w:p w14:paraId="6ECD86BE">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社会救助政策专题宣传，覆盖社区≥45个，发放材料≥1500份</w:t>
            </w:r>
          </w:p>
        </w:tc>
      </w:tr>
    </w:tbl>
    <w:p w14:paraId="57847BF5">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.2养老服务领域</w:t>
      </w:r>
    </w:p>
    <w:tbl>
      <w:tblPr>
        <w:tblStyle w:val="3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364"/>
        <w:gridCol w:w="2601"/>
        <w:gridCol w:w="4557"/>
      </w:tblGrid>
      <w:tr w14:paraId="4E77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0" w:type="auto"/>
            <w:tcBorders>
              <w:top w:val="single" w:color="4F81BD" w:sz="6" w:space="0"/>
              <w:left w:val="single" w:color="4F81BD" w:sz="6" w:space="0"/>
              <w:bottom w:val="single" w:color="4F81BD" w:sz="6" w:space="0"/>
              <w:right w:val="single" w:color="B8CCE4" w:sz="6" w:space="0"/>
            </w:tcBorders>
            <w:shd w:val="clear" w:color="auto" w:fill="4F81BD"/>
            <w:noWrap w:val="0"/>
            <w:tcMar>
              <w:top w:w="120" w:type="dxa"/>
              <w:left w:w="120" w:type="dxa"/>
              <w:bottom w:w="120" w:type="dxa"/>
              <w:right w:w="120" w:type="dxa"/>
            </w:tcMar>
            <w:vAlign w:val="center"/>
          </w:tcPr>
          <w:p w14:paraId="001EE795">
            <w:pPr>
              <w:keepNext/>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服务项目</w:t>
            </w:r>
          </w:p>
        </w:tc>
        <w:tc>
          <w:tcPr>
            <w:tcW w:w="2601" w:type="dxa"/>
            <w:tcBorders>
              <w:top w:val="single" w:color="4F81BD" w:sz="6" w:space="0"/>
              <w:left w:val="single" w:color="B8CCE4" w:sz="6" w:space="0"/>
              <w:bottom w:val="single" w:color="4F81BD" w:sz="6" w:space="0"/>
              <w:right w:val="single" w:color="B8CCE4" w:sz="6" w:space="0"/>
            </w:tcBorders>
            <w:shd w:val="clear" w:color="auto" w:fill="4F81BD"/>
            <w:noWrap w:val="0"/>
            <w:tcMar>
              <w:top w:w="120" w:type="dxa"/>
              <w:left w:w="120" w:type="dxa"/>
              <w:bottom w:w="120" w:type="dxa"/>
              <w:right w:w="120" w:type="dxa"/>
            </w:tcMar>
            <w:vAlign w:val="center"/>
          </w:tcPr>
          <w:p w14:paraId="07F8AE38">
            <w:pPr>
              <w:keepNext/>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量化指标</w:t>
            </w:r>
          </w:p>
        </w:tc>
        <w:tc>
          <w:tcPr>
            <w:tcW w:w="4557" w:type="dxa"/>
            <w:tcBorders>
              <w:top w:val="single" w:color="4F81BD" w:sz="6" w:space="0"/>
              <w:left w:val="single" w:color="B8CCE4" w:sz="6" w:space="0"/>
              <w:bottom w:val="single" w:color="4F81BD" w:sz="6" w:space="0"/>
              <w:right w:val="single" w:color="4F81BD" w:sz="6" w:space="0"/>
            </w:tcBorders>
            <w:shd w:val="clear" w:color="auto" w:fill="4F81BD"/>
            <w:noWrap w:val="0"/>
            <w:tcMar>
              <w:top w:w="120" w:type="dxa"/>
              <w:left w:w="120" w:type="dxa"/>
              <w:bottom w:w="120" w:type="dxa"/>
              <w:right w:w="120" w:type="dxa"/>
            </w:tcMar>
            <w:vAlign w:val="center"/>
          </w:tcPr>
          <w:p w14:paraId="4D1B6128">
            <w:pPr>
              <w:keepNext/>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服务要求</w:t>
            </w:r>
          </w:p>
        </w:tc>
      </w:tr>
      <w:tr w14:paraId="619B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4F81BD"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59E8FF0E">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老年人信息采集</w:t>
            </w:r>
          </w:p>
        </w:tc>
        <w:tc>
          <w:tcPr>
            <w:tcW w:w="2601" w:type="dxa"/>
            <w:tcBorders>
              <w:top w:val="single" w:color="4F81BD"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16081E82">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不少于46276名</w:t>
            </w:r>
          </w:p>
        </w:tc>
        <w:tc>
          <w:tcPr>
            <w:tcW w:w="4557" w:type="dxa"/>
            <w:tcBorders>
              <w:top w:val="single" w:color="4F81BD"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38E07632">
            <w:pPr>
              <w:keepNext/>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60岁及以上老年人信息采集核实，建立动态信息台账</w:t>
            </w:r>
          </w:p>
        </w:tc>
      </w:tr>
      <w:tr w14:paraId="3266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374F8785">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日间照料中心巡查</w:t>
            </w:r>
          </w:p>
        </w:tc>
        <w:tc>
          <w:tcPr>
            <w:tcW w:w="2601" w:type="dxa"/>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5D6BB72B">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不少于51家，全年不少于606次</w:t>
            </w:r>
          </w:p>
        </w:tc>
        <w:tc>
          <w:tcPr>
            <w:tcW w:w="4557"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77B41F0B">
            <w:pPr>
              <w:keepNext/>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每月巡查1次，含考核评分及问题整改跟踪，形成巡查报告</w:t>
            </w:r>
          </w:p>
        </w:tc>
      </w:tr>
      <w:tr w14:paraId="0B5E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580583CA">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养老机构核查</w:t>
            </w:r>
          </w:p>
        </w:tc>
        <w:tc>
          <w:tcPr>
            <w:tcW w:w="2601" w:type="dxa"/>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03ACD2F7">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不少于7家，全年不少于84次</w:t>
            </w:r>
          </w:p>
        </w:tc>
        <w:tc>
          <w:tcPr>
            <w:tcW w:w="4557"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335A3192">
            <w:pPr>
              <w:keepNext/>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每月核查1次，含资质审核与安全隐患排查，下达整改通知书并跟踪落实</w:t>
            </w:r>
          </w:p>
        </w:tc>
      </w:tr>
      <w:tr w14:paraId="06E6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68690A89">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高龄津贴服务</w:t>
            </w:r>
          </w:p>
        </w:tc>
        <w:tc>
          <w:tcPr>
            <w:tcW w:w="2601" w:type="dxa"/>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43C52F93">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不少于5514名</w:t>
            </w:r>
          </w:p>
        </w:tc>
        <w:tc>
          <w:tcPr>
            <w:tcW w:w="4557"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4F07A8F2">
            <w:pPr>
              <w:keepNext/>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生存认证、数据更新及档案管理，确保津贴发放精准</w:t>
            </w:r>
          </w:p>
        </w:tc>
      </w:tr>
      <w:tr w14:paraId="519B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62C16FBA">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分散供养老人探访</w:t>
            </w:r>
          </w:p>
        </w:tc>
        <w:tc>
          <w:tcPr>
            <w:tcW w:w="2601" w:type="dxa"/>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3460BA7D">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不少于68户，全年不少于816户次</w:t>
            </w:r>
          </w:p>
        </w:tc>
        <w:tc>
          <w:tcPr>
            <w:tcW w:w="4557"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06F969FF">
            <w:pPr>
              <w:keepNext/>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每月探访1次，含健康监测与安全巡查，填写探访记录表</w:t>
            </w:r>
          </w:p>
        </w:tc>
      </w:tr>
      <w:tr w14:paraId="0C66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364" w:type="dxa"/>
            <w:tcBorders>
              <w:top w:val="single" w:color="B8CCE4" w:sz="6" w:space="0"/>
              <w:left w:val="single" w:color="4F81BD" w:sz="6" w:space="0"/>
              <w:bottom w:val="single" w:color="4F81BD" w:sz="6" w:space="0"/>
              <w:right w:val="single" w:color="B8CCE4" w:sz="6" w:space="0"/>
            </w:tcBorders>
            <w:shd w:val="clear" w:color="auto" w:fill="FFFFFF"/>
            <w:noWrap w:val="0"/>
            <w:tcMar>
              <w:top w:w="120" w:type="dxa"/>
              <w:left w:w="120" w:type="dxa"/>
              <w:bottom w:w="120" w:type="dxa"/>
              <w:right w:w="120" w:type="dxa"/>
            </w:tcMar>
            <w:vAlign w:val="center"/>
          </w:tcPr>
          <w:p w14:paraId="482FCD4A">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养老主题活动</w:t>
            </w:r>
          </w:p>
        </w:tc>
        <w:tc>
          <w:tcPr>
            <w:tcW w:w="2601" w:type="dxa"/>
            <w:tcBorders>
              <w:top w:val="single" w:color="B8CCE4" w:sz="6" w:space="0"/>
              <w:left w:val="single" w:color="B8CCE4" w:sz="6" w:space="0"/>
              <w:bottom w:val="single" w:color="4F81BD" w:sz="6" w:space="0"/>
              <w:right w:val="single" w:color="B8CCE4" w:sz="6" w:space="0"/>
            </w:tcBorders>
            <w:shd w:val="clear" w:color="auto" w:fill="FFFFFF"/>
            <w:noWrap w:val="0"/>
            <w:tcMar>
              <w:top w:w="120" w:type="dxa"/>
              <w:left w:w="120" w:type="dxa"/>
              <w:bottom w:w="120" w:type="dxa"/>
              <w:right w:w="120" w:type="dxa"/>
            </w:tcMar>
            <w:vAlign w:val="center"/>
          </w:tcPr>
          <w:p w14:paraId="3CFE9760">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不少于3场</w:t>
            </w:r>
          </w:p>
        </w:tc>
        <w:tc>
          <w:tcPr>
            <w:tcW w:w="4557" w:type="dxa"/>
            <w:tcBorders>
              <w:top w:val="single" w:color="B8CCE4" w:sz="6" w:space="0"/>
              <w:left w:val="single" w:color="B8CCE4" w:sz="6" w:space="0"/>
              <w:bottom w:val="single" w:color="4F81BD" w:sz="6" w:space="0"/>
              <w:right w:val="single" w:color="4F81BD" w:sz="6" w:space="0"/>
            </w:tcBorders>
            <w:shd w:val="clear" w:color="auto" w:fill="FFFFFF"/>
            <w:noWrap w:val="0"/>
            <w:tcMar>
              <w:top w:w="120" w:type="dxa"/>
              <w:left w:w="120" w:type="dxa"/>
              <w:bottom w:w="120" w:type="dxa"/>
              <w:right w:w="120" w:type="dxa"/>
            </w:tcMar>
            <w:vAlign w:val="center"/>
          </w:tcPr>
          <w:p w14:paraId="7C135D63">
            <w:pPr>
              <w:keepNext/>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银龄互助、健康讲座等，每场参与人数≥39人</w:t>
            </w:r>
          </w:p>
        </w:tc>
      </w:tr>
    </w:tbl>
    <w:p w14:paraId="264556A4">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.3儿童福利与未成年人保护领域</w:t>
      </w:r>
    </w:p>
    <w:tbl>
      <w:tblPr>
        <w:tblStyle w:val="3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683"/>
        <w:gridCol w:w="2468"/>
        <w:gridCol w:w="4371"/>
      </w:tblGrid>
      <w:tr w14:paraId="4A94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1683" w:type="dxa"/>
            <w:tcBorders>
              <w:top w:val="single" w:color="4F81BD" w:sz="6" w:space="0"/>
              <w:left w:val="single" w:color="4F81BD" w:sz="6" w:space="0"/>
              <w:bottom w:val="single" w:color="4F81BD" w:sz="6" w:space="0"/>
              <w:right w:val="single" w:color="B8CCE4" w:sz="6" w:space="0"/>
            </w:tcBorders>
            <w:shd w:val="clear" w:color="auto" w:fill="4F81BD"/>
            <w:noWrap w:val="0"/>
            <w:tcMar>
              <w:top w:w="120" w:type="dxa"/>
              <w:left w:w="120" w:type="dxa"/>
              <w:bottom w:w="120" w:type="dxa"/>
              <w:right w:w="120" w:type="dxa"/>
            </w:tcMar>
            <w:vAlign w:val="center"/>
          </w:tcPr>
          <w:p w14:paraId="558F80DB">
            <w:pPr>
              <w:keepNext w:val="0"/>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服务项目</w:t>
            </w:r>
          </w:p>
        </w:tc>
        <w:tc>
          <w:tcPr>
            <w:tcW w:w="2468" w:type="dxa"/>
            <w:tcBorders>
              <w:top w:val="single" w:color="4F81BD" w:sz="6" w:space="0"/>
              <w:left w:val="single" w:color="B8CCE4" w:sz="6" w:space="0"/>
              <w:bottom w:val="single" w:color="4F81BD" w:sz="6" w:space="0"/>
              <w:right w:val="single" w:color="B8CCE4" w:sz="6" w:space="0"/>
            </w:tcBorders>
            <w:shd w:val="clear" w:color="auto" w:fill="4F81BD"/>
            <w:noWrap w:val="0"/>
            <w:tcMar>
              <w:top w:w="120" w:type="dxa"/>
              <w:left w:w="120" w:type="dxa"/>
              <w:bottom w:w="120" w:type="dxa"/>
              <w:right w:w="120" w:type="dxa"/>
            </w:tcMar>
            <w:vAlign w:val="center"/>
          </w:tcPr>
          <w:p w14:paraId="783101ED">
            <w:pPr>
              <w:keepNext w:val="0"/>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量化指标</w:t>
            </w:r>
          </w:p>
        </w:tc>
        <w:tc>
          <w:tcPr>
            <w:tcW w:w="4371" w:type="dxa"/>
            <w:tcBorders>
              <w:top w:val="single" w:color="4F81BD" w:sz="6" w:space="0"/>
              <w:left w:val="single" w:color="B8CCE4" w:sz="6" w:space="0"/>
              <w:bottom w:val="single" w:color="4F81BD" w:sz="6" w:space="0"/>
              <w:right w:val="single" w:color="4F81BD" w:sz="6" w:space="0"/>
            </w:tcBorders>
            <w:shd w:val="clear" w:color="auto" w:fill="4F81BD"/>
            <w:noWrap w:val="0"/>
            <w:tcMar>
              <w:top w:w="120" w:type="dxa"/>
              <w:left w:w="120" w:type="dxa"/>
              <w:bottom w:w="120" w:type="dxa"/>
              <w:right w:w="120" w:type="dxa"/>
            </w:tcMar>
            <w:vAlign w:val="center"/>
          </w:tcPr>
          <w:p w14:paraId="2B5235EE">
            <w:pPr>
              <w:keepNext w:val="0"/>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服务要求</w:t>
            </w:r>
          </w:p>
        </w:tc>
      </w:tr>
      <w:tr w14:paraId="72E0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83" w:type="dxa"/>
            <w:tcBorders>
              <w:top w:val="single" w:color="4F81BD"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494D02C2">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困境儿童入户核查</w:t>
            </w:r>
          </w:p>
        </w:tc>
        <w:tc>
          <w:tcPr>
            <w:tcW w:w="2468" w:type="dxa"/>
            <w:tcBorders>
              <w:top w:val="single" w:color="4F81BD"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717CFD1B">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不少于90名，全年不少于1076户次</w:t>
            </w:r>
          </w:p>
        </w:tc>
        <w:tc>
          <w:tcPr>
            <w:tcW w:w="4371" w:type="dxa"/>
            <w:tcBorders>
              <w:top w:val="single" w:color="4F81BD"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01DAAB84">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每月核查1次，单次服务时长≥40分钟，填写入户核查表</w:t>
            </w:r>
          </w:p>
        </w:tc>
      </w:tr>
      <w:tr w14:paraId="395F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83" w:type="dxa"/>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36692ACB">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档案管理</w:t>
            </w:r>
          </w:p>
        </w:tc>
        <w:tc>
          <w:tcPr>
            <w:tcW w:w="2468" w:type="dxa"/>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1FB7C234">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不少于89名</w:t>
            </w:r>
          </w:p>
        </w:tc>
        <w:tc>
          <w:tcPr>
            <w:tcW w:w="4371"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7771CB11">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规范整理困境儿童纸质档案，实行“一人一档”</w:t>
            </w:r>
          </w:p>
        </w:tc>
      </w:tr>
      <w:tr w14:paraId="6408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83" w:type="dxa"/>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205BB27E">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信息系统录入</w:t>
            </w:r>
          </w:p>
        </w:tc>
        <w:tc>
          <w:tcPr>
            <w:tcW w:w="2468" w:type="dxa"/>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35C43896">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不少于171条</w:t>
            </w:r>
          </w:p>
        </w:tc>
        <w:tc>
          <w:tcPr>
            <w:tcW w:w="4371"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1449C116">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金民工程系统数据录入准确无误</w:t>
            </w:r>
          </w:p>
        </w:tc>
      </w:tr>
      <w:tr w14:paraId="528C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83" w:type="dxa"/>
            <w:tcBorders>
              <w:top w:val="single" w:color="B8CCE4" w:sz="6" w:space="0"/>
              <w:left w:val="single" w:color="4F81BD" w:sz="6" w:space="0"/>
              <w:bottom w:val="single" w:color="4F81BD" w:sz="6" w:space="0"/>
              <w:right w:val="single" w:color="B8CCE4" w:sz="6" w:space="0"/>
            </w:tcBorders>
            <w:shd w:val="clear" w:color="auto" w:fill="FFFFFF"/>
            <w:noWrap w:val="0"/>
            <w:tcMar>
              <w:top w:w="120" w:type="dxa"/>
              <w:left w:w="120" w:type="dxa"/>
              <w:bottom w:w="120" w:type="dxa"/>
              <w:right w:w="120" w:type="dxa"/>
            </w:tcMar>
            <w:vAlign w:val="center"/>
          </w:tcPr>
          <w:p w14:paraId="29E6AAAF">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监护人培训</w:t>
            </w:r>
          </w:p>
        </w:tc>
        <w:tc>
          <w:tcPr>
            <w:tcW w:w="2468" w:type="dxa"/>
            <w:tcBorders>
              <w:top w:val="single" w:color="B8CCE4" w:sz="6" w:space="0"/>
              <w:left w:val="single" w:color="B8CCE4" w:sz="6" w:space="0"/>
              <w:bottom w:val="single" w:color="4F81BD" w:sz="6" w:space="0"/>
              <w:right w:val="single" w:color="B8CCE4" w:sz="6" w:space="0"/>
            </w:tcBorders>
            <w:shd w:val="clear" w:color="auto" w:fill="FFFFFF"/>
            <w:noWrap w:val="0"/>
            <w:tcMar>
              <w:top w:w="120" w:type="dxa"/>
              <w:left w:w="120" w:type="dxa"/>
              <w:bottom w:w="120" w:type="dxa"/>
              <w:right w:w="120" w:type="dxa"/>
            </w:tcMar>
            <w:vAlign w:val="center"/>
          </w:tcPr>
          <w:p w14:paraId="22A8D493">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不少于3场</w:t>
            </w:r>
          </w:p>
        </w:tc>
        <w:tc>
          <w:tcPr>
            <w:tcW w:w="4371" w:type="dxa"/>
            <w:tcBorders>
              <w:top w:val="single" w:color="B8CCE4" w:sz="6" w:space="0"/>
              <w:left w:val="single" w:color="B8CCE4" w:sz="6" w:space="0"/>
              <w:bottom w:val="single" w:color="4F81BD" w:sz="6" w:space="0"/>
              <w:right w:val="single" w:color="4F81BD" w:sz="6" w:space="0"/>
            </w:tcBorders>
            <w:shd w:val="clear" w:color="auto" w:fill="FFFFFF"/>
            <w:noWrap w:val="0"/>
            <w:tcMar>
              <w:top w:w="120" w:type="dxa"/>
              <w:left w:w="120" w:type="dxa"/>
              <w:bottom w:w="120" w:type="dxa"/>
              <w:right w:w="120" w:type="dxa"/>
            </w:tcMar>
            <w:vAlign w:val="center"/>
          </w:tcPr>
          <w:p w14:paraId="17F948FF">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监护能力提升培训，每场时长≥2小时，参与人数≥23人，留存培训课件及签到表</w:t>
            </w:r>
          </w:p>
        </w:tc>
      </w:tr>
    </w:tbl>
    <w:p w14:paraId="7C9EF7EF">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.4社会事务和福利领域</w:t>
      </w:r>
    </w:p>
    <w:tbl>
      <w:tblPr>
        <w:tblStyle w:val="3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248"/>
        <w:gridCol w:w="2534"/>
        <w:gridCol w:w="4740"/>
      </w:tblGrid>
      <w:tr w14:paraId="4F24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0" w:type="auto"/>
            <w:tcBorders>
              <w:top w:val="single" w:color="4F81BD" w:sz="6" w:space="0"/>
              <w:left w:val="single" w:color="4F81BD" w:sz="6" w:space="0"/>
              <w:bottom w:val="single" w:color="4F81BD" w:sz="6" w:space="0"/>
              <w:right w:val="single" w:color="B8CCE4" w:sz="6" w:space="0"/>
            </w:tcBorders>
            <w:shd w:val="clear" w:color="auto" w:fill="4F81BD"/>
            <w:noWrap w:val="0"/>
            <w:tcMar>
              <w:top w:w="120" w:type="dxa"/>
              <w:left w:w="120" w:type="dxa"/>
              <w:bottom w:w="120" w:type="dxa"/>
              <w:right w:w="120" w:type="dxa"/>
            </w:tcMar>
            <w:vAlign w:val="center"/>
          </w:tcPr>
          <w:p w14:paraId="56E1FFBB">
            <w:pPr>
              <w:keepNext/>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服务项目</w:t>
            </w:r>
          </w:p>
        </w:tc>
        <w:tc>
          <w:tcPr>
            <w:tcW w:w="0" w:type="auto"/>
            <w:tcBorders>
              <w:top w:val="single" w:color="4F81BD" w:sz="6" w:space="0"/>
              <w:left w:val="single" w:color="B8CCE4" w:sz="6" w:space="0"/>
              <w:bottom w:val="single" w:color="4F81BD" w:sz="6" w:space="0"/>
              <w:right w:val="single" w:color="B8CCE4" w:sz="6" w:space="0"/>
            </w:tcBorders>
            <w:shd w:val="clear" w:color="auto" w:fill="4F81BD"/>
            <w:noWrap w:val="0"/>
            <w:tcMar>
              <w:top w:w="120" w:type="dxa"/>
              <w:left w:w="120" w:type="dxa"/>
              <w:bottom w:w="120" w:type="dxa"/>
              <w:right w:w="120" w:type="dxa"/>
            </w:tcMar>
            <w:vAlign w:val="center"/>
          </w:tcPr>
          <w:p w14:paraId="300636AB">
            <w:pPr>
              <w:keepNext/>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量化指标</w:t>
            </w:r>
          </w:p>
        </w:tc>
        <w:tc>
          <w:tcPr>
            <w:tcW w:w="4740" w:type="dxa"/>
            <w:tcBorders>
              <w:top w:val="single" w:color="4F81BD" w:sz="6" w:space="0"/>
              <w:left w:val="single" w:color="B8CCE4" w:sz="6" w:space="0"/>
              <w:bottom w:val="single" w:color="4F81BD" w:sz="6" w:space="0"/>
              <w:right w:val="single" w:color="4F81BD" w:sz="6" w:space="0"/>
            </w:tcBorders>
            <w:shd w:val="clear" w:color="auto" w:fill="4F81BD"/>
            <w:noWrap w:val="0"/>
            <w:tcMar>
              <w:top w:w="120" w:type="dxa"/>
              <w:left w:w="120" w:type="dxa"/>
              <w:bottom w:w="120" w:type="dxa"/>
              <w:right w:w="120" w:type="dxa"/>
            </w:tcMar>
            <w:vAlign w:val="center"/>
          </w:tcPr>
          <w:p w14:paraId="3805EDEF">
            <w:pPr>
              <w:keepNext/>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服务要求</w:t>
            </w:r>
          </w:p>
        </w:tc>
      </w:tr>
      <w:tr w14:paraId="1020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4F81BD"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3E98063C">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残疾人需求评估</w:t>
            </w:r>
          </w:p>
        </w:tc>
        <w:tc>
          <w:tcPr>
            <w:tcW w:w="0" w:type="auto"/>
            <w:tcBorders>
              <w:top w:val="single" w:color="4F81BD"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4FCAD2DE">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不少于272名残疾人（含精神障碍患者）</w:t>
            </w:r>
          </w:p>
        </w:tc>
        <w:tc>
          <w:tcPr>
            <w:tcW w:w="4740" w:type="dxa"/>
            <w:tcBorders>
              <w:top w:val="single" w:color="4F81BD"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7830E042">
            <w:pPr>
              <w:keepNext/>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出具个性化需求评估报告，报告合格率100%</w:t>
            </w:r>
          </w:p>
        </w:tc>
      </w:tr>
      <w:tr w14:paraId="2F58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3CF0C82D">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康复转介服务</w:t>
            </w:r>
          </w:p>
        </w:tc>
        <w:tc>
          <w:tcPr>
            <w:tcW w:w="0" w:type="auto"/>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4B97D90F">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不少于272名残疾人（含精神障碍患者）</w:t>
            </w:r>
          </w:p>
        </w:tc>
        <w:tc>
          <w:tcPr>
            <w:tcW w:w="4740"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6DC2F479">
            <w:pPr>
              <w:keepNext/>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精准链接医疗、康复机构资源，转介成功率≥85%，全程跟踪回访并记录</w:t>
            </w:r>
          </w:p>
        </w:tc>
      </w:tr>
      <w:tr w14:paraId="60CF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5F7F9961">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社会融入支持</w:t>
            </w:r>
          </w:p>
        </w:tc>
        <w:tc>
          <w:tcPr>
            <w:tcW w:w="0" w:type="auto"/>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28F4AE54">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按需提供</w:t>
            </w:r>
          </w:p>
        </w:tc>
        <w:tc>
          <w:tcPr>
            <w:tcW w:w="4740"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79AA3E8D">
            <w:pPr>
              <w:keepNext/>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开展生活技能培训、社交能力提升、就业资源链接、同伴支持等服务</w:t>
            </w:r>
          </w:p>
        </w:tc>
      </w:tr>
      <w:tr w14:paraId="143D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18EA538B">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流浪乞讨人员救助</w:t>
            </w:r>
          </w:p>
        </w:tc>
        <w:tc>
          <w:tcPr>
            <w:tcW w:w="0" w:type="auto"/>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2D8EFBEF">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不少于47人次</w:t>
            </w:r>
          </w:p>
        </w:tc>
        <w:tc>
          <w:tcPr>
            <w:tcW w:w="4740"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6591B999">
            <w:pPr>
              <w:keepNext/>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协助寻亲、临时安置，建立完整救助台账，成功安置率100%</w:t>
            </w:r>
          </w:p>
        </w:tc>
      </w:tr>
      <w:tr w14:paraId="1F19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0F2C56B6">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惠民政策宣传</w:t>
            </w:r>
          </w:p>
        </w:tc>
        <w:tc>
          <w:tcPr>
            <w:tcW w:w="0" w:type="auto"/>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043402C3">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不少于11场</w:t>
            </w:r>
          </w:p>
        </w:tc>
        <w:tc>
          <w:tcPr>
            <w:tcW w:w="4740"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45240974">
            <w:pPr>
              <w:keepNext/>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含惠民殡葬、婚姻改革政策，每场覆盖≥5个社区，发放材料≥388份</w:t>
            </w:r>
          </w:p>
        </w:tc>
      </w:tr>
      <w:tr w14:paraId="7D8E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1C0112B4">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婚姻家庭辅导</w:t>
            </w:r>
          </w:p>
        </w:tc>
        <w:tc>
          <w:tcPr>
            <w:tcW w:w="0" w:type="auto"/>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387B28F8">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不少于39对夫妻</w:t>
            </w:r>
          </w:p>
        </w:tc>
        <w:tc>
          <w:tcPr>
            <w:tcW w:w="4740"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21F091FD">
            <w:pPr>
              <w:keepNext/>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提供婚前辅导与矛盾调解，服务满意度≥85%</w:t>
            </w:r>
          </w:p>
        </w:tc>
      </w:tr>
      <w:tr w14:paraId="6D72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248" w:type="dxa"/>
            <w:tcBorders>
              <w:top w:val="single" w:color="B8CCE4" w:sz="6" w:space="0"/>
              <w:left w:val="single" w:color="4F81BD" w:sz="6" w:space="0"/>
              <w:bottom w:val="single" w:color="4F81BD" w:sz="6" w:space="0"/>
              <w:right w:val="single" w:color="B8CCE4" w:sz="6" w:space="0"/>
            </w:tcBorders>
            <w:shd w:val="clear" w:color="auto" w:fill="FFFFFF"/>
            <w:noWrap w:val="0"/>
            <w:tcMar>
              <w:top w:w="120" w:type="dxa"/>
              <w:left w:w="120" w:type="dxa"/>
              <w:bottom w:w="120" w:type="dxa"/>
              <w:right w:w="120" w:type="dxa"/>
            </w:tcMar>
            <w:vAlign w:val="center"/>
          </w:tcPr>
          <w:p w14:paraId="14E0C25C">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殡葬服务协助</w:t>
            </w:r>
          </w:p>
        </w:tc>
        <w:tc>
          <w:tcPr>
            <w:tcW w:w="2534" w:type="dxa"/>
            <w:tcBorders>
              <w:top w:val="single" w:color="B8CCE4" w:sz="6" w:space="0"/>
              <w:left w:val="single" w:color="B8CCE4" w:sz="6" w:space="0"/>
              <w:bottom w:val="single" w:color="4F81BD" w:sz="6" w:space="0"/>
              <w:right w:val="single" w:color="B8CCE4" w:sz="6" w:space="0"/>
            </w:tcBorders>
            <w:shd w:val="clear" w:color="auto" w:fill="FFFFFF"/>
            <w:noWrap w:val="0"/>
            <w:tcMar>
              <w:top w:w="120" w:type="dxa"/>
              <w:left w:w="120" w:type="dxa"/>
              <w:bottom w:w="120" w:type="dxa"/>
              <w:right w:w="120" w:type="dxa"/>
            </w:tcMar>
            <w:vAlign w:val="center"/>
          </w:tcPr>
          <w:p w14:paraId="007C97A4">
            <w:pPr>
              <w:keepNext/>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全年</w:t>
            </w:r>
          </w:p>
        </w:tc>
        <w:tc>
          <w:tcPr>
            <w:tcW w:w="4740" w:type="dxa"/>
            <w:tcBorders>
              <w:top w:val="single" w:color="B8CCE4" w:sz="6" w:space="0"/>
              <w:left w:val="single" w:color="B8CCE4" w:sz="6" w:space="0"/>
              <w:bottom w:val="single" w:color="4F81BD" w:sz="6" w:space="0"/>
              <w:right w:val="single" w:color="4F81BD" w:sz="6" w:space="0"/>
            </w:tcBorders>
            <w:shd w:val="clear" w:color="auto" w:fill="FFFFFF"/>
            <w:noWrap w:val="0"/>
            <w:tcMar>
              <w:top w:w="120" w:type="dxa"/>
              <w:left w:w="120" w:type="dxa"/>
              <w:bottom w:w="120" w:type="dxa"/>
              <w:right w:w="120" w:type="dxa"/>
            </w:tcMar>
            <w:vAlign w:val="center"/>
          </w:tcPr>
          <w:p w14:paraId="1E784203">
            <w:pPr>
              <w:keepNext/>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协助寒衣节、清明节重点时段殡葬服务保障及秩序维护，开展“鲜花换火种”等活动</w:t>
            </w:r>
          </w:p>
        </w:tc>
      </w:tr>
    </w:tbl>
    <w:p w14:paraId="2A34AC7C">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.5其他服务领域</w:t>
      </w:r>
    </w:p>
    <w:tbl>
      <w:tblPr>
        <w:tblStyle w:val="3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232"/>
        <w:gridCol w:w="1679"/>
        <w:gridCol w:w="5611"/>
      </w:tblGrid>
      <w:tr w14:paraId="5E14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0" w:type="auto"/>
            <w:tcBorders>
              <w:top w:val="single" w:color="4F81BD" w:sz="6" w:space="0"/>
              <w:left w:val="single" w:color="4F81BD" w:sz="6" w:space="0"/>
              <w:bottom w:val="single" w:color="4F81BD" w:sz="6" w:space="0"/>
              <w:right w:val="single" w:color="B8CCE4" w:sz="6" w:space="0"/>
            </w:tcBorders>
            <w:shd w:val="clear" w:color="auto" w:fill="4F81BD"/>
            <w:noWrap w:val="0"/>
            <w:tcMar>
              <w:top w:w="120" w:type="dxa"/>
              <w:left w:w="120" w:type="dxa"/>
              <w:bottom w:w="120" w:type="dxa"/>
              <w:right w:w="120" w:type="dxa"/>
            </w:tcMar>
            <w:vAlign w:val="center"/>
          </w:tcPr>
          <w:p w14:paraId="2A23B256">
            <w:pPr>
              <w:keepNext w:val="0"/>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服务项目</w:t>
            </w:r>
          </w:p>
        </w:tc>
        <w:tc>
          <w:tcPr>
            <w:tcW w:w="1679" w:type="dxa"/>
            <w:tcBorders>
              <w:top w:val="single" w:color="4F81BD" w:sz="6" w:space="0"/>
              <w:left w:val="single" w:color="B8CCE4" w:sz="6" w:space="0"/>
              <w:bottom w:val="single" w:color="4F81BD" w:sz="6" w:space="0"/>
              <w:right w:val="single" w:color="B8CCE4" w:sz="6" w:space="0"/>
            </w:tcBorders>
            <w:shd w:val="clear" w:color="auto" w:fill="4F81BD"/>
            <w:noWrap w:val="0"/>
            <w:tcMar>
              <w:top w:w="120" w:type="dxa"/>
              <w:left w:w="120" w:type="dxa"/>
              <w:bottom w:w="120" w:type="dxa"/>
              <w:right w:w="120" w:type="dxa"/>
            </w:tcMar>
            <w:vAlign w:val="center"/>
          </w:tcPr>
          <w:p w14:paraId="732D505F">
            <w:pPr>
              <w:keepNext w:val="0"/>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量化指标</w:t>
            </w:r>
          </w:p>
        </w:tc>
        <w:tc>
          <w:tcPr>
            <w:tcW w:w="5611" w:type="dxa"/>
            <w:tcBorders>
              <w:top w:val="single" w:color="4F81BD" w:sz="6" w:space="0"/>
              <w:left w:val="single" w:color="B8CCE4" w:sz="6" w:space="0"/>
              <w:bottom w:val="single" w:color="4F81BD" w:sz="6" w:space="0"/>
              <w:right w:val="single" w:color="4F81BD" w:sz="6" w:space="0"/>
            </w:tcBorders>
            <w:shd w:val="clear" w:color="auto" w:fill="4F81BD"/>
            <w:noWrap w:val="0"/>
            <w:tcMar>
              <w:top w:w="120" w:type="dxa"/>
              <w:left w:w="120" w:type="dxa"/>
              <w:bottom w:w="120" w:type="dxa"/>
              <w:right w:w="120" w:type="dxa"/>
            </w:tcMar>
            <w:vAlign w:val="center"/>
          </w:tcPr>
          <w:p w14:paraId="2E98C816">
            <w:pPr>
              <w:keepNext w:val="0"/>
              <w:keepLines w:val="0"/>
              <w:widowControl/>
              <w:suppressLineNumbers w:val="0"/>
              <w:snapToGrid w:val="0"/>
              <w:ind w:left="0" w:leftChars="0" w:right="0" w:rightChars="0" w:firstLine="0" w:firstLineChars="0"/>
              <w:jc w:val="center"/>
              <w:rPr>
                <w:rFonts w:hint="eastAsia" w:ascii="仿宋" w:hAnsi="仿宋" w:eastAsia="仿宋" w:cs="仿宋"/>
                <w:b/>
                <w:bCs/>
                <w:i w:val="0"/>
                <w:color w:val="FFFFFF"/>
                <w:sz w:val="24"/>
                <w:szCs w:val="24"/>
                <w:highlight w:val="none"/>
              </w:rPr>
            </w:pPr>
            <w:r>
              <w:rPr>
                <w:rFonts w:hint="eastAsia" w:ascii="仿宋" w:hAnsi="仿宋" w:eastAsia="仿宋" w:cs="仿宋"/>
                <w:b/>
                <w:bCs/>
                <w:i w:val="0"/>
                <w:color w:val="FFFFFF"/>
                <w:kern w:val="0"/>
                <w:sz w:val="24"/>
                <w:szCs w:val="24"/>
                <w:highlight w:val="none"/>
                <w:lang w:val="en-US" w:eastAsia="zh-CN" w:bidi="ar"/>
              </w:rPr>
              <w:t>服务要求</w:t>
            </w:r>
          </w:p>
        </w:tc>
      </w:tr>
      <w:tr w14:paraId="2F92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4F81BD"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33C77CFB">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日常运营保障</w:t>
            </w:r>
          </w:p>
        </w:tc>
        <w:tc>
          <w:tcPr>
            <w:tcW w:w="1679" w:type="dxa"/>
            <w:tcBorders>
              <w:top w:val="single" w:color="4F81BD"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74EEBF88">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9个民政服务站全年</w:t>
            </w:r>
          </w:p>
        </w:tc>
        <w:tc>
          <w:tcPr>
            <w:tcW w:w="5611" w:type="dxa"/>
            <w:tcBorders>
              <w:top w:val="single" w:color="4F81BD"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6EA96602">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办公耗材等必要支出，单独建账核算</w:t>
            </w:r>
          </w:p>
        </w:tc>
      </w:tr>
      <w:tr w14:paraId="25B8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7E246645">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专业化个案服务</w:t>
            </w:r>
          </w:p>
        </w:tc>
        <w:tc>
          <w:tcPr>
            <w:tcW w:w="1679" w:type="dxa"/>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6236BF37">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不少于39例</w:t>
            </w:r>
          </w:p>
        </w:tc>
        <w:tc>
          <w:tcPr>
            <w:tcW w:w="5611"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521B4C3A">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每例服务≥4次，单次时长≥60分钟，含情绪疏导、精神抚慰、危机干预，个案记录完整规范</w:t>
            </w:r>
          </w:p>
        </w:tc>
      </w:tr>
      <w:tr w14:paraId="1D593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36553E23">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小组支持服务</w:t>
            </w:r>
          </w:p>
        </w:tc>
        <w:tc>
          <w:tcPr>
            <w:tcW w:w="1679" w:type="dxa"/>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3F8352B3">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不少于6场</w:t>
            </w:r>
          </w:p>
        </w:tc>
        <w:tc>
          <w:tcPr>
            <w:tcW w:w="5611"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5BF9E90E">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社会支持网络建设小组，每场参与人数≥10人，参与稳定率≥80%</w:t>
            </w:r>
          </w:p>
        </w:tc>
      </w:tr>
      <w:tr w14:paraId="2E0E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216C756A">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慈善宣传活动</w:t>
            </w:r>
          </w:p>
        </w:tc>
        <w:tc>
          <w:tcPr>
            <w:tcW w:w="1679" w:type="dxa"/>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231F85B8">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不少于4场</w:t>
            </w:r>
          </w:p>
        </w:tc>
        <w:tc>
          <w:tcPr>
            <w:tcW w:w="5611"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0F194B9F">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中华慈善日、公益开放日等，每场参与人数≥39人，留存活动照片及签到表</w:t>
            </w:r>
          </w:p>
        </w:tc>
      </w:tr>
      <w:tr w14:paraId="540D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475E579C">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志愿服务项目运营</w:t>
            </w:r>
          </w:p>
        </w:tc>
        <w:tc>
          <w:tcPr>
            <w:tcW w:w="1679" w:type="dxa"/>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54E47C0C">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不少于1个</w:t>
            </w:r>
          </w:p>
        </w:tc>
        <w:tc>
          <w:tcPr>
            <w:tcW w:w="5611"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3DE26E69">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项目周期≥6个月，负责志愿者招募、培训及活动组织，注册志愿者≥20人</w:t>
            </w:r>
          </w:p>
        </w:tc>
      </w:tr>
      <w:tr w14:paraId="35D7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0" w:type="auto"/>
            <w:tcBorders>
              <w:top w:val="single" w:color="B8CCE4" w:sz="6" w:space="0"/>
              <w:left w:val="single" w:color="4F81BD"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7BDEC776">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死亡人口信息管理</w:t>
            </w:r>
          </w:p>
        </w:tc>
        <w:tc>
          <w:tcPr>
            <w:tcW w:w="1679" w:type="dxa"/>
            <w:tcBorders>
              <w:top w:val="single" w:color="B8CCE4" w:sz="6" w:space="0"/>
              <w:left w:val="single" w:color="B8CCE4" w:sz="6" w:space="0"/>
              <w:bottom w:val="single" w:color="B8CCE4" w:sz="6" w:space="0"/>
              <w:right w:val="single" w:color="B8CCE4" w:sz="6" w:space="0"/>
            </w:tcBorders>
            <w:shd w:val="clear" w:color="auto" w:fill="FFFFFF"/>
            <w:noWrap w:val="0"/>
            <w:tcMar>
              <w:top w:w="120" w:type="dxa"/>
              <w:left w:w="120" w:type="dxa"/>
              <w:bottom w:w="120" w:type="dxa"/>
              <w:right w:w="120" w:type="dxa"/>
            </w:tcMar>
            <w:vAlign w:val="center"/>
          </w:tcPr>
          <w:p w14:paraId="4A8FC1D2">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全年</w:t>
            </w:r>
          </w:p>
        </w:tc>
        <w:tc>
          <w:tcPr>
            <w:tcW w:w="5611" w:type="dxa"/>
            <w:tcBorders>
              <w:top w:val="single" w:color="B8CCE4" w:sz="6" w:space="0"/>
              <w:left w:val="single" w:color="B8CCE4" w:sz="6" w:space="0"/>
              <w:bottom w:val="single" w:color="B8CCE4" w:sz="6" w:space="0"/>
              <w:right w:val="single" w:color="4F81BD" w:sz="6" w:space="0"/>
            </w:tcBorders>
            <w:shd w:val="clear" w:color="auto" w:fill="FFFFFF"/>
            <w:noWrap w:val="0"/>
            <w:tcMar>
              <w:top w:w="120" w:type="dxa"/>
              <w:left w:w="120" w:type="dxa"/>
              <w:bottom w:w="120" w:type="dxa"/>
              <w:right w:w="120" w:type="dxa"/>
            </w:tcMar>
            <w:vAlign w:val="center"/>
          </w:tcPr>
          <w:p w14:paraId="3DA36FDF">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与公安、卫健部门数据比对，入户核实疑似未注销户籍的死亡人员信息；建立动态死亡人口数据库，关联低保、特困、高龄等兜底保障对象信息；协助核查兜底保障资金发放对象的生存状态</w:t>
            </w:r>
          </w:p>
        </w:tc>
      </w:tr>
      <w:tr w14:paraId="2EFF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232" w:type="dxa"/>
            <w:tcBorders>
              <w:top w:val="single" w:color="B8CCE4" w:sz="6" w:space="0"/>
              <w:left w:val="single" w:color="4F81BD" w:sz="6" w:space="0"/>
              <w:bottom w:val="single" w:color="4F81BD" w:sz="6" w:space="0"/>
              <w:right w:val="single" w:color="B8CCE4" w:sz="6" w:space="0"/>
            </w:tcBorders>
            <w:shd w:val="clear" w:color="auto" w:fill="FFFFFF"/>
            <w:noWrap w:val="0"/>
            <w:tcMar>
              <w:top w:w="120" w:type="dxa"/>
              <w:left w:w="120" w:type="dxa"/>
              <w:bottom w:w="120" w:type="dxa"/>
              <w:right w:w="120" w:type="dxa"/>
            </w:tcMar>
            <w:vAlign w:val="center"/>
          </w:tcPr>
          <w:p w14:paraId="5BDAD3C8">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其他事务性工作</w:t>
            </w:r>
          </w:p>
        </w:tc>
        <w:tc>
          <w:tcPr>
            <w:tcW w:w="1679" w:type="dxa"/>
            <w:tcBorders>
              <w:top w:val="single" w:color="B8CCE4" w:sz="6" w:space="0"/>
              <w:left w:val="single" w:color="B8CCE4" w:sz="6" w:space="0"/>
              <w:bottom w:val="single" w:color="4F81BD" w:sz="6" w:space="0"/>
              <w:right w:val="single" w:color="B8CCE4" w:sz="6" w:space="0"/>
            </w:tcBorders>
            <w:shd w:val="clear" w:color="auto" w:fill="FFFFFF"/>
            <w:noWrap w:val="0"/>
            <w:tcMar>
              <w:top w:w="120" w:type="dxa"/>
              <w:left w:w="120" w:type="dxa"/>
              <w:bottom w:w="120" w:type="dxa"/>
              <w:right w:w="120" w:type="dxa"/>
            </w:tcMar>
            <w:vAlign w:val="center"/>
          </w:tcPr>
          <w:p w14:paraId="320DA053">
            <w:pPr>
              <w:keepNext w:val="0"/>
              <w:keepLines w:val="0"/>
              <w:widowControl/>
              <w:suppressLineNumbers w:val="0"/>
              <w:snapToGrid w:val="0"/>
              <w:ind w:left="0" w:leftChars="0" w:right="0" w:rightChars="0" w:firstLine="0" w:firstLineChars="0"/>
              <w:jc w:val="center"/>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按需完成</w:t>
            </w:r>
          </w:p>
        </w:tc>
        <w:tc>
          <w:tcPr>
            <w:tcW w:w="5611" w:type="dxa"/>
            <w:tcBorders>
              <w:top w:val="single" w:color="B8CCE4" w:sz="6" w:space="0"/>
              <w:left w:val="single" w:color="B8CCE4" w:sz="6" w:space="0"/>
              <w:bottom w:val="single" w:color="4F81BD" w:sz="6" w:space="0"/>
              <w:right w:val="single" w:color="4F81BD" w:sz="6" w:space="0"/>
            </w:tcBorders>
            <w:shd w:val="clear" w:color="auto" w:fill="FFFFFF"/>
            <w:noWrap w:val="0"/>
            <w:tcMar>
              <w:top w:w="120" w:type="dxa"/>
              <w:left w:w="120" w:type="dxa"/>
              <w:bottom w:w="120" w:type="dxa"/>
              <w:right w:w="120" w:type="dxa"/>
            </w:tcMar>
            <w:vAlign w:val="center"/>
          </w:tcPr>
          <w:p w14:paraId="2914A802">
            <w:pPr>
              <w:keepNext w:val="0"/>
              <w:keepLines w:val="0"/>
              <w:widowControl/>
              <w:suppressLineNumbers w:val="0"/>
              <w:snapToGrid w:val="0"/>
              <w:ind w:left="0" w:leftChars="0" w:right="0" w:rightChars="0" w:firstLine="0" w:firstLineChars="0"/>
              <w:jc w:val="left"/>
              <w:rPr>
                <w:rFonts w:hint="eastAsia" w:ascii="仿宋" w:hAnsi="仿宋" w:eastAsia="仿宋" w:cs="仿宋"/>
                <w:b w:val="0"/>
                <w:i w:val="0"/>
                <w:color w:val="000000"/>
                <w:sz w:val="24"/>
                <w:szCs w:val="24"/>
                <w:highlight w:val="none"/>
              </w:rPr>
            </w:pPr>
            <w:r>
              <w:rPr>
                <w:rFonts w:hint="eastAsia" w:ascii="仿宋" w:hAnsi="仿宋" w:eastAsia="仿宋" w:cs="仿宋"/>
                <w:b w:val="0"/>
                <w:i w:val="0"/>
                <w:color w:val="000000"/>
                <w:kern w:val="0"/>
                <w:sz w:val="24"/>
                <w:szCs w:val="24"/>
                <w:highlight w:val="none"/>
                <w:lang w:val="en-US" w:eastAsia="zh-CN" w:bidi="ar"/>
              </w:rPr>
              <w:t>采购单位交办的其他符合政府购买服务范围的辅助性工作</w:t>
            </w:r>
          </w:p>
        </w:tc>
      </w:tr>
    </w:tbl>
    <w:p w14:paraId="138944AA">
      <w:pPr>
        <w:keepNext w:val="0"/>
        <w:keepLines w:val="0"/>
        <w:pageBreakBefore w:val="0"/>
        <w:widowControl w:val="0"/>
        <w:kinsoku/>
        <w:wordWrap/>
        <w:overflowPunct/>
        <w:topLinePunct w:val="0"/>
        <w:autoSpaceDE/>
        <w:autoSpaceDN/>
        <w:bidi w:val="0"/>
        <w:adjustRightInd/>
        <w:snapToGrid/>
        <w:spacing w:line="580" w:lineRule="exact"/>
        <w:ind w:firstLine="478" w:firstLineChars="200"/>
        <w:textAlignment w:val="auto"/>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lang w:val="en-US" w:eastAsia="zh-CN"/>
        </w:rPr>
        <w:t xml:space="preserve">七 </w:t>
      </w:r>
      <w:r>
        <w:rPr>
          <w:rFonts w:hint="eastAsia" w:ascii="仿宋" w:hAnsi="仿宋" w:eastAsia="仿宋" w:cs="仿宋"/>
          <w:b/>
          <w:bCs/>
          <w:spacing w:val="-1"/>
          <w:sz w:val="24"/>
          <w:szCs w:val="24"/>
          <w:highlight w:val="none"/>
        </w:rPr>
        <w:t>验收标准</w:t>
      </w:r>
    </w:p>
    <w:p w14:paraId="27633DBC">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7</w:t>
      </w:r>
      <w:r>
        <w:rPr>
          <w:rFonts w:hint="eastAsia" w:ascii="仿宋" w:hAnsi="仿宋" w:eastAsia="仿宋" w:cs="仿宋"/>
          <w:spacing w:val="-1"/>
          <w:sz w:val="24"/>
          <w:szCs w:val="24"/>
          <w:highlight w:val="none"/>
        </w:rPr>
        <w:t>.1验收方式</w:t>
      </w:r>
    </w:p>
    <w:p w14:paraId="3ECD5872">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1"/>
          <w:sz w:val="24"/>
          <w:szCs w:val="24"/>
          <w:highlight w:val="none"/>
        </w:rPr>
        <w:t>中期验收：服务期第6个月后的5个工作日内，中标方应向采购单位提交中期验收申请及完整的中期服务资料，资料包括但不限于服务台账、服务档案、财务凭证、服务进度报告等相关材料。采购单位收到申请及资料后，将委托具备社会工作服务评估资质的第三方机构开展独立中期评估工作，本次</w:t>
      </w:r>
      <w:r>
        <w:rPr>
          <w:rFonts w:hint="eastAsia" w:ascii="仿宋" w:hAnsi="仿宋" w:eastAsia="仿宋" w:cs="仿宋"/>
          <w:spacing w:val="-1"/>
          <w:sz w:val="24"/>
          <w:szCs w:val="24"/>
          <w:highlight w:val="none"/>
          <w:lang w:val="en-US" w:eastAsia="zh-CN"/>
        </w:rPr>
        <w:t>及末期</w:t>
      </w:r>
      <w:r>
        <w:rPr>
          <w:rFonts w:hint="eastAsia" w:ascii="仿宋" w:hAnsi="仿宋" w:eastAsia="仿宋" w:cs="仿宋"/>
          <w:spacing w:val="-1"/>
          <w:sz w:val="24"/>
          <w:szCs w:val="24"/>
          <w:highlight w:val="none"/>
        </w:rPr>
        <w:t>聘请第三方评估机构产生的全部费用已包含在本项目中标价格中，采购单位不再另行支付。评估内容包括项目量化指标完成情况、服务质量达标情况、经费使用合规性、人员到岗情况及服务对象满意度等。第三方机构出具的正式评估报告作为中期进度款支付的唯一依据。</w:t>
      </w:r>
    </w:p>
    <w:p w14:paraId="6948BED6">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2.</w:t>
      </w:r>
      <w:r>
        <w:rPr>
          <w:rFonts w:hint="eastAsia" w:ascii="仿宋" w:hAnsi="仿宋" w:eastAsia="仿宋" w:cs="仿宋"/>
          <w:spacing w:val="-1"/>
          <w:sz w:val="24"/>
          <w:szCs w:val="24"/>
          <w:highlight w:val="none"/>
        </w:rPr>
        <w:t>最终验收：服务期第12个月后15个工作日内，中标方提交最终验收申请及全套服务资料，由第三方机构出具的正式评估报告作为</w:t>
      </w:r>
      <w:r>
        <w:rPr>
          <w:rFonts w:hint="eastAsia" w:ascii="仿宋" w:hAnsi="仿宋" w:eastAsia="仿宋" w:cs="仿宋"/>
          <w:spacing w:val="-1"/>
          <w:sz w:val="24"/>
          <w:szCs w:val="24"/>
          <w:highlight w:val="none"/>
          <w:lang w:val="en-US" w:eastAsia="zh-CN"/>
        </w:rPr>
        <w:t>末</w:t>
      </w:r>
      <w:r>
        <w:rPr>
          <w:rFonts w:hint="eastAsia" w:ascii="仿宋" w:hAnsi="仿宋" w:eastAsia="仿宋" w:cs="仿宋"/>
          <w:spacing w:val="-1"/>
          <w:sz w:val="24"/>
          <w:szCs w:val="24"/>
          <w:highlight w:val="none"/>
        </w:rPr>
        <w:t>期进度款支付的唯一依据。</w:t>
      </w:r>
    </w:p>
    <w:p w14:paraId="439FC962">
      <w:pPr>
        <w:keepNext w:val="0"/>
        <w:keepLines w:val="0"/>
        <w:pageBreakBefore w:val="0"/>
        <w:widowControl w:val="0"/>
        <w:kinsoku/>
        <w:wordWrap/>
        <w:overflowPunct/>
        <w:topLinePunct w:val="0"/>
        <w:autoSpaceDE/>
        <w:autoSpaceDN/>
        <w:bidi w:val="0"/>
        <w:adjustRightInd/>
        <w:snapToGrid/>
        <w:spacing w:line="580" w:lineRule="exact"/>
        <w:ind w:firstLine="478" w:firstLineChars="200"/>
        <w:textAlignment w:val="auto"/>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lang w:val="en-US" w:eastAsia="zh-CN"/>
        </w:rPr>
        <w:t>7</w:t>
      </w:r>
      <w:r>
        <w:rPr>
          <w:rFonts w:hint="eastAsia" w:ascii="仿宋" w:hAnsi="仿宋" w:eastAsia="仿宋" w:cs="仿宋"/>
          <w:b/>
          <w:bCs/>
          <w:spacing w:val="-1"/>
          <w:sz w:val="24"/>
          <w:szCs w:val="24"/>
          <w:highlight w:val="none"/>
        </w:rPr>
        <w:t>.2验收合格标准</w:t>
      </w:r>
    </w:p>
    <w:p w14:paraId="7551B5A8">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1"/>
          <w:sz w:val="24"/>
          <w:szCs w:val="24"/>
          <w:highlight w:val="none"/>
        </w:rPr>
        <w:t>所有量化服务指标完成率≥100%</w:t>
      </w:r>
      <w:r>
        <w:rPr>
          <w:rFonts w:hint="eastAsia" w:ascii="仿宋" w:hAnsi="仿宋" w:eastAsia="仿宋" w:cs="仿宋"/>
          <w:spacing w:val="-1"/>
          <w:sz w:val="24"/>
          <w:szCs w:val="24"/>
          <w:highlight w:val="none"/>
          <w:lang w:eastAsia="zh-CN"/>
        </w:rPr>
        <w:t>；</w:t>
      </w:r>
    </w:p>
    <w:p w14:paraId="4BDBCF64">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val="en-US" w:eastAsia="zh-CN"/>
        </w:rPr>
        <w:t>2.</w:t>
      </w:r>
      <w:r>
        <w:rPr>
          <w:rFonts w:hint="eastAsia" w:ascii="仿宋" w:hAnsi="仿宋" w:eastAsia="仿宋" w:cs="仿宋"/>
          <w:spacing w:val="-1"/>
          <w:sz w:val="24"/>
          <w:szCs w:val="24"/>
          <w:highlight w:val="none"/>
        </w:rPr>
        <w:t>入户核查数据准确率≥99%，信息系统录入准确率100%</w:t>
      </w:r>
      <w:r>
        <w:rPr>
          <w:rFonts w:hint="eastAsia" w:ascii="仿宋" w:hAnsi="仿宋" w:eastAsia="仿宋" w:cs="仿宋"/>
          <w:spacing w:val="-1"/>
          <w:sz w:val="24"/>
          <w:szCs w:val="24"/>
          <w:highlight w:val="none"/>
          <w:lang w:eastAsia="zh-CN"/>
        </w:rPr>
        <w:t>；</w:t>
      </w:r>
    </w:p>
    <w:p w14:paraId="3D639B61">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3.</w:t>
      </w:r>
      <w:r>
        <w:rPr>
          <w:rFonts w:hint="eastAsia" w:ascii="仿宋" w:hAnsi="仿宋" w:eastAsia="仿宋" w:cs="仿宋"/>
          <w:spacing w:val="-1"/>
          <w:sz w:val="24"/>
          <w:szCs w:val="24"/>
          <w:highlight w:val="none"/>
        </w:rPr>
        <w:t>服务档案完整规范，可追溯、可核查，档案归档率100%</w:t>
      </w:r>
    </w:p>
    <w:p w14:paraId="381214FF">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val="en-US" w:eastAsia="zh-CN"/>
        </w:rPr>
        <w:t>4.</w:t>
      </w:r>
      <w:r>
        <w:rPr>
          <w:rFonts w:hint="eastAsia" w:ascii="仿宋" w:hAnsi="仿宋" w:eastAsia="仿宋" w:cs="仿宋"/>
          <w:spacing w:val="-1"/>
          <w:sz w:val="24"/>
          <w:szCs w:val="24"/>
          <w:highlight w:val="none"/>
        </w:rPr>
        <w:t>经费使用符合预算要求，财务账目清晰，无违规违纪情况</w:t>
      </w:r>
      <w:r>
        <w:rPr>
          <w:rFonts w:hint="eastAsia" w:ascii="仿宋" w:hAnsi="仿宋" w:eastAsia="仿宋" w:cs="仿宋"/>
          <w:spacing w:val="-1"/>
          <w:sz w:val="24"/>
          <w:szCs w:val="24"/>
          <w:highlight w:val="none"/>
          <w:lang w:eastAsia="zh-CN"/>
        </w:rPr>
        <w:t>；</w:t>
      </w:r>
    </w:p>
    <w:p w14:paraId="6C0531B4">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val="en-US" w:eastAsia="zh-CN"/>
        </w:rPr>
        <w:t>5.</w:t>
      </w:r>
      <w:r>
        <w:rPr>
          <w:rFonts w:hint="eastAsia" w:ascii="仿宋" w:hAnsi="仿宋" w:eastAsia="仿宋" w:cs="仿宋"/>
          <w:spacing w:val="-1"/>
          <w:sz w:val="24"/>
          <w:szCs w:val="24"/>
          <w:highlight w:val="none"/>
        </w:rPr>
        <w:t>无重大安全事故及有效服务投诉</w:t>
      </w:r>
      <w:r>
        <w:rPr>
          <w:rFonts w:hint="eastAsia" w:ascii="仿宋" w:hAnsi="仿宋" w:eastAsia="仿宋" w:cs="仿宋"/>
          <w:spacing w:val="-1"/>
          <w:sz w:val="24"/>
          <w:szCs w:val="24"/>
          <w:highlight w:val="none"/>
          <w:lang w:eastAsia="zh-CN"/>
        </w:rPr>
        <w:t>。</w:t>
      </w:r>
    </w:p>
    <w:p w14:paraId="082C6518">
      <w:pPr>
        <w:keepNext w:val="0"/>
        <w:keepLines w:val="0"/>
        <w:pageBreakBefore w:val="0"/>
        <w:widowControl w:val="0"/>
        <w:kinsoku/>
        <w:wordWrap/>
        <w:overflowPunct/>
        <w:topLinePunct w:val="0"/>
        <w:autoSpaceDE/>
        <w:autoSpaceDN/>
        <w:bidi w:val="0"/>
        <w:adjustRightInd/>
        <w:snapToGrid/>
        <w:spacing w:line="580" w:lineRule="exact"/>
        <w:ind w:firstLine="478" w:firstLineChars="200"/>
        <w:textAlignment w:val="auto"/>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lang w:val="en-US" w:eastAsia="zh-CN"/>
        </w:rPr>
        <w:t>7</w:t>
      </w:r>
      <w:r>
        <w:rPr>
          <w:rFonts w:hint="eastAsia" w:ascii="仿宋" w:hAnsi="仿宋" w:eastAsia="仿宋" w:cs="仿宋"/>
          <w:b/>
          <w:bCs/>
          <w:spacing w:val="-1"/>
          <w:sz w:val="24"/>
          <w:szCs w:val="24"/>
          <w:highlight w:val="none"/>
        </w:rPr>
        <w:t>.3不合格处理</w:t>
      </w:r>
    </w:p>
    <w:p w14:paraId="1D24DBC9">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1"/>
          <w:sz w:val="24"/>
          <w:szCs w:val="24"/>
          <w:highlight w:val="none"/>
        </w:rPr>
        <w:t>中期验收不合格的，中标方须在15个工作日内完成整改，整改后仍不合格的，采购单位有权扣除30%合同款并终止合同</w:t>
      </w:r>
      <w:r>
        <w:rPr>
          <w:rFonts w:hint="eastAsia" w:ascii="仿宋" w:hAnsi="仿宋" w:eastAsia="仿宋" w:cs="仿宋"/>
          <w:spacing w:val="-1"/>
          <w:sz w:val="24"/>
          <w:szCs w:val="24"/>
          <w:highlight w:val="none"/>
          <w:lang w:eastAsia="zh-CN"/>
        </w:rPr>
        <w:t>；</w:t>
      </w:r>
    </w:p>
    <w:p w14:paraId="3C2B03B2">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年度验收不合格，不予签订下一年度合同</w:t>
      </w:r>
      <w:r>
        <w:rPr>
          <w:rFonts w:hint="eastAsia" w:ascii="仿宋" w:hAnsi="仿宋" w:eastAsia="仿宋" w:cs="仿宋"/>
          <w:color w:val="auto"/>
          <w:spacing w:val="-1"/>
          <w:sz w:val="24"/>
          <w:szCs w:val="24"/>
          <w:highlight w:val="none"/>
          <w:lang w:eastAsia="zh-CN"/>
        </w:rPr>
        <w:t>。</w:t>
      </w:r>
    </w:p>
    <w:p w14:paraId="0D8196C5">
      <w:pPr>
        <w:keepNext w:val="0"/>
        <w:keepLines w:val="0"/>
        <w:pageBreakBefore w:val="0"/>
        <w:widowControl w:val="0"/>
        <w:kinsoku/>
        <w:wordWrap/>
        <w:overflowPunct/>
        <w:topLinePunct w:val="0"/>
        <w:autoSpaceDE/>
        <w:autoSpaceDN/>
        <w:bidi w:val="0"/>
        <w:adjustRightInd/>
        <w:snapToGrid/>
        <w:spacing w:line="580" w:lineRule="exact"/>
        <w:ind w:firstLine="478" w:firstLineChars="200"/>
        <w:textAlignment w:val="auto"/>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lang w:val="en-US" w:eastAsia="zh-CN"/>
        </w:rPr>
        <w:t xml:space="preserve">九 </w:t>
      </w:r>
      <w:r>
        <w:rPr>
          <w:rFonts w:hint="eastAsia" w:ascii="仿宋" w:hAnsi="仿宋" w:eastAsia="仿宋" w:cs="仿宋"/>
          <w:b/>
          <w:bCs/>
          <w:spacing w:val="-1"/>
          <w:sz w:val="24"/>
          <w:szCs w:val="24"/>
          <w:highlight w:val="none"/>
        </w:rPr>
        <w:t>付款方式</w:t>
      </w:r>
    </w:p>
    <w:p w14:paraId="54ECDB11">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1"/>
          <w:sz w:val="24"/>
          <w:szCs w:val="24"/>
          <w:highlight w:val="none"/>
        </w:rPr>
        <w:t>年度预付款：合同签订且人员全部到岗后15日内，支付当年度合同额的30%；</w:t>
      </w:r>
    </w:p>
    <w:p w14:paraId="3D9F4274">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2.</w:t>
      </w:r>
      <w:r>
        <w:rPr>
          <w:rFonts w:hint="eastAsia" w:ascii="仿宋" w:hAnsi="仿宋" w:eastAsia="仿宋" w:cs="仿宋"/>
          <w:spacing w:val="-1"/>
          <w:sz w:val="24"/>
          <w:szCs w:val="24"/>
          <w:highlight w:val="none"/>
        </w:rPr>
        <w:t>年度进度款：当年度中期验收合格后15日内，支付当年度合同额的30%；</w:t>
      </w:r>
    </w:p>
    <w:p w14:paraId="2355740F">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3.</w:t>
      </w:r>
      <w:r>
        <w:rPr>
          <w:rFonts w:hint="eastAsia" w:ascii="仿宋" w:hAnsi="仿宋" w:eastAsia="仿宋" w:cs="仿宋"/>
          <w:spacing w:val="-1"/>
          <w:sz w:val="24"/>
          <w:szCs w:val="24"/>
          <w:highlight w:val="none"/>
        </w:rPr>
        <w:t>年度尾款：当年度末期验收合格后15日内，支付当年度合同额的40%。</w:t>
      </w:r>
    </w:p>
    <w:p w14:paraId="352F4624">
      <w:pPr>
        <w:keepNext w:val="0"/>
        <w:keepLines w:val="0"/>
        <w:pageBreakBefore w:val="0"/>
        <w:widowControl w:val="0"/>
        <w:kinsoku/>
        <w:wordWrap/>
        <w:overflowPunct/>
        <w:topLinePunct w:val="0"/>
        <w:autoSpaceDE/>
        <w:autoSpaceDN/>
        <w:bidi w:val="0"/>
        <w:adjustRightInd/>
        <w:snapToGrid/>
        <w:spacing w:line="580" w:lineRule="exact"/>
        <w:ind w:firstLine="478" w:firstLineChars="200"/>
        <w:textAlignment w:val="auto"/>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lang w:val="en-US" w:eastAsia="zh-CN"/>
        </w:rPr>
        <w:t xml:space="preserve">十 </w:t>
      </w:r>
      <w:r>
        <w:rPr>
          <w:rFonts w:hint="eastAsia" w:ascii="仿宋" w:hAnsi="仿宋" w:eastAsia="仿宋" w:cs="仿宋"/>
          <w:b/>
          <w:bCs/>
          <w:spacing w:val="-1"/>
          <w:sz w:val="24"/>
          <w:szCs w:val="24"/>
          <w:highlight w:val="none"/>
        </w:rPr>
        <w:t>其他要求</w:t>
      </w:r>
    </w:p>
    <w:p w14:paraId="1BBB62E9">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val="en-US" w:eastAsia="zh-CN"/>
        </w:rPr>
        <w:t>1.</w:t>
      </w:r>
      <w:r>
        <w:rPr>
          <w:rFonts w:hint="eastAsia" w:ascii="仿宋" w:hAnsi="仿宋" w:eastAsia="仿宋" w:cs="仿宋"/>
          <w:spacing w:val="-1"/>
          <w:sz w:val="24"/>
          <w:szCs w:val="24"/>
          <w:highlight w:val="none"/>
        </w:rPr>
        <w:t>投标方须在投标文件中提供详细的服务实施方案、人员配置方案、进度计划及经费预算明细</w:t>
      </w:r>
      <w:r>
        <w:rPr>
          <w:rFonts w:hint="eastAsia" w:ascii="仿宋" w:hAnsi="仿宋" w:eastAsia="仿宋" w:cs="仿宋"/>
          <w:spacing w:val="-1"/>
          <w:sz w:val="24"/>
          <w:szCs w:val="24"/>
          <w:highlight w:val="none"/>
          <w:lang w:eastAsia="zh-CN"/>
        </w:rPr>
        <w:t>；</w:t>
      </w:r>
    </w:p>
    <w:p w14:paraId="0CA4E95D">
      <w:pPr>
        <w:keepNext w:val="0"/>
        <w:keepLines w:val="0"/>
        <w:pageBreakBefore w:val="0"/>
        <w:widowControl w:val="0"/>
        <w:kinsoku/>
        <w:wordWrap/>
        <w:overflowPunct/>
        <w:topLinePunct w:val="0"/>
        <w:autoSpaceDE/>
        <w:autoSpaceDN/>
        <w:bidi w:val="0"/>
        <w:adjustRightInd/>
        <w:snapToGrid/>
        <w:spacing w:line="580" w:lineRule="exact"/>
        <w:ind w:firstLine="476" w:firstLineChars="200"/>
        <w:textAlignment w:val="auto"/>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val="en-US" w:eastAsia="zh-CN"/>
        </w:rPr>
        <w:t>2.</w:t>
      </w:r>
      <w:r>
        <w:rPr>
          <w:rFonts w:hint="eastAsia" w:ascii="仿宋" w:hAnsi="仿宋" w:eastAsia="仿宋" w:cs="仿宋"/>
          <w:spacing w:val="-1"/>
          <w:sz w:val="24"/>
          <w:szCs w:val="24"/>
          <w:highlight w:val="none"/>
        </w:rPr>
        <w:t>中标方须在合同签订后7个工作日内完成人员到岗及服务站入驻工作</w:t>
      </w:r>
      <w:r>
        <w:rPr>
          <w:rFonts w:hint="eastAsia" w:ascii="仿宋" w:hAnsi="仿宋" w:eastAsia="仿宋" w:cs="仿宋"/>
          <w:spacing w:val="-1"/>
          <w:sz w:val="24"/>
          <w:szCs w:val="24"/>
          <w:highlight w:val="none"/>
          <w:lang w:eastAsia="zh-CN"/>
        </w:rPr>
        <w:t>；</w:t>
      </w:r>
    </w:p>
    <w:p w14:paraId="01AC0706">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eastAsia" w:ascii="仿宋" w:hAnsi="仿宋" w:eastAsia="仿宋" w:cs="仿宋"/>
          <w:spacing w:val="-1"/>
          <w:sz w:val="32"/>
          <w:szCs w:val="32"/>
          <w:highlight w:val="none"/>
          <w:lang w:eastAsia="zh-CN"/>
        </w:rPr>
      </w:pPr>
    </w:p>
    <w:p w14:paraId="75953252">
      <w:pPr>
        <w:pStyle w:val="72"/>
        <w:rPr>
          <w:rFonts w:hint="eastAsia" w:ascii="仿宋" w:hAnsi="仿宋" w:eastAsia="仿宋" w:cs="仿宋"/>
          <w:highlight w:val="none"/>
        </w:rPr>
      </w:pPr>
      <w:r>
        <w:rPr>
          <w:rFonts w:hint="eastAsia" w:ascii="仿宋" w:hAnsi="仿宋" w:eastAsia="仿宋" w:cs="仿宋"/>
          <w:b/>
          <w:bCs/>
          <w:color w:val="auto"/>
          <w:spacing w:val="20"/>
          <w:kern w:val="0"/>
          <w:sz w:val="32"/>
          <w:szCs w:val="32"/>
          <w:highlight w:val="none"/>
        </w:rPr>
        <w:br w:type="page"/>
      </w:r>
    </w:p>
    <w:p w14:paraId="133C44E7">
      <w:pPr>
        <w:pStyle w:val="65"/>
        <w:pageBreakBefore/>
        <w:numPr>
          <w:ilvl w:val="0"/>
          <w:numId w:val="0"/>
        </w:numPr>
        <w:snapToGrid w:val="0"/>
        <w:spacing w:before="0" w:after="0"/>
        <w:rPr>
          <w:rFonts w:hint="eastAsia" w:ascii="仿宋" w:hAnsi="仿宋" w:eastAsia="仿宋" w:cs="仿宋"/>
          <w:spacing w:val="20"/>
          <w:szCs w:val="28"/>
          <w:highlight w:val="none"/>
        </w:rPr>
      </w:pPr>
      <w:bookmarkStart w:id="28" w:name="_Toc12571"/>
      <w:r>
        <w:rPr>
          <w:rFonts w:hint="eastAsia" w:ascii="仿宋" w:hAnsi="仿宋" w:eastAsia="仿宋" w:cs="仿宋"/>
          <w:spacing w:val="20"/>
          <w:szCs w:val="28"/>
          <w:highlight w:val="none"/>
        </w:rPr>
        <w:t>第五部分  评标标准和评标方法</w:t>
      </w:r>
      <w:bookmarkEnd w:id="27"/>
      <w:bookmarkEnd w:id="28"/>
    </w:p>
    <w:p w14:paraId="00B97A79">
      <w:pPr>
        <w:pStyle w:val="54"/>
        <w:snapToGrid w:val="0"/>
        <w:spacing w:line="480" w:lineRule="exact"/>
        <w:ind w:firstLine="476" w:firstLineChars="226"/>
        <w:rPr>
          <w:rFonts w:hint="eastAsia" w:ascii="仿宋" w:hAnsi="仿宋" w:eastAsia="仿宋" w:cs="仿宋"/>
          <w:b/>
          <w:color w:val="000000"/>
          <w:highlight w:val="none"/>
        </w:rPr>
      </w:pPr>
      <w:bookmarkStart w:id="29" w:name="_Toc400718590"/>
    </w:p>
    <w:p w14:paraId="4645CCD8">
      <w:pPr>
        <w:rPr>
          <w:rFonts w:hint="eastAsia" w:ascii="仿宋" w:hAnsi="仿宋" w:eastAsia="仿宋" w:cs="仿宋"/>
          <w:b/>
          <w:bCs/>
          <w:highlight w:val="none"/>
        </w:rPr>
      </w:pPr>
      <w:r>
        <w:rPr>
          <w:rFonts w:hint="eastAsia" w:ascii="仿宋" w:hAnsi="仿宋" w:eastAsia="仿宋" w:cs="仿宋"/>
          <w:b/>
          <w:bCs/>
          <w:highlight w:val="none"/>
        </w:rPr>
        <w:t>一、评标原则</w:t>
      </w:r>
    </w:p>
    <w:p w14:paraId="09AAF8C8">
      <w:pPr>
        <w:pStyle w:val="54"/>
        <w:snapToGrid w:val="0"/>
        <w:spacing w:line="480" w:lineRule="exact"/>
        <w:ind w:firstLine="474" w:firstLineChars="226"/>
        <w:rPr>
          <w:rFonts w:hint="eastAsia" w:ascii="仿宋" w:hAnsi="仿宋" w:eastAsia="仿宋" w:cs="仿宋"/>
          <w:bCs/>
          <w:color w:val="000000"/>
          <w:highlight w:val="none"/>
        </w:rPr>
      </w:pPr>
      <w:r>
        <w:rPr>
          <w:rFonts w:hint="eastAsia" w:ascii="仿宋" w:hAnsi="仿宋" w:eastAsia="仿宋" w:cs="仿宋"/>
          <w:bCs/>
          <w:color w:val="000000"/>
          <w:highlight w:val="none"/>
        </w:rPr>
        <w:t>评标委员会在评标时，依据投标报价和各项商务技术等因素对投标人及其所投服务进行综合评价，包括但不限于以下各项因素：</w:t>
      </w:r>
    </w:p>
    <w:p w14:paraId="5F9C6758">
      <w:pPr>
        <w:pStyle w:val="54"/>
        <w:snapToGrid w:val="0"/>
        <w:spacing w:line="480" w:lineRule="exact"/>
        <w:ind w:firstLine="474" w:firstLineChars="226"/>
        <w:rPr>
          <w:rFonts w:hint="eastAsia" w:ascii="仿宋" w:hAnsi="仿宋" w:eastAsia="仿宋" w:cs="仿宋"/>
          <w:bCs/>
          <w:color w:val="000000"/>
          <w:highlight w:val="none"/>
        </w:rPr>
      </w:pPr>
      <w:r>
        <w:rPr>
          <w:rFonts w:hint="eastAsia" w:ascii="仿宋" w:hAnsi="仿宋" w:eastAsia="仿宋" w:cs="仿宋"/>
          <w:bCs/>
          <w:color w:val="000000"/>
          <w:highlight w:val="none"/>
        </w:rPr>
        <w:t>1、投标人的投标报价；</w:t>
      </w:r>
    </w:p>
    <w:p w14:paraId="62C5A780">
      <w:pPr>
        <w:pStyle w:val="54"/>
        <w:snapToGrid w:val="0"/>
        <w:spacing w:line="480" w:lineRule="exact"/>
        <w:ind w:firstLine="474" w:firstLineChars="226"/>
        <w:rPr>
          <w:rFonts w:hint="eastAsia" w:ascii="仿宋" w:hAnsi="仿宋" w:eastAsia="仿宋" w:cs="仿宋"/>
          <w:bCs/>
          <w:color w:val="000000"/>
          <w:highlight w:val="none"/>
        </w:rPr>
      </w:pPr>
      <w:r>
        <w:rPr>
          <w:rFonts w:hint="eastAsia" w:ascii="仿宋" w:hAnsi="仿宋" w:eastAsia="仿宋" w:cs="仿宋"/>
          <w:bCs/>
          <w:color w:val="000000"/>
          <w:highlight w:val="none"/>
        </w:rPr>
        <w:t>2、投标人的综合实力和各种服务能力等；</w:t>
      </w:r>
    </w:p>
    <w:p w14:paraId="3F65F403">
      <w:pPr>
        <w:pStyle w:val="54"/>
        <w:snapToGrid w:val="0"/>
        <w:spacing w:line="480" w:lineRule="exact"/>
        <w:ind w:firstLine="474" w:firstLineChars="226"/>
        <w:rPr>
          <w:rFonts w:hint="eastAsia" w:ascii="仿宋" w:hAnsi="仿宋" w:eastAsia="仿宋" w:cs="仿宋"/>
          <w:bCs/>
          <w:color w:val="000000"/>
          <w:highlight w:val="none"/>
        </w:rPr>
      </w:pPr>
      <w:r>
        <w:rPr>
          <w:rFonts w:hint="eastAsia" w:ascii="仿宋" w:hAnsi="仿宋" w:eastAsia="仿宋" w:cs="仿宋"/>
          <w:bCs/>
          <w:color w:val="000000"/>
          <w:highlight w:val="none"/>
        </w:rPr>
        <w:t>3、投标人的业绩情况；</w:t>
      </w:r>
    </w:p>
    <w:p w14:paraId="2FED9D0E">
      <w:pPr>
        <w:pStyle w:val="54"/>
        <w:snapToGrid w:val="0"/>
        <w:spacing w:line="480" w:lineRule="exact"/>
        <w:ind w:firstLine="474" w:firstLineChars="226"/>
        <w:rPr>
          <w:rFonts w:hint="eastAsia" w:ascii="仿宋" w:hAnsi="仿宋" w:eastAsia="仿宋" w:cs="仿宋"/>
          <w:bCs/>
          <w:color w:val="000000"/>
          <w:highlight w:val="none"/>
        </w:rPr>
      </w:pPr>
      <w:r>
        <w:rPr>
          <w:rFonts w:hint="eastAsia" w:ascii="仿宋" w:hAnsi="仿宋" w:eastAsia="仿宋" w:cs="仿宋"/>
          <w:bCs/>
          <w:color w:val="000000"/>
          <w:highlight w:val="none"/>
        </w:rPr>
        <w:t>4、投标人的实施方案和服务方案的合理性；</w:t>
      </w:r>
    </w:p>
    <w:p w14:paraId="38DAE27A">
      <w:pPr>
        <w:pStyle w:val="54"/>
        <w:snapToGrid w:val="0"/>
        <w:spacing w:line="480" w:lineRule="exact"/>
        <w:ind w:firstLine="474" w:firstLineChars="226"/>
        <w:rPr>
          <w:rFonts w:hint="eastAsia" w:ascii="仿宋" w:hAnsi="仿宋" w:eastAsia="仿宋" w:cs="仿宋"/>
          <w:bCs/>
          <w:color w:val="000000"/>
          <w:highlight w:val="none"/>
        </w:rPr>
      </w:pPr>
      <w:r>
        <w:rPr>
          <w:rFonts w:hint="eastAsia" w:ascii="仿宋" w:hAnsi="仿宋" w:eastAsia="仿宋" w:cs="仿宋"/>
          <w:bCs/>
          <w:color w:val="000000"/>
          <w:highlight w:val="none"/>
        </w:rPr>
        <w:t>5、所提供服务与招标文件技术要求的偏离；</w:t>
      </w:r>
    </w:p>
    <w:p w14:paraId="37E8B70E">
      <w:pPr>
        <w:pStyle w:val="54"/>
        <w:snapToGrid w:val="0"/>
        <w:spacing w:line="480" w:lineRule="exact"/>
        <w:ind w:firstLine="474" w:firstLineChars="226"/>
        <w:rPr>
          <w:rFonts w:hint="eastAsia" w:ascii="仿宋" w:hAnsi="仿宋" w:eastAsia="仿宋" w:cs="仿宋"/>
          <w:bCs/>
          <w:color w:val="000000"/>
          <w:highlight w:val="none"/>
        </w:rPr>
      </w:pPr>
      <w:r>
        <w:rPr>
          <w:rFonts w:hint="eastAsia" w:ascii="仿宋" w:hAnsi="仿宋" w:eastAsia="仿宋" w:cs="仿宋"/>
          <w:bCs/>
          <w:color w:val="000000"/>
          <w:highlight w:val="none"/>
        </w:rPr>
        <w:t>6、投标人提供的其它内容和条件。</w:t>
      </w:r>
    </w:p>
    <w:p w14:paraId="1E07CD8C">
      <w:pPr>
        <w:pStyle w:val="54"/>
        <w:snapToGrid w:val="0"/>
        <w:spacing w:line="480" w:lineRule="exact"/>
        <w:rPr>
          <w:rFonts w:hint="eastAsia" w:ascii="仿宋" w:hAnsi="仿宋" w:eastAsia="仿宋" w:cs="仿宋"/>
          <w:b/>
          <w:color w:val="000000"/>
          <w:highlight w:val="none"/>
        </w:rPr>
      </w:pPr>
      <w:r>
        <w:rPr>
          <w:rFonts w:hint="eastAsia" w:ascii="仿宋" w:hAnsi="仿宋" w:eastAsia="仿宋" w:cs="仿宋"/>
          <w:b/>
          <w:color w:val="000000"/>
          <w:highlight w:val="none"/>
        </w:rPr>
        <w:t>二、无效投标的情形</w:t>
      </w:r>
    </w:p>
    <w:p w14:paraId="4C463130">
      <w:pPr>
        <w:pStyle w:val="54"/>
        <w:snapToGrid w:val="0"/>
        <w:spacing w:line="480" w:lineRule="exact"/>
        <w:ind w:firstLine="420" w:firstLineChars="200"/>
        <w:rPr>
          <w:rFonts w:hint="eastAsia" w:ascii="仿宋" w:hAnsi="仿宋" w:eastAsia="仿宋" w:cs="仿宋"/>
          <w:color w:val="000000"/>
          <w:highlight w:val="none"/>
        </w:rPr>
      </w:pPr>
      <w:r>
        <w:rPr>
          <w:rFonts w:hint="eastAsia" w:ascii="仿宋" w:hAnsi="仿宋" w:eastAsia="仿宋" w:cs="仿宋"/>
          <w:color w:val="000000"/>
          <w:highlight w:val="none"/>
        </w:rPr>
        <w:t>未通过资格性、符合性审查的投标文件为无效投标。</w:t>
      </w:r>
    </w:p>
    <w:p w14:paraId="52A4C7C2">
      <w:pPr>
        <w:pStyle w:val="54"/>
        <w:snapToGrid w:val="0"/>
        <w:spacing w:line="480" w:lineRule="exact"/>
        <w:ind w:firstLine="420" w:firstLineChars="200"/>
        <w:rPr>
          <w:rFonts w:hint="eastAsia" w:ascii="仿宋" w:hAnsi="仿宋" w:eastAsia="仿宋" w:cs="仿宋"/>
          <w:color w:val="000000"/>
          <w:highlight w:val="none"/>
        </w:rPr>
      </w:pPr>
      <w:r>
        <w:rPr>
          <w:rFonts w:hint="eastAsia" w:ascii="仿宋" w:hAnsi="仿宋" w:eastAsia="仿宋" w:cs="仿宋"/>
          <w:color w:val="000000"/>
          <w:highlight w:val="none"/>
        </w:rPr>
        <w:t>未满足招标文件实质性要求的投标文件为无效投标。</w:t>
      </w:r>
    </w:p>
    <w:p w14:paraId="173EC3E1">
      <w:pPr>
        <w:pStyle w:val="54"/>
        <w:snapToGrid w:val="0"/>
        <w:spacing w:line="480" w:lineRule="exact"/>
        <w:rPr>
          <w:rFonts w:hint="eastAsia" w:ascii="仿宋" w:hAnsi="仿宋" w:eastAsia="仿宋" w:cs="仿宋"/>
          <w:b/>
          <w:color w:val="000000"/>
          <w:highlight w:val="none"/>
        </w:rPr>
      </w:pPr>
      <w:r>
        <w:rPr>
          <w:rFonts w:hint="eastAsia" w:ascii="仿宋" w:hAnsi="仿宋" w:eastAsia="仿宋" w:cs="仿宋"/>
          <w:b/>
          <w:color w:val="000000"/>
          <w:highlight w:val="none"/>
        </w:rPr>
        <w:t>三、评标方法</w:t>
      </w:r>
    </w:p>
    <w:p w14:paraId="46594952">
      <w:pPr>
        <w:pStyle w:val="54"/>
        <w:snapToGrid w:val="0"/>
        <w:spacing w:line="480" w:lineRule="exact"/>
        <w:ind w:firstLine="474" w:firstLineChars="226"/>
        <w:rPr>
          <w:rFonts w:hint="eastAsia" w:ascii="仿宋" w:hAnsi="仿宋" w:eastAsia="仿宋" w:cs="仿宋"/>
          <w:bCs/>
          <w:color w:val="000000"/>
          <w:highlight w:val="none"/>
        </w:rPr>
      </w:pPr>
      <w:r>
        <w:rPr>
          <w:rFonts w:hint="eastAsia" w:ascii="仿宋" w:hAnsi="仿宋" w:eastAsia="仿宋" w:cs="仿宋"/>
          <w:bCs/>
          <w:color w:val="000000"/>
          <w:highlight w:val="none"/>
        </w:rPr>
        <w:t>本次评标采用综合评分法。按照招标文件中规定的各项因素进行综合评审，按照得分由高到低择优选择最佳投标人的方法。综合评</w:t>
      </w:r>
      <w:r>
        <w:rPr>
          <w:rFonts w:hint="eastAsia" w:ascii="仿宋" w:hAnsi="仿宋" w:eastAsia="仿宋" w:cs="仿宋"/>
          <w:bCs/>
          <w:color w:val="000000"/>
          <w:highlight w:val="none"/>
          <w:lang w:val="en-US" w:eastAsia="zh-CN"/>
        </w:rPr>
        <w:t>分</w:t>
      </w:r>
      <w:r>
        <w:rPr>
          <w:rFonts w:hint="eastAsia" w:ascii="仿宋" w:hAnsi="仿宋" w:eastAsia="仿宋" w:cs="仿宋"/>
          <w:bCs/>
          <w:color w:val="000000"/>
          <w:highlight w:val="none"/>
        </w:rPr>
        <w:t>法不保证投标报价最低的投标人中标。</w:t>
      </w:r>
    </w:p>
    <w:p w14:paraId="3DA58CF0">
      <w:pPr>
        <w:pStyle w:val="54"/>
        <w:snapToGrid w:val="0"/>
        <w:spacing w:line="480" w:lineRule="exact"/>
        <w:ind w:firstLine="474" w:firstLineChars="226"/>
        <w:rPr>
          <w:rFonts w:hint="eastAsia" w:ascii="仿宋" w:hAnsi="仿宋" w:eastAsia="仿宋" w:cs="仿宋"/>
          <w:bCs/>
          <w:color w:val="000000"/>
          <w:highlight w:val="none"/>
        </w:rPr>
      </w:pPr>
      <w:r>
        <w:rPr>
          <w:rFonts w:hint="eastAsia" w:ascii="仿宋" w:hAnsi="仿宋" w:eastAsia="仿宋" w:cs="仿宋"/>
          <w:bCs/>
          <w:color w:val="000000"/>
          <w:highlight w:val="none"/>
        </w:rPr>
        <w:t>1、评标的内容包括：资格性、符合性审查，报价评审，商务评审和技术服务评审。</w:t>
      </w:r>
    </w:p>
    <w:p w14:paraId="47BE0573">
      <w:pPr>
        <w:pStyle w:val="54"/>
        <w:snapToGrid w:val="0"/>
        <w:spacing w:line="480" w:lineRule="exact"/>
        <w:ind w:firstLine="474" w:firstLineChars="226"/>
        <w:rPr>
          <w:rFonts w:hint="eastAsia" w:ascii="仿宋" w:hAnsi="仿宋" w:eastAsia="仿宋" w:cs="仿宋"/>
          <w:bCs/>
          <w:color w:val="000000"/>
          <w:highlight w:val="none"/>
        </w:rPr>
      </w:pPr>
      <w:r>
        <w:rPr>
          <w:rFonts w:hint="eastAsia" w:ascii="仿宋" w:hAnsi="仿宋" w:eastAsia="仿宋" w:cs="仿宋"/>
          <w:bCs/>
          <w:color w:val="000000"/>
          <w:highlight w:val="none"/>
        </w:rPr>
        <w:t>2、评标委员会按照本办法，对投标单位的投标文件进行打分。每一投标人的价格、商务、服务、技术因素的最终得分为所有评委评分的算术平均值。</w:t>
      </w:r>
    </w:p>
    <w:p w14:paraId="3D91A112">
      <w:pPr>
        <w:pStyle w:val="54"/>
        <w:snapToGrid w:val="0"/>
        <w:spacing w:line="480" w:lineRule="exact"/>
        <w:ind w:firstLine="474" w:firstLineChars="226"/>
        <w:rPr>
          <w:rFonts w:hint="eastAsia" w:ascii="仿宋" w:hAnsi="仿宋" w:eastAsia="仿宋" w:cs="仿宋"/>
          <w:bCs/>
          <w:color w:val="000000"/>
          <w:highlight w:val="none"/>
        </w:rPr>
      </w:pPr>
      <w:r>
        <w:rPr>
          <w:rFonts w:hint="eastAsia" w:ascii="仿宋" w:hAnsi="仿宋" w:eastAsia="仿宋" w:cs="仿宋"/>
          <w:bCs/>
          <w:color w:val="000000"/>
          <w:highlight w:val="none"/>
        </w:rPr>
        <w:t>3、由评标委员会按照得分进行排序，推荐第一名为中标候选人。若发生得分相同的情况，报价低者排名在前，如果报价也相同，技术部分得分高者排名在前。如果第一名放弃中标，则重新招标。</w:t>
      </w:r>
    </w:p>
    <w:p w14:paraId="5D036957">
      <w:pPr>
        <w:pStyle w:val="54"/>
        <w:snapToGrid w:val="0"/>
        <w:spacing w:line="480" w:lineRule="exact"/>
        <w:ind w:firstLine="422" w:firstLineChars="200"/>
        <w:rPr>
          <w:rFonts w:hint="eastAsia" w:ascii="仿宋" w:hAnsi="仿宋" w:eastAsia="仿宋" w:cs="仿宋"/>
          <w:b/>
          <w:color w:val="000000"/>
          <w:highlight w:val="none"/>
        </w:rPr>
      </w:pPr>
      <w:r>
        <w:rPr>
          <w:rFonts w:hint="eastAsia" w:ascii="仿宋" w:hAnsi="仿宋" w:eastAsia="仿宋" w:cs="仿宋"/>
          <w:b/>
          <w:color w:val="000000"/>
          <w:highlight w:val="none"/>
        </w:rPr>
        <w:t>四、政策性要求评审内容及标准</w:t>
      </w:r>
    </w:p>
    <w:p w14:paraId="18147A7E">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1</w:t>
      </w:r>
      <w:r>
        <w:rPr>
          <w:rFonts w:hint="eastAsia" w:ascii="仿宋" w:hAnsi="仿宋" w:eastAsia="仿宋" w:cs="仿宋"/>
          <w:color w:val="000000"/>
          <w:highlight w:val="none"/>
        </w:rPr>
        <w:t>、中小微企业参加本项目投标的标准：</w:t>
      </w:r>
    </w:p>
    <w:p w14:paraId="2CFA8E2E">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仿宋" w:hAnsi="仿宋" w:eastAsia="仿宋" w:cs="仿宋"/>
          <w:color w:val="000000"/>
          <w:highlight w:val="none"/>
          <w:lang w:val="en-US" w:eastAsia="zh-CN"/>
        </w:rPr>
        <w:t>中小</w:t>
      </w:r>
      <w:r>
        <w:rPr>
          <w:rFonts w:hint="eastAsia" w:ascii="仿宋" w:hAnsi="仿宋" w:eastAsia="仿宋" w:cs="仿宋"/>
          <w:color w:val="000000"/>
          <w:highlight w:val="none"/>
        </w:rPr>
        <w:t>企业声明函》（格式见第八部分）。</w:t>
      </w:r>
    </w:p>
    <w:p w14:paraId="272E7C5D">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（2）小型、微企业只有提供本企业制造的货物或者服务，或者提供其他小型、微企业制造的货物，享受投标货物1</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%的价格折扣。若有的话，如实填写《小微企业/残疾人福利性单位提供货物/服务明细表》（格式见第八部分）。</w:t>
      </w:r>
    </w:p>
    <w:p w14:paraId="4A406099">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（3）小型、微型企业提供的货物既有中小企业制造货物，也有大型企业制造货物的，不享受价格折扣。</w:t>
      </w:r>
    </w:p>
    <w:p w14:paraId="2C232EDF">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14:paraId="6F909AB5">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19FDFB04">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、残疾人福利性单位参加本项目投标的标准：</w:t>
      </w:r>
    </w:p>
    <w:p w14:paraId="12CA6B1A">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（1）须根据财库【2017】141号《关于促进残疾人就业政府采购政策的通知》的要求，如实填写残疾人福利性单位声明函（格式见第八部分附件），残疾人福利性单位参加本项目投标时，给予1</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%的价格扣除，用扣除后的价格参与评审。</w:t>
      </w:r>
    </w:p>
    <w:p w14:paraId="08CA41ED">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（2）享受政府采购支持政策的残疾人福利性单位应当同时满足以下条件：</w:t>
      </w:r>
    </w:p>
    <w:p w14:paraId="300DE204">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　A.安置的残疾人占本单位在职职工人数的比例不低于25%（含25%），并且安置的残疾人人数不少于10人（含10人）；</w:t>
      </w:r>
    </w:p>
    <w:p w14:paraId="493CB3FF">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　B.依法与安置的每位残疾人签订了一年以上（含一年）的劳动合同或服务协议；</w:t>
      </w:r>
    </w:p>
    <w:p w14:paraId="11906897">
      <w:pPr>
        <w:pStyle w:val="54"/>
        <w:snapToGrid w:val="0"/>
        <w:spacing w:line="480" w:lineRule="exact"/>
        <w:ind w:firstLine="684" w:firstLineChars="326"/>
        <w:rPr>
          <w:rFonts w:hint="eastAsia" w:ascii="仿宋" w:hAnsi="仿宋" w:eastAsia="仿宋" w:cs="仿宋"/>
          <w:color w:val="000000"/>
          <w:highlight w:val="none"/>
        </w:rPr>
      </w:pPr>
      <w:r>
        <w:rPr>
          <w:rFonts w:hint="eastAsia" w:ascii="仿宋" w:hAnsi="仿宋" w:eastAsia="仿宋" w:cs="仿宋"/>
          <w:color w:val="000000"/>
          <w:highlight w:val="none"/>
        </w:rPr>
        <w:t>C.为安置的每位残疾人按月足额缴纳了基本养老保险、基本医疗保险、失业保险、工伤保险和生育保险等社会保险费；</w:t>
      </w:r>
    </w:p>
    <w:p w14:paraId="695E8BAA">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　D.通过银行等金融机构向安置的每位残疾人，按月支付了不低于单位所在区县适用的经省级人民政府批准的月最低工资标准的工资；</w:t>
      </w:r>
    </w:p>
    <w:p w14:paraId="515D1E01">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　E．提供本单位制造的货物、承担的工程或者服务（以下简称产品），或者提供其他残疾人福利性单位制造的货物（不包括使用非残疾人福利性单位注册商标的货物）。</w:t>
      </w:r>
    </w:p>
    <w:p w14:paraId="1A689FA5">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E83F3FC">
      <w:pPr>
        <w:pStyle w:val="54"/>
        <w:snapToGrid w:val="0"/>
        <w:spacing w:line="480" w:lineRule="exact"/>
        <w:ind w:firstLine="579" w:firstLineChars="276"/>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、投标人提供的《残疾人福利性单位声明函》与事实不符的，依照《政府采购法》第七十七条第一款的规定追究法律责任。</w:t>
      </w:r>
    </w:p>
    <w:p w14:paraId="7EC7D765">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761250E">
      <w:pPr>
        <w:pStyle w:val="54"/>
        <w:snapToGrid w:val="0"/>
        <w:spacing w:line="480" w:lineRule="exact"/>
        <w:ind w:firstLine="579" w:firstLineChars="276"/>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、监狱企业参加本项目投标的标准：</w:t>
      </w:r>
    </w:p>
    <w:p w14:paraId="07BBA13D">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（1）监狱企业参加投标视同小微企业，需提供由省级以上监狱管理局或戒毒管理局出具的属于监狱企业的证明文件。</w:t>
      </w:r>
    </w:p>
    <w:p w14:paraId="5BF336A3">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0AABDF79">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（3）监狱企业与中型企业组成联合体参加投标的，或者向监狱企业分包，且联合体协议或分包意向协议约定监狱企业的协议金额占到合同金额30%以上的，享受投标标的3%的价格扣除，用扣除后的价格参与评审。</w:t>
      </w:r>
    </w:p>
    <w:p w14:paraId="5B975278">
      <w:pPr>
        <w:pStyle w:val="54"/>
        <w:snapToGrid w:val="0"/>
        <w:spacing w:line="480" w:lineRule="exact"/>
        <w:ind w:firstLine="476" w:firstLineChars="226"/>
        <w:rPr>
          <w:rFonts w:hint="eastAsia" w:ascii="仿宋" w:hAnsi="仿宋" w:eastAsia="仿宋" w:cs="仿宋"/>
          <w:b/>
          <w:color w:val="000000"/>
          <w:highlight w:val="none"/>
        </w:rPr>
      </w:pPr>
      <w:r>
        <w:rPr>
          <w:rFonts w:hint="eastAsia" w:ascii="仿宋" w:hAnsi="仿宋" w:eastAsia="仿宋" w:cs="仿宋"/>
          <w:b/>
          <w:color w:val="000000"/>
          <w:highlight w:val="none"/>
        </w:rPr>
        <w:t>（五）其他说明：</w:t>
      </w:r>
    </w:p>
    <w:p w14:paraId="54B1B8A5">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1、招标文件要求投标人提供的其他材料，不作为资格审查的内容。</w:t>
      </w:r>
    </w:p>
    <w:p w14:paraId="02308FFD">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2、投标人应按招标文件要求“格式”提供的材料，如有调整，内容及签署必须完整、有效，且没有本文件不可接受的条件。</w:t>
      </w:r>
    </w:p>
    <w:p w14:paraId="47756D09">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3、若评标委员会各成员在评审现场意见发生分歧，服从少数服从多数的原则举手表决。</w:t>
      </w:r>
    </w:p>
    <w:p w14:paraId="632AE410">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4、资格性审查评审因素及标准以评标办法附表为准；</w:t>
      </w:r>
    </w:p>
    <w:p w14:paraId="0D8B86E0">
      <w:pPr>
        <w:pStyle w:val="54"/>
        <w:snapToGrid w:val="0"/>
        <w:spacing w:line="480" w:lineRule="exact"/>
        <w:ind w:firstLine="789" w:firstLineChars="376"/>
        <w:rPr>
          <w:rFonts w:hint="eastAsia" w:ascii="仿宋" w:hAnsi="仿宋" w:eastAsia="仿宋" w:cs="仿宋"/>
          <w:color w:val="000000"/>
          <w:highlight w:val="none"/>
        </w:rPr>
      </w:pPr>
      <w:r>
        <w:rPr>
          <w:rFonts w:hint="eastAsia" w:ascii="仿宋" w:hAnsi="仿宋" w:eastAsia="仿宋" w:cs="仿宋"/>
          <w:color w:val="000000"/>
          <w:highlight w:val="none"/>
        </w:rPr>
        <w:t>符合性审查评审因素及标准以评标办法附表为准；</w:t>
      </w:r>
    </w:p>
    <w:p w14:paraId="56F363D6">
      <w:pPr>
        <w:pStyle w:val="54"/>
        <w:snapToGrid w:val="0"/>
        <w:spacing w:line="480" w:lineRule="exact"/>
        <w:ind w:firstLine="789" w:firstLineChars="376"/>
        <w:rPr>
          <w:rFonts w:hint="eastAsia" w:ascii="仿宋" w:hAnsi="仿宋" w:eastAsia="仿宋" w:cs="仿宋"/>
          <w:color w:val="000000"/>
          <w:highlight w:val="none"/>
        </w:rPr>
      </w:pPr>
      <w:r>
        <w:rPr>
          <w:rFonts w:hint="eastAsia" w:ascii="仿宋" w:hAnsi="仿宋" w:eastAsia="仿宋" w:cs="仿宋"/>
          <w:color w:val="000000"/>
          <w:highlight w:val="none"/>
        </w:rPr>
        <w:t>详细评审因素及标准以评标办法附表为准。</w:t>
      </w:r>
    </w:p>
    <w:p w14:paraId="3CF9C1C3">
      <w:pPr>
        <w:pStyle w:val="54"/>
        <w:snapToGrid w:val="0"/>
        <w:spacing w:line="480" w:lineRule="exact"/>
        <w:ind w:firstLine="476" w:firstLineChars="226"/>
        <w:rPr>
          <w:rFonts w:hint="eastAsia" w:ascii="仿宋" w:hAnsi="仿宋" w:eastAsia="仿宋" w:cs="仿宋"/>
          <w:b/>
          <w:color w:val="000000"/>
          <w:highlight w:val="none"/>
        </w:rPr>
      </w:pPr>
      <w:r>
        <w:rPr>
          <w:rFonts w:hint="eastAsia" w:ascii="仿宋" w:hAnsi="仿宋" w:eastAsia="仿宋" w:cs="仿宋"/>
          <w:b/>
          <w:color w:val="000000"/>
          <w:highlight w:val="none"/>
        </w:rPr>
        <w:t>一、投标文件初审</w:t>
      </w:r>
    </w:p>
    <w:p w14:paraId="4072A271">
      <w:pPr>
        <w:pStyle w:val="54"/>
        <w:snapToGrid w:val="0"/>
        <w:spacing w:line="480" w:lineRule="exact"/>
        <w:ind w:firstLine="476" w:firstLineChars="226"/>
        <w:rPr>
          <w:rFonts w:hint="eastAsia" w:ascii="仿宋" w:hAnsi="仿宋" w:eastAsia="仿宋" w:cs="仿宋"/>
          <w:b/>
          <w:color w:val="000000"/>
          <w:highlight w:val="none"/>
        </w:rPr>
      </w:pPr>
      <w:r>
        <w:rPr>
          <w:rFonts w:hint="eastAsia" w:ascii="仿宋" w:hAnsi="仿宋" w:eastAsia="仿宋" w:cs="仿宋"/>
          <w:b/>
          <w:color w:val="000000"/>
          <w:highlight w:val="none"/>
        </w:rPr>
        <w:t>（一）资格性审查的内容及标准</w:t>
      </w:r>
    </w:p>
    <w:p w14:paraId="09486408">
      <w:pPr>
        <w:ind w:firstLine="211" w:firstLineChars="100"/>
        <w:rPr>
          <w:rFonts w:hint="eastAsia" w:ascii="仿宋" w:hAnsi="仿宋" w:eastAsia="仿宋" w:cs="仿宋"/>
          <w:b/>
          <w:bCs/>
          <w:color w:val="000000"/>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466"/>
        <w:gridCol w:w="2257"/>
        <w:gridCol w:w="4498"/>
      </w:tblGrid>
      <w:tr w14:paraId="410F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546C36A5">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序号</w:t>
            </w:r>
          </w:p>
        </w:tc>
        <w:tc>
          <w:tcPr>
            <w:tcW w:w="1466" w:type="dxa"/>
            <w:noWrap w:val="0"/>
            <w:vAlign w:val="center"/>
          </w:tcPr>
          <w:p w14:paraId="57DD059F">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类型</w:t>
            </w:r>
          </w:p>
        </w:tc>
        <w:tc>
          <w:tcPr>
            <w:tcW w:w="2257" w:type="dxa"/>
            <w:noWrap w:val="0"/>
            <w:vAlign w:val="center"/>
          </w:tcPr>
          <w:p w14:paraId="17D895EC">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审查要求</w:t>
            </w:r>
          </w:p>
        </w:tc>
        <w:tc>
          <w:tcPr>
            <w:tcW w:w="4498" w:type="dxa"/>
            <w:noWrap w:val="0"/>
            <w:vAlign w:val="center"/>
          </w:tcPr>
          <w:p w14:paraId="2889E425">
            <w:pPr>
              <w:pStyle w:val="54"/>
              <w:snapToGrid w:val="0"/>
              <w:spacing w:line="480" w:lineRule="exact"/>
              <w:ind w:firstLine="474" w:firstLineChars="226"/>
              <w:rPr>
                <w:rFonts w:hint="eastAsia" w:ascii="仿宋" w:hAnsi="仿宋" w:eastAsia="仿宋" w:cs="仿宋"/>
                <w:color w:val="000000"/>
                <w:highlight w:val="none"/>
              </w:rPr>
            </w:pPr>
            <w:r>
              <w:rPr>
                <w:rFonts w:hint="eastAsia" w:ascii="仿宋" w:hAnsi="仿宋" w:eastAsia="仿宋" w:cs="仿宋"/>
                <w:color w:val="000000"/>
                <w:highlight w:val="none"/>
              </w:rPr>
              <w:t>要求说明</w:t>
            </w:r>
          </w:p>
        </w:tc>
      </w:tr>
      <w:tr w14:paraId="53E5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3C6E7608">
            <w:pPr>
              <w:pStyle w:val="54"/>
              <w:snapToGrid w:val="0"/>
              <w:spacing w:line="480" w:lineRule="exact"/>
              <w:ind w:firstLine="474" w:firstLineChars="226"/>
              <w:rPr>
                <w:rFonts w:hint="eastAsia" w:ascii="仿宋" w:hAnsi="仿宋" w:eastAsia="仿宋" w:cs="仿宋"/>
                <w:color w:val="000000"/>
                <w:highlight w:val="none"/>
                <w:lang w:eastAsia="zh-CN"/>
              </w:rPr>
            </w:pPr>
            <w:r>
              <w:rPr>
                <w:rFonts w:hint="eastAsia" w:ascii="仿宋" w:hAnsi="仿宋" w:eastAsia="仿宋" w:cs="仿宋"/>
                <w:color w:val="000000"/>
                <w:highlight w:val="none"/>
                <w:lang w:val="en-US" w:eastAsia="zh-CN"/>
              </w:rPr>
              <w:t>1</w:t>
            </w:r>
          </w:p>
        </w:tc>
        <w:tc>
          <w:tcPr>
            <w:tcW w:w="1466" w:type="dxa"/>
            <w:noWrap w:val="0"/>
            <w:vAlign w:val="center"/>
          </w:tcPr>
          <w:p w14:paraId="6FF258F5">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基本资质</w:t>
            </w:r>
          </w:p>
        </w:tc>
        <w:tc>
          <w:tcPr>
            <w:tcW w:w="2257" w:type="dxa"/>
            <w:noWrap w:val="0"/>
            <w:vAlign w:val="center"/>
          </w:tcPr>
          <w:p w14:paraId="5DCE36EC">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具有独立承担民事责任的能力</w:t>
            </w:r>
          </w:p>
        </w:tc>
        <w:tc>
          <w:tcPr>
            <w:tcW w:w="4498" w:type="dxa"/>
            <w:noWrap w:val="0"/>
            <w:vAlign w:val="center"/>
          </w:tcPr>
          <w:p w14:paraId="361207A5">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提供供应商信用承诺书。</w:t>
            </w:r>
          </w:p>
          <w:p w14:paraId="260362C0">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以上证明材料须符合要求、有效、完整。否则，响应无效。</w:t>
            </w:r>
          </w:p>
        </w:tc>
      </w:tr>
      <w:tr w14:paraId="67B5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7ACB56B4">
            <w:pPr>
              <w:pStyle w:val="54"/>
              <w:snapToGrid w:val="0"/>
              <w:spacing w:line="480" w:lineRule="exact"/>
              <w:ind w:firstLine="474" w:firstLineChars="226"/>
              <w:rPr>
                <w:rFonts w:hint="eastAsia" w:ascii="仿宋" w:hAnsi="仿宋" w:eastAsia="仿宋" w:cs="仿宋"/>
                <w:color w:val="000000"/>
                <w:highlight w:val="none"/>
                <w:lang w:eastAsia="zh-CN"/>
              </w:rPr>
            </w:pPr>
            <w:r>
              <w:rPr>
                <w:rFonts w:hint="eastAsia" w:ascii="仿宋" w:hAnsi="仿宋" w:eastAsia="仿宋" w:cs="仿宋"/>
                <w:color w:val="000000"/>
                <w:highlight w:val="none"/>
                <w:lang w:val="en-US" w:eastAsia="zh-CN"/>
              </w:rPr>
              <w:t>2</w:t>
            </w:r>
          </w:p>
        </w:tc>
        <w:tc>
          <w:tcPr>
            <w:tcW w:w="1466" w:type="dxa"/>
            <w:noWrap w:val="0"/>
            <w:vAlign w:val="center"/>
          </w:tcPr>
          <w:p w14:paraId="3EA43B61">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基本资质</w:t>
            </w:r>
          </w:p>
        </w:tc>
        <w:tc>
          <w:tcPr>
            <w:tcW w:w="2257" w:type="dxa"/>
            <w:noWrap w:val="0"/>
            <w:vAlign w:val="center"/>
          </w:tcPr>
          <w:p w14:paraId="0FEB2311">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具有良好的商业信誉和健全的财务会计制度</w:t>
            </w:r>
          </w:p>
        </w:tc>
        <w:tc>
          <w:tcPr>
            <w:tcW w:w="4498" w:type="dxa"/>
            <w:noWrap w:val="0"/>
            <w:vAlign w:val="center"/>
          </w:tcPr>
          <w:p w14:paraId="76E2E3AA">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提供供应商信用承诺书。</w:t>
            </w:r>
          </w:p>
          <w:p w14:paraId="5EFD956F">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以上证明材料须符合要求、有效、完整。否则，响应无效。</w:t>
            </w:r>
          </w:p>
        </w:tc>
      </w:tr>
      <w:tr w14:paraId="1A6E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55971633">
            <w:pPr>
              <w:pStyle w:val="54"/>
              <w:snapToGrid w:val="0"/>
              <w:spacing w:line="480" w:lineRule="exact"/>
              <w:ind w:firstLine="474" w:firstLineChars="226"/>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highlight w:val="none"/>
                <w:lang w:val="en-US" w:eastAsia="zh-CN"/>
              </w:rPr>
              <w:t>3</w:t>
            </w:r>
          </w:p>
        </w:tc>
        <w:tc>
          <w:tcPr>
            <w:tcW w:w="1466" w:type="dxa"/>
            <w:noWrap w:val="0"/>
            <w:vAlign w:val="center"/>
          </w:tcPr>
          <w:p w14:paraId="375A2961">
            <w:pPr>
              <w:pStyle w:val="54"/>
              <w:snapToGrid w:val="0"/>
              <w:spacing w:line="480" w:lineRule="exac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highlight w:val="none"/>
              </w:rPr>
              <w:t>基本资质</w:t>
            </w:r>
          </w:p>
        </w:tc>
        <w:tc>
          <w:tcPr>
            <w:tcW w:w="2257" w:type="dxa"/>
            <w:noWrap w:val="0"/>
            <w:vAlign w:val="center"/>
          </w:tcPr>
          <w:p w14:paraId="26ECB88E">
            <w:pPr>
              <w:pStyle w:val="54"/>
              <w:snapToGrid w:val="0"/>
              <w:spacing w:line="480" w:lineRule="exac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highlight w:val="none"/>
              </w:rPr>
              <w:t>具有履行合同所必需的设备和专业技术能力</w:t>
            </w:r>
          </w:p>
        </w:tc>
        <w:tc>
          <w:tcPr>
            <w:tcW w:w="4498" w:type="dxa"/>
            <w:noWrap w:val="0"/>
            <w:vAlign w:val="center"/>
          </w:tcPr>
          <w:p w14:paraId="02C57C0C">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提供供应商信用承诺书。</w:t>
            </w:r>
          </w:p>
          <w:p w14:paraId="46B49848">
            <w:pPr>
              <w:pStyle w:val="54"/>
              <w:snapToGrid w:val="0"/>
              <w:spacing w:line="480" w:lineRule="exact"/>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highlight w:val="none"/>
                <w:lang w:val="en-US" w:eastAsia="zh-CN"/>
              </w:rPr>
              <w:t>以上证明材料须符合要求、有效、完整。否则，响应无效。</w:t>
            </w:r>
          </w:p>
        </w:tc>
      </w:tr>
      <w:tr w14:paraId="2026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872" w:type="dxa"/>
            <w:noWrap w:val="0"/>
            <w:vAlign w:val="center"/>
          </w:tcPr>
          <w:p w14:paraId="06A5959C">
            <w:pPr>
              <w:pStyle w:val="54"/>
              <w:snapToGrid w:val="0"/>
              <w:spacing w:line="480" w:lineRule="exact"/>
              <w:ind w:firstLine="474" w:firstLineChars="226"/>
              <w:rPr>
                <w:rFonts w:hint="eastAsia" w:ascii="仿宋" w:hAnsi="仿宋" w:eastAsia="仿宋" w:cs="仿宋"/>
                <w:color w:val="000000"/>
                <w:highlight w:val="none"/>
                <w:lang w:eastAsia="zh-CN"/>
              </w:rPr>
            </w:pPr>
            <w:r>
              <w:rPr>
                <w:rFonts w:hint="eastAsia" w:ascii="仿宋" w:hAnsi="仿宋" w:eastAsia="仿宋" w:cs="仿宋"/>
                <w:color w:val="000000"/>
                <w:highlight w:val="none"/>
                <w:lang w:val="en-US" w:eastAsia="zh-CN"/>
              </w:rPr>
              <w:t>4</w:t>
            </w:r>
          </w:p>
        </w:tc>
        <w:tc>
          <w:tcPr>
            <w:tcW w:w="1466" w:type="dxa"/>
            <w:noWrap w:val="0"/>
            <w:vAlign w:val="center"/>
          </w:tcPr>
          <w:p w14:paraId="3D91A7B2">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基本资质</w:t>
            </w:r>
          </w:p>
        </w:tc>
        <w:tc>
          <w:tcPr>
            <w:tcW w:w="2257" w:type="dxa"/>
            <w:noWrap w:val="0"/>
            <w:vAlign w:val="center"/>
          </w:tcPr>
          <w:p w14:paraId="2587E2AD">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有依法缴纳税收和社会保障资金的良好记录</w:t>
            </w:r>
          </w:p>
        </w:tc>
        <w:tc>
          <w:tcPr>
            <w:tcW w:w="4498" w:type="dxa"/>
            <w:noWrap w:val="0"/>
            <w:vAlign w:val="center"/>
          </w:tcPr>
          <w:p w14:paraId="0A53EADF">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提供供应商信用承诺书。</w:t>
            </w:r>
          </w:p>
          <w:p w14:paraId="089A60B6">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以上证明材料须符合要求、有效、完整。否则，响应无效。</w:t>
            </w:r>
          </w:p>
        </w:tc>
      </w:tr>
      <w:tr w14:paraId="147A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0FD40E75">
            <w:pPr>
              <w:pStyle w:val="54"/>
              <w:snapToGrid w:val="0"/>
              <w:spacing w:line="480" w:lineRule="exact"/>
              <w:ind w:firstLine="474" w:firstLineChars="226"/>
              <w:rPr>
                <w:rFonts w:hint="eastAsia" w:ascii="仿宋" w:hAnsi="仿宋" w:eastAsia="仿宋" w:cs="仿宋"/>
                <w:color w:val="000000"/>
                <w:highlight w:val="none"/>
                <w:lang w:eastAsia="zh-CN"/>
              </w:rPr>
            </w:pPr>
            <w:r>
              <w:rPr>
                <w:rFonts w:hint="eastAsia" w:ascii="仿宋" w:hAnsi="仿宋" w:eastAsia="仿宋" w:cs="仿宋"/>
                <w:color w:val="000000"/>
                <w:highlight w:val="none"/>
                <w:lang w:val="en-US" w:eastAsia="zh-CN"/>
              </w:rPr>
              <w:t>5</w:t>
            </w:r>
          </w:p>
        </w:tc>
        <w:tc>
          <w:tcPr>
            <w:tcW w:w="1466" w:type="dxa"/>
            <w:noWrap w:val="0"/>
            <w:vAlign w:val="center"/>
          </w:tcPr>
          <w:p w14:paraId="57C686F5">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基本资质</w:t>
            </w:r>
          </w:p>
        </w:tc>
        <w:tc>
          <w:tcPr>
            <w:tcW w:w="2257" w:type="dxa"/>
            <w:noWrap w:val="0"/>
            <w:vAlign w:val="center"/>
          </w:tcPr>
          <w:p w14:paraId="3BCEE1BF">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参加政府采购活动前三年内，在经营活动中没有重大违法记录</w:t>
            </w:r>
          </w:p>
        </w:tc>
        <w:tc>
          <w:tcPr>
            <w:tcW w:w="4498" w:type="dxa"/>
            <w:noWrap w:val="0"/>
            <w:vAlign w:val="center"/>
          </w:tcPr>
          <w:p w14:paraId="29802733">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提供供应商信用承诺书。</w:t>
            </w:r>
          </w:p>
          <w:p w14:paraId="61CC49DA">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以上证明材料须符合要求、有效、完整。否则，响应无效。</w:t>
            </w:r>
          </w:p>
        </w:tc>
      </w:tr>
      <w:tr w14:paraId="553B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7EB0119E">
            <w:pPr>
              <w:pStyle w:val="54"/>
              <w:snapToGrid w:val="0"/>
              <w:spacing w:line="480" w:lineRule="exact"/>
              <w:ind w:firstLine="474" w:firstLineChars="226"/>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6</w:t>
            </w:r>
          </w:p>
        </w:tc>
        <w:tc>
          <w:tcPr>
            <w:tcW w:w="1466" w:type="dxa"/>
            <w:noWrap w:val="0"/>
            <w:vAlign w:val="center"/>
          </w:tcPr>
          <w:p w14:paraId="5B36BD11">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rPr>
              <w:t>基本资质</w:t>
            </w:r>
          </w:p>
        </w:tc>
        <w:tc>
          <w:tcPr>
            <w:tcW w:w="2257" w:type="dxa"/>
            <w:noWrap w:val="0"/>
            <w:vAlign w:val="center"/>
          </w:tcPr>
          <w:p w14:paraId="4729844D">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对</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提交的</w:t>
            </w:r>
            <w:r>
              <w:rPr>
                <w:rFonts w:hint="eastAsia" w:ascii="仿宋" w:hAnsi="仿宋" w:eastAsia="仿宋" w:cs="仿宋"/>
                <w:color w:val="000000"/>
                <w:highlight w:val="none"/>
                <w:lang w:eastAsia="zh-CN"/>
              </w:rPr>
              <w:t>投标</w:t>
            </w:r>
            <w:r>
              <w:rPr>
                <w:rFonts w:hint="eastAsia" w:ascii="仿宋" w:hAnsi="仿宋" w:eastAsia="仿宋" w:cs="仿宋"/>
                <w:color w:val="000000"/>
                <w:highlight w:val="none"/>
              </w:rPr>
              <w:t>保证金的符合性进行审查</w:t>
            </w:r>
          </w:p>
        </w:tc>
        <w:tc>
          <w:tcPr>
            <w:tcW w:w="4498" w:type="dxa"/>
            <w:noWrap w:val="0"/>
            <w:vAlign w:val="center"/>
          </w:tcPr>
          <w:p w14:paraId="59DA2F09">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1</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提供</w:t>
            </w:r>
            <w:r>
              <w:rPr>
                <w:rFonts w:hint="eastAsia" w:ascii="仿宋" w:hAnsi="仿宋" w:eastAsia="仿宋" w:cs="仿宋"/>
                <w:color w:val="000000"/>
                <w:highlight w:val="none"/>
                <w:lang w:eastAsia="zh-CN"/>
              </w:rPr>
              <w:t>投标</w:t>
            </w:r>
            <w:r>
              <w:rPr>
                <w:rFonts w:hint="eastAsia" w:ascii="仿宋" w:hAnsi="仿宋" w:eastAsia="仿宋" w:cs="仿宋"/>
                <w:color w:val="000000"/>
                <w:highlight w:val="none"/>
              </w:rPr>
              <w:t>保证金提交凭据；</w:t>
            </w:r>
          </w:p>
          <w:p w14:paraId="7724225A">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2</w:t>
            </w:r>
            <w:r>
              <w:rPr>
                <w:rFonts w:hint="eastAsia" w:ascii="仿宋" w:hAnsi="仿宋" w:eastAsia="仿宋" w:cs="仿宋"/>
                <w:color w:val="000000"/>
                <w:highlight w:val="none"/>
                <w:lang w:eastAsia="zh-CN"/>
              </w:rPr>
              <w:t>.投标</w:t>
            </w:r>
            <w:r>
              <w:rPr>
                <w:rFonts w:hint="eastAsia" w:ascii="仿宋" w:hAnsi="仿宋" w:eastAsia="仿宋" w:cs="仿宋"/>
                <w:color w:val="000000"/>
                <w:highlight w:val="none"/>
              </w:rPr>
              <w:t>保证金须按照</w:t>
            </w:r>
            <w:r>
              <w:rPr>
                <w:rFonts w:hint="eastAsia" w:ascii="仿宋" w:hAnsi="仿宋" w:eastAsia="仿宋" w:cs="仿宋"/>
                <w:color w:val="000000"/>
                <w:highlight w:val="none"/>
                <w:lang w:eastAsia="zh-CN"/>
              </w:rPr>
              <w:t>招标</w:t>
            </w:r>
            <w:r>
              <w:rPr>
                <w:rFonts w:hint="eastAsia" w:ascii="仿宋" w:hAnsi="仿宋" w:eastAsia="仿宋" w:cs="仿宋"/>
                <w:color w:val="000000"/>
                <w:highlight w:val="none"/>
              </w:rPr>
              <w:t>文件前附表要求在递交</w:t>
            </w:r>
            <w:r>
              <w:rPr>
                <w:rFonts w:hint="eastAsia" w:ascii="仿宋" w:hAnsi="仿宋" w:eastAsia="仿宋" w:cs="仿宋"/>
                <w:color w:val="000000"/>
                <w:highlight w:val="none"/>
                <w:lang w:eastAsia="zh-CN"/>
              </w:rPr>
              <w:t>投标</w:t>
            </w:r>
            <w:r>
              <w:rPr>
                <w:rFonts w:hint="eastAsia" w:ascii="仿宋" w:hAnsi="仿宋" w:eastAsia="仿宋" w:cs="仿宋"/>
                <w:color w:val="000000"/>
                <w:highlight w:val="none"/>
              </w:rPr>
              <w:t>文件截止时间前足额提交。否则，响应无效。</w:t>
            </w:r>
          </w:p>
        </w:tc>
      </w:tr>
      <w:tr w14:paraId="6402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5E5D95A2">
            <w:pPr>
              <w:pStyle w:val="54"/>
              <w:snapToGrid w:val="0"/>
              <w:spacing w:line="480" w:lineRule="exact"/>
              <w:ind w:firstLine="474" w:firstLineChars="226"/>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7</w:t>
            </w:r>
          </w:p>
        </w:tc>
        <w:tc>
          <w:tcPr>
            <w:tcW w:w="1466" w:type="dxa"/>
            <w:noWrap w:val="0"/>
            <w:vAlign w:val="center"/>
          </w:tcPr>
          <w:p w14:paraId="520B4188">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rPr>
              <w:t>基本资质</w:t>
            </w:r>
          </w:p>
        </w:tc>
        <w:tc>
          <w:tcPr>
            <w:tcW w:w="2257" w:type="dxa"/>
            <w:noWrap w:val="0"/>
            <w:vAlign w:val="center"/>
          </w:tcPr>
          <w:p w14:paraId="0B227C2C">
            <w:pPr>
              <w:pStyle w:val="54"/>
              <w:snapToGrid w:val="0"/>
              <w:spacing w:line="480" w:lineRule="exact"/>
              <w:rPr>
                <w:rFonts w:hint="eastAsia" w:ascii="仿宋" w:hAnsi="仿宋" w:eastAsia="仿宋" w:cs="仿宋"/>
                <w:color w:val="000000"/>
                <w:highlight w:val="none"/>
                <w:lang w:eastAsia="zh-CN"/>
              </w:rPr>
            </w:pPr>
            <w:r>
              <w:rPr>
                <w:rFonts w:hint="eastAsia" w:ascii="仿宋" w:hAnsi="仿宋" w:eastAsia="仿宋" w:cs="仿宋"/>
                <w:color w:val="000000"/>
                <w:highlight w:val="none"/>
              </w:rPr>
              <w:t>对</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的信用情况进行信用信息查询</w:t>
            </w:r>
          </w:p>
        </w:tc>
        <w:tc>
          <w:tcPr>
            <w:tcW w:w="4498" w:type="dxa"/>
            <w:noWrap w:val="0"/>
            <w:vAlign w:val="center"/>
          </w:tcPr>
          <w:p w14:paraId="25E4AA18">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1.通过“信用中国”（http://www.creditchina.gov.cn）网查询失信被执行人</w:t>
            </w:r>
            <w:r>
              <w:rPr>
                <w:rFonts w:hint="eastAsia" w:ascii="仿宋" w:hAnsi="仿宋" w:eastAsia="仿宋" w:cs="仿宋"/>
                <w:color w:val="000000"/>
                <w:highlight w:val="none"/>
              </w:rPr>
              <w:t>、</w:t>
            </w:r>
            <w:r>
              <w:rPr>
                <w:rFonts w:hint="eastAsia" w:ascii="仿宋" w:hAnsi="仿宋" w:eastAsia="仿宋" w:cs="仿宋"/>
                <w:color w:val="000000"/>
                <w:highlight w:val="none"/>
                <w:lang w:eastAsia="zh-CN"/>
              </w:rPr>
              <w:t>重大税收违法失信主体</w:t>
            </w:r>
            <w:r>
              <w:rPr>
                <w:rFonts w:hint="eastAsia" w:ascii="仿宋" w:hAnsi="仿宋" w:eastAsia="仿宋" w:cs="仿宋"/>
                <w:color w:val="000000"/>
                <w:highlight w:val="none"/>
              </w:rPr>
              <w:t>、政府采购严重违法失信</w:t>
            </w:r>
            <w:r>
              <w:rPr>
                <w:rFonts w:hint="eastAsia" w:ascii="仿宋" w:hAnsi="仿宋" w:eastAsia="仿宋" w:cs="仿宋"/>
                <w:color w:val="000000"/>
                <w:highlight w:val="none"/>
                <w:lang w:val="en-US" w:eastAsia="zh-CN"/>
              </w:rPr>
              <w:t>行为</w:t>
            </w:r>
            <w:r>
              <w:rPr>
                <w:rFonts w:hint="eastAsia" w:ascii="仿宋" w:hAnsi="仿宋" w:eastAsia="仿宋" w:cs="仿宋"/>
                <w:color w:val="000000"/>
                <w:highlight w:val="none"/>
              </w:rPr>
              <w:t>名单</w:t>
            </w:r>
            <w:r>
              <w:rPr>
                <w:rFonts w:hint="eastAsia" w:ascii="仿宋" w:hAnsi="仿宋" w:eastAsia="仿宋" w:cs="仿宋"/>
                <w:color w:val="000000"/>
                <w:highlight w:val="none"/>
                <w:lang w:val="en-US" w:eastAsia="zh-CN"/>
              </w:rPr>
              <w:t>记录情况；</w:t>
            </w:r>
          </w:p>
          <w:p w14:paraId="136E1B42">
            <w:pPr>
              <w:pStyle w:val="54"/>
              <w:snapToGrid w:val="0"/>
              <w:spacing w:line="480" w:lineRule="exact"/>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2.通过“中国政府采购网”查询政府采购严重违法失信行为信息记录情况或其他信用信息记录；</w:t>
            </w:r>
          </w:p>
        </w:tc>
      </w:tr>
    </w:tbl>
    <w:p w14:paraId="65E7F9B7">
      <w:pPr>
        <w:ind w:firstLine="211" w:firstLineChars="100"/>
        <w:rPr>
          <w:rFonts w:hint="eastAsia" w:ascii="仿宋" w:hAnsi="仿宋" w:eastAsia="仿宋" w:cs="仿宋"/>
          <w:b/>
          <w:bCs/>
          <w:color w:val="000000"/>
          <w:highlight w:val="none"/>
        </w:rPr>
      </w:pPr>
    </w:p>
    <w:p w14:paraId="5AC0985A">
      <w:pPr>
        <w:ind w:firstLine="211" w:firstLineChars="100"/>
        <w:rPr>
          <w:rFonts w:hint="eastAsia" w:ascii="仿宋" w:hAnsi="仿宋" w:eastAsia="仿宋" w:cs="仿宋"/>
          <w:b/>
          <w:bCs/>
          <w:color w:val="000000"/>
          <w:highlight w:val="none"/>
        </w:rPr>
      </w:pPr>
      <w:r>
        <w:rPr>
          <w:rFonts w:hint="eastAsia" w:ascii="仿宋" w:hAnsi="仿宋" w:eastAsia="仿宋" w:cs="仿宋"/>
          <w:b/>
          <w:bCs/>
          <w:color w:val="000000"/>
          <w:highlight w:val="none"/>
        </w:rPr>
        <w:t>说明：</w:t>
      </w:r>
    </w:p>
    <w:p w14:paraId="3677722E">
      <w:pPr>
        <w:ind w:firstLine="211" w:firstLineChars="100"/>
        <w:rPr>
          <w:rFonts w:hint="eastAsia" w:ascii="仿宋" w:hAnsi="仿宋" w:eastAsia="仿宋" w:cs="仿宋"/>
          <w:b/>
          <w:bCs/>
          <w:color w:val="000000"/>
          <w:highlight w:val="none"/>
        </w:rPr>
      </w:pPr>
      <w:r>
        <w:rPr>
          <w:rFonts w:hint="eastAsia" w:ascii="仿宋" w:hAnsi="仿宋" w:eastAsia="仿宋" w:cs="仿宋"/>
          <w:b/>
          <w:bCs/>
          <w:color w:val="000000"/>
          <w:highlight w:val="none"/>
        </w:rPr>
        <w:t>1、提供的扫描件不清晰、无法辨认</w:t>
      </w:r>
      <w:r>
        <w:rPr>
          <w:rFonts w:hint="eastAsia" w:ascii="仿宋" w:hAnsi="仿宋" w:eastAsia="仿宋" w:cs="仿宋"/>
          <w:b/>
          <w:bCs/>
          <w:color w:val="000000"/>
          <w:highlight w:val="none"/>
          <w:lang w:eastAsia="zh-CN"/>
        </w:rPr>
        <w:t>，</w:t>
      </w:r>
      <w:r>
        <w:rPr>
          <w:rFonts w:hint="eastAsia" w:ascii="仿宋" w:hAnsi="仿宋" w:eastAsia="仿宋" w:cs="仿宋"/>
          <w:b/>
          <w:bCs/>
          <w:color w:val="000000"/>
          <w:highlight w:val="none"/>
        </w:rPr>
        <w:t>如内容不符合规定，该项内容将视为无效。</w:t>
      </w:r>
    </w:p>
    <w:p w14:paraId="2CD9162F">
      <w:pPr>
        <w:ind w:firstLine="211" w:firstLineChars="100"/>
        <w:rPr>
          <w:rFonts w:hint="eastAsia" w:ascii="仿宋" w:hAnsi="仿宋" w:eastAsia="仿宋" w:cs="仿宋"/>
          <w:b/>
          <w:bCs/>
          <w:color w:val="000000"/>
          <w:highlight w:val="none"/>
        </w:rPr>
      </w:pPr>
      <w:r>
        <w:rPr>
          <w:rFonts w:hint="eastAsia" w:ascii="仿宋" w:hAnsi="仿宋" w:eastAsia="仿宋" w:cs="仿宋"/>
          <w:b/>
          <w:bCs/>
          <w:color w:val="000000"/>
          <w:highlight w:val="none"/>
        </w:rPr>
        <w:t>2、以上资格证明文件若有一项未提供或无效或不符合招标文件要求，将导致其不具备投标资格，且不允许在开标后补正。</w:t>
      </w:r>
    </w:p>
    <w:p w14:paraId="6491F959">
      <w:pPr>
        <w:ind w:firstLine="211" w:firstLineChars="100"/>
        <w:rPr>
          <w:rFonts w:hint="eastAsia" w:ascii="仿宋" w:hAnsi="仿宋" w:eastAsia="仿宋" w:cs="仿宋"/>
          <w:b/>
          <w:bCs/>
          <w:color w:val="000000"/>
          <w:highlight w:val="none"/>
        </w:rPr>
      </w:pPr>
      <w:r>
        <w:rPr>
          <w:rFonts w:hint="eastAsia" w:ascii="仿宋" w:hAnsi="仿宋" w:eastAsia="仿宋" w:cs="仿宋"/>
          <w:b/>
          <w:bCs/>
          <w:color w:val="000000"/>
          <w:highlight w:val="none"/>
        </w:rPr>
        <w:t>3、资格性审查的标准依据第二部分“投标人须知前附表”序号</w:t>
      </w:r>
      <w:r>
        <w:rPr>
          <w:rFonts w:hint="eastAsia" w:ascii="仿宋" w:hAnsi="仿宋" w:eastAsia="仿宋" w:cs="仿宋"/>
          <w:b/>
          <w:bCs/>
          <w:color w:val="000000"/>
          <w:highlight w:val="none"/>
          <w:lang w:val="en-US" w:eastAsia="zh-CN"/>
        </w:rPr>
        <w:t>4</w:t>
      </w:r>
      <w:r>
        <w:rPr>
          <w:rFonts w:hint="eastAsia" w:ascii="仿宋" w:hAnsi="仿宋" w:eastAsia="仿宋" w:cs="仿宋"/>
          <w:b/>
          <w:bCs/>
          <w:color w:val="000000"/>
          <w:highlight w:val="none"/>
        </w:rPr>
        <w:t>的规定。</w:t>
      </w:r>
    </w:p>
    <w:p w14:paraId="13900F12">
      <w:pPr>
        <w:pStyle w:val="54"/>
        <w:snapToGrid w:val="0"/>
        <w:spacing w:line="480" w:lineRule="exact"/>
        <w:ind w:firstLine="422" w:firstLineChars="200"/>
        <w:rPr>
          <w:rFonts w:hint="eastAsia" w:ascii="仿宋" w:hAnsi="仿宋" w:eastAsia="仿宋" w:cs="仿宋"/>
          <w:b/>
          <w:color w:val="000000"/>
          <w:highlight w:val="none"/>
        </w:rPr>
      </w:pPr>
      <w:r>
        <w:rPr>
          <w:rFonts w:hint="eastAsia" w:ascii="仿宋" w:hAnsi="仿宋" w:eastAsia="仿宋" w:cs="仿宋"/>
          <w:b/>
          <w:color w:val="000000"/>
          <w:highlight w:val="none"/>
        </w:rPr>
        <w:br w:type="page"/>
      </w:r>
      <w:r>
        <w:rPr>
          <w:rFonts w:hint="eastAsia" w:ascii="仿宋" w:hAnsi="仿宋" w:eastAsia="仿宋" w:cs="仿宋"/>
          <w:b/>
          <w:color w:val="000000"/>
          <w:highlight w:val="none"/>
        </w:rPr>
        <w:t>（二）符合性审查的内容及标准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467"/>
        <w:gridCol w:w="1805"/>
        <w:gridCol w:w="5045"/>
      </w:tblGrid>
      <w:tr w14:paraId="3527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6" w:type="dxa"/>
            <w:noWrap w:val="0"/>
            <w:vAlign w:val="center"/>
          </w:tcPr>
          <w:p w14:paraId="6D413434">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序号</w:t>
            </w:r>
          </w:p>
        </w:tc>
        <w:tc>
          <w:tcPr>
            <w:tcW w:w="1467" w:type="dxa"/>
            <w:noWrap w:val="0"/>
            <w:vAlign w:val="center"/>
          </w:tcPr>
          <w:p w14:paraId="113470FF">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类型</w:t>
            </w:r>
          </w:p>
        </w:tc>
        <w:tc>
          <w:tcPr>
            <w:tcW w:w="1805" w:type="dxa"/>
            <w:noWrap w:val="0"/>
            <w:vAlign w:val="center"/>
          </w:tcPr>
          <w:p w14:paraId="3B92E836">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要求</w:t>
            </w:r>
          </w:p>
        </w:tc>
        <w:tc>
          <w:tcPr>
            <w:tcW w:w="5045" w:type="dxa"/>
            <w:noWrap w:val="0"/>
            <w:vAlign w:val="center"/>
          </w:tcPr>
          <w:p w14:paraId="6C3C8E49">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要求说明</w:t>
            </w:r>
          </w:p>
        </w:tc>
      </w:tr>
      <w:tr w14:paraId="43C9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36" w:type="dxa"/>
            <w:noWrap w:val="0"/>
            <w:vAlign w:val="center"/>
          </w:tcPr>
          <w:p w14:paraId="34CE4F69">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w:t>
            </w:r>
          </w:p>
        </w:tc>
        <w:tc>
          <w:tcPr>
            <w:tcW w:w="1467" w:type="dxa"/>
            <w:noWrap w:val="0"/>
            <w:vAlign w:val="center"/>
          </w:tcPr>
          <w:p w14:paraId="333A4A41">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商务资信</w:t>
            </w:r>
          </w:p>
        </w:tc>
        <w:tc>
          <w:tcPr>
            <w:tcW w:w="1805" w:type="dxa"/>
            <w:noWrap w:val="0"/>
            <w:vAlign w:val="center"/>
          </w:tcPr>
          <w:p w14:paraId="6CB1CD70">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法定代表人（负责人）身份证明书、法定代表人（负责人）授权委托书、投标函的审核</w:t>
            </w:r>
          </w:p>
        </w:tc>
        <w:tc>
          <w:tcPr>
            <w:tcW w:w="5045" w:type="dxa"/>
            <w:noWrap w:val="0"/>
            <w:vAlign w:val="center"/>
          </w:tcPr>
          <w:p w14:paraId="6ABAEAE6">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审核法定代表人（负责人）身份证明文件、法定代表人（负责人）授权委托书及投标函是否按招标文件第七部分要求格式提供；内容是否完整；投标有效期是否符合招标文件要求；授权人签字是否在授权书有效期内；是否按招标文件要求对其进行了签署、盖章等。</w:t>
            </w:r>
          </w:p>
        </w:tc>
      </w:tr>
      <w:tr w14:paraId="3F39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36" w:type="dxa"/>
            <w:noWrap w:val="0"/>
            <w:vAlign w:val="center"/>
          </w:tcPr>
          <w:p w14:paraId="7F0C5D66">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2</w:t>
            </w:r>
          </w:p>
        </w:tc>
        <w:tc>
          <w:tcPr>
            <w:tcW w:w="1467" w:type="dxa"/>
            <w:noWrap w:val="0"/>
            <w:vAlign w:val="center"/>
          </w:tcPr>
          <w:p w14:paraId="528ED4C3">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商务资信</w:t>
            </w:r>
          </w:p>
        </w:tc>
        <w:tc>
          <w:tcPr>
            <w:tcW w:w="1805" w:type="dxa"/>
            <w:noWrap w:val="0"/>
            <w:vAlign w:val="center"/>
          </w:tcPr>
          <w:p w14:paraId="6C938FDF">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投标文件的签署、盖章</w:t>
            </w:r>
          </w:p>
        </w:tc>
        <w:tc>
          <w:tcPr>
            <w:tcW w:w="5045" w:type="dxa"/>
            <w:noWrap w:val="0"/>
            <w:vAlign w:val="center"/>
          </w:tcPr>
          <w:p w14:paraId="73E909EA">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审查投标文件是否按招标文件的规定签署、盖章；否则，响应无效。</w:t>
            </w:r>
          </w:p>
        </w:tc>
      </w:tr>
      <w:tr w14:paraId="6C30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36" w:type="dxa"/>
            <w:noWrap w:val="0"/>
            <w:vAlign w:val="center"/>
          </w:tcPr>
          <w:p w14:paraId="74163C60">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3</w:t>
            </w:r>
          </w:p>
        </w:tc>
        <w:tc>
          <w:tcPr>
            <w:tcW w:w="1467" w:type="dxa"/>
            <w:noWrap w:val="0"/>
            <w:vAlign w:val="center"/>
          </w:tcPr>
          <w:p w14:paraId="4B8EEF30">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报价</w:t>
            </w:r>
          </w:p>
        </w:tc>
        <w:tc>
          <w:tcPr>
            <w:tcW w:w="1805" w:type="dxa"/>
            <w:noWrap w:val="0"/>
            <w:vAlign w:val="center"/>
          </w:tcPr>
          <w:p w14:paraId="17EB9B76">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投标文件报价审核</w:t>
            </w:r>
          </w:p>
        </w:tc>
        <w:tc>
          <w:tcPr>
            <w:tcW w:w="5045" w:type="dxa"/>
            <w:noWrap w:val="0"/>
            <w:vAlign w:val="center"/>
          </w:tcPr>
          <w:p w14:paraId="1AC2B480">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1.审查开标一览表是否按招标文件提供格式的内容进行填写；内容是否完整；合同履行期限（承包期限）是否与招标文件一致；是否按招标文件要求对其进行了签署、盖章。</w:t>
            </w:r>
          </w:p>
          <w:p w14:paraId="114FB4FF">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2.报价若存在漏项、缺项；存在有超出本项目预算金额或最高限价的报价的，投标无效；</w:t>
            </w:r>
          </w:p>
          <w:p w14:paraId="413D1E41">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3.报价有可选择或可调整的投标和报价的，投标无效。</w:t>
            </w:r>
          </w:p>
        </w:tc>
      </w:tr>
      <w:tr w14:paraId="510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6" w:type="dxa"/>
            <w:noWrap w:val="0"/>
            <w:vAlign w:val="center"/>
          </w:tcPr>
          <w:p w14:paraId="0958F500">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4</w:t>
            </w:r>
          </w:p>
        </w:tc>
        <w:tc>
          <w:tcPr>
            <w:tcW w:w="1467" w:type="dxa"/>
            <w:noWrap w:val="0"/>
            <w:vAlign w:val="center"/>
          </w:tcPr>
          <w:p w14:paraId="745CA940">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商务资信</w:t>
            </w:r>
          </w:p>
        </w:tc>
        <w:tc>
          <w:tcPr>
            <w:tcW w:w="1805" w:type="dxa"/>
            <w:noWrap w:val="0"/>
            <w:vAlign w:val="center"/>
          </w:tcPr>
          <w:p w14:paraId="79FB2492">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商务要求相应内容的审核</w:t>
            </w:r>
          </w:p>
        </w:tc>
        <w:tc>
          <w:tcPr>
            <w:tcW w:w="5045" w:type="dxa"/>
            <w:noWrap w:val="0"/>
            <w:vAlign w:val="center"/>
          </w:tcPr>
          <w:p w14:paraId="0B1DE879">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对照本文件第四部分的完成时间和投标文件的响应情况进行审查，没有做出实质性响应的做无效投标处理。</w:t>
            </w:r>
          </w:p>
        </w:tc>
      </w:tr>
      <w:tr w14:paraId="66F8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36" w:type="dxa"/>
            <w:noWrap w:val="0"/>
            <w:vAlign w:val="center"/>
          </w:tcPr>
          <w:p w14:paraId="01E7472D">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5</w:t>
            </w:r>
          </w:p>
        </w:tc>
        <w:tc>
          <w:tcPr>
            <w:tcW w:w="1467" w:type="dxa"/>
            <w:noWrap w:val="0"/>
            <w:vAlign w:val="center"/>
          </w:tcPr>
          <w:p w14:paraId="151F16A9">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技术</w:t>
            </w:r>
          </w:p>
        </w:tc>
        <w:tc>
          <w:tcPr>
            <w:tcW w:w="1805" w:type="dxa"/>
            <w:noWrap w:val="0"/>
            <w:vAlign w:val="center"/>
          </w:tcPr>
          <w:p w14:paraId="6DBCC03E">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技术要求相应内容的审核</w:t>
            </w:r>
          </w:p>
        </w:tc>
        <w:tc>
          <w:tcPr>
            <w:tcW w:w="5045" w:type="dxa"/>
            <w:noWrap w:val="0"/>
            <w:vAlign w:val="center"/>
          </w:tcPr>
          <w:p w14:paraId="1F544D18">
            <w:pPr>
              <w:pStyle w:val="54"/>
              <w:snapToGrid w:val="0"/>
              <w:spacing w:line="480" w:lineRule="exac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对照本文件第四部分的“技术要求”中的内容和投标文件的响应情况进行审查，没有做出实质性、符合性响应的做无效投标处理。</w:t>
            </w:r>
          </w:p>
        </w:tc>
      </w:tr>
    </w:tbl>
    <w:p w14:paraId="2B4F2F47">
      <w:pPr>
        <w:rPr>
          <w:rFonts w:hint="eastAsia" w:ascii="仿宋" w:hAnsi="仿宋" w:eastAsia="仿宋" w:cs="仿宋"/>
          <w:b/>
          <w:bCs/>
          <w:color w:val="000000"/>
          <w:highlight w:val="none"/>
        </w:rPr>
      </w:pPr>
    </w:p>
    <w:p w14:paraId="0D3059BC">
      <w:pPr>
        <w:ind w:firstLine="211" w:firstLineChars="100"/>
        <w:rPr>
          <w:rFonts w:hint="eastAsia" w:ascii="仿宋" w:hAnsi="仿宋" w:eastAsia="仿宋" w:cs="仿宋"/>
          <w:b/>
          <w:bCs/>
          <w:color w:val="000000"/>
          <w:highlight w:val="none"/>
        </w:rPr>
      </w:pPr>
      <w:r>
        <w:rPr>
          <w:rFonts w:hint="eastAsia" w:ascii="仿宋" w:hAnsi="仿宋" w:eastAsia="仿宋" w:cs="仿宋"/>
          <w:b/>
          <w:bCs/>
          <w:color w:val="000000"/>
          <w:highlight w:val="none"/>
        </w:rPr>
        <w:t>说明：</w:t>
      </w:r>
    </w:p>
    <w:p w14:paraId="115B4D96">
      <w:pPr>
        <w:ind w:firstLine="211" w:firstLineChars="100"/>
        <w:rPr>
          <w:rFonts w:hint="eastAsia" w:ascii="仿宋" w:hAnsi="仿宋" w:eastAsia="仿宋" w:cs="仿宋"/>
          <w:b/>
          <w:bCs/>
          <w:color w:val="000000"/>
          <w:highlight w:val="none"/>
        </w:rPr>
      </w:pPr>
      <w:r>
        <w:rPr>
          <w:rFonts w:hint="eastAsia" w:ascii="仿宋" w:hAnsi="仿宋" w:eastAsia="仿宋" w:cs="仿宋"/>
          <w:b/>
          <w:bCs/>
          <w:color w:val="000000"/>
          <w:highlight w:val="none"/>
        </w:rPr>
        <w:t>1、符合性审查的内容，经评标委员会共同认定没有做出实质性、符合性响应的、存在重大偏离或保留，将导致投标无效。</w:t>
      </w:r>
    </w:p>
    <w:p w14:paraId="3496C9C0">
      <w:pPr>
        <w:ind w:firstLine="211" w:firstLineChars="100"/>
        <w:rPr>
          <w:rFonts w:hint="eastAsia" w:ascii="仿宋" w:hAnsi="仿宋" w:eastAsia="仿宋" w:cs="仿宋"/>
          <w:b/>
          <w:bCs/>
          <w:color w:val="000000"/>
          <w:highlight w:val="none"/>
        </w:rPr>
      </w:pPr>
      <w:r>
        <w:rPr>
          <w:rFonts w:hint="eastAsia" w:ascii="仿宋" w:hAnsi="仿宋" w:eastAsia="仿宋" w:cs="仿宋"/>
          <w:b/>
          <w:bCs/>
          <w:color w:val="000000"/>
          <w:highlight w:val="none"/>
        </w:rPr>
        <w:t xml:space="preserve">2、审查时，对特殊情况的处理评标委员会要遵循招标文件第三部分投标人须知第20条规定的原则。  </w:t>
      </w:r>
    </w:p>
    <w:p w14:paraId="7EF1236D">
      <w:pPr>
        <w:jc w:val="center"/>
        <w:rPr>
          <w:rFonts w:hint="eastAsia" w:ascii="仿宋" w:hAnsi="仿宋" w:eastAsia="仿宋" w:cs="仿宋"/>
          <w:b/>
          <w:kern w:val="0"/>
          <w:szCs w:val="21"/>
          <w:highlight w:val="none"/>
        </w:rPr>
      </w:pPr>
    </w:p>
    <w:p w14:paraId="08EF9007">
      <w:pPr>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综合评分法评分细则</w:t>
      </w:r>
    </w:p>
    <w:p w14:paraId="553D8EA2">
      <w:pPr>
        <w:pStyle w:val="12"/>
        <w:rPr>
          <w:rFonts w:hint="eastAsia" w:ascii="仿宋" w:hAnsi="仿宋" w:eastAsia="仿宋" w:cs="仿宋"/>
          <w:b/>
          <w:kern w:val="0"/>
          <w:sz w:val="24"/>
          <w:highlight w:val="none"/>
        </w:rPr>
      </w:pP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2"/>
        <w:gridCol w:w="857"/>
      </w:tblGrid>
      <w:tr w14:paraId="6EF494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8242" w:type="dxa"/>
            <w:noWrap w:val="0"/>
            <w:vAlign w:val="center"/>
          </w:tcPr>
          <w:p w14:paraId="576B9F11">
            <w:pPr>
              <w:widowControl/>
              <w:snapToGrid w:val="0"/>
              <w:spacing w:line="276" w:lineRule="auto"/>
              <w:jc w:val="center"/>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评 定 内 容 及 标 准</w:t>
            </w:r>
          </w:p>
        </w:tc>
        <w:tc>
          <w:tcPr>
            <w:tcW w:w="857" w:type="dxa"/>
            <w:noWrap w:val="0"/>
            <w:vAlign w:val="center"/>
          </w:tcPr>
          <w:p w14:paraId="23DD8BA8">
            <w:pPr>
              <w:widowControl/>
              <w:snapToGrid w:val="0"/>
              <w:spacing w:line="320" w:lineRule="exact"/>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得分</w:t>
            </w:r>
          </w:p>
        </w:tc>
      </w:tr>
      <w:tr w14:paraId="6AB035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099" w:type="dxa"/>
            <w:gridSpan w:val="2"/>
            <w:noWrap w:val="0"/>
            <w:vAlign w:val="center"/>
          </w:tcPr>
          <w:p w14:paraId="2F1B8D46">
            <w:pPr>
              <w:widowControl/>
              <w:numPr>
                <w:ilvl w:val="0"/>
                <w:numId w:val="4"/>
              </w:numPr>
              <w:snapToGrid w:val="0"/>
              <w:spacing w:line="276" w:lineRule="auto"/>
              <w:jc w:val="center"/>
              <w:rPr>
                <w:rFonts w:hint="eastAsia" w:ascii="仿宋" w:hAnsi="仿宋" w:eastAsia="仿宋" w:cs="仿宋"/>
                <w:b/>
                <w:color w:val="auto"/>
                <w:kern w:val="0"/>
                <w:sz w:val="24"/>
                <w:highlight w:val="none"/>
              </w:rPr>
            </w:pPr>
            <w:r>
              <w:rPr>
                <w:rFonts w:hint="eastAsia" w:ascii="仿宋" w:hAnsi="仿宋" w:eastAsia="仿宋" w:cs="仿宋"/>
                <w:b/>
                <w:bCs/>
                <w:color w:val="auto"/>
                <w:kern w:val="0"/>
                <w:sz w:val="24"/>
                <w:highlight w:val="none"/>
              </w:rPr>
              <w:t>商务部分(</w:t>
            </w:r>
            <w:r>
              <w:rPr>
                <w:rFonts w:hint="eastAsia" w:ascii="仿宋" w:hAnsi="仿宋" w:eastAsia="仿宋" w:cs="仿宋"/>
                <w:b/>
                <w:bCs/>
                <w:color w:val="auto"/>
                <w:kern w:val="0"/>
                <w:sz w:val="24"/>
                <w:highlight w:val="none"/>
                <w:lang w:val="en-US" w:eastAsia="zh-CN"/>
              </w:rPr>
              <w:t>30</w:t>
            </w:r>
            <w:r>
              <w:rPr>
                <w:rFonts w:hint="eastAsia" w:ascii="仿宋" w:hAnsi="仿宋" w:eastAsia="仿宋" w:cs="仿宋"/>
                <w:b/>
                <w:bCs/>
                <w:color w:val="auto"/>
                <w:kern w:val="0"/>
                <w:sz w:val="24"/>
                <w:highlight w:val="none"/>
              </w:rPr>
              <w:t>分)</w:t>
            </w:r>
          </w:p>
        </w:tc>
      </w:tr>
      <w:tr w14:paraId="052D51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242" w:type="dxa"/>
            <w:noWrap w:val="0"/>
            <w:vAlign w:val="center"/>
          </w:tcPr>
          <w:p w14:paraId="09712593">
            <w:pPr>
              <w:widowControl/>
              <w:snapToGrid w:val="0"/>
              <w:spacing w:line="276" w:lineRule="auto"/>
              <w:ind w:firstLine="480" w:firstLineChars="200"/>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1、供应商业绩</w:t>
            </w:r>
          </w:p>
          <w:p w14:paraId="34405F82">
            <w:pPr>
              <w:widowControl/>
              <w:snapToGrid w:val="0"/>
              <w:spacing w:line="276" w:lineRule="auto"/>
              <w:ind w:firstLine="360" w:firstLineChars="150"/>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近3年（以投标截止之日为基准往前追溯3年，时间认定以合同签订日期为准）内同</w:t>
            </w:r>
            <w:r>
              <w:rPr>
                <w:rFonts w:hint="eastAsia" w:ascii="仿宋" w:hAnsi="仿宋" w:eastAsia="仿宋" w:cs="仿宋"/>
                <w:bCs/>
                <w:color w:val="000000"/>
                <w:kern w:val="0"/>
                <w:sz w:val="24"/>
                <w:highlight w:val="none"/>
                <w:lang w:val="en-US" w:eastAsia="zh-CN"/>
              </w:rPr>
              <w:t>类型</w:t>
            </w:r>
            <w:r>
              <w:rPr>
                <w:rFonts w:hint="eastAsia" w:ascii="仿宋" w:hAnsi="仿宋" w:eastAsia="仿宋" w:cs="仿宋"/>
                <w:bCs/>
                <w:color w:val="000000"/>
                <w:kern w:val="0"/>
                <w:sz w:val="24"/>
                <w:highlight w:val="none"/>
              </w:rPr>
              <w:t>的项目业绩，每提供1项得</w:t>
            </w:r>
            <w:r>
              <w:rPr>
                <w:rFonts w:hint="eastAsia" w:ascii="仿宋" w:hAnsi="仿宋" w:eastAsia="仿宋" w:cs="仿宋"/>
                <w:bCs/>
                <w:color w:val="000000"/>
                <w:kern w:val="0"/>
                <w:sz w:val="24"/>
                <w:highlight w:val="none"/>
                <w:lang w:val="en-US" w:eastAsia="zh-CN"/>
              </w:rPr>
              <w:t>4</w:t>
            </w:r>
            <w:r>
              <w:rPr>
                <w:rFonts w:hint="eastAsia" w:ascii="仿宋" w:hAnsi="仿宋" w:eastAsia="仿宋" w:cs="仿宋"/>
                <w:bCs/>
                <w:color w:val="000000"/>
                <w:kern w:val="0"/>
                <w:sz w:val="24"/>
                <w:highlight w:val="none"/>
              </w:rPr>
              <w:t>分，最高</w:t>
            </w:r>
            <w:r>
              <w:rPr>
                <w:rFonts w:hint="eastAsia" w:ascii="仿宋" w:hAnsi="仿宋" w:eastAsia="仿宋" w:cs="仿宋"/>
                <w:bCs/>
                <w:color w:val="000000"/>
                <w:kern w:val="0"/>
                <w:sz w:val="24"/>
                <w:highlight w:val="none"/>
                <w:lang w:val="en-US" w:eastAsia="zh-CN"/>
              </w:rPr>
              <w:t>16</w:t>
            </w:r>
            <w:r>
              <w:rPr>
                <w:rFonts w:hint="eastAsia" w:ascii="仿宋" w:hAnsi="仿宋" w:eastAsia="仿宋" w:cs="仿宋"/>
                <w:bCs/>
                <w:color w:val="000000"/>
                <w:kern w:val="0"/>
                <w:sz w:val="24"/>
                <w:highlight w:val="none"/>
              </w:rPr>
              <w:t>分（需提供合同关键页）。</w:t>
            </w:r>
          </w:p>
        </w:tc>
        <w:tc>
          <w:tcPr>
            <w:tcW w:w="857" w:type="dxa"/>
            <w:noWrap w:val="0"/>
            <w:vAlign w:val="center"/>
          </w:tcPr>
          <w:p w14:paraId="032AB57B">
            <w:pPr>
              <w:widowControl/>
              <w:snapToGrid w:val="0"/>
              <w:spacing w:line="320" w:lineRule="exact"/>
              <w:jc w:val="center"/>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16</w:t>
            </w:r>
          </w:p>
        </w:tc>
      </w:tr>
      <w:tr w14:paraId="6536A5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242" w:type="dxa"/>
            <w:noWrap w:val="0"/>
            <w:vAlign w:val="center"/>
          </w:tcPr>
          <w:p w14:paraId="092D3ED7">
            <w:pPr>
              <w:widowControl/>
              <w:snapToGrid w:val="0"/>
              <w:spacing w:line="276" w:lineRule="auto"/>
              <w:ind w:firstLine="360" w:firstLineChars="150"/>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lang w:val="en-US" w:eastAsia="zh-CN"/>
              </w:rPr>
              <w:t>2、</w:t>
            </w:r>
            <w:r>
              <w:rPr>
                <w:rFonts w:hint="eastAsia" w:ascii="仿宋" w:hAnsi="仿宋" w:eastAsia="仿宋" w:cs="仿宋"/>
                <w:bCs/>
                <w:color w:val="000000"/>
                <w:kern w:val="0"/>
                <w:sz w:val="24"/>
                <w:highlight w:val="none"/>
              </w:rPr>
              <w:t>服务团队(</w:t>
            </w:r>
            <w:r>
              <w:rPr>
                <w:rFonts w:hint="eastAsia" w:ascii="仿宋" w:hAnsi="仿宋" w:eastAsia="仿宋" w:cs="仿宋"/>
                <w:bCs/>
                <w:color w:val="000000"/>
                <w:kern w:val="0"/>
                <w:sz w:val="24"/>
                <w:highlight w:val="none"/>
                <w:lang w:val="en-US" w:eastAsia="zh-CN"/>
              </w:rPr>
              <w:t>14</w:t>
            </w:r>
            <w:r>
              <w:rPr>
                <w:rFonts w:hint="eastAsia" w:ascii="仿宋" w:hAnsi="仿宋" w:eastAsia="仿宋" w:cs="仿宋"/>
                <w:bCs/>
                <w:color w:val="000000"/>
                <w:kern w:val="0"/>
                <w:sz w:val="24"/>
                <w:highlight w:val="none"/>
              </w:rPr>
              <w:t>分)</w:t>
            </w:r>
          </w:p>
          <w:p w14:paraId="2766E422">
            <w:pPr>
              <w:widowControl/>
              <w:snapToGrid w:val="0"/>
              <w:spacing w:line="276" w:lineRule="auto"/>
              <w:ind w:firstLine="360" w:firstLineChars="150"/>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投标人拟投入本项目的人员每具有一名社会工作者职业资格证书得</w:t>
            </w:r>
            <w:r>
              <w:rPr>
                <w:rFonts w:hint="eastAsia" w:ascii="仿宋" w:hAnsi="仿宋" w:eastAsia="仿宋" w:cs="仿宋"/>
                <w:bCs/>
                <w:color w:val="000000"/>
                <w:kern w:val="0"/>
                <w:sz w:val="24"/>
                <w:highlight w:val="none"/>
                <w:lang w:val="en-US" w:eastAsia="zh-CN"/>
              </w:rPr>
              <w:t>0.5</w:t>
            </w:r>
            <w:r>
              <w:rPr>
                <w:rFonts w:hint="eastAsia" w:ascii="仿宋" w:hAnsi="仿宋" w:eastAsia="仿宋" w:cs="仿宋"/>
                <w:bCs/>
                <w:color w:val="000000"/>
                <w:kern w:val="0"/>
                <w:sz w:val="24"/>
                <w:highlight w:val="none"/>
              </w:rPr>
              <w:t>分最高得</w:t>
            </w:r>
            <w:r>
              <w:rPr>
                <w:rFonts w:hint="eastAsia" w:ascii="仿宋" w:hAnsi="仿宋" w:eastAsia="仿宋" w:cs="仿宋"/>
                <w:bCs/>
                <w:color w:val="000000"/>
                <w:kern w:val="0"/>
                <w:sz w:val="24"/>
                <w:highlight w:val="none"/>
                <w:lang w:val="en-US" w:eastAsia="zh-CN"/>
              </w:rPr>
              <w:t>14</w:t>
            </w:r>
            <w:r>
              <w:rPr>
                <w:rFonts w:hint="eastAsia" w:ascii="仿宋" w:hAnsi="仿宋" w:eastAsia="仿宋" w:cs="仿宋"/>
                <w:bCs/>
                <w:color w:val="000000"/>
                <w:kern w:val="0"/>
                <w:sz w:val="24"/>
                <w:highlight w:val="none"/>
              </w:rPr>
              <w:t>分。</w:t>
            </w:r>
          </w:p>
          <w:p w14:paraId="5BE4A6FF">
            <w:pPr>
              <w:widowControl/>
              <w:snapToGrid w:val="0"/>
              <w:spacing w:line="276" w:lineRule="auto"/>
              <w:ind w:firstLine="360" w:firstLineChars="150"/>
              <w:rPr>
                <w:rFonts w:hint="default" w:ascii="仿宋" w:hAnsi="仿宋" w:eastAsia="仿宋" w:cs="仿宋"/>
                <w:bCs/>
                <w:color w:val="000000"/>
                <w:kern w:val="0"/>
                <w:sz w:val="24"/>
                <w:highlight w:val="none"/>
                <w:lang w:val="en-US" w:eastAsia="zh-CN"/>
              </w:rPr>
            </w:pPr>
            <w:r>
              <w:rPr>
                <w:rFonts w:hint="eastAsia" w:ascii="仿宋" w:hAnsi="仿宋" w:eastAsia="仿宋" w:cs="仿宋"/>
                <w:bCs/>
                <w:color w:val="000000"/>
                <w:kern w:val="0"/>
                <w:sz w:val="24"/>
                <w:highlight w:val="none"/>
              </w:rPr>
              <w:t>注:须提供相关人员聘用合同或社保证明、相关证书、身份证等相关证明材料的扫描件，证明资料不清晰、不完整或不一致的不计分。</w:t>
            </w:r>
          </w:p>
        </w:tc>
        <w:tc>
          <w:tcPr>
            <w:tcW w:w="857" w:type="dxa"/>
            <w:noWrap w:val="0"/>
            <w:vAlign w:val="center"/>
          </w:tcPr>
          <w:p w14:paraId="36927838">
            <w:pPr>
              <w:widowControl/>
              <w:snapToGrid w:val="0"/>
              <w:spacing w:line="320" w:lineRule="exact"/>
              <w:jc w:val="center"/>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14</w:t>
            </w:r>
          </w:p>
        </w:tc>
      </w:tr>
      <w:tr w14:paraId="68AFFA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099" w:type="dxa"/>
            <w:gridSpan w:val="2"/>
            <w:noWrap w:val="0"/>
            <w:vAlign w:val="center"/>
          </w:tcPr>
          <w:p w14:paraId="15423202">
            <w:pPr>
              <w:widowControl/>
              <w:snapToGrid w:val="0"/>
              <w:spacing w:line="276" w:lineRule="auto"/>
              <w:jc w:val="center"/>
              <w:rPr>
                <w:rFonts w:hint="eastAsia" w:ascii="仿宋" w:hAnsi="仿宋" w:eastAsia="仿宋" w:cs="仿宋"/>
                <w:color w:val="FF0000"/>
                <w:kern w:val="0"/>
                <w:sz w:val="24"/>
                <w:highlight w:val="none"/>
              </w:rPr>
            </w:pPr>
            <w:r>
              <w:rPr>
                <w:rFonts w:hint="eastAsia" w:ascii="仿宋" w:hAnsi="仿宋" w:eastAsia="仿宋" w:cs="仿宋"/>
                <w:b/>
                <w:bCs/>
                <w:color w:val="auto"/>
                <w:kern w:val="0"/>
                <w:sz w:val="24"/>
                <w:highlight w:val="none"/>
              </w:rPr>
              <w:t>二、技术及服务部分(</w:t>
            </w:r>
            <w:r>
              <w:rPr>
                <w:rFonts w:hint="eastAsia" w:ascii="仿宋" w:hAnsi="仿宋" w:eastAsia="仿宋" w:cs="仿宋"/>
                <w:b/>
                <w:bCs/>
                <w:color w:val="auto"/>
                <w:kern w:val="0"/>
                <w:sz w:val="24"/>
                <w:highlight w:val="none"/>
                <w:lang w:val="en-US" w:eastAsia="zh-CN"/>
              </w:rPr>
              <w:t>60</w:t>
            </w:r>
            <w:r>
              <w:rPr>
                <w:rFonts w:hint="eastAsia" w:ascii="仿宋" w:hAnsi="仿宋" w:eastAsia="仿宋" w:cs="仿宋"/>
                <w:b/>
                <w:bCs/>
                <w:color w:val="auto"/>
                <w:kern w:val="0"/>
                <w:sz w:val="24"/>
                <w:highlight w:val="none"/>
              </w:rPr>
              <w:t xml:space="preserve">分) </w:t>
            </w:r>
          </w:p>
        </w:tc>
      </w:tr>
      <w:tr w14:paraId="3FC701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242" w:type="dxa"/>
            <w:shd w:val="clear" w:color="auto" w:fill="FFFFFF"/>
            <w:noWrap w:val="0"/>
            <w:vAlign w:val="center"/>
          </w:tcPr>
          <w:p w14:paraId="6C8520C3">
            <w:pPr>
              <w:widowControl/>
              <w:snapToGrid w:val="0"/>
              <w:spacing w:line="276" w:lineRule="auto"/>
              <w:ind w:firstLine="480" w:firstLineChars="200"/>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1、总体服务思路</w:t>
            </w:r>
          </w:p>
          <w:p w14:paraId="4B97A9D2">
            <w:pPr>
              <w:widowControl/>
              <w:snapToGrid w:val="0"/>
              <w:spacing w:line="276" w:lineRule="auto"/>
              <w:ind w:firstLine="480" w:firstLineChars="200"/>
              <w:rPr>
                <w:rFonts w:hint="eastAsia" w:ascii="仿宋" w:hAnsi="仿宋" w:eastAsia="仿宋" w:cs="仿宋"/>
                <w:color w:val="000000"/>
                <w:kern w:val="0"/>
                <w:sz w:val="24"/>
                <w:highlight w:val="none"/>
                <w:lang w:val="zh-CN" w:eastAsia="zh-CN"/>
              </w:rPr>
            </w:pPr>
            <w:r>
              <w:rPr>
                <w:rFonts w:hint="eastAsia" w:ascii="仿宋" w:hAnsi="仿宋" w:eastAsia="仿宋" w:cs="仿宋"/>
                <w:color w:val="000000"/>
                <w:kern w:val="0"/>
                <w:sz w:val="24"/>
                <w:highlight w:val="none"/>
                <w:lang w:val="en-US" w:eastAsia="zh-CN"/>
              </w:rPr>
              <w:t>供应商提供本项目总体服务思路</w:t>
            </w:r>
            <w:r>
              <w:rPr>
                <w:rFonts w:hint="eastAsia" w:ascii="仿宋" w:hAnsi="仿宋" w:eastAsia="仿宋" w:cs="仿宋"/>
                <w:bCs/>
                <w:color w:val="000000"/>
                <w:kern w:val="0"/>
                <w:sz w:val="24"/>
                <w:highlight w:val="none"/>
                <w:lang w:val="en-US" w:eastAsia="zh-CN"/>
              </w:rPr>
              <w:t>，包括不限于</w:t>
            </w:r>
            <w:r>
              <w:rPr>
                <w:rFonts w:hint="eastAsia" w:ascii="仿宋" w:hAnsi="仿宋" w:eastAsia="仿宋" w:cs="仿宋"/>
                <w:color w:val="000000"/>
                <w:kern w:val="0"/>
                <w:sz w:val="24"/>
                <w:highlight w:val="none"/>
                <w:lang w:val="en-US" w:eastAsia="zh-CN"/>
              </w:rPr>
              <w:t>：①对项目的理解、服务思路；②工作目标及标准</w:t>
            </w:r>
            <w:r>
              <w:rPr>
                <w:rFonts w:hint="eastAsia" w:ascii="仿宋" w:hAnsi="仿宋" w:eastAsia="仿宋" w:cs="仿宋"/>
                <w:color w:val="000000"/>
                <w:kern w:val="0"/>
                <w:sz w:val="24"/>
                <w:highlight w:val="none"/>
                <w:lang w:val="zh-CN" w:eastAsia="zh-CN"/>
              </w:rPr>
              <w:t>；</w:t>
            </w:r>
            <w:r>
              <w:rPr>
                <w:rFonts w:hint="eastAsia" w:ascii="仿宋" w:hAnsi="仿宋" w:eastAsia="仿宋" w:cs="仿宋"/>
                <w:color w:val="000000"/>
                <w:kern w:val="0"/>
                <w:sz w:val="24"/>
                <w:highlight w:val="none"/>
                <w:lang w:val="en-US" w:eastAsia="zh-CN"/>
              </w:rPr>
              <w:t>③项目服务重点难点分析</w:t>
            </w:r>
            <w:r>
              <w:rPr>
                <w:rFonts w:hint="eastAsia" w:ascii="仿宋" w:hAnsi="仿宋" w:eastAsia="仿宋" w:cs="仿宋"/>
                <w:color w:val="000000"/>
                <w:kern w:val="0"/>
                <w:sz w:val="24"/>
                <w:highlight w:val="none"/>
                <w:lang w:val="zh-CN" w:eastAsia="zh-CN"/>
              </w:rPr>
              <w:t>。</w:t>
            </w:r>
          </w:p>
          <w:p w14:paraId="2A474751">
            <w:pPr>
              <w:widowControl/>
              <w:snapToGrid w:val="0"/>
              <w:spacing w:line="276" w:lineRule="auto"/>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以上内容每有一项得3分，每项中每有1处存在内容缺陷（缺陷是指以下情形中的任意一项：项目及工作的理解片面主观；方案内容不清晰或交叉混乱；方案内容与项目内在需求不符；各项内容简单敷衍不全面）扣1.5分，扣完为止，无方案不得分。</w:t>
            </w:r>
          </w:p>
        </w:tc>
        <w:tc>
          <w:tcPr>
            <w:tcW w:w="857" w:type="dxa"/>
            <w:noWrap w:val="0"/>
            <w:vAlign w:val="center"/>
          </w:tcPr>
          <w:p w14:paraId="0ADB0342">
            <w:pPr>
              <w:widowControl/>
              <w:snapToGrid w:val="0"/>
              <w:spacing w:line="320" w:lineRule="exact"/>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9</w:t>
            </w:r>
          </w:p>
        </w:tc>
      </w:tr>
      <w:tr w14:paraId="2B87E5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242" w:type="dxa"/>
            <w:shd w:val="clear" w:color="auto" w:fill="FFFFFF"/>
            <w:noWrap w:val="0"/>
            <w:vAlign w:val="center"/>
          </w:tcPr>
          <w:p w14:paraId="62D9C22E">
            <w:pPr>
              <w:widowControl/>
              <w:numPr>
                <w:ilvl w:val="0"/>
                <w:numId w:val="5"/>
              </w:numPr>
              <w:snapToGrid w:val="0"/>
              <w:spacing w:line="276" w:lineRule="auto"/>
              <w:ind w:left="-60" w:leftChars="0" w:firstLine="480" w:firstLineChars="0"/>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服务方案</w:t>
            </w:r>
          </w:p>
          <w:p w14:paraId="20889813">
            <w:pPr>
              <w:widowControl/>
              <w:snapToGrid w:val="0"/>
              <w:spacing w:line="276" w:lineRule="auto"/>
              <w:ind w:firstLine="480" w:firstLineChars="200"/>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供应商提供本项目服务方案</w:t>
            </w:r>
            <w:r>
              <w:rPr>
                <w:rFonts w:hint="eastAsia" w:ascii="仿宋" w:hAnsi="仿宋" w:eastAsia="仿宋" w:cs="仿宋"/>
                <w:bCs/>
                <w:color w:val="000000"/>
                <w:kern w:val="0"/>
                <w:sz w:val="24"/>
                <w:highlight w:val="none"/>
                <w:lang w:val="en-US" w:eastAsia="zh-CN"/>
              </w:rPr>
              <w:t>，包括不限于</w:t>
            </w:r>
            <w:r>
              <w:rPr>
                <w:rFonts w:hint="eastAsia" w:ascii="仿宋" w:hAnsi="仿宋" w:eastAsia="仿宋" w:cs="仿宋"/>
                <w:color w:val="000000"/>
                <w:kern w:val="0"/>
                <w:sz w:val="24"/>
                <w:highlight w:val="none"/>
                <w:lang w:val="en-US" w:eastAsia="zh-CN"/>
              </w:rPr>
              <w:t>：①技术服务内容；②工作规程规范；③技术路线与方法</w:t>
            </w:r>
            <w:r>
              <w:rPr>
                <w:rFonts w:hint="eastAsia" w:ascii="仿宋" w:hAnsi="仿宋" w:eastAsia="仿宋" w:cs="仿宋"/>
                <w:color w:val="000000"/>
                <w:kern w:val="0"/>
                <w:sz w:val="24"/>
                <w:highlight w:val="none"/>
                <w:lang w:val="zh-CN" w:eastAsia="zh-CN"/>
              </w:rPr>
              <w:t>；</w:t>
            </w:r>
            <w:r>
              <w:rPr>
                <w:rFonts w:hint="eastAsia" w:ascii="仿宋" w:hAnsi="仿宋" w:eastAsia="仿宋" w:cs="仿宋"/>
                <w:color w:val="000000"/>
                <w:kern w:val="0"/>
                <w:sz w:val="24"/>
                <w:highlight w:val="none"/>
                <w:lang w:val="en-US" w:eastAsia="zh-CN"/>
              </w:rPr>
              <w:t>④工作计划及进度安排</w:t>
            </w:r>
            <w:r>
              <w:rPr>
                <w:rFonts w:hint="eastAsia" w:ascii="仿宋" w:hAnsi="仿宋" w:eastAsia="仿宋" w:cs="仿宋"/>
                <w:color w:val="000000"/>
                <w:kern w:val="0"/>
                <w:sz w:val="24"/>
                <w:highlight w:val="none"/>
                <w:lang w:val="zh-CN" w:eastAsia="zh-CN"/>
              </w:rPr>
              <w:t>；</w:t>
            </w:r>
            <w:r>
              <w:rPr>
                <w:rFonts w:hint="eastAsia" w:ascii="仿宋" w:hAnsi="仿宋" w:eastAsia="仿宋" w:cs="仿宋"/>
                <w:color w:val="000000"/>
                <w:kern w:val="0"/>
                <w:sz w:val="24"/>
                <w:highlight w:val="none"/>
                <w:lang w:val="en-US" w:eastAsia="zh-CN"/>
              </w:rPr>
              <w:t>⑤项目成果内容。</w:t>
            </w:r>
          </w:p>
          <w:p w14:paraId="57F297EF">
            <w:pPr>
              <w:widowControl/>
              <w:snapToGrid w:val="0"/>
              <w:spacing w:line="276"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szCs w:val="24"/>
                <w:highlight w:val="none"/>
                <w:lang w:val="en-US" w:eastAsia="zh-CN" w:bidi="ar-SA"/>
              </w:rPr>
              <w:t>以上内容每有一项得3分，每项中每有1处存在内容缺陷（缺陷是指以下情形中的任意一项：项目及工作的理解片面主观；方案内容不清晰或交叉混乱；方案内容与项目内在需求不符；各项内容简单敷衍不全面）扣2分，扣完为止，无方案不得分。</w:t>
            </w:r>
          </w:p>
        </w:tc>
        <w:tc>
          <w:tcPr>
            <w:tcW w:w="857" w:type="dxa"/>
            <w:noWrap w:val="0"/>
            <w:vAlign w:val="center"/>
          </w:tcPr>
          <w:p w14:paraId="22421CBA">
            <w:pPr>
              <w:widowControl/>
              <w:snapToGrid w:val="0"/>
              <w:spacing w:line="320" w:lineRule="exact"/>
              <w:jc w:val="center"/>
              <w:rPr>
                <w:rFonts w:hint="eastAsia" w:ascii="仿宋" w:hAnsi="仿宋" w:eastAsia="仿宋" w:cs="仿宋"/>
                <w:color w:val="000000"/>
                <w:kern w:val="0"/>
                <w:sz w:val="24"/>
                <w:highlight w:val="none"/>
                <w:lang w:val="en-US"/>
              </w:rPr>
            </w:pPr>
            <w:r>
              <w:rPr>
                <w:rFonts w:hint="eastAsia" w:ascii="仿宋" w:hAnsi="仿宋" w:eastAsia="仿宋" w:cs="仿宋"/>
                <w:color w:val="000000"/>
                <w:kern w:val="0"/>
                <w:sz w:val="24"/>
                <w:highlight w:val="none"/>
                <w:lang w:val="en-US" w:eastAsia="zh-CN"/>
              </w:rPr>
              <w:t>15</w:t>
            </w:r>
          </w:p>
        </w:tc>
      </w:tr>
      <w:tr w14:paraId="2D01CE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242" w:type="dxa"/>
            <w:shd w:val="clear" w:color="auto" w:fill="FFFFFF"/>
            <w:noWrap w:val="0"/>
            <w:vAlign w:val="center"/>
          </w:tcPr>
          <w:p w14:paraId="474DE7D4">
            <w:pPr>
              <w:widowControl/>
              <w:numPr>
                <w:ilvl w:val="0"/>
                <w:numId w:val="0"/>
              </w:numPr>
              <w:snapToGrid w:val="0"/>
              <w:spacing w:line="276" w:lineRule="auto"/>
              <w:ind w:leftChars="0" w:firstLine="480" w:firstLineChars="200"/>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3、服务团队组织架构</w:t>
            </w:r>
          </w:p>
          <w:p w14:paraId="3CE895A9">
            <w:pPr>
              <w:widowControl/>
              <w:snapToGrid w:val="0"/>
              <w:spacing w:line="276" w:lineRule="auto"/>
              <w:ind w:firstLine="480" w:firstLineChars="200"/>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供应商提供本项目服务团队组织架构内容</w:t>
            </w:r>
            <w:r>
              <w:rPr>
                <w:rFonts w:hint="eastAsia" w:ascii="仿宋" w:hAnsi="仿宋" w:eastAsia="仿宋" w:cs="仿宋"/>
                <w:bCs/>
                <w:color w:val="000000"/>
                <w:kern w:val="0"/>
                <w:sz w:val="24"/>
                <w:highlight w:val="none"/>
                <w:lang w:val="en-US" w:eastAsia="zh-CN"/>
              </w:rPr>
              <w:t>，包括不限于</w:t>
            </w:r>
            <w:r>
              <w:rPr>
                <w:rFonts w:hint="eastAsia" w:ascii="仿宋" w:hAnsi="仿宋" w:eastAsia="仿宋" w:cs="仿宋"/>
                <w:color w:val="000000"/>
                <w:kern w:val="0"/>
                <w:sz w:val="24"/>
                <w:highlight w:val="none"/>
                <w:lang w:val="en-US" w:eastAsia="zh-CN"/>
              </w:rPr>
              <w:t>：①项目管理组织架构及人员配置；②管理制度；③岗位职责及责任落实方案。</w:t>
            </w:r>
          </w:p>
          <w:p w14:paraId="6DDB163A">
            <w:pPr>
              <w:widowControl/>
              <w:snapToGrid w:val="0"/>
              <w:spacing w:line="276" w:lineRule="auto"/>
              <w:ind w:firstLine="360" w:firstLineChars="150"/>
              <w:rPr>
                <w:rFonts w:hint="eastAsia" w:ascii="仿宋" w:hAnsi="仿宋" w:eastAsia="仿宋" w:cs="仿宋"/>
                <w:color w:val="000000"/>
                <w:kern w:val="0"/>
                <w:sz w:val="24"/>
                <w:highlight w:val="none"/>
              </w:rPr>
            </w:pPr>
            <w:r>
              <w:rPr>
                <w:rFonts w:hint="eastAsia" w:ascii="仿宋" w:hAnsi="仿宋" w:eastAsia="仿宋" w:cs="仿宋"/>
                <w:color w:val="000000"/>
                <w:kern w:val="0"/>
                <w:sz w:val="24"/>
                <w:szCs w:val="24"/>
                <w:highlight w:val="none"/>
                <w:lang w:val="en-US" w:eastAsia="zh-CN" w:bidi="ar-SA"/>
              </w:rPr>
              <w:t>以上内容每有一项得3分，每项中每有1处存在内容缺陷（缺陷是指以下情形中的任意一项：项目及工作的理解片面主观；方案内容不清晰或交叉混乱；方案内容与项目内在需求不符；各项内容简单敷衍不全面）扣1.5分，扣完为止，无方案不得分。</w:t>
            </w:r>
          </w:p>
        </w:tc>
        <w:tc>
          <w:tcPr>
            <w:tcW w:w="857" w:type="dxa"/>
            <w:noWrap w:val="0"/>
            <w:vAlign w:val="center"/>
          </w:tcPr>
          <w:p w14:paraId="68DB5B74">
            <w:pPr>
              <w:widowControl/>
              <w:snapToGrid w:val="0"/>
              <w:spacing w:line="320" w:lineRule="exact"/>
              <w:jc w:val="center"/>
              <w:rPr>
                <w:rFonts w:hint="eastAsia" w:ascii="仿宋" w:hAnsi="仿宋" w:eastAsia="仿宋" w:cs="仿宋"/>
                <w:color w:val="000000"/>
                <w:kern w:val="0"/>
                <w:sz w:val="24"/>
                <w:highlight w:val="none"/>
                <w:lang w:val="en-US"/>
              </w:rPr>
            </w:pPr>
            <w:r>
              <w:rPr>
                <w:rFonts w:hint="eastAsia" w:ascii="仿宋" w:hAnsi="仿宋" w:eastAsia="仿宋" w:cs="仿宋"/>
                <w:color w:val="000000"/>
                <w:kern w:val="0"/>
                <w:sz w:val="24"/>
                <w:highlight w:val="none"/>
                <w:lang w:val="en-US" w:eastAsia="zh-CN"/>
              </w:rPr>
              <w:t>9</w:t>
            </w:r>
          </w:p>
        </w:tc>
      </w:tr>
      <w:tr w14:paraId="481AD8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242" w:type="dxa"/>
            <w:shd w:val="clear" w:color="auto" w:fill="FFFFFF"/>
            <w:noWrap w:val="0"/>
            <w:vAlign w:val="center"/>
          </w:tcPr>
          <w:p w14:paraId="0F538FF7">
            <w:pPr>
              <w:widowControl/>
              <w:numPr>
                <w:ilvl w:val="0"/>
                <w:numId w:val="0"/>
              </w:numPr>
              <w:snapToGrid w:val="0"/>
              <w:spacing w:line="276" w:lineRule="auto"/>
              <w:ind w:leftChars="0" w:firstLine="480" w:firstLineChars="200"/>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4、质量控制及保障措施</w:t>
            </w:r>
          </w:p>
          <w:p w14:paraId="1C500880">
            <w:pPr>
              <w:widowControl/>
              <w:snapToGrid w:val="0"/>
              <w:spacing w:line="276" w:lineRule="auto"/>
              <w:ind w:firstLine="480" w:firstLineChars="200"/>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供应商提供本项目质量控制及保障措施</w:t>
            </w:r>
            <w:r>
              <w:rPr>
                <w:rFonts w:hint="eastAsia" w:ascii="仿宋" w:hAnsi="仿宋" w:eastAsia="仿宋" w:cs="仿宋"/>
                <w:bCs/>
                <w:color w:val="000000"/>
                <w:kern w:val="0"/>
                <w:sz w:val="24"/>
                <w:highlight w:val="none"/>
                <w:lang w:val="en-US" w:eastAsia="zh-CN"/>
              </w:rPr>
              <w:t>，包括不限于</w:t>
            </w:r>
            <w:r>
              <w:rPr>
                <w:rFonts w:hint="eastAsia" w:ascii="仿宋" w:hAnsi="仿宋" w:eastAsia="仿宋" w:cs="仿宋"/>
                <w:color w:val="000000"/>
                <w:kern w:val="0"/>
                <w:sz w:val="24"/>
                <w:highlight w:val="none"/>
                <w:lang w:val="en-US" w:eastAsia="zh-CN"/>
              </w:rPr>
              <w:t>：①质量控制目标；②质量管理体系；③质量控制方案、质量保障措施。</w:t>
            </w:r>
          </w:p>
          <w:p w14:paraId="231C06F8">
            <w:pPr>
              <w:widowControl/>
              <w:snapToGrid w:val="0"/>
              <w:spacing w:line="276"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szCs w:val="24"/>
                <w:highlight w:val="none"/>
                <w:lang w:val="en-US" w:eastAsia="zh-CN" w:bidi="ar-SA"/>
              </w:rPr>
              <w:t>以上内容每有一项得2分，每项中每有1处存在内容缺陷（缺陷是指以下情形中的任意一项：项目及工作的理解片面主观；方案内容不清晰或交叉混乱；方案内容与项目内在需求不符；各项内容简单敷衍不全面）扣1分，扣完为止，无方案不得分。</w:t>
            </w:r>
          </w:p>
        </w:tc>
        <w:tc>
          <w:tcPr>
            <w:tcW w:w="857" w:type="dxa"/>
            <w:noWrap w:val="0"/>
            <w:vAlign w:val="center"/>
          </w:tcPr>
          <w:p w14:paraId="48B83BA4">
            <w:pPr>
              <w:widowControl/>
              <w:snapToGrid w:val="0"/>
              <w:spacing w:line="320" w:lineRule="exact"/>
              <w:jc w:val="center"/>
              <w:rPr>
                <w:rFonts w:hint="eastAsia" w:ascii="仿宋" w:hAnsi="仿宋" w:eastAsia="仿宋" w:cs="仿宋"/>
                <w:color w:val="000000"/>
                <w:kern w:val="0"/>
                <w:sz w:val="24"/>
                <w:highlight w:val="none"/>
                <w:lang w:val="en-US"/>
              </w:rPr>
            </w:pPr>
            <w:r>
              <w:rPr>
                <w:rFonts w:hint="eastAsia" w:ascii="仿宋" w:hAnsi="仿宋" w:eastAsia="仿宋" w:cs="仿宋"/>
                <w:color w:val="000000"/>
                <w:kern w:val="0"/>
                <w:sz w:val="24"/>
                <w:highlight w:val="none"/>
                <w:lang w:val="en-US" w:eastAsia="zh-CN"/>
              </w:rPr>
              <w:t>9</w:t>
            </w:r>
          </w:p>
        </w:tc>
      </w:tr>
      <w:tr w14:paraId="0F5670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242" w:type="dxa"/>
            <w:shd w:val="clear" w:color="auto" w:fill="FFFFFF"/>
            <w:noWrap w:val="0"/>
            <w:vAlign w:val="center"/>
          </w:tcPr>
          <w:p w14:paraId="32205737">
            <w:pPr>
              <w:widowControl/>
              <w:numPr>
                <w:ilvl w:val="0"/>
                <w:numId w:val="6"/>
              </w:numPr>
              <w:snapToGrid w:val="0"/>
              <w:spacing w:line="276" w:lineRule="auto"/>
              <w:ind w:left="-60" w:leftChars="0" w:firstLine="480" w:firstLineChars="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应急预案及安全保障措施</w:t>
            </w:r>
          </w:p>
          <w:p w14:paraId="2BBC4335">
            <w:pPr>
              <w:widowControl/>
              <w:numPr>
                <w:ilvl w:val="0"/>
                <w:numId w:val="0"/>
              </w:numPr>
              <w:snapToGrid w:val="0"/>
              <w:spacing w:line="276" w:lineRule="auto"/>
              <w:ind w:firstLine="480" w:firstLineChars="200"/>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供应商提供本项目应急预案及安全保障措施</w:t>
            </w:r>
            <w:r>
              <w:rPr>
                <w:rFonts w:hint="eastAsia" w:ascii="仿宋" w:hAnsi="仿宋" w:eastAsia="仿宋" w:cs="仿宋"/>
                <w:bCs/>
                <w:color w:val="000000"/>
                <w:kern w:val="0"/>
                <w:sz w:val="24"/>
                <w:highlight w:val="none"/>
                <w:lang w:val="en-US" w:eastAsia="zh-CN"/>
              </w:rPr>
              <w:t>，包括不限于</w:t>
            </w:r>
            <w:r>
              <w:rPr>
                <w:rFonts w:hint="eastAsia" w:ascii="仿宋" w:hAnsi="仿宋" w:eastAsia="仿宋" w:cs="仿宋"/>
                <w:color w:val="000000"/>
                <w:kern w:val="0"/>
                <w:sz w:val="24"/>
                <w:highlight w:val="none"/>
                <w:lang w:val="en-US" w:eastAsia="zh-CN"/>
              </w:rPr>
              <w:t>：①突发事故及处置预案；②安全保障措施。</w:t>
            </w:r>
          </w:p>
          <w:p w14:paraId="30D051EB">
            <w:pPr>
              <w:widowControl/>
              <w:snapToGrid w:val="0"/>
              <w:spacing w:line="276"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szCs w:val="24"/>
                <w:highlight w:val="none"/>
                <w:lang w:val="en-US" w:eastAsia="zh-CN" w:bidi="ar-SA"/>
              </w:rPr>
              <w:t>以上内容每有一项得3分，每项中每有1处存在内容缺陷（缺陷是指以下情形中的任意一项：项目及工作的理解片面主观；方案内容不清晰或交叉混乱；方案内容与项目内在需求不符；各项内容简单敷衍不全面）扣1分，扣完为止，无方案不得分。</w:t>
            </w:r>
          </w:p>
        </w:tc>
        <w:tc>
          <w:tcPr>
            <w:tcW w:w="857" w:type="dxa"/>
            <w:noWrap w:val="0"/>
            <w:vAlign w:val="center"/>
          </w:tcPr>
          <w:p w14:paraId="75DCB27B">
            <w:pPr>
              <w:widowControl/>
              <w:snapToGrid w:val="0"/>
              <w:spacing w:line="320" w:lineRule="exact"/>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6</w:t>
            </w:r>
          </w:p>
        </w:tc>
      </w:tr>
      <w:tr w14:paraId="6B274E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242" w:type="dxa"/>
            <w:shd w:val="clear" w:color="auto" w:fill="FFFFFF"/>
            <w:noWrap w:val="0"/>
            <w:vAlign w:val="center"/>
          </w:tcPr>
          <w:p w14:paraId="5FE528E3">
            <w:pPr>
              <w:widowControl/>
              <w:numPr>
                <w:ilvl w:val="0"/>
                <w:numId w:val="0"/>
              </w:numPr>
              <w:snapToGrid w:val="0"/>
              <w:spacing w:line="276" w:lineRule="auto"/>
              <w:ind w:left="420" w:leftChars="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保密</w:t>
            </w:r>
            <w:r>
              <w:rPr>
                <w:rFonts w:hint="eastAsia" w:ascii="仿宋" w:hAnsi="仿宋" w:eastAsia="仿宋" w:cs="仿宋"/>
                <w:color w:val="auto"/>
                <w:kern w:val="0"/>
                <w:sz w:val="24"/>
                <w:highlight w:val="none"/>
                <w:lang w:val="en-US" w:eastAsia="zh-CN"/>
              </w:rPr>
              <w:t>制度</w:t>
            </w:r>
            <w:r>
              <w:rPr>
                <w:rFonts w:hint="eastAsia" w:ascii="仿宋" w:hAnsi="仿宋" w:eastAsia="仿宋" w:cs="仿宋"/>
                <w:color w:val="auto"/>
                <w:kern w:val="0"/>
                <w:sz w:val="24"/>
                <w:highlight w:val="none"/>
              </w:rPr>
              <w:t>及廉洁</w:t>
            </w:r>
            <w:r>
              <w:rPr>
                <w:rFonts w:hint="eastAsia" w:ascii="仿宋" w:hAnsi="仿宋" w:eastAsia="仿宋" w:cs="仿宋"/>
                <w:color w:val="auto"/>
                <w:kern w:val="0"/>
                <w:sz w:val="24"/>
                <w:highlight w:val="none"/>
                <w:lang w:val="en-US" w:eastAsia="zh-CN"/>
              </w:rPr>
              <w:t>管理措施</w:t>
            </w:r>
          </w:p>
          <w:p w14:paraId="25899FE1">
            <w:pPr>
              <w:widowControl/>
              <w:numPr>
                <w:ilvl w:val="0"/>
                <w:numId w:val="0"/>
              </w:numPr>
              <w:snapToGrid w:val="0"/>
              <w:spacing w:line="276"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供应商提供本项目</w:t>
            </w:r>
            <w:r>
              <w:rPr>
                <w:rFonts w:hint="eastAsia" w:ascii="仿宋" w:hAnsi="仿宋" w:eastAsia="仿宋" w:cs="仿宋"/>
                <w:color w:val="auto"/>
                <w:kern w:val="0"/>
                <w:sz w:val="24"/>
                <w:highlight w:val="none"/>
              </w:rPr>
              <w:t>保密</w:t>
            </w:r>
            <w:r>
              <w:rPr>
                <w:rFonts w:hint="eastAsia" w:ascii="仿宋" w:hAnsi="仿宋" w:eastAsia="仿宋" w:cs="仿宋"/>
                <w:color w:val="auto"/>
                <w:kern w:val="0"/>
                <w:sz w:val="24"/>
                <w:highlight w:val="none"/>
                <w:lang w:val="en-US" w:eastAsia="zh-CN"/>
              </w:rPr>
              <w:t>制度</w:t>
            </w:r>
            <w:r>
              <w:rPr>
                <w:rFonts w:hint="eastAsia" w:ascii="仿宋" w:hAnsi="仿宋" w:eastAsia="仿宋" w:cs="仿宋"/>
                <w:color w:val="auto"/>
                <w:kern w:val="0"/>
                <w:sz w:val="24"/>
                <w:highlight w:val="none"/>
              </w:rPr>
              <w:t>及廉洁</w:t>
            </w:r>
            <w:r>
              <w:rPr>
                <w:rFonts w:hint="eastAsia" w:ascii="仿宋" w:hAnsi="仿宋" w:eastAsia="仿宋" w:cs="仿宋"/>
                <w:color w:val="auto"/>
                <w:kern w:val="0"/>
                <w:sz w:val="24"/>
                <w:highlight w:val="none"/>
                <w:lang w:val="en-US" w:eastAsia="zh-CN"/>
              </w:rPr>
              <w:t>管理措施</w:t>
            </w:r>
            <w:r>
              <w:rPr>
                <w:rFonts w:hint="eastAsia" w:ascii="仿宋" w:hAnsi="仿宋" w:eastAsia="仿宋" w:cs="仿宋"/>
                <w:bCs/>
                <w:color w:val="auto"/>
                <w:kern w:val="0"/>
                <w:sz w:val="24"/>
                <w:highlight w:val="none"/>
                <w:lang w:val="en-US" w:eastAsia="zh-CN"/>
              </w:rPr>
              <w:t>，包括不限于</w:t>
            </w:r>
            <w:r>
              <w:rPr>
                <w:rFonts w:hint="eastAsia" w:ascii="仿宋" w:hAnsi="仿宋" w:eastAsia="仿宋" w:cs="仿宋"/>
                <w:color w:val="auto"/>
                <w:kern w:val="0"/>
                <w:sz w:val="24"/>
                <w:highlight w:val="none"/>
                <w:lang w:val="en-US" w:eastAsia="zh-CN"/>
              </w:rPr>
              <w:t>：①保密承诺书及保密管理制度；②廉洁承诺书及廉洁管理措施。</w:t>
            </w:r>
          </w:p>
          <w:p w14:paraId="167D3B48">
            <w:pPr>
              <w:widowControl/>
              <w:snapToGrid w:val="0"/>
              <w:spacing w:line="276" w:lineRule="auto"/>
              <w:ind w:firstLine="480" w:firstLineChars="200"/>
              <w:rPr>
                <w:rFonts w:hint="eastAsia" w:ascii="仿宋" w:hAnsi="仿宋" w:eastAsia="仿宋" w:cs="仿宋"/>
                <w:bCs/>
                <w:color w:val="auto"/>
                <w:kern w:val="0"/>
                <w:sz w:val="24"/>
                <w:highlight w:val="none"/>
                <w:lang w:val="en-US" w:eastAsia="zh-CN"/>
              </w:rPr>
            </w:pPr>
            <w:r>
              <w:rPr>
                <w:rFonts w:hint="eastAsia" w:ascii="仿宋" w:hAnsi="仿宋" w:eastAsia="仿宋" w:cs="仿宋"/>
                <w:color w:val="000000"/>
                <w:kern w:val="0"/>
                <w:sz w:val="24"/>
                <w:szCs w:val="24"/>
                <w:highlight w:val="none"/>
                <w:lang w:val="en-US" w:eastAsia="zh-CN" w:bidi="ar-SA"/>
              </w:rPr>
              <w:t>以上内容每有一项得3分，每项中每有1处存在内容缺陷（缺陷是指以下情形中的任意一项：项目及工作的理解片面主观；方案内容不清晰或交叉混乱；方案内容与项目内在需求不符；各项内容简单敷衍不全面）扣1分，扣完为止，无方案不得分。</w:t>
            </w:r>
          </w:p>
        </w:tc>
        <w:tc>
          <w:tcPr>
            <w:tcW w:w="857" w:type="dxa"/>
            <w:noWrap w:val="0"/>
            <w:vAlign w:val="center"/>
          </w:tcPr>
          <w:p w14:paraId="727F4D89">
            <w:pPr>
              <w:widowControl/>
              <w:snapToGrid w:val="0"/>
              <w:spacing w:line="3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6</w:t>
            </w:r>
          </w:p>
        </w:tc>
      </w:tr>
      <w:tr w14:paraId="20F20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242" w:type="dxa"/>
            <w:shd w:val="clear" w:color="auto" w:fill="FFFFFF"/>
            <w:noWrap w:val="0"/>
            <w:vAlign w:val="center"/>
          </w:tcPr>
          <w:p w14:paraId="6973089E">
            <w:pPr>
              <w:widowControl/>
              <w:snapToGrid w:val="0"/>
              <w:spacing w:line="276"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7</w:t>
            </w:r>
            <w:r>
              <w:rPr>
                <w:rFonts w:hint="eastAsia" w:ascii="仿宋" w:hAnsi="仿宋" w:eastAsia="仿宋" w:cs="仿宋"/>
                <w:color w:val="000000"/>
                <w:kern w:val="0"/>
                <w:sz w:val="24"/>
                <w:highlight w:val="none"/>
              </w:rPr>
              <w:t>、服务承诺</w:t>
            </w:r>
          </w:p>
          <w:p w14:paraId="575D765D">
            <w:pPr>
              <w:widowControl/>
              <w:numPr>
                <w:ilvl w:val="0"/>
                <w:numId w:val="0"/>
              </w:numPr>
              <w:snapToGrid w:val="0"/>
              <w:spacing w:line="276" w:lineRule="auto"/>
              <w:ind w:firstLine="480" w:firstLineChars="200"/>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供应商提供本项目服务承诺</w:t>
            </w:r>
            <w:r>
              <w:rPr>
                <w:rFonts w:hint="eastAsia" w:ascii="仿宋" w:hAnsi="仿宋" w:eastAsia="仿宋" w:cs="仿宋"/>
                <w:bCs/>
                <w:color w:val="000000"/>
                <w:kern w:val="0"/>
                <w:sz w:val="24"/>
                <w:highlight w:val="none"/>
                <w:lang w:val="en-US" w:eastAsia="zh-CN"/>
              </w:rPr>
              <w:t>，包括不限于</w:t>
            </w:r>
            <w:r>
              <w:rPr>
                <w:rFonts w:hint="eastAsia" w:ascii="仿宋" w:hAnsi="仿宋" w:eastAsia="仿宋" w:cs="仿宋"/>
                <w:color w:val="000000"/>
                <w:kern w:val="0"/>
                <w:sz w:val="24"/>
                <w:highlight w:val="none"/>
                <w:lang w:val="en-US" w:eastAsia="zh-CN"/>
              </w:rPr>
              <w:t>：①后续服务方案；②服务保障措施。</w:t>
            </w:r>
          </w:p>
          <w:p w14:paraId="383CEB01">
            <w:pPr>
              <w:widowControl/>
              <w:snapToGrid w:val="0"/>
              <w:spacing w:line="276" w:lineRule="auto"/>
              <w:ind w:firstLine="480" w:firstLineChars="200"/>
              <w:rPr>
                <w:rFonts w:hint="eastAsia" w:ascii="仿宋" w:hAnsi="仿宋" w:eastAsia="仿宋" w:cs="仿宋"/>
                <w:bCs/>
                <w:color w:val="000000"/>
                <w:kern w:val="0"/>
                <w:sz w:val="24"/>
                <w:highlight w:val="none"/>
                <w:lang w:val="en-US" w:eastAsia="zh-CN"/>
              </w:rPr>
            </w:pPr>
            <w:r>
              <w:rPr>
                <w:rFonts w:hint="eastAsia" w:ascii="仿宋" w:hAnsi="仿宋" w:eastAsia="仿宋" w:cs="仿宋"/>
                <w:color w:val="000000"/>
                <w:kern w:val="0"/>
                <w:sz w:val="24"/>
                <w:szCs w:val="24"/>
                <w:highlight w:val="none"/>
                <w:lang w:val="en-US" w:eastAsia="zh-CN" w:bidi="ar-SA"/>
              </w:rPr>
              <w:t>以上内容每有一项得3分，每项中每有1处存在内容缺陷（缺陷是指以下情形中的任意一项：项目及工作的理解片面主观；方案内容不清晰或交叉混乱；方案内容与项目内在需求不符；各项内容简单敷衍不全面）扣1分，扣完为止，无方案不得分。</w:t>
            </w:r>
          </w:p>
        </w:tc>
        <w:tc>
          <w:tcPr>
            <w:tcW w:w="857" w:type="dxa"/>
            <w:noWrap w:val="0"/>
            <w:vAlign w:val="center"/>
          </w:tcPr>
          <w:p w14:paraId="1DCEF39E">
            <w:pPr>
              <w:widowControl/>
              <w:snapToGrid w:val="0"/>
              <w:spacing w:line="320" w:lineRule="exact"/>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6</w:t>
            </w:r>
          </w:p>
        </w:tc>
      </w:tr>
      <w:tr w14:paraId="0DE94B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9099" w:type="dxa"/>
            <w:gridSpan w:val="2"/>
            <w:noWrap w:val="0"/>
            <w:vAlign w:val="center"/>
          </w:tcPr>
          <w:p w14:paraId="2C95EA07">
            <w:pPr>
              <w:widowControl/>
              <w:snapToGrid w:val="0"/>
              <w:spacing w:line="276" w:lineRule="auto"/>
              <w:jc w:val="center"/>
              <w:rPr>
                <w:rFonts w:hint="eastAsia" w:ascii="仿宋" w:hAnsi="仿宋" w:eastAsia="仿宋" w:cs="仿宋"/>
                <w:color w:val="000000"/>
                <w:kern w:val="0"/>
                <w:sz w:val="24"/>
                <w:highlight w:val="none"/>
              </w:rPr>
            </w:pPr>
            <w:r>
              <w:rPr>
                <w:rFonts w:hint="eastAsia" w:ascii="仿宋" w:hAnsi="仿宋" w:eastAsia="仿宋" w:cs="仿宋"/>
                <w:b/>
                <w:bCs/>
                <w:color w:val="000000"/>
                <w:kern w:val="0"/>
                <w:sz w:val="24"/>
                <w:highlight w:val="none"/>
              </w:rPr>
              <w:t>三、价格部分（</w:t>
            </w:r>
            <w:r>
              <w:rPr>
                <w:rFonts w:hint="eastAsia" w:ascii="仿宋" w:hAnsi="仿宋" w:eastAsia="仿宋" w:cs="仿宋"/>
                <w:b/>
                <w:bCs/>
                <w:color w:val="000000"/>
                <w:kern w:val="0"/>
                <w:sz w:val="24"/>
                <w:highlight w:val="none"/>
                <w:lang w:val="en-US" w:eastAsia="zh-CN"/>
              </w:rPr>
              <w:t>10</w:t>
            </w:r>
            <w:r>
              <w:rPr>
                <w:rFonts w:hint="eastAsia" w:ascii="仿宋" w:hAnsi="仿宋" w:eastAsia="仿宋" w:cs="仿宋"/>
                <w:b/>
                <w:bCs/>
                <w:color w:val="000000"/>
                <w:kern w:val="0"/>
                <w:sz w:val="24"/>
                <w:highlight w:val="none"/>
              </w:rPr>
              <w:t>分）</w:t>
            </w:r>
          </w:p>
        </w:tc>
      </w:tr>
      <w:tr w14:paraId="68CDD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8242" w:type="dxa"/>
            <w:noWrap w:val="0"/>
            <w:vAlign w:val="center"/>
          </w:tcPr>
          <w:p w14:paraId="72092AB7">
            <w:pPr>
              <w:spacing w:line="276"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1、通过资格性、符合性审查并</w:t>
            </w:r>
            <w:r>
              <w:rPr>
                <w:rFonts w:hint="eastAsia" w:ascii="仿宋" w:hAnsi="仿宋" w:eastAsia="仿宋" w:cs="仿宋"/>
                <w:color w:val="000000"/>
                <w:kern w:val="0"/>
                <w:sz w:val="24"/>
                <w:highlight w:val="none"/>
              </w:rPr>
              <w:t>提交最终报价的供应商</w:t>
            </w:r>
            <w:r>
              <w:rPr>
                <w:rFonts w:hint="eastAsia" w:ascii="仿宋" w:hAnsi="仿宋" w:eastAsia="仿宋" w:cs="仿宋"/>
                <w:color w:val="000000"/>
                <w:sz w:val="24"/>
                <w:highlight w:val="none"/>
              </w:rPr>
              <w:t>为有效价格，未通过资格性、符合性审查或未提交最终报价不参与价格基准价的计算。</w:t>
            </w:r>
          </w:p>
          <w:p w14:paraId="056C9186">
            <w:pPr>
              <w:spacing w:line="276" w:lineRule="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2、综合评分法中的价格分统一采用低价优先法计算，即满足</w:t>
            </w:r>
            <w:r>
              <w:rPr>
                <w:rFonts w:hint="eastAsia" w:ascii="仿宋" w:hAnsi="仿宋" w:eastAsia="仿宋" w:cs="仿宋"/>
                <w:color w:val="000000"/>
                <w:kern w:val="0"/>
                <w:sz w:val="24"/>
                <w:highlight w:val="none"/>
                <w:lang w:val="en-US" w:eastAsia="zh-CN"/>
              </w:rPr>
              <w:t>招标</w:t>
            </w:r>
            <w:r>
              <w:rPr>
                <w:rFonts w:hint="eastAsia" w:ascii="仿宋" w:hAnsi="仿宋" w:eastAsia="仿宋" w:cs="仿宋"/>
                <w:color w:val="000000"/>
                <w:kern w:val="0"/>
                <w:sz w:val="24"/>
                <w:highlight w:val="none"/>
              </w:rPr>
              <w:t>文件要求且最终报价最低的供应商的报价为</w:t>
            </w:r>
            <w:r>
              <w:rPr>
                <w:rFonts w:hint="eastAsia" w:ascii="仿宋" w:hAnsi="仿宋" w:eastAsia="仿宋" w:cs="仿宋"/>
                <w:color w:val="000000"/>
                <w:kern w:val="0"/>
                <w:sz w:val="24"/>
                <w:highlight w:val="none"/>
                <w:lang w:val="en-US" w:eastAsia="zh-CN"/>
              </w:rPr>
              <w:t>评标</w:t>
            </w:r>
            <w:r>
              <w:rPr>
                <w:rFonts w:hint="eastAsia" w:ascii="仿宋" w:hAnsi="仿宋" w:eastAsia="仿宋" w:cs="仿宋"/>
                <w:color w:val="000000"/>
                <w:kern w:val="0"/>
                <w:sz w:val="24"/>
                <w:highlight w:val="none"/>
              </w:rPr>
              <w:t>基准价，其价格分为满分。其他供应商的价格得分统一按照下列公式计算：</w:t>
            </w:r>
          </w:p>
          <w:p w14:paraId="30673E0B">
            <w:pPr>
              <w:widowControl/>
              <w:snapToGrid w:val="0"/>
              <w:spacing w:line="276"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lang w:val="en-US" w:eastAsia="zh-CN"/>
              </w:rPr>
              <w:t>投标</w:t>
            </w:r>
            <w:r>
              <w:rPr>
                <w:rFonts w:hint="eastAsia" w:ascii="仿宋" w:hAnsi="仿宋" w:eastAsia="仿宋" w:cs="仿宋"/>
                <w:b/>
                <w:color w:val="000000"/>
                <w:kern w:val="0"/>
                <w:sz w:val="24"/>
                <w:highlight w:val="none"/>
              </w:rPr>
              <w:t>报价得分=（</w:t>
            </w:r>
            <w:r>
              <w:rPr>
                <w:rFonts w:hint="eastAsia" w:ascii="仿宋" w:hAnsi="仿宋" w:eastAsia="仿宋" w:cs="仿宋"/>
                <w:b/>
                <w:color w:val="000000"/>
                <w:kern w:val="0"/>
                <w:sz w:val="24"/>
                <w:highlight w:val="none"/>
                <w:lang w:val="en-US" w:eastAsia="zh-CN"/>
              </w:rPr>
              <w:t>评标</w:t>
            </w:r>
            <w:r>
              <w:rPr>
                <w:rFonts w:hint="eastAsia" w:ascii="仿宋" w:hAnsi="仿宋" w:eastAsia="仿宋" w:cs="仿宋"/>
                <w:b/>
                <w:color w:val="000000"/>
                <w:kern w:val="0"/>
                <w:sz w:val="24"/>
                <w:highlight w:val="none"/>
              </w:rPr>
              <w:t>基准价/</w:t>
            </w:r>
            <w:r>
              <w:rPr>
                <w:rFonts w:hint="eastAsia" w:ascii="仿宋" w:hAnsi="仿宋" w:eastAsia="仿宋" w:cs="仿宋"/>
                <w:b/>
                <w:color w:val="000000"/>
                <w:kern w:val="0"/>
                <w:sz w:val="24"/>
                <w:highlight w:val="none"/>
                <w:lang w:val="en-US" w:eastAsia="zh-CN"/>
              </w:rPr>
              <w:t>投标</w:t>
            </w:r>
            <w:r>
              <w:rPr>
                <w:rFonts w:hint="eastAsia" w:ascii="仿宋" w:hAnsi="仿宋" w:eastAsia="仿宋" w:cs="仿宋"/>
                <w:b/>
                <w:color w:val="000000"/>
                <w:kern w:val="0"/>
                <w:sz w:val="24"/>
                <w:highlight w:val="none"/>
              </w:rPr>
              <w:t>报价）×</w:t>
            </w:r>
            <w:r>
              <w:rPr>
                <w:rFonts w:hint="eastAsia" w:ascii="仿宋" w:hAnsi="仿宋" w:eastAsia="仿宋" w:cs="仿宋"/>
                <w:b/>
                <w:color w:val="000000"/>
                <w:kern w:val="0"/>
                <w:sz w:val="24"/>
                <w:highlight w:val="none"/>
                <w:lang w:val="en-US" w:eastAsia="zh-CN"/>
              </w:rPr>
              <w:t>10%</w:t>
            </w:r>
            <w:r>
              <w:rPr>
                <w:rFonts w:hint="eastAsia" w:ascii="仿宋" w:hAnsi="仿宋" w:eastAsia="仿宋" w:cs="仿宋"/>
                <w:b/>
                <w:color w:val="000000"/>
                <w:kern w:val="0"/>
                <w:sz w:val="24"/>
                <w:highlight w:val="none"/>
              </w:rPr>
              <w:t>×100</w:t>
            </w:r>
            <w:r>
              <w:rPr>
                <w:rFonts w:hint="eastAsia" w:ascii="仿宋" w:hAnsi="仿宋" w:eastAsia="仿宋" w:cs="仿宋"/>
                <w:color w:val="000000"/>
                <w:kern w:val="0"/>
                <w:sz w:val="24"/>
                <w:highlight w:val="none"/>
              </w:rPr>
              <w:t xml:space="preserve">  </w:t>
            </w:r>
          </w:p>
          <w:p w14:paraId="7A1F4470">
            <w:pPr>
              <w:widowControl/>
              <w:snapToGrid w:val="0"/>
              <w:spacing w:line="276"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投标</w:t>
            </w:r>
            <w:r>
              <w:rPr>
                <w:rFonts w:hint="eastAsia" w:ascii="仿宋" w:hAnsi="仿宋" w:eastAsia="仿宋" w:cs="仿宋"/>
                <w:color w:val="000000"/>
                <w:sz w:val="24"/>
                <w:highlight w:val="none"/>
              </w:rPr>
              <w:t>报价得分保留两位小数。</w:t>
            </w:r>
          </w:p>
          <w:p w14:paraId="77EC7DF5">
            <w:pPr>
              <w:widowControl/>
              <w:snapToGrid w:val="0"/>
              <w:spacing w:line="276" w:lineRule="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注：依据《政府采购促进中小企业发展管理办法》（财库〔2020〕46号）第九条和《关于进一步加大政府采购支持中小企业力度的通知》（财库〔2022〕19号）第二条的规定，对小型和微型企业产品的价格给予15%的扣除，用扣除后的价格参与评审；依据《财政部 民政部 中国残疾人联合会关于促进残疾人就业政府采购政策的通知》（财库〔2017〕141号）的第三条规定，对属于残疾人福利性单位的价格给予15％的扣除，用扣除后的价格参与评审；依据《财政部司法部关于政府采购支持监狱企业发展有关问题的通知》（财库〔2014〕68号）的第二条规定，对属于监狱企业单位的价格给予15％的扣除，用扣除后的价格参与评审，三者不重复享受优惠政策。</w:t>
            </w:r>
          </w:p>
        </w:tc>
        <w:tc>
          <w:tcPr>
            <w:tcW w:w="857" w:type="dxa"/>
            <w:noWrap w:val="0"/>
            <w:vAlign w:val="center"/>
          </w:tcPr>
          <w:p w14:paraId="1A34F5BB">
            <w:pPr>
              <w:widowControl/>
              <w:snapToGrid w:val="0"/>
              <w:spacing w:line="320" w:lineRule="exact"/>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10</w:t>
            </w:r>
          </w:p>
        </w:tc>
      </w:tr>
      <w:bookmarkEnd w:id="29"/>
    </w:tbl>
    <w:p w14:paraId="63E179E0">
      <w:pPr>
        <w:numPr>
          <w:ilvl w:val="-1"/>
          <w:numId w:val="0"/>
        </w:numPr>
        <w:jc w:val="both"/>
        <w:rPr>
          <w:rFonts w:hint="eastAsia" w:ascii="仿宋" w:hAnsi="仿宋" w:eastAsia="仿宋" w:cs="仿宋"/>
          <w:b/>
          <w:bCs/>
          <w:color w:val="000000"/>
          <w:spacing w:val="20"/>
          <w:sz w:val="32"/>
          <w:szCs w:val="44"/>
          <w:highlight w:val="none"/>
        </w:rPr>
      </w:pPr>
      <w:bookmarkStart w:id="30" w:name="_Toc352761952"/>
      <w:bookmarkStart w:id="31" w:name="_Toc19037"/>
    </w:p>
    <w:p w14:paraId="2845C804">
      <w:pPr>
        <w:numPr>
          <w:ilvl w:val="-1"/>
          <w:numId w:val="0"/>
        </w:numPr>
        <w:jc w:val="both"/>
        <w:rPr>
          <w:rFonts w:hint="eastAsia" w:ascii="仿宋" w:hAnsi="仿宋" w:eastAsia="仿宋" w:cs="仿宋"/>
          <w:b/>
          <w:bCs/>
          <w:color w:val="000000"/>
          <w:spacing w:val="20"/>
          <w:sz w:val="32"/>
          <w:szCs w:val="44"/>
          <w:highlight w:val="none"/>
        </w:rPr>
      </w:pPr>
    </w:p>
    <w:p w14:paraId="78A3EDB0">
      <w:pPr>
        <w:numPr>
          <w:ilvl w:val="-1"/>
          <w:numId w:val="0"/>
        </w:numPr>
        <w:jc w:val="both"/>
        <w:rPr>
          <w:rFonts w:hint="eastAsia" w:ascii="仿宋" w:hAnsi="仿宋" w:eastAsia="仿宋" w:cs="仿宋"/>
          <w:b/>
          <w:bCs/>
          <w:color w:val="000000"/>
          <w:spacing w:val="20"/>
          <w:sz w:val="32"/>
          <w:szCs w:val="44"/>
          <w:highlight w:val="none"/>
        </w:rPr>
      </w:pPr>
    </w:p>
    <w:p w14:paraId="1BE1C0B5">
      <w:pPr>
        <w:numPr>
          <w:ilvl w:val="-1"/>
          <w:numId w:val="0"/>
        </w:numPr>
        <w:jc w:val="both"/>
        <w:rPr>
          <w:rFonts w:hint="eastAsia" w:ascii="仿宋" w:hAnsi="仿宋" w:eastAsia="仿宋" w:cs="仿宋"/>
          <w:b/>
          <w:bCs/>
          <w:color w:val="000000"/>
          <w:spacing w:val="20"/>
          <w:sz w:val="32"/>
          <w:szCs w:val="44"/>
          <w:highlight w:val="none"/>
        </w:rPr>
      </w:pPr>
    </w:p>
    <w:p w14:paraId="32E1EAE2">
      <w:pPr>
        <w:numPr>
          <w:ilvl w:val="-1"/>
          <w:numId w:val="0"/>
        </w:numPr>
        <w:jc w:val="both"/>
        <w:rPr>
          <w:rFonts w:hint="eastAsia" w:ascii="仿宋" w:hAnsi="仿宋" w:eastAsia="仿宋" w:cs="仿宋"/>
          <w:b/>
          <w:bCs/>
          <w:color w:val="000000"/>
          <w:spacing w:val="20"/>
          <w:sz w:val="32"/>
          <w:szCs w:val="44"/>
          <w:highlight w:val="none"/>
        </w:rPr>
      </w:pPr>
    </w:p>
    <w:p w14:paraId="25A3919C">
      <w:pPr>
        <w:numPr>
          <w:ilvl w:val="-1"/>
          <w:numId w:val="0"/>
        </w:numPr>
        <w:jc w:val="both"/>
        <w:rPr>
          <w:rFonts w:hint="eastAsia" w:ascii="仿宋" w:hAnsi="仿宋" w:eastAsia="仿宋" w:cs="仿宋"/>
          <w:b/>
          <w:bCs/>
          <w:color w:val="000000"/>
          <w:spacing w:val="20"/>
          <w:sz w:val="32"/>
          <w:szCs w:val="44"/>
          <w:highlight w:val="none"/>
        </w:rPr>
      </w:pPr>
    </w:p>
    <w:p w14:paraId="21F95F2E">
      <w:pPr>
        <w:numPr>
          <w:ilvl w:val="-1"/>
          <w:numId w:val="0"/>
        </w:numPr>
        <w:jc w:val="both"/>
        <w:rPr>
          <w:rFonts w:hint="eastAsia" w:ascii="仿宋" w:hAnsi="仿宋" w:eastAsia="仿宋" w:cs="仿宋"/>
          <w:b/>
          <w:bCs/>
          <w:color w:val="000000"/>
          <w:spacing w:val="20"/>
          <w:sz w:val="32"/>
          <w:szCs w:val="44"/>
          <w:highlight w:val="none"/>
        </w:rPr>
      </w:pPr>
    </w:p>
    <w:p w14:paraId="081BDFCA">
      <w:pPr>
        <w:numPr>
          <w:ilvl w:val="-1"/>
          <w:numId w:val="0"/>
        </w:numPr>
        <w:jc w:val="both"/>
        <w:rPr>
          <w:rFonts w:hint="eastAsia" w:ascii="仿宋" w:hAnsi="仿宋" w:eastAsia="仿宋" w:cs="仿宋"/>
          <w:b/>
          <w:bCs/>
          <w:color w:val="000000"/>
          <w:spacing w:val="20"/>
          <w:sz w:val="32"/>
          <w:szCs w:val="44"/>
          <w:highlight w:val="none"/>
        </w:rPr>
      </w:pPr>
    </w:p>
    <w:p w14:paraId="49CEE723">
      <w:pPr>
        <w:numPr>
          <w:ilvl w:val="-1"/>
          <w:numId w:val="0"/>
        </w:numPr>
        <w:jc w:val="both"/>
        <w:rPr>
          <w:rFonts w:hint="eastAsia" w:ascii="仿宋" w:hAnsi="仿宋" w:eastAsia="仿宋" w:cs="仿宋"/>
          <w:b/>
          <w:bCs/>
          <w:color w:val="000000"/>
          <w:spacing w:val="20"/>
          <w:sz w:val="32"/>
          <w:szCs w:val="44"/>
          <w:highlight w:val="none"/>
        </w:rPr>
      </w:pPr>
    </w:p>
    <w:p w14:paraId="5C719DF9">
      <w:pPr>
        <w:numPr>
          <w:ilvl w:val="-1"/>
          <w:numId w:val="0"/>
        </w:numPr>
        <w:jc w:val="both"/>
        <w:rPr>
          <w:rFonts w:hint="eastAsia" w:ascii="仿宋" w:hAnsi="仿宋" w:eastAsia="仿宋" w:cs="仿宋"/>
          <w:b/>
          <w:bCs/>
          <w:color w:val="000000"/>
          <w:spacing w:val="20"/>
          <w:sz w:val="32"/>
          <w:szCs w:val="44"/>
          <w:highlight w:val="none"/>
        </w:rPr>
      </w:pPr>
    </w:p>
    <w:p w14:paraId="60CDD078">
      <w:pPr>
        <w:numPr>
          <w:ilvl w:val="-1"/>
          <w:numId w:val="0"/>
        </w:numPr>
        <w:jc w:val="both"/>
        <w:rPr>
          <w:rFonts w:hint="eastAsia" w:ascii="仿宋" w:hAnsi="仿宋" w:eastAsia="仿宋" w:cs="仿宋"/>
          <w:b/>
          <w:bCs/>
          <w:color w:val="000000"/>
          <w:spacing w:val="20"/>
          <w:sz w:val="32"/>
          <w:szCs w:val="44"/>
          <w:highlight w:val="none"/>
        </w:rPr>
      </w:pPr>
    </w:p>
    <w:p w14:paraId="0FFE75B4">
      <w:pPr>
        <w:numPr>
          <w:ilvl w:val="-1"/>
          <w:numId w:val="0"/>
        </w:numPr>
        <w:jc w:val="both"/>
        <w:rPr>
          <w:rFonts w:hint="eastAsia" w:ascii="仿宋" w:hAnsi="仿宋" w:eastAsia="仿宋" w:cs="仿宋"/>
          <w:b/>
          <w:bCs/>
          <w:color w:val="000000"/>
          <w:spacing w:val="20"/>
          <w:sz w:val="32"/>
          <w:szCs w:val="44"/>
          <w:highlight w:val="none"/>
        </w:rPr>
      </w:pPr>
    </w:p>
    <w:p w14:paraId="25873204">
      <w:pPr>
        <w:numPr>
          <w:ilvl w:val="-1"/>
          <w:numId w:val="0"/>
        </w:numPr>
        <w:jc w:val="both"/>
        <w:rPr>
          <w:rFonts w:hint="eastAsia" w:ascii="仿宋" w:hAnsi="仿宋" w:eastAsia="仿宋" w:cs="仿宋"/>
          <w:b/>
          <w:bCs/>
          <w:color w:val="000000"/>
          <w:spacing w:val="20"/>
          <w:sz w:val="32"/>
          <w:szCs w:val="44"/>
          <w:highlight w:val="none"/>
        </w:rPr>
      </w:pPr>
    </w:p>
    <w:p w14:paraId="4E7B78F6">
      <w:pPr>
        <w:numPr>
          <w:ilvl w:val="-1"/>
          <w:numId w:val="0"/>
        </w:numPr>
        <w:jc w:val="both"/>
        <w:rPr>
          <w:rFonts w:hint="eastAsia" w:ascii="仿宋" w:hAnsi="仿宋" w:eastAsia="仿宋" w:cs="仿宋"/>
          <w:b/>
          <w:bCs/>
          <w:color w:val="000000"/>
          <w:spacing w:val="20"/>
          <w:sz w:val="32"/>
          <w:szCs w:val="44"/>
          <w:highlight w:val="none"/>
        </w:rPr>
      </w:pPr>
    </w:p>
    <w:p w14:paraId="7797E1F2">
      <w:pPr>
        <w:numPr>
          <w:ilvl w:val="-1"/>
          <w:numId w:val="0"/>
        </w:numPr>
        <w:jc w:val="both"/>
        <w:rPr>
          <w:rFonts w:hint="eastAsia" w:ascii="仿宋" w:hAnsi="仿宋" w:eastAsia="仿宋" w:cs="仿宋"/>
          <w:b/>
          <w:bCs/>
          <w:color w:val="000000"/>
          <w:spacing w:val="20"/>
          <w:sz w:val="32"/>
          <w:szCs w:val="44"/>
          <w:highlight w:val="none"/>
        </w:rPr>
      </w:pPr>
    </w:p>
    <w:p w14:paraId="575A89C0">
      <w:pPr>
        <w:numPr>
          <w:ilvl w:val="-1"/>
          <w:numId w:val="0"/>
        </w:numPr>
        <w:jc w:val="both"/>
        <w:rPr>
          <w:rFonts w:hint="eastAsia" w:ascii="仿宋" w:hAnsi="仿宋" w:eastAsia="仿宋" w:cs="仿宋"/>
          <w:b/>
          <w:bCs/>
          <w:color w:val="000000"/>
          <w:spacing w:val="20"/>
          <w:sz w:val="32"/>
          <w:szCs w:val="44"/>
          <w:highlight w:val="none"/>
        </w:rPr>
      </w:pPr>
    </w:p>
    <w:p w14:paraId="564200D9">
      <w:pPr>
        <w:numPr>
          <w:ilvl w:val="-1"/>
          <w:numId w:val="0"/>
        </w:numPr>
        <w:jc w:val="both"/>
        <w:rPr>
          <w:rFonts w:hint="eastAsia" w:ascii="仿宋" w:hAnsi="仿宋" w:eastAsia="仿宋" w:cs="仿宋"/>
          <w:b/>
          <w:bCs/>
          <w:color w:val="000000"/>
          <w:spacing w:val="20"/>
          <w:sz w:val="32"/>
          <w:szCs w:val="44"/>
          <w:highlight w:val="none"/>
        </w:rPr>
      </w:pPr>
    </w:p>
    <w:p w14:paraId="5F5728E4">
      <w:pPr>
        <w:numPr>
          <w:ilvl w:val="-1"/>
          <w:numId w:val="0"/>
        </w:numPr>
        <w:jc w:val="both"/>
        <w:rPr>
          <w:rFonts w:hint="eastAsia" w:ascii="仿宋" w:hAnsi="仿宋" w:eastAsia="仿宋" w:cs="仿宋"/>
          <w:b/>
          <w:bCs/>
          <w:color w:val="000000"/>
          <w:spacing w:val="20"/>
          <w:sz w:val="32"/>
          <w:szCs w:val="44"/>
          <w:highlight w:val="none"/>
        </w:rPr>
      </w:pPr>
    </w:p>
    <w:p w14:paraId="286589D6">
      <w:pPr>
        <w:numPr>
          <w:ilvl w:val="-1"/>
          <w:numId w:val="0"/>
        </w:numPr>
        <w:jc w:val="both"/>
        <w:rPr>
          <w:rFonts w:hint="eastAsia" w:ascii="仿宋" w:hAnsi="仿宋" w:eastAsia="仿宋" w:cs="仿宋"/>
          <w:b/>
          <w:bCs/>
          <w:color w:val="000000"/>
          <w:spacing w:val="20"/>
          <w:sz w:val="32"/>
          <w:szCs w:val="44"/>
          <w:highlight w:val="none"/>
        </w:rPr>
      </w:pPr>
    </w:p>
    <w:p w14:paraId="2EF46ED2">
      <w:pPr>
        <w:numPr>
          <w:ilvl w:val="-1"/>
          <w:numId w:val="0"/>
        </w:numPr>
        <w:jc w:val="both"/>
        <w:rPr>
          <w:rFonts w:hint="eastAsia" w:ascii="仿宋" w:hAnsi="仿宋" w:eastAsia="仿宋" w:cs="仿宋"/>
          <w:b/>
          <w:bCs/>
          <w:color w:val="000000"/>
          <w:spacing w:val="20"/>
          <w:sz w:val="32"/>
          <w:szCs w:val="44"/>
          <w:highlight w:val="none"/>
        </w:rPr>
      </w:pPr>
    </w:p>
    <w:p w14:paraId="5240E6E9">
      <w:pPr>
        <w:numPr>
          <w:ilvl w:val="0"/>
          <w:numId w:val="7"/>
        </w:numPr>
        <w:jc w:val="center"/>
        <w:rPr>
          <w:rFonts w:hint="eastAsia" w:ascii="仿宋" w:hAnsi="仿宋" w:eastAsia="仿宋" w:cs="仿宋"/>
          <w:b/>
          <w:bCs/>
          <w:color w:val="000000"/>
          <w:spacing w:val="20"/>
          <w:sz w:val="32"/>
          <w:szCs w:val="44"/>
          <w:highlight w:val="none"/>
        </w:rPr>
      </w:pPr>
      <w:r>
        <w:rPr>
          <w:rFonts w:hint="eastAsia" w:ascii="仿宋" w:hAnsi="仿宋" w:eastAsia="仿宋" w:cs="仿宋"/>
          <w:b/>
          <w:bCs/>
          <w:color w:val="000000"/>
          <w:spacing w:val="20"/>
          <w:sz w:val="32"/>
          <w:szCs w:val="44"/>
          <w:highlight w:val="none"/>
        </w:rPr>
        <w:t xml:space="preserve"> 合同原则</w:t>
      </w:r>
      <w:bookmarkEnd w:id="30"/>
      <w:bookmarkEnd w:id="31"/>
      <w:bookmarkStart w:id="32" w:name="_Toc175644061"/>
      <w:bookmarkStart w:id="33" w:name="_Toc352761953"/>
    </w:p>
    <w:p w14:paraId="42C44090">
      <w:pPr>
        <w:jc w:val="center"/>
        <w:rPr>
          <w:rFonts w:hint="eastAsia" w:ascii="仿宋" w:hAnsi="仿宋" w:eastAsia="仿宋" w:cs="仿宋"/>
          <w:color w:val="auto"/>
          <w:sz w:val="44"/>
          <w:szCs w:val="4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color w:val="auto"/>
          <w:sz w:val="44"/>
          <w:szCs w:val="44"/>
          <w:highlight w:val="none"/>
        </w:rPr>
        <w:t xml:space="preserve"> 政府购买服务合同</w:t>
      </w:r>
    </w:p>
    <w:p w14:paraId="30E3DD25">
      <w:pPr>
        <w:rPr>
          <w:rFonts w:hint="eastAsia" w:ascii="仿宋" w:hAnsi="仿宋" w:eastAsia="仿宋" w:cs="仿宋"/>
          <w:color w:val="auto"/>
          <w:sz w:val="32"/>
          <w:szCs w:val="32"/>
          <w:highlight w:val="none"/>
        </w:rPr>
      </w:pPr>
    </w:p>
    <w:p w14:paraId="68C538BC">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甲方（购买主体）：</w:t>
      </w:r>
      <w:r>
        <w:rPr>
          <w:rFonts w:hint="eastAsia" w:ascii="仿宋" w:hAnsi="仿宋" w:eastAsia="仿宋" w:cs="仿宋"/>
          <w:color w:val="auto"/>
          <w:sz w:val="24"/>
          <w:highlight w:val="none"/>
          <w:u w:val="single"/>
        </w:rPr>
        <w:t xml:space="preserve">                          </w:t>
      </w:r>
    </w:p>
    <w:p w14:paraId="269C534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p>
    <w:p w14:paraId="12DDC7B7">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乙方（承接主体）：</w:t>
      </w:r>
      <w:r>
        <w:rPr>
          <w:rFonts w:hint="eastAsia" w:ascii="仿宋" w:hAnsi="仿宋" w:eastAsia="仿宋" w:cs="仿宋"/>
          <w:color w:val="auto"/>
          <w:sz w:val="24"/>
          <w:highlight w:val="none"/>
          <w:u w:val="single"/>
        </w:rPr>
        <w:t xml:space="preserve">                          </w:t>
      </w:r>
    </w:p>
    <w:p w14:paraId="766ED80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p>
    <w:p w14:paraId="6A24FF3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根据《中华人民共和国民法典》《中华人民共和国政府采购法》《政府购买服务管理办法》和《山西省人民政府办公厅关于印发山西省政府购买服务实施办法的通知》和《山西省财政厅 山西省市场监管局关于规范政府购买服务合同管理有关问题的通知》等相关规定，为保证政府购买服务实效，明确双方的权利义务，甲乙双方在平等、自愿、协商一致的基础上，现就</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rPr>
        <w:t>达成如下合同,以兹共同遵守：</w:t>
      </w:r>
    </w:p>
    <w:p w14:paraId="273ECF3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一、项目名称及内容</w:t>
      </w:r>
    </w:p>
    <w:p w14:paraId="7B2934A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（一）项目名称:</w:t>
      </w:r>
    </w:p>
    <w:p w14:paraId="7F129679">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（二）项目内容:</w:t>
      </w:r>
    </w:p>
    <w:p w14:paraId="5F914FC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二、服务项目及要求</w:t>
      </w:r>
    </w:p>
    <w:p w14:paraId="6E56DE0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（一）服务对象：</w:t>
      </w:r>
    </w:p>
    <w:p w14:paraId="2C1A6342">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（二）合同期限：</w:t>
      </w:r>
      <w:r>
        <w:rPr>
          <w:rFonts w:hint="eastAsia" w:ascii="仿宋" w:hAnsi="仿宋" w:eastAsia="仿宋" w:cs="仿宋"/>
          <w:color w:val="auto"/>
          <w:sz w:val="24"/>
          <w:highlight w:val="none"/>
        </w:rPr>
        <w:t xml:space="preserve"> </w:t>
      </w:r>
    </w:p>
    <w:p w14:paraId="2C1BFFD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合同期限为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年（月/日），自</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日止。</w:t>
      </w:r>
    </w:p>
    <w:p w14:paraId="370584A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（三）服务时间：</w:t>
      </w:r>
    </w:p>
    <w:p w14:paraId="3552958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（四）服务数量：</w:t>
      </w:r>
    </w:p>
    <w:p w14:paraId="3CE18629">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（五）服务标准：</w:t>
      </w:r>
    </w:p>
    <w:p w14:paraId="0295905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（六）提供服务的地点：</w:t>
      </w:r>
    </w:p>
    <w:p w14:paraId="7E4C630E">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（七）提供服务的形式：</w:t>
      </w:r>
      <w:r>
        <w:rPr>
          <w:rFonts w:hint="eastAsia" w:ascii="仿宋" w:hAnsi="仿宋" w:eastAsia="仿宋" w:cs="仿宋"/>
          <w:color w:val="auto"/>
          <w:sz w:val="24"/>
          <w:highlight w:val="none"/>
        </w:rPr>
        <w:tab/>
      </w:r>
    </w:p>
    <w:p w14:paraId="2773370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三、合同金额</w:t>
      </w:r>
    </w:p>
    <w:p w14:paraId="513662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本合同服务费总金额为人民币（大写）：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7EC56CD9">
      <w:pPr>
        <w:spacing w:line="360" w:lineRule="auto"/>
        <w:ind w:left="638" w:leftChars="304"/>
        <w:rPr>
          <w:rFonts w:hint="eastAsia" w:ascii="仿宋" w:hAnsi="仿宋" w:eastAsia="仿宋" w:cs="仿宋"/>
          <w:color w:val="auto"/>
          <w:sz w:val="24"/>
          <w:highlight w:val="none"/>
        </w:rPr>
      </w:pPr>
      <w:r>
        <w:rPr>
          <w:rFonts w:hint="eastAsia" w:ascii="仿宋" w:hAnsi="仿宋" w:eastAsia="仿宋" w:cs="仿宋"/>
          <w:color w:val="auto"/>
          <w:sz w:val="24"/>
          <w:highlight w:val="none"/>
        </w:rPr>
        <w:t>四、付款方式</w:t>
      </w:r>
    </w:p>
    <w:p w14:paraId="60CE2BBB">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（一）甲乙双方协商一致，采取以下第（ ）种付款方式：</w:t>
      </w:r>
    </w:p>
    <w:p w14:paraId="41F6407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1、一次性付款：</w:t>
      </w:r>
    </w:p>
    <w:p w14:paraId="6802F60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乙方履约完毕经甲方验收合格后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日内，一次性支付全部服务费。</w:t>
      </w:r>
    </w:p>
    <w:p w14:paraId="579672C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2、分期支付：</w:t>
      </w:r>
    </w:p>
    <w:p w14:paraId="04E696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（1）按年/按季度/按月支付等额的服务费；</w:t>
      </w:r>
    </w:p>
    <w:p w14:paraId="3D7280C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（2）合同签订后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日内，甲方向乙方支付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元（或合同总额的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%）；在交成果后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日内，支付服务费总额的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3B6465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（3）按进度支付服务费；</w:t>
      </w:r>
    </w:p>
    <w:p w14:paraId="75D19E4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（本条款内容可根据政府购买服务内容予以细化）</w:t>
      </w:r>
    </w:p>
    <w:p w14:paraId="63EFCE6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（二）支付方式:</w:t>
      </w:r>
    </w:p>
    <w:p w14:paraId="779AA87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1、支付方式：银行转账。</w:t>
      </w:r>
    </w:p>
    <w:p w14:paraId="30A9488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2、乙方账户信息如下：</w:t>
      </w:r>
    </w:p>
    <w:p w14:paraId="557EB662">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收款人名称：</w:t>
      </w:r>
      <w:r>
        <w:rPr>
          <w:rFonts w:hint="eastAsia" w:ascii="仿宋" w:hAnsi="仿宋" w:eastAsia="仿宋" w:cs="仿宋"/>
          <w:color w:val="auto"/>
          <w:sz w:val="24"/>
          <w:highlight w:val="none"/>
          <w:u w:val="single"/>
        </w:rPr>
        <w:t xml:space="preserve">                           </w:t>
      </w:r>
    </w:p>
    <w:p w14:paraId="3E55F23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C4F76F4">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账号：</w:t>
      </w:r>
      <w:r>
        <w:rPr>
          <w:rFonts w:hint="eastAsia" w:ascii="仿宋" w:hAnsi="仿宋" w:eastAsia="仿宋" w:cs="仿宋"/>
          <w:color w:val="auto"/>
          <w:sz w:val="24"/>
          <w:highlight w:val="none"/>
          <w:u w:val="single"/>
        </w:rPr>
        <w:t xml:space="preserve">                                 </w:t>
      </w:r>
    </w:p>
    <w:p w14:paraId="38D1B6E3">
      <w:pPr>
        <w:pStyle w:val="2"/>
        <w:rPr>
          <w:rFonts w:hint="default" w:eastAsia="宋体"/>
          <w:highlight w:val="none"/>
          <w:lang w:val="en-US" w:eastAsia="zh-CN"/>
        </w:rPr>
      </w:pPr>
      <w:r>
        <w:rPr>
          <w:rFonts w:hint="eastAsia"/>
          <w:highlight w:val="none"/>
          <w:lang w:val="en-US" w:eastAsia="zh-CN"/>
        </w:rPr>
        <w:t xml:space="preserve">     </w:t>
      </w:r>
    </w:p>
    <w:p w14:paraId="076B87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五、绩效评价</w:t>
      </w:r>
    </w:p>
    <w:p w14:paraId="639BE417">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（一）服务质量绩效目标</w:t>
      </w:r>
    </w:p>
    <w:p w14:paraId="7E1FF5F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（总体目标）</w:t>
      </w:r>
    </w:p>
    <w:p w14:paraId="72A72BA2">
      <w:pPr>
        <w:numPr>
          <w:ilvl w:val="0"/>
          <w:numId w:val="8"/>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服务质量评价指标</w:t>
      </w:r>
    </w:p>
    <w:p w14:paraId="2D9749C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1、数量指标</w:t>
      </w:r>
    </w:p>
    <w:p w14:paraId="34C420F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（具体指标）</w:t>
      </w:r>
    </w:p>
    <w:p w14:paraId="1E4956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2、质量指标</w:t>
      </w:r>
    </w:p>
    <w:p w14:paraId="2698371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（具体指标）</w:t>
      </w:r>
    </w:p>
    <w:p w14:paraId="3A30EC2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3、时效指标</w:t>
      </w:r>
    </w:p>
    <w:p w14:paraId="44D8A6E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（具体指标）</w:t>
      </w:r>
    </w:p>
    <w:p w14:paraId="75F5EA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4、成本指标</w:t>
      </w:r>
    </w:p>
    <w:p w14:paraId="6A8BA54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（具体指标）</w:t>
      </w:r>
    </w:p>
    <w:p w14:paraId="7E5623C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5、满意度指标</w:t>
      </w:r>
    </w:p>
    <w:p w14:paraId="75C054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（具体指标）</w:t>
      </w:r>
    </w:p>
    <w:p w14:paraId="72D1498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六、项目验收</w:t>
      </w:r>
    </w:p>
    <w:p w14:paraId="088F35A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（一）验收内容</w:t>
      </w:r>
    </w:p>
    <w:p w14:paraId="27DAEE6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en-US"/>
        </w:rPr>
        <w:t>（二）</w:t>
      </w:r>
      <w:r>
        <w:rPr>
          <w:rFonts w:hint="eastAsia" w:ascii="仿宋" w:hAnsi="仿宋" w:eastAsia="仿宋" w:cs="仿宋"/>
          <w:b/>
          <w:bCs/>
          <w:color w:val="auto"/>
          <w:sz w:val="24"/>
          <w:highlight w:val="none"/>
        </w:rPr>
        <w:t>结果应用</w:t>
      </w:r>
    </w:p>
    <w:p w14:paraId="7D1C1C89">
      <w:pPr>
        <w:spacing w:line="360" w:lineRule="auto"/>
        <w:ind w:firstLine="640"/>
        <w:rPr>
          <w:rFonts w:hint="eastAsia" w:ascii="仿宋" w:hAnsi="仿宋" w:eastAsia="仿宋" w:cs="仿宋"/>
          <w:color w:val="auto"/>
          <w:sz w:val="24"/>
          <w:highlight w:val="none"/>
        </w:rPr>
      </w:pPr>
      <w:r>
        <w:rPr>
          <w:rFonts w:hint="eastAsia" w:ascii="仿宋" w:hAnsi="仿宋" w:eastAsia="仿宋" w:cs="仿宋"/>
          <w:color w:val="auto"/>
          <w:sz w:val="24"/>
          <w:highlight w:val="none"/>
        </w:rPr>
        <w:t>（具体载明评价指标验收结果与合同资金挂钩的约定等）</w:t>
      </w:r>
    </w:p>
    <w:p w14:paraId="5E85EA8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七、甲乙双方权责</w:t>
      </w:r>
    </w:p>
    <w:p w14:paraId="0B1567E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（具体约定甲乙双方有关权责）</w:t>
      </w:r>
    </w:p>
    <w:p w14:paraId="6A81C069">
      <w:pPr>
        <w:numPr>
          <w:ilvl w:val="0"/>
          <w:numId w:val="9"/>
        </w:num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合同的变更、终止和解除</w:t>
      </w:r>
    </w:p>
    <w:p w14:paraId="6DD0B06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（一）本合同未尽事宜，经双方协商可签订补充协议，补充协议与本合同具有同等法律效力，约定不同的，以补充协议为准。</w:t>
      </w:r>
    </w:p>
    <w:p w14:paraId="7B4B309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（二）因发生不可抗力等原因导致本合同无法履行或无继续履行的必要的，双方可协商解除合同且互不承担违约责任。除上述约定外，任何一方不得擅自解除本合同。</w:t>
      </w:r>
    </w:p>
    <w:p w14:paraId="5112187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（三）（若合同存在附条件生效的条款，应予以载明。）</w:t>
      </w:r>
    </w:p>
    <w:p w14:paraId="648D6E7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（四）（其他需要约定的事项）</w:t>
      </w:r>
    </w:p>
    <w:p w14:paraId="156ACB3C">
      <w:pPr>
        <w:numPr>
          <w:ilvl w:val="0"/>
          <w:numId w:val="9"/>
        </w:num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知识产权</w:t>
      </w:r>
    </w:p>
    <w:p w14:paraId="77081837">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（一）乙方保证甲方在使用成交服务时，不承担任何涉及知识产权法律诉讼的责任。</w:t>
      </w:r>
    </w:p>
    <w:p w14:paraId="3ED9EC48">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二）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偿、诉讼费、律师费等一切费用。若发生以上情况并给甲方造成损失，乙方应负法律责任，甲方有权依法向乙方索赔并追究责任。</w:t>
      </w:r>
    </w:p>
    <w:p w14:paraId="00C51696">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（三）（其他需要约定的事项）</w:t>
      </w:r>
    </w:p>
    <w:p w14:paraId="6C46A05A">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十、违约责任</w:t>
      </w:r>
    </w:p>
    <w:p w14:paraId="7DE7D65A">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一）依据《中华人民共和国民法典》、《中华人民共和国政府采购法》的相关条款和本合同约定，乙方未全面履行合同义务或者发生违约，甲方有权终止合同，依法向乙方进行经济索赔，并报请政府采购监督管理机关进行相应的行政处罚。甲方违约的，应当赔偿给乙方造成的经济损失。</w:t>
      </w:r>
    </w:p>
    <w:p w14:paraId="4DE0F98B">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（二）人员工资按月足额发放，不得拖欠；采购人有权抽查工资发放记录。服务对象满意度低于80%限期整改，整改不合格扣减年度尾款10%。</w:t>
      </w:r>
    </w:p>
    <w:p w14:paraId="1669BA31">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服务数据、档案、台账知识产权及所有权归采购人所有，承接方不得泄露、外传、用于其他项目。</w:t>
      </w:r>
    </w:p>
    <w:p w14:paraId="4771D78C">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年度考核合格后方可续签下一年度合同；不合格则自动终止。</w:t>
      </w:r>
    </w:p>
    <w:p w14:paraId="6E005481">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eastAsia="zh-CN"/>
        </w:rPr>
        <w:t>（</w:t>
      </w:r>
      <w:r>
        <w:rPr>
          <w:rFonts w:hint="eastAsia" w:ascii="仿宋" w:hAnsi="仿宋" w:eastAsia="仿宋" w:cs="仿宋"/>
          <w:color w:val="auto"/>
          <w:sz w:val="24"/>
          <w:highlight w:val="none"/>
          <w:shd w:val="clear" w:color="auto" w:fill="FFFFFF"/>
          <w:lang w:val="en-US" w:eastAsia="zh-CN"/>
        </w:rPr>
        <w:t>三</w:t>
      </w:r>
      <w:r>
        <w:rPr>
          <w:rFonts w:hint="eastAsia" w:ascii="仿宋" w:hAnsi="仿宋" w:eastAsia="仿宋" w:cs="仿宋"/>
          <w:color w:val="auto"/>
          <w:sz w:val="24"/>
          <w:highlight w:val="none"/>
          <w:shd w:val="clear" w:color="auto" w:fill="FFFFFF"/>
          <w:lang w:eastAsia="zh-CN"/>
        </w:rPr>
        <w:t>）</w:t>
      </w:r>
      <w:r>
        <w:rPr>
          <w:rFonts w:hint="eastAsia" w:ascii="仿宋" w:hAnsi="仿宋" w:eastAsia="仿宋" w:cs="仿宋"/>
          <w:color w:val="auto"/>
          <w:sz w:val="24"/>
          <w:highlight w:val="none"/>
          <w:shd w:val="clear" w:color="auto" w:fill="FFFFFF"/>
        </w:rPr>
        <w:t>（其他需要约定的事项）</w:t>
      </w:r>
    </w:p>
    <w:p w14:paraId="393579B6">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十一、保密条款</w:t>
      </w:r>
    </w:p>
    <w:p w14:paraId="482BCF6D">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乙方及其项目参加人员应就合同履行过程中了解到、涉及到、搜集到甲方技术信息、经验信息以及其他尚未公开的有关信息、资料负有保密义务，并采取相应的保密措施，如发生以上情况，甲方有权索赔。乙方应承担的保密义务包括但不限于：</w:t>
      </w:r>
    </w:p>
    <w:p w14:paraId="35690ECE">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（一）未经甲方书面同意，不得将上述信息、资料披露给任何第三人；</w:t>
      </w:r>
    </w:p>
    <w:p w14:paraId="5A0FB21B">
      <w:pPr>
        <w:keepLines/>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（二）不得将上述信息、资料用于本合同以外的其他目的；</w:t>
      </w:r>
    </w:p>
    <w:p w14:paraId="5F80BFD5">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（三）在本合同终止或解除后或按甲方要求，及时将上述信息、资料返还甲方，或按甲方要求作适当处理。</w:t>
      </w:r>
    </w:p>
    <w:p w14:paraId="4F46AF1A">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（四）本合同项下的保密义务约定至相关信息、资料正式向社会公开之日或甲方书面解除乙方本合同项下保密义务之日起终止。</w:t>
      </w:r>
    </w:p>
    <w:p w14:paraId="5E4D7948">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（五）本条约定在本合同终止后仍然继续有效，且不受合同解除、终止或无效的影响。</w:t>
      </w:r>
    </w:p>
    <w:p w14:paraId="7F941EB1">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（六）（其他需要约定的事项）</w:t>
      </w:r>
    </w:p>
    <w:p w14:paraId="060598BF">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十二、不可抗力</w:t>
      </w:r>
    </w:p>
    <w:p w14:paraId="596FFD00">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（一）当发生不可抗力事件而导致其中一方不能履行合同时，应依据不可抗力对其造成的影响部分或全部免除责任，但因迟延履行后发生不可抗力的除外；</w:t>
      </w:r>
    </w:p>
    <w:p w14:paraId="6E96F768">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（二）任何一方由于不可抗力不能履行合同的，应及时通知对方并采取有效措施防止损失扩大。遭受不可抗力的一方应在事件发生后</w:t>
      </w:r>
      <w:r>
        <w:rPr>
          <w:rFonts w:hint="eastAsia" w:ascii="仿宋" w:hAnsi="仿宋" w:eastAsia="仿宋" w:cs="仿宋"/>
          <w:color w:val="auto"/>
          <w:sz w:val="24"/>
          <w:highlight w:val="none"/>
          <w:u w:val="single"/>
          <w:shd w:val="clear" w:color="auto" w:fill="FFFFFF"/>
        </w:rPr>
        <w:t xml:space="preserve">   </w:t>
      </w:r>
      <w:r>
        <w:rPr>
          <w:rFonts w:hint="eastAsia" w:ascii="仿宋" w:hAnsi="仿宋" w:eastAsia="仿宋" w:cs="仿宋"/>
          <w:color w:val="auto"/>
          <w:sz w:val="24"/>
          <w:highlight w:val="none"/>
          <w:shd w:val="clear" w:color="auto" w:fill="FFFFFF"/>
        </w:rPr>
        <w:t>日内向对方提供该不可抗力事件的详细情况，在取得有关机构的不可抗力证明或双方谅解确认后，允许延期履行或修订合同。</w:t>
      </w:r>
    </w:p>
    <w:p w14:paraId="52AC6B27">
      <w:pPr>
        <w:keepLines/>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（三）因不可抗力导致双方均发生损失的，双方各自承担损失；不可抗力结束后，经甲乙双方协商确认合同仍有继续履行的必要的，双方均应积极履行合同。</w:t>
      </w:r>
    </w:p>
    <w:p w14:paraId="278B761D">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（四）（其他需要约定的事项）</w:t>
      </w:r>
    </w:p>
    <w:p w14:paraId="364F88B4">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十三、争议解决</w:t>
      </w:r>
    </w:p>
    <w:p w14:paraId="5E03401B">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（一）当履行本合同发生争议时，双方应友好协商解决。无法协商达成一致的，任何一方均可向</w:t>
      </w:r>
      <w:r>
        <w:rPr>
          <w:rFonts w:hint="eastAsia" w:ascii="仿宋" w:hAnsi="仿宋" w:eastAsia="仿宋" w:cs="仿宋"/>
          <w:color w:val="auto"/>
          <w:sz w:val="24"/>
          <w:highlight w:val="none"/>
          <w:u w:val="single"/>
          <w:shd w:val="clear" w:color="auto" w:fill="FFFFFF"/>
        </w:rPr>
        <w:t xml:space="preserve">       </w:t>
      </w:r>
      <w:r>
        <w:rPr>
          <w:rFonts w:hint="eastAsia" w:ascii="仿宋" w:hAnsi="仿宋" w:eastAsia="仿宋" w:cs="仿宋"/>
          <w:color w:val="auto"/>
          <w:sz w:val="24"/>
          <w:highlight w:val="none"/>
          <w:shd w:val="clear" w:color="auto" w:fill="FFFFFF"/>
        </w:rPr>
        <w:t>人民法院提起诉讼。</w:t>
      </w:r>
    </w:p>
    <w:p w14:paraId="1CD2DC69">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（二）（其他需要约定的事项）</w:t>
      </w:r>
    </w:p>
    <w:p w14:paraId="2E456A9D">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十四、其他</w:t>
      </w:r>
    </w:p>
    <w:p w14:paraId="39D82DC1">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（一）本合同中的保密条款、知识产权条款、争议解决条款长期有效，不随本合同的终止、无效、被撤销而失效。</w:t>
      </w:r>
    </w:p>
    <w:p w14:paraId="5E44F705">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（二）本合同所有附件及政府采购文件均为合同的有效组成部分，与本合同具有同等法律效力。</w:t>
      </w:r>
    </w:p>
    <w:p w14:paraId="41D7112B">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（三）本合同自甲乙双方法人代表或其授权代表签字盖章后生效。</w:t>
      </w:r>
    </w:p>
    <w:p w14:paraId="1A57CA53">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（四）本合同一式</w:t>
      </w:r>
      <w:r>
        <w:rPr>
          <w:rFonts w:hint="eastAsia" w:ascii="仿宋" w:hAnsi="仿宋" w:eastAsia="仿宋" w:cs="仿宋"/>
          <w:color w:val="auto"/>
          <w:sz w:val="24"/>
          <w:highlight w:val="none"/>
          <w:u w:val="single"/>
          <w:shd w:val="clear" w:color="auto" w:fill="FFFFFF"/>
        </w:rPr>
        <w:t xml:space="preserve">   </w:t>
      </w:r>
      <w:r>
        <w:rPr>
          <w:rFonts w:hint="eastAsia" w:ascii="仿宋" w:hAnsi="仿宋" w:eastAsia="仿宋" w:cs="仿宋"/>
          <w:color w:val="auto"/>
          <w:sz w:val="24"/>
          <w:highlight w:val="none"/>
          <w:shd w:val="clear" w:color="auto" w:fill="FFFFFF"/>
        </w:rPr>
        <w:t>份，其中，甲方执</w:t>
      </w:r>
      <w:r>
        <w:rPr>
          <w:rFonts w:hint="eastAsia" w:ascii="仿宋" w:hAnsi="仿宋" w:eastAsia="仿宋" w:cs="仿宋"/>
          <w:color w:val="auto"/>
          <w:sz w:val="24"/>
          <w:highlight w:val="none"/>
          <w:u w:val="single"/>
          <w:shd w:val="clear" w:color="auto" w:fill="FFFFFF"/>
        </w:rPr>
        <w:t xml:space="preserve">   </w:t>
      </w:r>
      <w:r>
        <w:rPr>
          <w:rFonts w:hint="eastAsia" w:ascii="仿宋" w:hAnsi="仿宋" w:eastAsia="仿宋" w:cs="仿宋"/>
          <w:color w:val="auto"/>
          <w:sz w:val="24"/>
          <w:highlight w:val="none"/>
          <w:shd w:val="clear" w:color="auto" w:fill="FFFFFF"/>
        </w:rPr>
        <w:t>份，乙方执</w:t>
      </w:r>
      <w:r>
        <w:rPr>
          <w:rFonts w:hint="eastAsia" w:ascii="仿宋" w:hAnsi="仿宋" w:eastAsia="仿宋" w:cs="仿宋"/>
          <w:color w:val="auto"/>
          <w:sz w:val="24"/>
          <w:highlight w:val="none"/>
          <w:u w:val="single"/>
          <w:shd w:val="clear" w:color="auto" w:fill="FFFFFF"/>
        </w:rPr>
        <w:t xml:space="preserve">   </w:t>
      </w:r>
      <w:r>
        <w:rPr>
          <w:rFonts w:hint="eastAsia" w:ascii="仿宋" w:hAnsi="仿宋" w:eastAsia="仿宋" w:cs="仿宋"/>
          <w:color w:val="auto"/>
          <w:sz w:val="24"/>
          <w:highlight w:val="none"/>
          <w:shd w:val="clear" w:color="auto" w:fill="FFFFFF"/>
        </w:rPr>
        <w:t>份，具有同等法律效力。</w:t>
      </w:r>
    </w:p>
    <w:p w14:paraId="2ED23CA6">
      <w:pPr>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（五）（其他需要约定的事项）</w:t>
      </w:r>
    </w:p>
    <w:p w14:paraId="323B42CC">
      <w:pPr>
        <w:keepNext/>
        <w:shd w:val="clear" w:color="auto" w:fill="FFFFFF"/>
        <w:overflowPunct w:val="0"/>
        <w:adjustRightInd w:val="0"/>
        <w:snapToGrid w:val="0"/>
        <w:spacing w:line="360" w:lineRule="auto"/>
        <w:ind w:firstLine="480" w:firstLineChars="200"/>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十五、合同附件（若有附件应注明，并注明附件名称）</w:t>
      </w:r>
    </w:p>
    <w:p w14:paraId="279AB3F3">
      <w:pPr>
        <w:spacing w:line="360" w:lineRule="auto"/>
        <w:rPr>
          <w:rFonts w:hint="eastAsia" w:ascii="仿宋" w:hAnsi="仿宋" w:eastAsia="仿宋" w:cs="仿宋"/>
          <w:color w:val="auto"/>
          <w:sz w:val="24"/>
          <w:highlight w:val="none"/>
        </w:rPr>
      </w:pPr>
    </w:p>
    <w:p w14:paraId="3234ADBC">
      <w:pPr>
        <w:spacing w:line="360" w:lineRule="auto"/>
        <w:rPr>
          <w:rFonts w:hint="eastAsia" w:ascii="仿宋" w:hAnsi="仿宋" w:eastAsia="仿宋" w:cs="仿宋"/>
          <w:color w:val="auto"/>
          <w:sz w:val="24"/>
          <w:highlight w:val="none"/>
        </w:rPr>
      </w:pPr>
    </w:p>
    <w:p w14:paraId="4AADA7C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甲方（公章）                 乙方（公章）：</w:t>
      </w:r>
    </w:p>
    <w:p w14:paraId="496D490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单位名称：</w:t>
      </w:r>
      <w:r>
        <w:rPr>
          <w:rFonts w:hint="eastAsia" w:ascii="仿宋" w:hAnsi="仿宋" w:eastAsia="仿宋" w:cs="仿宋"/>
          <w:color w:val="auto"/>
          <w:sz w:val="24"/>
          <w:highlight w:val="none"/>
          <w:u w:val="single"/>
        </w:rPr>
        <w:t xml:space="preserve">              </w:t>
      </w:r>
    </w:p>
    <w:p w14:paraId="2D3E4FD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                 法定代表人或 </w:t>
      </w:r>
    </w:p>
    <w:p w14:paraId="0B905B1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single"/>
        </w:rPr>
        <w:t xml:space="preserve">       （签字）</w:t>
      </w:r>
      <w:r>
        <w:rPr>
          <w:rFonts w:hint="eastAsia" w:ascii="仿宋" w:hAnsi="仿宋" w:eastAsia="仿宋" w:cs="仿宋"/>
          <w:color w:val="auto"/>
          <w:sz w:val="24"/>
          <w:highlight w:val="none"/>
        </w:rPr>
        <w:t xml:space="preserve">    授权代表：</w:t>
      </w:r>
      <w:r>
        <w:rPr>
          <w:rFonts w:hint="eastAsia" w:ascii="仿宋" w:hAnsi="仿宋" w:eastAsia="仿宋" w:cs="仿宋"/>
          <w:color w:val="auto"/>
          <w:sz w:val="24"/>
          <w:highlight w:val="none"/>
          <w:u w:val="single"/>
        </w:rPr>
        <w:t xml:space="preserve">     （签字）</w:t>
      </w:r>
    </w:p>
    <w:p w14:paraId="2EAB7FE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甲方承办处室：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乙方承办部门：</w:t>
      </w:r>
      <w:r>
        <w:rPr>
          <w:rFonts w:hint="eastAsia" w:ascii="仿宋" w:hAnsi="仿宋" w:eastAsia="仿宋" w:cs="仿宋"/>
          <w:color w:val="auto"/>
          <w:sz w:val="24"/>
          <w:highlight w:val="none"/>
          <w:u w:val="single"/>
        </w:rPr>
        <w:t xml:space="preserve">          </w:t>
      </w:r>
    </w:p>
    <w:p w14:paraId="272AD6F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处室负责人：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18A36F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处室承办人：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部门负责人：</w:t>
      </w:r>
      <w:r>
        <w:rPr>
          <w:rFonts w:hint="eastAsia" w:ascii="仿宋" w:hAnsi="仿宋" w:eastAsia="仿宋" w:cs="仿宋"/>
          <w:color w:val="auto"/>
          <w:sz w:val="24"/>
          <w:highlight w:val="none"/>
          <w:u w:val="single"/>
        </w:rPr>
        <w:t xml:space="preserve">            </w:t>
      </w:r>
    </w:p>
    <w:p w14:paraId="4B50432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联系方式：</w:t>
      </w:r>
      <w:r>
        <w:rPr>
          <w:rFonts w:hint="eastAsia" w:ascii="仿宋" w:hAnsi="仿宋" w:eastAsia="仿宋" w:cs="仿宋"/>
          <w:color w:val="auto"/>
          <w:sz w:val="24"/>
          <w:highlight w:val="none"/>
          <w:u w:val="single"/>
        </w:rPr>
        <w:t xml:space="preserve">              </w:t>
      </w:r>
    </w:p>
    <w:p w14:paraId="237612B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签约日期：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     签约日期：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CD08423">
      <w:pPr>
        <w:widowControl/>
        <w:shd w:val="clear" w:color="auto" w:fill="FFFFFF"/>
        <w:snapToGrid w:val="0"/>
        <w:spacing w:line="360" w:lineRule="auto"/>
        <w:jc w:val="left"/>
        <w:rPr>
          <w:rFonts w:hint="eastAsia" w:ascii="仿宋" w:hAnsi="仿宋" w:eastAsia="仿宋" w:cs="仿宋"/>
          <w:color w:val="auto"/>
          <w:kern w:val="0"/>
          <w:sz w:val="24"/>
          <w:highlight w:val="none"/>
        </w:rPr>
      </w:pPr>
    </w:p>
    <w:p w14:paraId="0A185721">
      <w:pPr>
        <w:widowControl/>
        <w:spacing w:line="360" w:lineRule="auto"/>
        <w:ind w:firstLine="482" w:firstLineChars="200"/>
        <w:jc w:val="left"/>
        <w:rPr>
          <w:rFonts w:hint="eastAsia" w:ascii="仿宋" w:hAnsi="仿宋" w:eastAsia="仿宋" w:cs="仿宋"/>
          <w:b/>
          <w:bCs/>
          <w:color w:val="auto"/>
          <w:sz w:val="24"/>
          <w:highlight w:val="none"/>
        </w:rPr>
      </w:pPr>
    </w:p>
    <w:p w14:paraId="11137A2A">
      <w:pPr>
        <w:pStyle w:val="16"/>
        <w:rPr>
          <w:rFonts w:hint="eastAsia" w:ascii="仿宋" w:hAnsi="仿宋" w:eastAsia="仿宋" w:cs="仿宋"/>
          <w:color w:val="000000"/>
          <w:spacing w:val="20"/>
          <w:szCs w:val="28"/>
          <w:highlight w:val="none"/>
        </w:rPr>
      </w:pPr>
    </w:p>
    <w:p w14:paraId="48A3990E">
      <w:pPr>
        <w:pStyle w:val="16"/>
        <w:rPr>
          <w:rFonts w:hint="eastAsia" w:ascii="仿宋" w:hAnsi="仿宋" w:eastAsia="仿宋" w:cs="仿宋"/>
          <w:color w:val="000000"/>
          <w:spacing w:val="20"/>
          <w:szCs w:val="28"/>
          <w:highlight w:val="none"/>
        </w:rPr>
      </w:pPr>
    </w:p>
    <w:p w14:paraId="0309A18D">
      <w:pPr>
        <w:pStyle w:val="16"/>
        <w:rPr>
          <w:rFonts w:hint="eastAsia" w:ascii="仿宋" w:hAnsi="仿宋" w:eastAsia="仿宋" w:cs="仿宋"/>
          <w:color w:val="000000"/>
          <w:spacing w:val="20"/>
          <w:szCs w:val="28"/>
          <w:highlight w:val="none"/>
        </w:rPr>
      </w:pPr>
    </w:p>
    <w:p w14:paraId="4626D713">
      <w:pPr>
        <w:pStyle w:val="16"/>
        <w:rPr>
          <w:rFonts w:hint="eastAsia" w:ascii="仿宋" w:hAnsi="仿宋" w:eastAsia="仿宋" w:cs="仿宋"/>
          <w:color w:val="000000"/>
          <w:spacing w:val="20"/>
          <w:szCs w:val="28"/>
          <w:highlight w:val="none"/>
        </w:rPr>
      </w:pPr>
    </w:p>
    <w:p w14:paraId="76BFDAF6">
      <w:pPr>
        <w:pStyle w:val="16"/>
        <w:rPr>
          <w:rFonts w:hint="eastAsia" w:ascii="仿宋" w:hAnsi="仿宋" w:eastAsia="仿宋" w:cs="仿宋"/>
          <w:color w:val="000000"/>
          <w:spacing w:val="20"/>
          <w:szCs w:val="28"/>
          <w:highlight w:val="none"/>
        </w:rPr>
      </w:pPr>
    </w:p>
    <w:p w14:paraId="2BC82BB8">
      <w:pPr>
        <w:pStyle w:val="16"/>
        <w:rPr>
          <w:rFonts w:hint="eastAsia" w:ascii="仿宋" w:hAnsi="仿宋" w:eastAsia="仿宋" w:cs="仿宋"/>
          <w:color w:val="000000"/>
          <w:spacing w:val="20"/>
          <w:szCs w:val="28"/>
          <w:highlight w:val="none"/>
        </w:rPr>
      </w:pPr>
    </w:p>
    <w:p w14:paraId="7562044F">
      <w:pPr>
        <w:pStyle w:val="16"/>
        <w:rPr>
          <w:rFonts w:hint="eastAsia" w:ascii="仿宋" w:hAnsi="仿宋" w:eastAsia="仿宋" w:cs="仿宋"/>
          <w:color w:val="000000"/>
          <w:spacing w:val="20"/>
          <w:szCs w:val="28"/>
          <w:highlight w:val="none"/>
        </w:rPr>
      </w:pPr>
    </w:p>
    <w:p w14:paraId="78C9AFB2">
      <w:pPr>
        <w:pStyle w:val="16"/>
        <w:rPr>
          <w:rFonts w:hint="eastAsia" w:ascii="仿宋" w:hAnsi="仿宋" w:eastAsia="仿宋" w:cs="仿宋"/>
          <w:color w:val="000000"/>
          <w:spacing w:val="20"/>
          <w:szCs w:val="28"/>
          <w:highlight w:val="none"/>
        </w:rPr>
      </w:pPr>
    </w:p>
    <w:p w14:paraId="04BBBFF0">
      <w:pPr>
        <w:pStyle w:val="16"/>
        <w:rPr>
          <w:rFonts w:hint="eastAsia" w:ascii="仿宋" w:hAnsi="仿宋" w:eastAsia="仿宋" w:cs="仿宋"/>
          <w:color w:val="000000"/>
          <w:spacing w:val="20"/>
          <w:szCs w:val="28"/>
          <w:highlight w:val="none"/>
        </w:rPr>
      </w:pPr>
    </w:p>
    <w:p w14:paraId="6DE41CB3">
      <w:pPr>
        <w:pStyle w:val="16"/>
        <w:rPr>
          <w:rFonts w:hint="eastAsia" w:ascii="仿宋" w:hAnsi="仿宋" w:eastAsia="仿宋" w:cs="仿宋"/>
          <w:color w:val="000000"/>
          <w:spacing w:val="20"/>
          <w:szCs w:val="28"/>
          <w:highlight w:val="none"/>
        </w:rPr>
      </w:pPr>
    </w:p>
    <w:p w14:paraId="5AE9708F">
      <w:pPr>
        <w:pStyle w:val="16"/>
        <w:rPr>
          <w:rFonts w:hint="eastAsia" w:ascii="仿宋" w:hAnsi="仿宋" w:eastAsia="仿宋" w:cs="仿宋"/>
          <w:color w:val="000000"/>
          <w:spacing w:val="20"/>
          <w:szCs w:val="28"/>
          <w:highlight w:val="none"/>
        </w:rPr>
      </w:pPr>
    </w:p>
    <w:p w14:paraId="76A538FD">
      <w:pPr>
        <w:pStyle w:val="65"/>
        <w:numPr>
          <w:ilvl w:val="0"/>
          <w:numId w:val="0"/>
        </w:numPr>
        <w:snapToGrid w:val="0"/>
        <w:spacing w:before="0" w:after="0"/>
        <w:rPr>
          <w:rFonts w:hint="eastAsia" w:ascii="仿宋" w:hAnsi="仿宋" w:eastAsia="仿宋" w:cs="仿宋"/>
          <w:color w:val="000000"/>
          <w:spacing w:val="20"/>
          <w:szCs w:val="28"/>
          <w:highlight w:val="none"/>
        </w:rPr>
      </w:pPr>
      <w:bookmarkStart w:id="34" w:name="_Toc15439"/>
      <w:r>
        <w:rPr>
          <w:rFonts w:hint="eastAsia" w:ascii="仿宋" w:hAnsi="仿宋" w:eastAsia="仿宋" w:cs="仿宋"/>
          <w:color w:val="000000"/>
          <w:spacing w:val="20"/>
          <w:szCs w:val="28"/>
          <w:highlight w:val="none"/>
        </w:rPr>
        <w:t xml:space="preserve">第七部分  </w:t>
      </w:r>
      <w:bookmarkStart w:id="35" w:name="_Toc86202632"/>
      <w:r>
        <w:rPr>
          <w:rFonts w:hint="eastAsia" w:ascii="仿宋" w:hAnsi="仿宋" w:eastAsia="仿宋" w:cs="仿宋"/>
          <w:color w:val="000000"/>
          <w:spacing w:val="20"/>
          <w:szCs w:val="28"/>
          <w:highlight w:val="none"/>
        </w:rPr>
        <w:t>投标文件格式</w:t>
      </w:r>
      <w:bookmarkEnd w:id="32"/>
      <w:bookmarkEnd w:id="33"/>
      <w:bookmarkEnd w:id="34"/>
      <w:bookmarkEnd w:id="35"/>
    </w:p>
    <w:p w14:paraId="19162461">
      <w:pPr>
        <w:spacing w:before="156" w:beforeLines="50" w:after="78" w:afterLines="25" w:line="480" w:lineRule="exact"/>
        <w:ind w:firstLine="422" w:firstLineChars="200"/>
        <w:rPr>
          <w:rFonts w:hint="eastAsia" w:ascii="仿宋" w:hAnsi="仿宋" w:eastAsia="仿宋" w:cs="仿宋"/>
          <w:b/>
          <w:color w:val="000000"/>
          <w:highlight w:val="none"/>
        </w:rPr>
      </w:pPr>
      <w:r>
        <w:rPr>
          <w:rFonts w:hint="eastAsia" w:ascii="仿宋" w:hAnsi="仿宋" w:eastAsia="仿宋" w:cs="仿宋"/>
          <w:b/>
          <w:color w:val="000000"/>
          <w:highlight w:val="none"/>
        </w:rPr>
        <w:t>一、投标人提交文件须知</w:t>
      </w:r>
    </w:p>
    <w:p w14:paraId="731A81D8">
      <w:pPr>
        <w:spacing w:line="360" w:lineRule="auto"/>
        <w:ind w:firstLine="420" w:firstLineChars="200"/>
        <w:rPr>
          <w:rFonts w:hint="eastAsia" w:ascii="仿宋" w:hAnsi="仿宋" w:eastAsia="仿宋" w:cs="仿宋"/>
          <w:color w:val="000000"/>
          <w:highlight w:val="none"/>
        </w:rPr>
      </w:pPr>
      <w:r>
        <w:rPr>
          <w:rFonts w:hint="eastAsia" w:ascii="仿宋" w:hAnsi="仿宋" w:eastAsia="仿宋" w:cs="仿宋"/>
          <w:color w:val="000000"/>
          <w:highlight w:val="none"/>
        </w:rPr>
        <w:t>1、</w:t>
      </w:r>
      <w:r>
        <w:rPr>
          <w:rFonts w:hint="eastAsia" w:ascii="仿宋" w:hAnsi="仿宋" w:eastAsia="仿宋" w:cs="仿宋"/>
          <w:szCs w:val="21"/>
          <w:highlight w:val="none"/>
        </w:rPr>
        <w:t>投标人应严格按照本招标文件的相关要求编制及提交投标文件，未按要求编制及提交投标文件的，其投标文件将有可能被按无效处理，并须承担由此带来的相应后果。</w:t>
      </w:r>
    </w:p>
    <w:p w14:paraId="12057173">
      <w:pPr>
        <w:pStyle w:val="54"/>
        <w:snapToGrid w:val="0"/>
        <w:spacing w:line="480" w:lineRule="exact"/>
        <w:ind w:firstLine="420" w:firstLineChars="200"/>
        <w:rPr>
          <w:rFonts w:hint="eastAsia" w:ascii="仿宋" w:hAnsi="仿宋" w:eastAsia="仿宋" w:cs="仿宋"/>
          <w:color w:val="000000"/>
          <w:highlight w:val="none"/>
        </w:rPr>
      </w:pPr>
      <w:r>
        <w:rPr>
          <w:rFonts w:hint="eastAsia" w:ascii="仿宋" w:hAnsi="仿宋" w:eastAsia="仿宋" w:cs="仿宋"/>
          <w:color w:val="000000"/>
          <w:highlight w:val="none"/>
        </w:rPr>
        <w:t>2、所附表格中要求回答的全部问题和信息都必须正面回答。</w:t>
      </w:r>
    </w:p>
    <w:p w14:paraId="178C432E">
      <w:pPr>
        <w:pStyle w:val="54"/>
        <w:snapToGrid w:val="0"/>
        <w:spacing w:line="480" w:lineRule="exact"/>
        <w:ind w:firstLine="420" w:firstLineChars="200"/>
        <w:rPr>
          <w:rFonts w:hint="eastAsia" w:ascii="仿宋" w:hAnsi="仿宋" w:eastAsia="仿宋" w:cs="仿宋"/>
          <w:color w:val="000000"/>
          <w:highlight w:val="none"/>
        </w:rPr>
      </w:pPr>
      <w:r>
        <w:rPr>
          <w:rFonts w:hint="eastAsia" w:ascii="仿宋" w:hAnsi="仿宋" w:eastAsia="仿宋" w:cs="仿宋"/>
          <w:color w:val="000000"/>
          <w:highlight w:val="none"/>
        </w:rPr>
        <w:t>3、签字人应保证全部声明和问题的回答及所附材料是真实的、准确的和完整的。</w:t>
      </w:r>
    </w:p>
    <w:p w14:paraId="2EA27664">
      <w:pPr>
        <w:pStyle w:val="54"/>
        <w:snapToGrid w:val="0"/>
        <w:spacing w:line="480" w:lineRule="exact"/>
        <w:ind w:firstLine="420" w:firstLineChars="200"/>
        <w:rPr>
          <w:rFonts w:hint="eastAsia" w:ascii="仿宋" w:hAnsi="仿宋" w:eastAsia="仿宋" w:cs="仿宋"/>
          <w:color w:val="000000"/>
          <w:highlight w:val="none"/>
        </w:rPr>
      </w:pPr>
      <w:r>
        <w:rPr>
          <w:rFonts w:hint="eastAsia" w:ascii="仿宋" w:hAnsi="仿宋" w:eastAsia="仿宋" w:cs="仿宋"/>
          <w:color w:val="000000"/>
          <w:highlight w:val="none"/>
        </w:rPr>
        <w:t>4、评标委员会将应用投标人提交的技术说明文件等资料并根据自己的判断，决定投标人履行合同的合格性及能力。</w:t>
      </w:r>
    </w:p>
    <w:p w14:paraId="091688DC">
      <w:pPr>
        <w:pStyle w:val="54"/>
        <w:snapToGrid w:val="0"/>
        <w:spacing w:line="480" w:lineRule="exact"/>
        <w:ind w:firstLine="420" w:firstLineChars="200"/>
        <w:rPr>
          <w:rFonts w:hint="eastAsia" w:ascii="仿宋" w:hAnsi="仿宋" w:eastAsia="仿宋" w:cs="仿宋"/>
          <w:color w:val="000000"/>
          <w:highlight w:val="none"/>
        </w:rPr>
      </w:pPr>
      <w:r>
        <w:rPr>
          <w:rFonts w:hint="eastAsia" w:ascii="仿宋" w:hAnsi="仿宋" w:eastAsia="仿宋" w:cs="仿宋"/>
          <w:color w:val="000000"/>
          <w:highlight w:val="none"/>
        </w:rPr>
        <w:t>5、投标人提交的材料将被妥善保存，但不退还。</w:t>
      </w:r>
    </w:p>
    <w:p w14:paraId="107DF9AB">
      <w:pPr>
        <w:pStyle w:val="54"/>
        <w:snapToGrid w:val="0"/>
        <w:spacing w:line="480" w:lineRule="exact"/>
        <w:ind w:firstLine="420" w:firstLineChars="200"/>
        <w:rPr>
          <w:rFonts w:hint="eastAsia" w:ascii="仿宋" w:hAnsi="仿宋" w:eastAsia="仿宋" w:cs="仿宋"/>
          <w:color w:val="000000"/>
          <w:highlight w:val="none"/>
        </w:rPr>
      </w:pPr>
      <w:r>
        <w:rPr>
          <w:rFonts w:hint="eastAsia" w:ascii="仿宋" w:hAnsi="仿宋" w:eastAsia="仿宋" w:cs="仿宋"/>
          <w:color w:val="000000"/>
          <w:highlight w:val="none"/>
        </w:rPr>
        <w:t>6、全部文件应按投标人须知中规定的中文简体字和份数提交。</w:t>
      </w:r>
    </w:p>
    <w:p w14:paraId="6E7020FD">
      <w:pPr>
        <w:spacing w:before="312" w:beforeLines="100" w:after="312" w:afterLines="100"/>
        <w:ind w:firstLine="422" w:firstLineChars="200"/>
        <w:rPr>
          <w:rFonts w:hint="eastAsia" w:ascii="仿宋" w:hAnsi="仿宋" w:eastAsia="仿宋" w:cs="仿宋"/>
          <w:b/>
          <w:highlight w:val="none"/>
        </w:rPr>
      </w:pPr>
      <w:bookmarkStart w:id="36" w:name="_Toc326251063"/>
      <w:r>
        <w:rPr>
          <w:rFonts w:hint="eastAsia" w:ascii="仿宋" w:hAnsi="仿宋" w:eastAsia="仿宋" w:cs="仿宋"/>
          <w:b/>
          <w:highlight w:val="none"/>
        </w:rPr>
        <w:t>二、投标文件格式及编排顺序</w:t>
      </w:r>
      <w:bookmarkEnd w:id="36"/>
    </w:p>
    <w:p w14:paraId="70E58CE7">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投标文件的排序须按投标人须知前附表中投标人应提交的资格证明文件和商务、技术文件内容及顺序排列。</w:t>
      </w:r>
    </w:p>
    <w:p w14:paraId="43F3DE1D">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为方便评标，投标人应按照招标文件中的提供的格式进行编制投标文件，其中招标文件中提供的表格，投标人可以自行扩展横向单元格，但不得增减纵向单元格内容。</w:t>
      </w:r>
    </w:p>
    <w:p w14:paraId="132AB539">
      <w:pPr>
        <w:spacing w:line="360" w:lineRule="auto"/>
        <w:ind w:firstLine="420" w:firstLineChars="200"/>
        <w:rPr>
          <w:rFonts w:hint="eastAsia" w:ascii="仿宋" w:hAnsi="仿宋" w:eastAsia="仿宋" w:cs="仿宋"/>
          <w:szCs w:val="21"/>
          <w:highlight w:val="none"/>
        </w:rPr>
      </w:pPr>
    </w:p>
    <w:p w14:paraId="2EC3B362">
      <w:pPr>
        <w:rPr>
          <w:rFonts w:hint="eastAsia" w:ascii="仿宋" w:hAnsi="仿宋" w:eastAsia="仿宋" w:cs="仿宋"/>
          <w:b/>
          <w:color w:val="000000"/>
          <w:highlight w:val="none"/>
        </w:rPr>
      </w:pPr>
      <w:r>
        <w:rPr>
          <w:rFonts w:hint="eastAsia" w:ascii="仿宋" w:hAnsi="仿宋" w:eastAsia="仿宋" w:cs="仿宋"/>
          <w:b/>
          <w:color w:val="000000"/>
          <w:spacing w:val="20"/>
          <w:highlight w:val="none"/>
        </w:rPr>
        <w:br w:type="page"/>
      </w:r>
      <w:r>
        <w:rPr>
          <w:rFonts w:hint="eastAsia" w:ascii="仿宋" w:hAnsi="仿宋" w:eastAsia="仿宋" w:cs="仿宋"/>
          <w:b/>
          <w:color w:val="000000"/>
          <w:spacing w:val="20"/>
          <w:highlight w:val="none"/>
        </w:rPr>
        <w:t>（一）</w:t>
      </w:r>
      <w:r>
        <w:rPr>
          <w:rFonts w:hint="eastAsia" w:ascii="仿宋" w:hAnsi="仿宋" w:eastAsia="仿宋" w:cs="仿宋"/>
          <w:b/>
          <w:color w:val="000000"/>
          <w:highlight w:val="none"/>
        </w:rPr>
        <w:t>封面格式</w:t>
      </w:r>
    </w:p>
    <w:p w14:paraId="5F9BBD45">
      <w:pPr>
        <w:jc w:val="right"/>
        <w:rPr>
          <w:rFonts w:hint="eastAsia" w:ascii="仿宋" w:hAnsi="仿宋" w:eastAsia="仿宋" w:cs="仿宋"/>
          <w:b/>
          <w:color w:val="000000"/>
          <w:sz w:val="32"/>
          <w:szCs w:val="32"/>
          <w:highlight w:val="none"/>
        </w:rPr>
      </w:pPr>
    </w:p>
    <w:p w14:paraId="74BCEF51">
      <w:pPr>
        <w:jc w:val="center"/>
        <w:rPr>
          <w:rFonts w:hint="eastAsia" w:ascii="仿宋" w:hAnsi="仿宋" w:eastAsia="仿宋" w:cs="仿宋"/>
          <w:color w:val="000000"/>
          <w:sz w:val="48"/>
          <w:szCs w:val="48"/>
          <w:highlight w:val="none"/>
        </w:rPr>
      </w:pPr>
    </w:p>
    <w:p w14:paraId="731F1180">
      <w:pPr>
        <w:spacing w:after="312" w:afterLines="100"/>
        <w:ind w:firstLine="1124" w:firstLineChars="350"/>
        <w:rPr>
          <w:rFonts w:hint="eastAsia" w:ascii="仿宋" w:hAnsi="仿宋" w:eastAsia="仿宋" w:cs="仿宋"/>
          <w:b/>
          <w:color w:val="000000"/>
          <w:spacing w:val="60"/>
          <w:sz w:val="28"/>
          <w:szCs w:val="28"/>
          <w:highlight w:val="none"/>
        </w:rPr>
      </w:pPr>
      <w:r>
        <w:rPr>
          <w:rFonts w:hint="eastAsia" w:ascii="仿宋" w:hAnsi="仿宋" w:eastAsia="仿宋" w:cs="仿宋"/>
          <w:b/>
          <w:color w:val="000000"/>
          <w:spacing w:val="20"/>
          <w:sz w:val="28"/>
          <w:szCs w:val="28"/>
          <w:highlight w:val="none"/>
        </w:rPr>
        <w:t>项目名称：</w:t>
      </w:r>
      <w:r>
        <w:rPr>
          <w:rFonts w:hint="eastAsia" w:ascii="仿宋" w:hAnsi="仿宋" w:eastAsia="仿宋" w:cs="仿宋"/>
          <w:b/>
          <w:color w:val="000000"/>
          <w:spacing w:val="60"/>
          <w:sz w:val="28"/>
          <w:szCs w:val="28"/>
          <w:highlight w:val="none"/>
        </w:rPr>
        <w:t xml:space="preserve"> </w:t>
      </w:r>
    </w:p>
    <w:p w14:paraId="1216F2FF">
      <w:pPr>
        <w:spacing w:after="312" w:afterLines="100"/>
        <w:ind w:firstLine="1124" w:firstLineChars="350"/>
        <w:rPr>
          <w:rFonts w:hint="eastAsia" w:ascii="仿宋" w:hAnsi="仿宋" w:eastAsia="仿宋" w:cs="仿宋"/>
          <w:b/>
          <w:color w:val="000000"/>
          <w:spacing w:val="20"/>
          <w:sz w:val="28"/>
          <w:szCs w:val="28"/>
          <w:highlight w:val="none"/>
        </w:rPr>
      </w:pPr>
      <w:r>
        <w:rPr>
          <w:rFonts w:hint="eastAsia" w:ascii="仿宋" w:hAnsi="仿宋" w:eastAsia="仿宋" w:cs="仿宋"/>
          <w:b/>
          <w:color w:val="000000"/>
          <w:spacing w:val="20"/>
          <w:sz w:val="28"/>
          <w:szCs w:val="28"/>
          <w:highlight w:val="none"/>
          <w:lang w:eastAsia="zh-CN"/>
        </w:rPr>
        <w:t>项目</w:t>
      </w:r>
      <w:r>
        <w:rPr>
          <w:rFonts w:hint="eastAsia" w:ascii="仿宋" w:hAnsi="仿宋" w:eastAsia="仿宋" w:cs="仿宋"/>
          <w:b/>
          <w:color w:val="000000"/>
          <w:spacing w:val="20"/>
          <w:sz w:val="28"/>
          <w:szCs w:val="28"/>
          <w:highlight w:val="none"/>
        </w:rPr>
        <w:t>编号：</w:t>
      </w:r>
    </w:p>
    <w:p w14:paraId="3BB95EDB">
      <w:pPr>
        <w:spacing w:after="312" w:afterLines="100"/>
        <w:ind w:firstLine="1264" w:firstLineChars="350"/>
        <w:rPr>
          <w:rFonts w:hint="eastAsia" w:ascii="仿宋" w:hAnsi="仿宋" w:eastAsia="仿宋" w:cs="仿宋"/>
          <w:b/>
          <w:color w:val="000000"/>
          <w:spacing w:val="20"/>
          <w:sz w:val="32"/>
          <w:szCs w:val="32"/>
          <w:highlight w:val="none"/>
        </w:rPr>
      </w:pPr>
    </w:p>
    <w:p w14:paraId="0281C947">
      <w:pPr>
        <w:spacing w:before="100" w:beforeAutospacing="1"/>
        <w:jc w:val="center"/>
        <w:rPr>
          <w:rFonts w:hint="eastAsia" w:ascii="仿宋" w:hAnsi="仿宋" w:eastAsia="仿宋" w:cs="仿宋"/>
          <w:b/>
          <w:color w:val="000000"/>
          <w:sz w:val="84"/>
          <w:highlight w:val="none"/>
        </w:rPr>
      </w:pPr>
      <w:r>
        <w:rPr>
          <w:rFonts w:hint="eastAsia" w:ascii="仿宋" w:hAnsi="仿宋" w:eastAsia="仿宋" w:cs="仿宋"/>
          <w:b/>
          <w:color w:val="000000"/>
          <w:sz w:val="84"/>
          <w:highlight w:val="none"/>
        </w:rPr>
        <w:t>投</w:t>
      </w:r>
    </w:p>
    <w:p w14:paraId="5A7EC698">
      <w:pPr>
        <w:jc w:val="center"/>
        <w:rPr>
          <w:rFonts w:hint="eastAsia" w:ascii="仿宋" w:hAnsi="仿宋" w:eastAsia="仿宋" w:cs="仿宋"/>
          <w:b/>
          <w:color w:val="000000"/>
          <w:sz w:val="84"/>
          <w:highlight w:val="none"/>
        </w:rPr>
      </w:pPr>
      <w:r>
        <w:rPr>
          <w:rFonts w:hint="eastAsia" w:ascii="仿宋" w:hAnsi="仿宋" w:eastAsia="仿宋" w:cs="仿宋"/>
          <w:b/>
          <w:color w:val="000000"/>
          <w:sz w:val="84"/>
          <w:highlight w:val="none"/>
        </w:rPr>
        <w:t>标</w:t>
      </w:r>
    </w:p>
    <w:p w14:paraId="0D73A953">
      <w:pPr>
        <w:jc w:val="center"/>
        <w:rPr>
          <w:rFonts w:hint="eastAsia" w:ascii="仿宋" w:hAnsi="仿宋" w:eastAsia="仿宋" w:cs="仿宋"/>
          <w:b/>
          <w:color w:val="000000"/>
          <w:sz w:val="84"/>
          <w:highlight w:val="none"/>
        </w:rPr>
      </w:pPr>
      <w:r>
        <w:rPr>
          <w:rFonts w:hint="eastAsia" w:ascii="仿宋" w:hAnsi="仿宋" w:eastAsia="仿宋" w:cs="仿宋"/>
          <w:b/>
          <w:color w:val="000000"/>
          <w:sz w:val="84"/>
          <w:highlight w:val="none"/>
        </w:rPr>
        <w:t>文</w:t>
      </w:r>
    </w:p>
    <w:p w14:paraId="3E714906">
      <w:pPr>
        <w:jc w:val="center"/>
        <w:rPr>
          <w:rFonts w:hint="eastAsia" w:ascii="仿宋" w:hAnsi="仿宋" w:eastAsia="仿宋" w:cs="仿宋"/>
          <w:color w:val="000000"/>
          <w:sz w:val="84"/>
          <w:highlight w:val="none"/>
        </w:rPr>
      </w:pPr>
      <w:r>
        <w:rPr>
          <w:rFonts w:hint="eastAsia" w:ascii="仿宋" w:hAnsi="仿宋" w:eastAsia="仿宋" w:cs="仿宋"/>
          <w:b/>
          <w:color w:val="000000"/>
          <w:sz w:val="84"/>
          <w:highlight w:val="none"/>
        </w:rPr>
        <w:t>件</w:t>
      </w:r>
    </w:p>
    <w:p w14:paraId="0CCF3C2A">
      <w:pPr>
        <w:jc w:val="center"/>
        <w:rPr>
          <w:rFonts w:hint="eastAsia" w:ascii="仿宋" w:hAnsi="仿宋" w:eastAsia="仿宋" w:cs="仿宋"/>
          <w:color w:val="000000"/>
          <w:spacing w:val="20"/>
          <w:sz w:val="32"/>
          <w:szCs w:val="32"/>
          <w:highlight w:val="none"/>
        </w:rPr>
      </w:pPr>
    </w:p>
    <w:p w14:paraId="0520F944">
      <w:pPr>
        <w:pStyle w:val="14"/>
        <w:spacing w:line="360" w:lineRule="auto"/>
        <w:rPr>
          <w:rFonts w:hint="eastAsia" w:ascii="仿宋" w:hAnsi="仿宋" w:eastAsia="仿宋" w:cs="仿宋"/>
          <w:highlight w:val="none"/>
        </w:rPr>
      </w:pPr>
    </w:p>
    <w:p w14:paraId="73566CD8">
      <w:pPr>
        <w:spacing w:line="360" w:lineRule="auto"/>
        <w:ind w:firstLine="1535" w:firstLineChars="637"/>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投标人：</w:t>
      </w:r>
      <w:r>
        <w:rPr>
          <w:rFonts w:hint="eastAsia" w:ascii="仿宋" w:hAnsi="仿宋" w:eastAsia="仿宋" w:cs="仿宋"/>
          <w:b/>
          <w:bCs/>
          <w:color w:val="000000"/>
          <w:sz w:val="24"/>
          <w:highlight w:val="none"/>
          <w:u w:val="single"/>
        </w:rPr>
        <w:t xml:space="preserve">                                 </w:t>
      </w:r>
      <w:r>
        <w:rPr>
          <w:rFonts w:hint="eastAsia" w:ascii="仿宋" w:hAnsi="仿宋" w:eastAsia="仿宋" w:cs="仿宋"/>
          <w:b/>
          <w:bCs/>
          <w:color w:val="000000"/>
          <w:sz w:val="24"/>
          <w:highlight w:val="none"/>
        </w:rPr>
        <w:t>(公章)</w:t>
      </w:r>
    </w:p>
    <w:p w14:paraId="7762AE06">
      <w:pPr>
        <w:spacing w:line="360" w:lineRule="auto"/>
        <w:ind w:firstLine="1535" w:firstLineChars="637"/>
        <w:rPr>
          <w:rFonts w:hint="eastAsia" w:ascii="仿宋" w:hAnsi="仿宋" w:eastAsia="仿宋" w:cs="仿宋"/>
          <w:b/>
          <w:bCs/>
          <w:color w:val="000000"/>
          <w:sz w:val="24"/>
          <w:highlight w:val="none"/>
          <w:u w:val="single"/>
        </w:rPr>
      </w:pPr>
      <w:r>
        <w:rPr>
          <w:rFonts w:hint="eastAsia" w:ascii="仿宋" w:hAnsi="仿宋" w:eastAsia="仿宋" w:cs="仿宋"/>
          <w:b/>
          <w:bCs/>
          <w:color w:val="000000"/>
          <w:sz w:val="24"/>
          <w:highlight w:val="none"/>
        </w:rPr>
        <w:t>法定代表人或授权代理人：</w:t>
      </w:r>
      <w:r>
        <w:rPr>
          <w:rFonts w:hint="eastAsia" w:ascii="仿宋" w:hAnsi="仿宋" w:eastAsia="仿宋" w:cs="仿宋"/>
          <w:b/>
          <w:bCs/>
          <w:color w:val="000000"/>
          <w:sz w:val="24"/>
          <w:highlight w:val="none"/>
          <w:u w:val="single"/>
        </w:rPr>
        <w:t xml:space="preserve">            </w:t>
      </w:r>
      <w:r>
        <w:rPr>
          <w:rFonts w:hint="eastAsia" w:ascii="仿宋" w:hAnsi="仿宋" w:eastAsia="仿宋" w:cs="仿宋"/>
          <w:b/>
          <w:bCs/>
          <w:color w:val="000000"/>
          <w:sz w:val="24"/>
          <w:highlight w:val="none"/>
        </w:rPr>
        <w:t>(签字或盖章)</w:t>
      </w:r>
    </w:p>
    <w:p w14:paraId="67336B83">
      <w:pPr>
        <w:spacing w:line="360" w:lineRule="auto"/>
        <w:ind w:firstLine="2130" w:firstLineChars="884"/>
        <w:rPr>
          <w:rFonts w:hint="eastAsia" w:ascii="仿宋" w:hAnsi="仿宋" w:eastAsia="仿宋" w:cs="仿宋"/>
          <w:b/>
          <w:bCs/>
          <w:sz w:val="24"/>
          <w:highlight w:val="none"/>
        </w:rPr>
      </w:pPr>
      <w:r>
        <w:rPr>
          <w:rFonts w:hint="eastAsia" w:ascii="仿宋" w:hAnsi="仿宋" w:eastAsia="仿宋" w:cs="仿宋"/>
          <w:b/>
          <w:bCs/>
          <w:color w:val="000000"/>
          <w:sz w:val="24"/>
          <w:highlight w:val="none"/>
        </w:rPr>
        <w:t xml:space="preserve">   日 期：</w:t>
      </w:r>
      <w:r>
        <w:rPr>
          <w:rFonts w:hint="eastAsia" w:ascii="仿宋" w:hAnsi="仿宋" w:eastAsia="仿宋" w:cs="仿宋"/>
          <w:b/>
          <w:bCs/>
          <w:color w:val="000000"/>
          <w:sz w:val="24"/>
          <w:highlight w:val="none"/>
          <w:u w:val="single"/>
        </w:rPr>
        <w:t xml:space="preserve">      </w:t>
      </w:r>
      <w:r>
        <w:rPr>
          <w:rFonts w:hint="eastAsia" w:ascii="仿宋" w:hAnsi="仿宋" w:eastAsia="仿宋" w:cs="仿宋"/>
          <w:b/>
          <w:bCs/>
          <w:color w:val="000000"/>
          <w:sz w:val="24"/>
          <w:highlight w:val="none"/>
        </w:rPr>
        <w:t>年</w:t>
      </w:r>
      <w:r>
        <w:rPr>
          <w:rFonts w:hint="eastAsia" w:ascii="仿宋" w:hAnsi="仿宋" w:eastAsia="仿宋" w:cs="仿宋"/>
          <w:b/>
          <w:bCs/>
          <w:color w:val="000000"/>
          <w:sz w:val="24"/>
          <w:highlight w:val="none"/>
          <w:u w:val="single"/>
        </w:rPr>
        <w:t xml:space="preserve">     </w:t>
      </w:r>
      <w:r>
        <w:rPr>
          <w:rFonts w:hint="eastAsia" w:ascii="仿宋" w:hAnsi="仿宋" w:eastAsia="仿宋" w:cs="仿宋"/>
          <w:b/>
          <w:bCs/>
          <w:color w:val="000000"/>
          <w:sz w:val="24"/>
          <w:highlight w:val="none"/>
        </w:rPr>
        <w:t>月</w:t>
      </w:r>
      <w:r>
        <w:rPr>
          <w:rFonts w:hint="eastAsia" w:ascii="仿宋" w:hAnsi="仿宋" w:eastAsia="仿宋" w:cs="仿宋"/>
          <w:b/>
          <w:bCs/>
          <w:color w:val="000000"/>
          <w:sz w:val="24"/>
          <w:highlight w:val="none"/>
          <w:u w:val="single"/>
        </w:rPr>
        <w:t xml:space="preserve">     </w:t>
      </w:r>
      <w:r>
        <w:rPr>
          <w:rFonts w:hint="eastAsia" w:ascii="仿宋" w:hAnsi="仿宋" w:eastAsia="仿宋" w:cs="仿宋"/>
          <w:b/>
          <w:bCs/>
          <w:color w:val="000000"/>
          <w:sz w:val="24"/>
          <w:highlight w:val="none"/>
        </w:rPr>
        <w:t>日</w:t>
      </w:r>
    </w:p>
    <w:p w14:paraId="6892529B">
      <w:pPr>
        <w:rPr>
          <w:rFonts w:hint="eastAsia" w:ascii="仿宋" w:hAnsi="仿宋" w:eastAsia="仿宋" w:cs="仿宋"/>
          <w:b/>
          <w:color w:val="000000"/>
          <w:highlight w:val="none"/>
        </w:rPr>
      </w:pPr>
      <w:r>
        <w:rPr>
          <w:rFonts w:hint="eastAsia" w:ascii="仿宋" w:hAnsi="仿宋" w:eastAsia="仿宋" w:cs="仿宋"/>
          <w:b/>
          <w:color w:val="000000"/>
          <w:spacing w:val="20"/>
          <w:szCs w:val="21"/>
          <w:highlight w:val="none"/>
        </w:rPr>
        <w:br w:type="page"/>
      </w:r>
      <w:r>
        <w:rPr>
          <w:rFonts w:hint="eastAsia" w:ascii="仿宋" w:hAnsi="仿宋" w:eastAsia="仿宋" w:cs="仿宋"/>
          <w:b/>
          <w:color w:val="000000"/>
          <w:highlight w:val="none"/>
        </w:rPr>
        <w:t xml:space="preserve"> （二）目录格式</w:t>
      </w:r>
    </w:p>
    <w:p w14:paraId="6F6EEF7D">
      <w:pPr>
        <w:spacing w:line="360" w:lineRule="auto"/>
        <w:jc w:val="center"/>
        <w:rPr>
          <w:rFonts w:hint="eastAsia" w:ascii="仿宋" w:hAnsi="仿宋" w:eastAsia="仿宋" w:cs="仿宋"/>
          <w:b/>
          <w:highlight w:val="none"/>
        </w:rPr>
      </w:pPr>
      <w:r>
        <w:rPr>
          <w:rFonts w:hint="eastAsia" w:ascii="仿宋" w:hAnsi="仿宋" w:eastAsia="仿宋" w:cs="仿宋"/>
          <w:b/>
          <w:highlight w:val="none"/>
        </w:rPr>
        <w:t>资格证明文件部分</w:t>
      </w:r>
    </w:p>
    <w:p w14:paraId="3D60C28E">
      <w:pPr>
        <w:pStyle w:val="18"/>
        <w:numPr>
          <w:ilvl w:val="0"/>
          <w:numId w:val="0"/>
        </w:numPr>
        <w:snapToGrid w:val="0"/>
        <w:spacing w:line="360" w:lineRule="auto"/>
        <w:ind w:firstLine="630" w:firstLineChars="300"/>
        <w:rPr>
          <w:rFonts w:hint="eastAsia" w:ascii="仿宋" w:hAnsi="仿宋" w:eastAsia="仿宋" w:cs="仿宋"/>
          <w:kern w:val="0"/>
          <w:highlight w:val="none"/>
        </w:rPr>
      </w:pPr>
      <w:r>
        <w:rPr>
          <w:rFonts w:hint="eastAsia" w:ascii="仿宋" w:hAnsi="仿宋" w:eastAsia="仿宋" w:cs="仿宋"/>
          <w:kern w:val="0"/>
          <w:highlight w:val="none"/>
          <w:lang w:val="en-US" w:eastAsia="zh-CN"/>
        </w:rPr>
        <w:t>一</w:t>
      </w:r>
      <w:r>
        <w:rPr>
          <w:rFonts w:hint="eastAsia" w:ascii="仿宋" w:hAnsi="仿宋" w:eastAsia="仿宋" w:cs="仿宋"/>
          <w:kern w:val="0"/>
          <w:highlight w:val="none"/>
        </w:rPr>
        <w:t>、</w:t>
      </w:r>
      <w:r>
        <w:rPr>
          <w:rFonts w:hint="eastAsia" w:ascii="仿宋" w:hAnsi="仿宋" w:eastAsia="仿宋" w:cs="仿宋"/>
          <w:szCs w:val="21"/>
          <w:highlight w:val="none"/>
          <w:lang w:val="en-US" w:eastAsia="zh-CN"/>
        </w:rPr>
        <w:t>具有独立承担民事责任的能力证明文件</w:t>
      </w:r>
      <w:r>
        <w:rPr>
          <w:rFonts w:hint="eastAsia" w:ascii="仿宋" w:hAnsi="仿宋" w:eastAsia="仿宋" w:cs="仿宋"/>
          <w:kern w:val="0"/>
          <w:highlight w:val="none"/>
        </w:rPr>
        <w:t>…………………………………………………</w:t>
      </w:r>
      <w:r>
        <w:rPr>
          <w:rFonts w:hint="eastAsia" w:ascii="仿宋" w:hAnsi="仿宋" w:eastAsia="仿宋" w:cs="仿宋"/>
          <w:highlight w:val="none"/>
        </w:rPr>
        <w:t>…</w:t>
      </w:r>
    </w:p>
    <w:p w14:paraId="3C606BF5">
      <w:pPr>
        <w:pStyle w:val="18"/>
        <w:snapToGrid w:val="0"/>
        <w:spacing w:line="360" w:lineRule="auto"/>
        <w:ind w:firstLine="539" w:firstLineChars="257"/>
        <w:rPr>
          <w:rFonts w:hint="eastAsia" w:ascii="仿宋" w:hAnsi="仿宋" w:eastAsia="仿宋" w:cs="仿宋"/>
          <w:kern w:val="0"/>
          <w:highlight w:val="none"/>
        </w:rPr>
      </w:pPr>
      <w:r>
        <w:rPr>
          <w:rFonts w:hint="eastAsia" w:ascii="仿宋" w:hAnsi="仿宋" w:eastAsia="仿宋" w:cs="仿宋"/>
          <w:kern w:val="0"/>
          <w:highlight w:val="none"/>
          <w:lang w:eastAsia="zh-CN"/>
        </w:rPr>
        <w:t>二</w:t>
      </w: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具有良好的商业信誉和健全的财务会计制度证明文件</w:t>
      </w:r>
      <w:r>
        <w:rPr>
          <w:rFonts w:hint="eastAsia" w:ascii="仿宋" w:hAnsi="仿宋" w:eastAsia="仿宋" w:cs="仿宋"/>
          <w:kern w:val="0"/>
          <w:highlight w:val="none"/>
        </w:rPr>
        <w:t>…………………………………</w:t>
      </w:r>
      <w:r>
        <w:rPr>
          <w:rFonts w:hint="eastAsia" w:ascii="仿宋" w:hAnsi="仿宋" w:eastAsia="仿宋" w:cs="仿宋"/>
          <w:highlight w:val="none"/>
        </w:rPr>
        <w:t>…</w:t>
      </w:r>
    </w:p>
    <w:p w14:paraId="0505DA4C">
      <w:pPr>
        <w:pStyle w:val="18"/>
        <w:snapToGrid w:val="0"/>
        <w:spacing w:line="360" w:lineRule="auto"/>
        <w:ind w:firstLine="539" w:firstLineChars="257"/>
        <w:rPr>
          <w:rFonts w:hint="eastAsia" w:ascii="仿宋" w:hAnsi="仿宋" w:eastAsia="仿宋" w:cs="仿宋"/>
          <w:highlight w:val="none"/>
        </w:rPr>
      </w:pPr>
      <w:r>
        <w:rPr>
          <w:rFonts w:hint="eastAsia" w:ascii="仿宋" w:hAnsi="仿宋" w:eastAsia="仿宋" w:cs="仿宋"/>
          <w:kern w:val="0"/>
          <w:highlight w:val="none"/>
          <w:lang w:eastAsia="zh-CN"/>
        </w:rPr>
        <w:t>三</w:t>
      </w: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具有履行合同所必需的设备和专业技术能力证明文件</w:t>
      </w:r>
      <w:r>
        <w:rPr>
          <w:rFonts w:hint="eastAsia" w:ascii="仿宋" w:hAnsi="仿宋" w:eastAsia="仿宋" w:cs="仿宋"/>
          <w:kern w:val="0"/>
          <w:highlight w:val="none"/>
        </w:rPr>
        <w:t>……………………</w:t>
      </w:r>
      <w:r>
        <w:rPr>
          <w:rFonts w:hint="eastAsia" w:ascii="仿宋" w:hAnsi="仿宋" w:eastAsia="仿宋" w:cs="仿宋"/>
          <w:highlight w:val="none"/>
        </w:rPr>
        <w:t>…</w:t>
      </w:r>
    </w:p>
    <w:p w14:paraId="01C7CCB4">
      <w:pPr>
        <w:pStyle w:val="18"/>
        <w:snapToGrid w:val="0"/>
        <w:spacing w:line="360" w:lineRule="auto"/>
        <w:ind w:firstLine="539" w:firstLineChars="257"/>
        <w:rPr>
          <w:rFonts w:hint="eastAsia" w:ascii="仿宋" w:hAnsi="仿宋" w:eastAsia="仿宋" w:cs="仿宋"/>
          <w:highlight w:val="none"/>
          <w:lang w:val="en-US" w:eastAsia="zh-CN"/>
        </w:rPr>
      </w:pPr>
      <w:r>
        <w:rPr>
          <w:rFonts w:hint="eastAsia" w:ascii="仿宋" w:hAnsi="仿宋" w:eastAsia="仿宋" w:cs="仿宋"/>
          <w:highlight w:val="none"/>
          <w:lang w:val="en-US" w:eastAsia="zh-CN"/>
        </w:rPr>
        <w:t>四、依法缴纳税收和社会保障资金证明文件</w:t>
      </w:r>
      <w:r>
        <w:rPr>
          <w:rFonts w:hint="eastAsia" w:ascii="仿宋" w:hAnsi="仿宋" w:eastAsia="仿宋" w:cs="仿宋"/>
          <w:kern w:val="0"/>
          <w:highlight w:val="none"/>
        </w:rPr>
        <w:t>…………………………</w:t>
      </w:r>
    </w:p>
    <w:p w14:paraId="7C3CF97A">
      <w:pPr>
        <w:pStyle w:val="18"/>
        <w:snapToGrid w:val="0"/>
        <w:spacing w:line="360" w:lineRule="auto"/>
        <w:ind w:firstLine="539" w:firstLineChars="257"/>
        <w:rPr>
          <w:rFonts w:hint="eastAsia" w:ascii="仿宋" w:hAnsi="仿宋" w:eastAsia="仿宋" w:cs="仿宋"/>
          <w:highlight w:val="none"/>
        </w:rPr>
      </w:pPr>
      <w:r>
        <w:rPr>
          <w:rFonts w:hint="eastAsia" w:ascii="仿宋" w:hAnsi="仿宋" w:eastAsia="仿宋" w:cs="仿宋"/>
          <w:kern w:val="0"/>
          <w:highlight w:val="none"/>
          <w:lang w:val="en-US" w:eastAsia="zh-CN"/>
        </w:rPr>
        <w:t>五</w:t>
      </w: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参加政府采购活动前三年内，在经营活动中没有重大违法记录证明文件</w:t>
      </w:r>
      <w:r>
        <w:rPr>
          <w:rFonts w:hint="eastAsia" w:ascii="仿宋" w:hAnsi="仿宋" w:eastAsia="仿宋" w:cs="仿宋"/>
          <w:kern w:val="0"/>
          <w:highlight w:val="none"/>
        </w:rPr>
        <w:t>…………</w:t>
      </w:r>
    </w:p>
    <w:p w14:paraId="51D3F41A">
      <w:pPr>
        <w:pStyle w:val="18"/>
        <w:snapToGrid w:val="0"/>
        <w:spacing w:line="360" w:lineRule="auto"/>
        <w:ind w:firstLine="539" w:firstLineChars="257"/>
        <w:rPr>
          <w:rFonts w:hint="eastAsia" w:ascii="仿宋" w:hAnsi="仿宋" w:eastAsia="仿宋" w:cs="仿宋"/>
          <w:kern w:val="0"/>
          <w:highlight w:val="none"/>
        </w:rPr>
      </w:pPr>
      <w:r>
        <w:rPr>
          <w:rFonts w:hint="eastAsia" w:ascii="仿宋" w:hAnsi="仿宋" w:eastAsia="仿宋" w:cs="仿宋"/>
          <w:highlight w:val="none"/>
          <w:lang w:val="en-US" w:eastAsia="zh-CN"/>
        </w:rPr>
        <w:t>六</w:t>
      </w:r>
      <w:r>
        <w:rPr>
          <w:rFonts w:hint="eastAsia" w:ascii="仿宋" w:hAnsi="仿宋" w:eastAsia="仿宋" w:cs="仿宋"/>
          <w:highlight w:val="none"/>
        </w:rPr>
        <w:t>、开户许可证或基本存款账户信息</w:t>
      </w:r>
      <w:r>
        <w:rPr>
          <w:rFonts w:hint="eastAsia" w:ascii="仿宋" w:hAnsi="仿宋" w:eastAsia="仿宋" w:cs="仿宋"/>
          <w:kern w:val="0"/>
          <w:highlight w:val="none"/>
        </w:rPr>
        <w:t>…………………………………………</w:t>
      </w:r>
    </w:p>
    <w:p w14:paraId="679AAD3B">
      <w:pPr>
        <w:pStyle w:val="18"/>
        <w:snapToGrid w:val="0"/>
        <w:spacing w:line="360" w:lineRule="auto"/>
        <w:ind w:firstLine="539" w:firstLineChars="257"/>
        <w:rPr>
          <w:rFonts w:hint="eastAsia" w:ascii="仿宋" w:hAnsi="仿宋" w:eastAsia="仿宋" w:cs="仿宋"/>
          <w:kern w:val="0"/>
          <w:highlight w:val="none"/>
        </w:rPr>
      </w:pPr>
      <w:r>
        <w:rPr>
          <w:rFonts w:hint="eastAsia" w:ascii="仿宋" w:hAnsi="仿宋" w:eastAsia="仿宋" w:cs="仿宋"/>
          <w:kern w:val="0"/>
          <w:highlight w:val="none"/>
          <w:lang w:val="en-US" w:eastAsia="zh-CN"/>
        </w:rPr>
        <w:t>七</w:t>
      </w:r>
      <w:r>
        <w:rPr>
          <w:rFonts w:hint="eastAsia" w:ascii="仿宋" w:hAnsi="仿宋" w:eastAsia="仿宋" w:cs="仿宋"/>
          <w:kern w:val="0"/>
          <w:highlight w:val="none"/>
        </w:rPr>
        <w:t>、投标人交纳投标保证金的汇款凭证………………………………………………</w:t>
      </w:r>
    </w:p>
    <w:p w14:paraId="619F5E1A">
      <w:pPr>
        <w:pStyle w:val="18"/>
        <w:snapToGrid w:val="0"/>
        <w:spacing w:line="360" w:lineRule="auto"/>
        <w:ind w:firstLine="539" w:firstLineChars="257"/>
        <w:rPr>
          <w:rFonts w:hint="eastAsia" w:ascii="仿宋" w:hAnsi="仿宋" w:eastAsia="仿宋" w:cs="仿宋"/>
          <w:kern w:val="0"/>
          <w:highlight w:val="none"/>
        </w:rPr>
      </w:pPr>
      <w:r>
        <w:rPr>
          <w:rFonts w:hint="eastAsia" w:ascii="仿宋" w:hAnsi="仿宋" w:eastAsia="仿宋" w:cs="仿宋"/>
          <w:kern w:val="0"/>
          <w:highlight w:val="none"/>
          <w:lang w:val="en-US" w:eastAsia="zh-CN"/>
        </w:rPr>
        <w:t>八</w:t>
      </w:r>
      <w:r>
        <w:rPr>
          <w:rFonts w:hint="eastAsia" w:ascii="仿宋" w:hAnsi="仿宋" w:eastAsia="仿宋" w:cs="仿宋"/>
          <w:kern w:val="0"/>
          <w:highlight w:val="none"/>
        </w:rPr>
        <w:t>、投标人认为需要提供的其他资格证明文件………………………………………</w:t>
      </w:r>
    </w:p>
    <w:p w14:paraId="515586B1">
      <w:pPr>
        <w:spacing w:line="360" w:lineRule="auto"/>
        <w:jc w:val="center"/>
        <w:rPr>
          <w:rFonts w:hint="eastAsia" w:ascii="仿宋" w:hAnsi="仿宋" w:eastAsia="仿宋" w:cs="仿宋"/>
          <w:b/>
          <w:highlight w:val="none"/>
        </w:rPr>
      </w:pPr>
      <w:r>
        <w:rPr>
          <w:rFonts w:hint="eastAsia" w:ascii="仿宋" w:hAnsi="仿宋" w:eastAsia="仿宋" w:cs="仿宋"/>
          <w:b/>
          <w:highlight w:val="none"/>
        </w:rPr>
        <w:t>商务、技术文件部分</w:t>
      </w:r>
    </w:p>
    <w:p w14:paraId="37A36FFC">
      <w:pPr>
        <w:pStyle w:val="18"/>
        <w:tabs>
          <w:tab w:val="left" w:pos="4326"/>
        </w:tabs>
        <w:snapToGrid w:val="0"/>
        <w:spacing w:line="360" w:lineRule="auto"/>
        <w:ind w:firstLine="539" w:firstLineChars="257"/>
        <w:rPr>
          <w:rFonts w:hint="eastAsia" w:ascii="仿宋" w:hAnsi="仿宋" w:eastAsia="仿宋" w:cs="仿宋"/>
          <w:kern w:val="0"/>
          <w:highlight w:val="none"/>
        </w:rPr>
      </w:pPr>
      <w:r>
        <w:rPr>
          <w:rFonts w:hint="eastAsia" w:ascii="仿宋" w:hAnsi="仿宋" w:eastAsia="仿宋" w:cs="仿宋"/>
          <w:kern w:val="0"/>
          <w:highlight w:val="none"/>
        </w:rPr>
        <w:t>一、法定代表人身份证明书……………………………………………………………</w:t>
      </w:r>
    </w:p>
    <w:p w14:paraId="27035CF6">
      <w:pPr>
        <w:pStyle w:val="18"/>
        <w:tabs>
          <w:tab w:val="left" w:pos="4326"/>
        </w:tabs>
        <w:snapToGrid w:val="0"/>
        <w:spacing w:line="360" w:lineRule="auto"/>
        <w:ind w:firstLine="539" w:firstLineChars="257"/>
        <w:rPr>
          <w:rFonts w:hint="eastAsia" w:ascii="仿宋" w:hAnsi="仿宋" w:eastAsia="仿宋" w:cs="仿宋"/>
          <w:kern w:val="0"/>
          <w:highlight w:val="none"/>
        </w:rPr>
      </w:pPr>
      <w:r>
        <w:rPr>
          <w:rFonts w:hint="eastAsia" w:ascii="仿宋" w:hAnsi="仿宋" w:eastAsia="仿宋" w:cs="仿宋"/>
          <w:kern w:val="0"/>
          <w:highlight w:val="none"/>
        </w:rPr>
        <w:t>二、法定代表人授权委托书…………………………………………………………</w:t>
      </w:r>
      <w:r>
        <w:rPr>
          <w:rFonts w:hint="eastAsia" w:ascii="仿宋" w:hAnsi="仿宋" w:eastAsia="仿宋" w:cs="仿宋"/>
          <w:highlight w:val="none"/>
        </w:rPr>
        <w:t>…</w:t>
      </w:r>
    </w:p>
    <w:p w14:paraId="4AA3ABAA">
      <w:pPr>
        <w:pStyle w:val="18"/>
        <w:tabs>
          <w:tab w:val="left" w:pos="4326"/>
        </w:tabs>
        <w:snapToGrid w:val="0"/>
        <w:spacing w:line="360" w:lineRule="auto"/>
        <w:ind w:firstLine="539" w:firstLineChars="257"/>
        <w:rPr>
          <w:rFonts w:hint="eastAsia" w:ascii="仿宋" w:hAnsi="仿宋" w:eastAsia="仿宋" w:cs="仿宋"/>
          <w:kern w:val="0"/>
          <w:highlight w:val="none"/>
        </w:rPr>
      </w:pPr>
      <w:r>
        <w:rPr>
          <w:rFonts w:hint="eastAsia" w:ascii="仿宋" w:hAnsi="仿宋" w:eastAsia="仿宋" w:cs="仿宋"/>
          <w:kern w:val="0"/>
          <w:highlight w:val="none"/>
        </w:rPr>
        <w:t>三、投标函………………………………………………………………………………</w:t>
      </w:r>
    </w:p>
    <w:p w14:paraId="5F76BA58">
      <w:pPr>
        <w:pStyle w:val="18"/>
        <w:tabs>
          <w:tab w:val="left" w:pos="4326"/>
        </w:tabs>
        <w:snapToGrid w:val="0"/>
        <w:spacing w:line="360" w:lineRule="auto"/>
        <w:ind w:firstLine="539" w:firstLineChars="257"/>
        <w:rPr>
          <w:rFonts w:hint="eastAsia" w:ascii="仿宋" w:hAnsi="仿宋" w:eastAsia="仿宋" w:cs="仿宋"/>
          <w:kern w:val="0"/>
          <w:highlight w:val="none"/>
        </w:rPr>
      </w:pPr>
      <w:r>
        <w:rPr>
          <w:rFonts w:hint="eastAsia" w:ascii="仿宋" w:hAnsi="仿宋" w:eastAsia="仿宋" w:cs="仿宋"/>
          <w:kern w:val="0"/>
          <w:highlight w:val="none"/>
        </w:rPr>
        <w:t>四、开标一览表…………………………………………………………………………</w:t>
      </w:r>
    </w:p>
    <w:p w14:paraId="3E915292">
      <w:pPr>
        <w:pStyle w:val="18"/>
        <w:tabs>
          <w:tab w:val="left" w:pos="4326"/>
        </w:tabs>
        <w:snapToGrid w:val="0"/>
        <w:spacing w:line="360" w:lineRule="auto"/>
        <w:ind w:firstLine="955" w:firstLineChars="455"/>
        <w:rPr>
          <w:rFonts w:hint="eastAsia" w:ascii="仿宋" w:hAnsi="仿宋" w:eastAsia="仿宋" w:cs="仿宋"/>
          <w:kern w:val="0"/>
          <w:highlight w:val="none"/>
        </w:rPr>
      </w:pPr>
      <w:r>
        <w:rPr>
          <w:rFonts w:hint="eastAsia" w:ascii="仿宋" w:hAnsi="仿宋" w:eastAsia="仿宋" w:cs="仿宋"/>
          <w:kern w:val="0"/>
          <w:highlight w:val="none"/>
        </w:rPr>
        <w:t>分项报价明细表……………………………………………………………………</w:t>
      </w:r>
    </w:p>
    <w:p w14:paraId="63FE6B81">
      <w:pPr>
        <w:pStyle w:val="18"/>
        <w:tabs>
          <w:tab w:val="left" w:pos="4326"/>
        </w:tabs>
        <w:snapToGrid w:val="0"/>
        <w:spacing w:line="360" w:lineRule="auto"/>
        <w:ind w:firstLine="539" w:firstLineChars="257"/>
        <w:rPr>
          <w:rFonts w:hint="eastAsia" w:ascii="仿宋" w:hAnsi="仿宋" w:eastAsia="仿宋" w:cs="仿宋"/>
          <w:kern w:val="0"/>
          <w:highlight w:val="none"/>
        </w:rPr>
      </w:pPr>
      <w:r>
        <w:rPr>
          <w:rFonts w:hint="eastAsia" w:ascii="仿宋" w:hAnsi="仿宋" w:eastAsia="仿宋" w:cs="仿宋"/>
          <w:kern w:val="0"/>
          <w:highlight w:val="none"/>
          <w:lang w:val="en-US" w:eastAsia="zh-CN"/>
        </w:rPr>
        <w:t>五</w:t>
      </w:r>
      <w:r>
        <w:rPr>
          <w:rFonts w:hint="eastAsia" w:ascii="仿宋" w:hAnsi="仿宋" w:eastAsia="仿宋" w:cs="仿宋"/>
          <w:kern w:val="0"/>
          <w:highlight w:val="none"/>
        </w:rPr>
        <w:t>、投标人基本情况表…………………………………………………………………</w:t>
      </w:r>
    </w:p>
    <w:p w14:paraId="52281417">
      <w:pPr>
        <w:pStyle w:val="18"/>
        <w:tabs>
          <w:tab w:val="left" w:pos="4326"/>
        </w:tabs>
        <w:snapToGrid w:val="0"/>
        <w:spacing w:line="360" w:lineRule="auto"/>
        <w:ind w:firstLine="539" w:firstLineChars="257"/>
        <w:rPr>
          <w:rFonts w:hint="eastAsia" w:ascii="仿宋" w:hAnsi="仿宋" w:eastAsia="仿宋" w:cs="仿宋"/>
          <w:kern w:val="0"/>
          <w:highlight w:val="none"/>
        </w:rPr>
      </w:pPr>
      <w:r>
        <w:rPr>
          <w:rFonts w:hint="eastAsia" w:ascii="仿宋" w:hAnsi="仿宋" w:eastAsia="仿宋" w:cs="仿宋"/>
          <w:highlight w:val="none"/>
          <w:lang w:val="en-US" w:eastAsia="zh-CN"/>
        </w:rPr>
        <w:t>六</w:t>
      </w:r>
      <w:r>
        <w:rPr>
          <w:rFonts w:hint="eastAsia" w:ascii="仿宋" w:hAnsi="仿宋" w:eastAsia="仿宋" w:cs="仿宋"/>
          <w:highlight w:val="none"/>
        </w:rPr>
        <w:t>、近</w:t>
      </w:r>
      <w:r>
        <w:rPr>
          <w:rFonts w:hint="eastAsia" w:ascii="仿宋" w:hAnsi="仿宋" w:eastAsia="仿宋" w:cs="仿宋"/>
          <w:highlight w:val="none"/>
          <w:lang w:val="en-US" w:eastAsia="zh-CN"/>
        </w:rPr>
        <w:t>三</w:t>
      </w:r>
      <w:r>
        <w:rPr>
          <w:rFonts w:hint="eastAsia" w:ascii="仿宋" w:hAnsi="仿宋" w:eastAsia="仿宋" w:cs="仿宋"/>
          <w:highlight w:val="none"/>
        </w:rPr>
        <w:t>年同类型案例及相关证明材料…………………………………………………</w:t>
      </w:r>
    </w:p>
    <w:p w14:paraId="1AA6B72D">
      <w:pPr>
        <w:pStyle w:val="18"/>
        <w:tabs>
          <w:tab w:val="left" w:pos="4326"/>
        </w:tabs>
        <w:snapToGrid w:val="0"/>
        <w:spacing w:line="360" w:lineRule="auto"/>
        <w:ind w:firstLine="539" w:firstLineChars="257"/>
        <w:rPr>
          <w:rFonts w:hint="eastAsia" w:ascii="仿宋" w:hAnsi="仿宋" w:eastAsia="仿宋" w:cs="仿宋"/>
          <w:highlight w:val="none"/>
        </w:rPr>
      </w:pPr>
      <w:r>
        <w:rPr>
          <w:rFonts w:hint="eastAsia" w:ascii="仿宋" w:hAnsi="仿宋" w:eastAsia="仿宋" w:cs="仿宋"/>
          <w:highlight w:val="none"/>
          <w:lang w:val="en-US" w:eastAsia="zh-CN"/>
        </w:rPr>
        <w:t>七</w:t>
      </w:r>
      <w:r>
        <w:rPr>
          <w:rFonts w:hint="eastAsia" w:ascii="仿宋" w:hAnsi="仿宋" w:eastAsia="仿宋" w:cs="仿宋"/>
          <w:highlight w:val="none"/>
        </w:rPr>
        <w:t>、商务、技术条款偏离表……………………………………………………………</w:t>
      </w:r>
    </w:p>
    <w:p w14:paraId="2A0489A6">
      <w:pPr>
        <w:pStyle w:val="18"/>
        <w:tabs>
          <w:tab w:val="left" w:pos="4326"/>
        </w:tabs>
        <w:snapToGrid w:val="0"/>
        <w:spacing w:line="360" w:lineRule="auto"/>
        <w:ind w:firstLine="539" w:firstLineChars="257"/>
        <w:rPr>
          <w:rFonts w:hint="eastAsia" w:ascii="仿宋" w:hAnsi="仿宋" w:eastAsia="仿宋" w:cs="仿宋"/>
          <w:kern w:val="0"/>
          <w:highlight w:val="none"/>
        </w:rPr>
      </w:pPr>
      <w:r>
        <w:rPr>
          <w:rFonts w:hint="eastAsia" w:ascii="仿宋" w:hAnsi="仿宋" w:eastAsia="仿宋" w:cs="仿宋"/>
          <w:highlight w:val="none"/>
          <w:lang w:val="en-US" w:eastAsia="zh-CN"/>
        </w:rPr>
        <w:t>八</w:t>
      </w:r>
      <w:r>
        <w:rPr>
          <w:rFonts w:hint="eastAsia" w:ascii="仿宋" w:hAnsi="仿宋" w:eastAsia="仿宋" w:cs="仿宋"/>
          <w:highlight w:val="none"/>
        </w:rPr>
        <w:t>、</w:t>
      </w:r>
      <w:r>
        <w:rPr>
          <w:rFonts w:hint="eastAsia" w:ascii="仿宋" w:hAnsi="仿宋" w:eastAsia="仿宋" w:cs="仿宋"/>
          <w:bCs/>
          <w:szCs w:val="21"/>
          <w:highlight w:val="none"/>
          <w:lang w:val="zh-CN"/>
        </w:rPr>
        <w:t>服务方案</w:t>
      </w:r>
      <w:r>
        <w:rPr>
          <w:rFonts w:hint="eastAsia" w:ascii="仿宋" w:hAnsi="仿宋" w:eastAsia="仿宋" w:cs="仿宋"/>
          <w:highlight w:val="none"/>
        </w:rPr>
        <w:t>……………………………………</w:t>
      </w:r>
      <w:r>
        <w:rPr>
          <w:rFonts w:hint="eastAsia" w:ascii="仿宋" w:hAnsi="仿宋" w:eastAsia="仿宋" w:cs="仿宋"/>
          <w:kern w:val="0"/>
          <w:highlight w:val="none"/>
        </w:rPr>
        <w:t>…</w:t>
      </w:r>
      <w:r>
        <w:rPr>
          <w:rFonts w:hint="eastAsia" w:ascii="仿宋" w:hAnsi="仿宋" w:eastAsia="仿宋" w:cs="仿宋"/>
          <w:highlight w:val="none"/>
        </w:rPr>
        <w:t>…</w:t>
      </w:r>
    </w:p>
    <w:p w14:paraId="7BACBB93">
      <w:pPr>
        <w:pStyle w:val="18"/>
        <w:tabs>
          <w:tab w:val="left" w:pos="4326"/>
        </w:tabs>
        <w:snapToGrid w:val="0"/>
        <w:spacing w:line="360" w:lineRule="auto"/>
        <w:ind w:firstLine="539" w:firstLineChars="257"/>
        <w:rPr>
          <w:rFonts w:hint="eastAsia" w:ascii="仿宋" w:hAnsi="仿宋" w:eastAsia="仿宋" w:cs="仿宋"/>
          <w:highlight w:val="none"/>
        </w:rPr>
      </w:pPr>
      <w:bookmarkStart w:id="37" w:name="OLE_LINK11"/>
      <w:r>
        <w:rPr>
          <w:rFonts w:hint="eastAsia" w:ascii="仿宋" w:hAnsi="仿宋" w:eastAsia="仿宋" w:cs="仿宋"/>
          <w:highlight w:val="none"/>
          <w:lang w:val="en-US" w:eastAsia="zh-CN"/>
        </w:rPr>
        <w:t>九</w:t>
      </w:r>
      <w:r>
        <w:rPr>
          <w:rFonts w:hint="eastAsia" w:ascii="仿宋" w:hAnsi="仿宋" w:eastAsia="仿宋" w:cs="仿宋"/>
          <w:highlight w:val="none"/>
        </w:rPr>
        <w:t>、投标人认为需要提供的其他商务技术材料………………………………………</w:t>
      </w:r>
    </w:p>
    <w:p w14:paraId="6CAF37C8">
      <w:pPr>
        <w:pStyle w:val="38"/>
        <w:jc w:val="center"/>
        <w:rPr>
          <w:rFonts w:hint="eastAsia" w:ascii="仿宋" w:hAnsi="仿宋" w:eastAsia="仿宋" w:cs="仿宋"/>
          <w:b/>
          <w:color w:val="auto"/>
          <w:kern w:val="2"/>
          <w:sz w:val="21"/>
          <w:szCs w:val="24"/>
          <w:highlight w:val="none"/>
          <w:lang w:val="en-US" w:eastAsia="zh-CN" w:bidi="ar-SA"/>
        </w:rPr>
      </w:pPr>
      <w:r>
        <w:rPr>
          <w:rFonts w:hint="eastAsia" w:ascii="仿宋" w:hAnsi="仿宋" w:eastAsia="仿宋" w:cs="仿宋"/>
          <w:b/>
          <w:color w:val="auto"/>
          <w:kern w:val="2"/>
          <w:sz w:val="21"/>
          <w:szCs w:val="24"/>
          <w:highlight w:val="none"/>
          <w:lang w:val="en-US" w:eastAsia="zh-CN" w:bidi="ar-SA"/>
        </w:rPr>
        <w:t>相关附件</w:t>
      </w:r>
    </w:p>
    <w:p w14:paraId="0BE027A7">
      <w:pPr>
        <w:pStyle w:val="38"/>
        <w:rPr>
          <w:rFonts w:hint="eastAsia" w:ascii="仿宋" w:hAnsi="仿宋" w:eastAsia="仿宋" w:cs="仿宋"/>
          <w:highlight w:val="none"/>
        </w:rPr>
      </w:pPr>
    </w:p>
    <w:p w14:paraId="1675D675">
      <w:pPr>
        <w:pStyle w:val="18"/>
        <w:snapToGrid w:val="0"/>
        <w:spacing w:line="360" w:lineRule="auto"/>
        <w:ind w:firstLine="539" w:firstLineChars="257"/>
        <w:rPr>
          <w:rFonts w:hint="eastAsia" w:ascii="仿宋" w:hAnsi="仿宋" w:eastAsia="仿宋" w:cs="仿宋"/>
          <w:kern w:val="0"/>
          <w:highlight w:val="none"/>
        </w:rPr>
      </w:pPr>
      <w:r>
        <w:rPr>
          <w:rFonts w:hint="eastAsia" w:ascii="仿宋" w:hAnsi="仿宋" w:eastAsia="仿宋" w:cs="仿宋"/>
          <w:highlight w:val="none"/>
          <w:lang w:val="en-US" w:eastAsia="zh-CN"/>
        </w:rPr>
        <w:t>附件一：中小企业声明函格式</w:t>
      </w:r>
      <w:r>
        <w:rPr>
          <w:rFonts w:hint="eastAsia" w:ascii="仿宋" w:hAnsi="仿宋" w:eastAsia="仿宋" w:cs="仿宋"/>
          <w:kern w:val="0"/>
          <w:highlight w:val="none"/>
        </w:rPr>
        <w:t>……………………………………………………</w:t>
      </w:r>
    </w:p>
    <w:p w14:paraId="4F1ABA7D">
      <w:pPr>
        <w:pStyle w:val="18"/>
        <w:snapToGrid w:val="0"/>
        <w:spacing w:line="360" w:lineRule="auto"/>
        <w:ind w:firstLine="539" w:firstLineChars="257"/>
        <w:rPr>
          <w:rFonts w:hint="eastAsia" w:ascii="仿宋" w:hAnsi="仿宋" w:eastAsia="仿宋" w:cs="仿宋"/>
          <w:kern w:val="0"/>
          <w:highlight w:val="none"/>
        </w:rPr>
      </w:pPr>
      <w:r>
        <w:rPr>
          <w:rFonts w:hint="eastAsia" w:ascii="仿宋" w:hAnsi="仿宋" w:eastAsia="仿宋" w:cs="仿宋"/>
          <w:highlight w:val="none"/>
          <w:lang w:val="en-US" w:eastAsia="zh-CN"/>
        </w:rPr>
        <w:t>附件二：残疾人福利性单位声明函格式</w:t>
      </w:r>
      <w:r>
        <w:rPr>
          <w:rFonts w:hint="eastAsia" w:ascii="仿宋" w:hAnsi="仿宋" w:eastAsia="仿宋" w:cs="仿宋"/>
          <w:kern w:val="0"/>
          <w:highlight w:val="none"/>
        </w:rPr>
        <w:t>……………………………………………</w:t>
      </w:r>
    </w:p>
    <w:p w14:paraId="5C68AB61">
      <w:pPr>
        <w:pStyle w:val="18"/>
        <w:snapToGrid w:val="0"/>
        <w:spacing w:line="360" w:lineRule="auto"/>
        <w:ind w:firstLine="539" w:firstLineChars="257"/>
        <w:rPr>
          <w:rFonts w:hint="eastAsia" w:ascii="仿宋" w:hAnsi="仿宋" w:eastAsia="仿宋" w:cs="仿宋"/>
          <w:highlight w:val="none"/>
          <w:lang w:val="en-US" w:eastAsia="zh-CN"/>
        </w:rPr>
      </w:pPr>
      <w:r>
        <w:rPr>
          <w:rFonts w:hint="eastAsia" w:ascii="仿宋" w:hAnsi="仿宋" w:eastAsia="仿宋" w:cs="仿宋"/>
          <w:highlight w:val="none"/>
          <w:lang w:val="en-US" w:eastAsia="zh-CN"/>
        </w:rPr>
        <w:t>附件三：监狱企业证明文件格式</w:t>
      </w:r>
      <w:r>
        <w:rPr>
          <w:rFonts w:hint="eastAsia" w:ascii="仿宋" w:hAnsi="仿宋" w:eastAsia="仿宋" w:cs="仿宋"/>
          <w:kern w:val="0"/>
          <w:highlight w:val="none"/>
        </w:rPr>
        <w:t>…………………………………………………</w:t>
      </w:r>
    </w:p>
    <w:p w14:paraId="2CEDF492">
      <w:pPr>
        <w:pStyle w:val="18"/>
        <w:tabs>
          <w:tab w:val="left" w:pos="4326"/>
        </w:tabs>
        <w:snapToGrid w:val="0"/>
        <w:spacing w:line="360" w:lineRule="auto"/>
        <w:ind w:firstLine="955" w:firstLineChars="455"/>
        <w:rPr>
          <w:rFonts w:hint="eastAsia" w:ascii="仿宋" w:hAnsi="仿宋" w:eastAsia="仿宋" w:cs="仿宋"/>
          <w:kern w:val="0"/>
          <w:highlight w:val="none"/>
        </w:rPr>
      </w:pPr>
    </w:p>
    <w:p w14:paraId="4FA8F67C">
      <w:pPr>
        <w:pStyle w:val="2"/>
        <w:rPr>
          <w:rFonts w:hint="eastAsia" w:ascii="仿宋" w:hAnsi="仿宋" w:eastAsia="仿宋" w:cs="仿宋"/>
          <w:highlight w:val="none"/>
        </w:rPr>
      </w:pPr>
    </w:p>
    <w:p w14:paraId="0549A485">
      <w:pPr>
        <w:pStyle w:val="2"/>
        <w:rPr>
          <w:rFonts w:hint="eastAsia" w:ascii="仿宋" w:hAnsi="仿宋" w:eastAsia="仿宋" w:cs="仿宋"/>
          <w:highlight w:val="none"/>
        </w:rPr>
      </w:pPr>
    </w:p>
    <w:p w14:paraId="7E26A516">
      <w:pPr>
        <w:pStyle w:val="2"/>
        <w:rPr>
          <w:rFonts w:hint="eastAsia" w:ascii="仿宋" w:hAnsi="仿宋" w:eastAsia="仿宋" w:cs="仿宋"/>
          <w:highlight w:val="none"/>
        </w:rPr>
      </w:pPr>
    </w:p>
    <w:p w14:paraId="46A23E2E">
      <w:pPr>
        <w:pStyle w:val="2"/>
        <w:rPr>
          <w:rFonts w:hint="eastAsia" w:ascii="仿宋" w:hAnsi="仿宋" w:eastAsia="仿宋" w:cs="仿宋"/>
          <w:highlight w:val="none"/>
        </w:rPr>
      </w:pPr>
    </w:p>
    <w:p w14:paraId="7DB2B7DD">
      <w:pPr>
        <w:pStyle w:val="2"/>
        <w:rPr>
          <w:rFonts w:hint="eastAsia" w:ascii="仿宋" w:hAnsi="仿宋" w:eastAsia="仿宋" w:cs="仿宋"/>
          <w:highlight w:val="none"/>
        </w:rPr>
      </w:pPr>
    </w:p>
    <w:p w14:paraId="262A99A6">
      <w:pPr>
        <w:pStyle w:val="2"/>
        <w:rPr>
          <w:rFonts w:hint="eastAsia" w:ascii="仿宋" w:hAnsi="仿宋" w:eastAsia="仿宋" w:cs="仿宋"/>
          <w:highlight w:val="none"/>
        </w:rPr>
      </w:pPr>
    </w:p>
    <w:p w14:paraId="3280D8FB">
      <w:pPr>
        <w:pStyle w:val="2"/>
        <w:rPr>
          <w:rFonts w:hint="eastAsia" w:ascii="仿宋" w:hAnsi="仿宋" w:eastAsia="仿宋" w:cs="仿宋"/>
          <w:highlight w:val="none"/>
        </w:rPr>
      </w:pPr>
    </w:p>
    <w:p w14:paraId="389B8972">
      <w:pPr>
        <w:pStyle w:val="2"/>
        <w:rPr>
          <w:rFonts w:hint="eastAsia" w:ascii="仿宋" w:hAnsi="仿宋" w:eastAsia="仿宋" w:cs="仿宋"/>
          <w:highlight w:val="none"/>
        </w:rPr>
      </w:pPr>
    </w:p>
    <w:p w14:paraId="4A4F06EA">
      <w:pPr>
        <w:pStyle w:val="2"/>
        <w:rPr>
          <w:rFonts w:hint="eastAsia" w:ascii="仿宋" w:hAnsi="仿宋" w:eastAsia="仿宋" w:cs="仿宋"/>
          <w:highlight w:val="none"/>
        </w:rPr>
      </w:pPr>
    </w:p>
    <w:p w14:paraId="60E82543">
      <w:pPr>
        <w:pStyle w:val="2"/>
        <w:rPr>
          <w:rFonts w:hint="eastAsia" w:ascii="仿宋" w:hAnsi="仿宋" w:eastAsia="仿宋" w:cs="仿宋"/>
          <w:highlight w:val="none"/>
        </w:rPr>
      </w:pPr>
    </w:p>
    <w:p w14:paraId="4F5FD36E">
      <w:pPr>
        <w:pStyle w:val="2"/>
        <w:rPr>
          <w:rFonts w:hint="eastAsia" w:ascii="仿宋" w:hAnsi="仿宋" w:eastAsia="仿宋" w:cs="仿宋"/>
          <w:highlight w:val="none"/>
        </w:rPr>
      </w:pPr>
    </w:p>
    <w:p w14:paraId="3B341F20">
      <w:pPr>
        <w:pStyle w:val="2"/>
        <w:rPr>
          <w:rFonts w:hint="eastAsia" w:ascii="仿宋" w:hAnsi="仿宋" w:eastAsia="仿宋" w:cs="仿宋"/>
          <w:highlight w:val="none"/>
        </w:rPr>
      </w:pPr>
    </w:p>
    <w:p w14:paraId="09ED6814">
      <w:pPr>
        <w:pStyle w:val="2"/>
        <w:rPr>
          <w:rFonts w:hint="eastAsia" w:ascii="仿宋" w:hAnsi="仿宋" w:eastAsia="仿宋" w:cs="仿宋"/>
          <w:highlight w:val="none"/>
        </w:rPr>
      </w:pPr>
    </w:p>
    <w:p w14:paraId="6F986796">
      <w:pPr>
        <w:snapToGrid w:val="0"/>
        <w:spacing w:before="312" w:beforeLines="100" w:after="312" w:afterLines="100" w:line="480" w:lineRule="exact"/>
        <w:jc w:val="center"/>
        <w:rPr>
          <w:rFonts w:hint="eastAsia" w:ascii="仿宋" w:hAnsi="仿宋" w:eastAsia="仿宋" w:cs="仿宋"/>
          <w:b/>
          <w:sz w:val="72"/>
          <w:szCs w:val="72"/>
          <w:highlight w:val="none"/>
        </w:rPr>
      </w:pPr>
    </w:p>
    <w:p w14:paraId="57552667">
      <w:pPr>
        <w:keepNext w:val="0"/>
        <w:keepLines w:val="0"/>
        <w:pageBreakBefore w:val="0"/>
        <w:widowControl w:val="0"/>
        <w:kinsoku/>
        <w:wordWrap/>
        <w:overflowPunct/>
        <w:topLinePunct w:val="0"/>
        <w:autoSpaceDE/>
        <w:autoSpaceDN/>
        <w:bidi w:val="0"/>
        <w:adjustRightInd/>
        <w:snapToGrid w:val="0"/>
        <w:spacing w:before="312" w:beforeLines="100" w:after="312" w:afterLines="100" w:line="720" w:lineRule="exact"/>
        <w:jc w:val="center"/>
        <w:textAlignment w:val="auto"/>
        <w:rPr>
          <w:rFonts w:hint="eastAsia" w:ascii="仿宋" w:hAnsi="仿宋" w:eastAsia="仿宋" w:cs="仿宋"/>
          <w:b/>
          <w:sz w:val="72"/>
          <w:szCs w:val="72"/>
          <w:highlight w:val="none"/>
        </w:rPr>
      </w:pPr>
    </w:p>
    <w:p w14:paraId="78F17EE4">
      <w:pPr>
        <w:keepNext w:val="0"/>
        <w:keepLines w:val="0"/>
        <w:pageBreakBefore w:val="0"/>
        <w:widowControl w:val="0"/>
        <w:kinsoku/>
        <w:wordWrap/>
        <w:overflowPunct/>
        <w:topLinePunct w:val="0"/>
        <w:autoSpaceDE/>
        <w:autoSpaceDN/>
        <w:bidi w:val="0"/>
        <w:adjustRightInd/>
        <w:snapToGrid w:val="0"/>
        <w:spacing w:before="312" w:beforeLines="100" w:after="312" w:afterLines="100" w:line="720" w:lineRule="exact"/>
        <w:jc w:val="center"/>
        <w:textAlignment w:val="auto"/>
        <w:rPr>
          <w:rFonts w:hint="eastAsia" w:ascii="仿宋" w:hAnsi="仿宋" w:eastAsia="仿宋" w:cs="仿宋"/>
          <w:b/>
          <w:sz w:val="72"/>
          <w:szCs w:val="72"/>
          <w:highlight w:val="none"/>
        </w:rPr>
      </w:pPr>
      <w:r>
        <w:rPr>
          <w:rFonts w:hint="eastAsia" w:ascii="仿宋" w:hAnsi="仿宋" w:eastAsia="仿宋" w:cs="仿宋"/>
          <w:b/>
          <w:sz w:val="72"/>
          <w:szCs w:val="72"/>
          <w:highlight w:val="none"/>
        </w:rPr>
        <w:t>资格证明文件部分</w:t>
      </w:r>
    </w:p>
    <w:p w14:paraId="3D4135B6">
      <w:pPr>
        <w:spacing w:line="480" w:lineRule="exact"/>
        <w:ind w:firstLine="602" w:firstLineChars="200"/>
        <w:jc w:val="center"/>
        <w:rPr>
          <w:rFonts w:hint="eastAsia" w:ascii="仿宋" w:hAnsi="仿宋" w:eastAsia="仿宋" w:cs="仿宋"/>
          <w:b/>
          <w:color w:val="000000"/>
          <w:sz w:val="30"/>
          <w:highlight w:val="none"/>
        </w:rPr>
      </w:pPr>
    </w:p>
    <w:p w14:paraId="0F8497BF">
      <w:pPr>
        <w:spacing w:line="480" w:lineRule="exact"/>
        <w:ind w:firstLine="602" w:firstLineChars="200"/>
        <w:jc w:val="center"/>
        <w:rPr>
          <w:rFonts w:hint="eastAsia" w:ascii="仿宋" w:hAnsi="仿宋" w:eastAsia="仿宋" w:cs="仿宋"/>
          <w:b/>
          <w:color w:val="000000"/>
          <w:sz w:val="30"/>
          <w:highlight w:val="none"/>
        </w:rPr>
      </w:pPr>
    </w:p>
    <w:p w14:paraId="1B778970">
      <w:pPr>
        <w:spacing w:line="480" w:lineRule="exact"/>
        <w:ind w:firstLine="602" w:firstLineChars="200"/>
        <w:jc w:val="center"/>
        <w:rPr>
          <w:rFonts w:hint="eastAsia" w:ascii="仿宋" w:hAnsi="仿宋" w:eastAsia="仿宋" w:cs="仿宋"/>
          <w:b/>
          <w:color w:val="000000"/>
          <w:sz w:val="30"/>
          <w:highlight w:val="none"/>
        </w:rPr>
      </w:pPr>
    </w:p>
    <w:p w14:paraId="033B09D5">
      <w:pPr>
        <w:spacing w:line="480" w:lineRule="exact"/>
        <w:ind w:firstLine="602" w:firstLineChars="200"/>
        <w:jc w:val="center"/>
        <w:rPr>
          <w:rFonts w:hint="eastAsia" w:ascii="仿宋" w:hAnsi="仿宋" w:eastAsia="仿宋" w:cs="仿宋"/>
          <w:b/>
          <w:color w:val="000000"/>
          <w:sz w:val="30"/>
          <w:highlight w:val="none"/>
        </w:rPr>
      </w:pPr>
    </w:p>
    <w:p w14:paraId="2D4EB501">
      <w:pPr>
        <w:spacing w:line="480" w:lineRule="exact"/>
        <w:ind w:firstLine="602" w:firstLineChars="200"/>
        <w:jc w:val="center"/>
        <w:rPr>
          <w:rFonts w:hint="eastAsia" w:ascii="仿宋" w:hAnsi="仿宋" w:eastAsia="仿宋" w:cs="仿宋"/>
          <w:b/>
          <w:color w:val="000000"/>
          <w:sz w:val="30"/>
          <w:highlight w:val="none"/>
        </w:rPr>
      </w:pPr>
    </w:p>
    <w:p w14:paraId="4EBE52C0">
      <w:pPr>
        <w:spacing w:line="480" w:lineRule="exact"/>
        <w:ind w:firstLine="602" w:firstLineChars="200"/>
        <w:jc w:val="center"/>
        <w:rPr>
          <w:rFonts w:hint="eastAsia" w:ascii="仿宋" w:hAnsi="仿宋" w:eastAsia="仿宋" w:cs="仿宋"/>
          <w:b/>
          <w:color w:val="000000"/>
          <w:sz w:val="30"/>
          <w:highlight w:val="none"/>
        </w:rPr>
      </w:pPr>
    </w:p>
    <w:p w14:paraId="22575338">
      <w:pPr>
        <w:spacing w:line="480" w:lineRule="exact"/>
        <w:ind w:firstLine="602" w:firstLineChars="200"/>
        <w:jc w:val="center"/>
        <w:rPr>
          <w:rFonts w:hint="eastAsia" w:ascii="仿宋" w:hAnsi="仿宋" w:eastAsia="仿宋" w:cs="仿宋"/>
          <w:b/>
          <w:color w:val="000000"/>
          <w:sz w:val="30"/>
          <w:highlight w:val="none"/>
        </w:rPr>
      </w:pPr>
    </w:p>
    <w:p w14:paraId="23C373E1">
      <w:pPr>
        <w:spacing w:line="480" w:lineRule="exact"/>
        <w:ind w:firstLine="602" w:firstLineChars="200"/>
        <w:jc w:val="center"/>
        <w:rPr>
          <w:rFonts w:hint="eastAsia" w:ascii="仿宋" w:hAnsi="仿宋" w:eastAsia="仿宋" w:cs="仿宋"/>
          <w:b/>
          <w:color w:val="000000"/>
          <w:sz w:val="30"/>
          <w:highlight w:val="none"/>
        </w:rPr>
      </w:pPr>
    </w:p>
    <w:p w14:paraId="29FC8F35">
      <w:pPr>
        <w:spacing w:line="480" w:lineRule="exact"/>
        <w:ind w:firstLine="602" w:firstLineChars="200"/>
        <w:jc w:val="center"/>
        <w:rPr>
          <w:rFonts w:hint="eastAsia" w:ascii="仿宋" w:hAnsi="仿宋" w:eastAsia="仿宋" w:cs="仿宋"/>
          <w:b/>
          <w:color w:val="000000"/>
          <w:sz w:val="30"/>
          <w:highlight w:val="none"/>
        </w:rPr>
      </w:pPr>
    </w:p>
    <w:p w14:paraId="1AAA7DBA">
      <w:pPr>
        <w:spacing w:line="480" w:lineRule="exact"/>
        <w:ind w:firstLine="602" w:firstLineChars="200"/>
        <w:jc w:val="center"/>
        <w:rPr>
          <w:rFonts w:hint="eastAsia" w:ascii="仿宋" w:hAnsi="仿宋" w:eastAsia="仿宋" w:cs="仿宋"/>
          <w:b/>
          <w:color w:val="000000"/>
          <w:sz w:val="30"/>
          <w:highlight w:val="none"/>
        </w:rPr>
      </w:pPr>
    </w:p>
    <w:p w14:paraId="1A0DD166">
      <w:pPr>
        <w:spacing w:line="480" w:lineRule="exact"/>
        <w:ind w:firstLine="602" w:firstLineChars="200"/>
        <w:jc w:val="center"/>
        <w:rPr>
          <w:rFonts w:hint="eastAsia" w:ascii="仿宋" w:hAnsi="仿宋" w:eastAsia="仿宋" w:cs="仿宋"/>
          <w:b/>
          <w:color w:val="000000"/>
          <w:sz w:val="30"/>
          <w:highlight w:val="none"/>
        </w:rPr>
      </w:pPr>
    </w:p>
    <w:p w14:paraId="0AB4F80C">
      <w:pPr>
        <w:spacing w:line="480" w:lineRule="exact"/>
        <w:ind w:firstLine="602" w:firstLineChars="200"/>
        <w:jc w:val="center"/>
        <w:rPr>
          <w:rFonts w:hint="eastAsia" w:ascii="仿宋" w:hAnsi="仿宋" w:eastAsia="仿宋" w:cs="仿宋"/>
          <w:b/>
          <w:color w:val="000000"/>
          <w:sz w:val="30"/>
          <w:highlight w:val="none"/>
        </w:rPr>
      </w:pPr>
    </w:p>
    <w:p w14:paraId="0F3C6F41">
      <w:pPr>
        <w:spacing w:line="480" w:lineRule="exact"/>
        <w:ind w:firstLine="562" w:firstLineChars="200"/>
        <w:jc w:val="center"/>
        <w:rPr>
          <w:rFonts w:hint="eastAsia" w:ascii="仿宋" w:hAnsi="仿宋" w:eastAsia="仿宋" w:cs="仿宋"/>
          <w:b/>
          <w:sz w:val="28"/>
          <w:szCs w:val="28"/>
          <w:highlight w:val="none"/>
        </w:rPr>
      </w:pPr>
    </w:p>
    <w:p w14:paraId="2379629B">
      <w:pPr>
        <w:adjustRightInd w:val="0"/>
        <w:snapToGrid w:val="0"/>
        <w:spacing w:line="480" w:lineRule="exact"/>
        <w:jc w:val="both"/>
        <w:textAlignment w:val="baseline"/>
        <w:rPr>
          <w:rFonts w:hint="eastAsia" w:ascii="仿宋" w:hAnsi="仿宋" w:eastAsia="仿宋" w:cs="仿宋"/>
          <w:b/>
          <w:bCs w:val="0"/>
          <w:highlight w:val="none"/>
        </w:rPr>
      </w:pPr>
      <w:r>
        <w:rPr>
          <w:rFonts w:hint="eastAsia" w:ascii="仿宋" w:hAnsi="仿宋" w:eastAsia="仿宋" w:cs="仿宋"/>
          <w:b/>
          <w:highlight w:val="none"/>
        </w:rPr>
        <w:br w:type="page"/>
      </w:r>
    </w:p>
    <w:p w14:paraId="7814C857">
      <w:pPr>
        <w:snapToGrid w:val="0"/>
        <w:spacing w:line="360" w:lineRule="auto"/>
        <w:rPr>
          <w:rFonts w:hint="eastAsia" w:ascii="仿宋" w:hAnsi="仿宋" w:eastAsia="仿宋" w:cs="仿宋"/>
          <w:b/>
          <w:sz w:val="24"/>
          <w:highlight w:val="none"/>
        </w:rPr>
      </w:pPr>
      <w:r>
        <w:rPr>
          <w:rFonts w:hint="eastAsia" w:ascii="仿宋" w:hAnsi="仿宋" w:eastAsia="仿宋" w:cs="仿宋"/>
          <w:b/>
          <w:kern w:val="0"/>
          <w:sz w:val="24"/>
          <w:highlight w:val="none"/>
          <w:lang w:val="en-US" w:eastAsia="zh-CN"/>
        </w:rPr>
        <w:t>格式一</w:t>
      </w:r>
      <w:r>
        <w:rPr>
          <w:rFonts w:hint="eastAsia" w:ascii="仿宋" w:hAnsi="仿宋" w:eastAsia="仿宋" w:cs="仿宋"/>
          <w:b/>
          <w:kern w:val="0"/>
          <w:sz w:val="24"/>
          <w:highlight w:val="none"/>
          <w:lang w:eastAsia="zh-CN"/>
        </w:rPr>
        <w:t>：</w:t>
      </w:r>
      <w:r>
        <w:rPr>
          <w:rFonts w:hint="eastAsia" w:ascii="仿宋" w:hAnsi="仿宋" w:eastAsia="仿宋" w:cs="仿宋"/>
          <w:b/>
          <w:sz w:val="24"/>
          <w:highlight w:val="none"/>
        </w:rPr>
        <w:t>具有独立承担民事责任的能力证明文件</w:t>
      </w:r>
    </w:p>
    <w:p w14:paraId="18A5509C">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投标人</w:t>
      </w:r>
      <w:r>
        <w:rPr>
          <w:rFonts w:hint="eastAsia" w:ascii="仿宋" w:hAnsi="仿宋" w:eastAsia="仿宋" w:cs="仿宋"/>
          <w:b/>
          <w:sz w:val="28"/>
          <w:szCs w:val="28"/>
          <w:highlight w:val="none"/>
        </w:rPr>
        <w:t>具有独立承担民事责任的能力的承诺函</w:t>
      </w:r>
    </w:p>
    <w:p w14:paraId="4692DB7E">
      <w:pPr>
        <w:rPr>
          <w:rFonts w:hint="eastAsia" w:ascii="仿宋" w:hAnsi="仿宋" w:eastAsia="仿宋" w:cs="仿宋"/>
          <w:sz w:val="24"/>
          <w:highlight w:val="none"/>
          <w:u w:val="single"/>
        </w:rPr>
      </w:pPr>
    </w:p>
    <w:p w14:paraId="6C35CFFA">
      <w:pPr>
        <w:rPr>
          <w:rFonts w:hint="eastAsia" w:ascii="仿宋" w:hAnsi="仿宋" w:eastAsia="仿宋" w:cs="仿宋"/>
          <w:sz w:val="21"/>
          <w:szCs w:val="21"/>
          <w:highlight w:val="none"/>
          <w:u w:val="single"/>
        </w:rPr>
      </w:pPr>
      <w:r>
        <w:rPr>
          <w:rFonts w:hint="eastAsia" w:ascii="仿宋" w:hAnsi="仿宋" w:eastAsia="仿宋" w:cs="仿宋"/>
          <w:sz w:val="24"/>
          <w:highlight w:val="none"/>
          <w:u w:val="single"/>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采购人</w:t>
      </w:r>
      <w:r>
        <w:rPr>
          <w:rFonts w:hint="eastAsia" w:ascii="仿宋" w:hAnsi="仿宋" w:eastAsia="仿宋" w:cs="仿宋"/>
          <w:sz w:val="21"/>
          <w:szCs w:val="21"/>
          <w:highlight w:val="none"/>
          <w:u w:val="single"/>
        </w:rPr>
        <w:t>名称  ：</w:t>
      </w:r>
    </w:p>
    <w:p w14:paraId="57AA2585">
      <w:pPr>
        <w:widowControl/>
        <w:snapToGrid w:val="0"/>
        <w:spacing w:line="360" w:lineRule="auto"/>
        <w:ind w:firstLine="420" w:firstLineChars="200"/>
        <w:rPr>
          <w:rFonts w:hint="eastAsia" w:ascii="仿宋" w:hAnsi="仿宋" w:eastAsia="仿宋" w:cs="仿宋"/>
          <w:sz w:val="21"/>
          <w:szCs w:val="21"/>
          <w:highlight w:val="none"/>
        </w:rPr>
      </w:pPr>
    </w:p>
    <w:p w14:paraId="0BB5932D">
      <w:pPr>
        <w:widowControl/>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本</w:t>
      </w: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现参与贵公司组织的</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项目（</w:t>
      </w:r>
      <w:r>
        <w:rPr>
          <w:rFonts w:hint="eastAsia" w:ascii="仿宋" w:hAnsi="仿宋" w:eastAsia="仿宋" w:cs="仿宋"/>
          <w:sz w:val="21"/>
          <w:szCs w:val="21"/>
          <w:highlight w:val="none"/>
          <w:lang w:eastAsia="zh-CN"/>
        </w:rPr>
        <w:t>项目编号</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rPr>
        <w:t>）的采购活动。依据</w:t>
      </w:r>
      <w:r>
        <w:rPr>
          <w:rFonts w:hint="eastAsia" w:ascii="仿宋" w:hAnsi="仿宋" w:eastAsia="仿宋" w:cs="仿宋"/>
          <w:sz w:val="21"/>
          <w:szCs w:val="21"/>
          <w:highlight w:val="none"/>
          <w:lang w:eastAsia="zh-CN"/>
        </w:rPr>
        <w:t>招标文件</w:t>
      </w:r>
      <w:r>
        <w:rPr>
          <w:rFonts w:hint="eastAsia" w:ascii="仿宋" w:hAnsi="仿宋" w:eastAsia="仿宋" w:cs="仿宋"/>
          <w:sz w:val="21"/>
          <w:szCs w:val="21"/>
          <w:highlight w:val="none"/>
        </w:rPr>
        <w:t>相关规定，现郑重承诺：我方具有有效的营业执照或事业单位法人证书或自然人身份证明或其他非企业组织证明文件及有效的开户许可证或基本存款账户信息，能独立承担民事责任的能力。</w:t>
      </w:r>
    </w:p>
    <w:p w14:paraId="7E19AA69">
      <w:pPr>
        <w:widowControl/>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基本信息如下：</w:t>
      </w:r>
    </w:p>
    <w:p w14:paraId="77F1F7FE">
      <w:pPr>
        <w:widowControl/>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名称为：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，统一社会信用代码为：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；法定代表人（负责人）为：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 ；营业期限为: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；基本开户银行为：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；账号为：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w:t>
      </w:r>
    </w:p>
    <w:p w14:paraId="01776BF4">
      <w:pPr>
        <w:widowControl/>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以上承诺信息如有虚假或隐瞒，我方愿意承担一切后果，并不再寻求任何旨在减轻或免除</w:t>
      </w:r>
      <w:r>
        <w:rPr>
          <w:rFonts w:hint="eastAsia" w:ascii="仿宋" w:hAnsi="仿宋" w:eastAsia="仿宋" w:cs="仿宋"/>
          <w:color w:val="000000"/>
          <w:sz w:val="21"/>
          <w:szCs w:val="21"/>
          <w:highlight w:val="none"/>
        </w:rPr>
        <w:t>法律责任</w:t>
      </w:r>
      <w:r>
        <w:rPr>
          <w:rFonts w:hint="eastAsia" w:ascii="仿宋" w:hAnsi="仿宋" w:eastAsia="仿宋" w:cs="仿宋"/>
          <w:sz w:val="21"/>
          <w:szCs w:val="21"/>
          <w:highlight w:val="none"/>
        </w:rPr>
        <w:t xml:space="preserve">的辩解。 </w:t>
      </w:r>
    </w:p>
    <w:p w14:paraId="76265395">
      <w:pPr>
        <w:widowControl/>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特此承诺。</w:t>
      </w:r>
    </w:p>
    <w:p w14:paraId="6081114B">
      <w:pPr>
        <w:widowControl/>
        <w:snapToGrid w:val="0"/>
        <w:spacing w:line="360" w:lineRule="auto"/>
        <w:ind w:firstLine="420" w:firstLineChars="200"/>
        <w:rPr>
          <w:rFonts w:hint="eastAsia" w:ascii="仿宋" w:hAnsi="仿宋" w:eastAsia="仿宋" w:cs="仿宋"/>
          <w:sz w:val="21"/>
          <w:szCs w:val="21"/>
          <w:highlight w:val="none"/>
        </w:rPr>
      </w:pPr>
    </w:p>
    <w:p w14:paraId="14AE3D86">
      <w:pPr>
        <w:widowControl/>
        <w:snapToGrid w:val="0"/>
        <w:spacing w:line="360" w:lineRule="auto"/>
        <w:ind w:firstLine="420" w:firstLineChars="200"/>
        <w:rPr>
          <w:rFonts w:hint="eastAsia" w:ascii="仿宋" w:hAnsi="仿宋" w:eastAsia="仿宋" w:cs="仿宋"/>
          <w:sz w:val="21"/>
          <w:szCs w:val="21"/>
          <w:highlight w:val="none"/>
        </w:rPr>
      </w:pPr>
    </w:p>
    <w:p w14:paraId="29A22A84">
      <w:pPr>
        <w:snapToGrid w:val="0"/>
        <w:spacing w:line="480" w:lineRule="exact"/>
        <w:ind w:firstLine="2730" w:firstLineChars="130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名称：</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（盖章）</w:t>
      </w:r>
    </w:p>
    <w:p w14:paraId="2D20A1A7">
      <w:pPr>
        <w:snapToGrid w:val="0"/>
        <w:spacing w:line="48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法定代表人（负责人）：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（签字或盖章）  </w:t>
      </w:r>
    </w:p>
    <w:p w14:paraId="57313A67">
      <w:pPr>
        <w:spacing w:line="480" w:lineRule="exact"/>
        <w:rPr>
          <w:rFonts w:hint="eastAsia" w:ascii="仿宋" w:hAnsi="仿宋" w:eastAsia="仿宋" w:cs="仿宋"/>
          <w:sz w:val="24"/>
          <w:highlight w:val="none"/>
        </w:rPr>
      </w:pPr>
      <w:r>
        <w:rPr>
          <w:rFonts w:hint="eastAsia" w:ascii="仿宋" w:hAnsi="仿宋" w:eastAsia="仿宋" w:cs="仿宋"/>
          <w:sz w:val="21"/>
          <w:szCs w:val="21"/>
          <w:highlight w:val="none"/>
        </w:rPr>
        <w:t xml:space="preserve">                          日      期：</w:t>
      </w:r>
    </w:p>
    <w:p w14:paraId="27B9DE55">
      <w:pPr>
        <w:pStyle w:val="63"/>
        <w:spacing w:line="360" w:lineRule="auto"/>
        <w:ind w:firstLine="0" w:firstLineChars="0"/>
        <w:rPr>
          <w:rFonts w:hint="eastAsia" w:ascii="仿宋" w:hAnsi="仿宋" w:eastAsia="仿宋" w:cs="仿宋"/>
          <w:sz w:val="24"/>
          <w:highlight w:val="none"/>
        </w:rPr>
      </w:pPr>
    </w:p>
    <w:p w14:paraId="47E2ACF3">
      <w:pPr>
        <w:pStyle w:val="63"/>
        <w:spacing w:line="360" w:lineRule="auto"/>
        <w:ind w:firstLine="0" w:firstLineChars="0"/>
        <w:rPr>
          <w:rFonts w:hint="eastAsia" w:ascii="仿宋" w:hAnsi="仿宋" w:eastAsia="仿宋" w:cs="仿宋"/>
          <w:sz w:val="24"/>
          <w:highlight w:val="none"/>
        </w:rPr>
      </w:pPr>
    </w:p>
    <w:p w14:paraId="49D863A3">
      <w:pPr>
        <w:pStyle w:val="63"/>
        <w:spacing w:line="360" w:lineRule="auto"/>
        <w:ind w:firstLine="0" w:firstLineChars="0"/>
        <w:rPr>
          <w:rFonts w:hint="eastAsia" w:ascii="仿宋" w:hAnsi="仿宋" w:eastAsia="仿宋" w:cs="仿宋"/>
          <w:sz w:val="24"/>
          <w:highlight w:val="none"/>
        </w:rPr>
      </w:pPr>
    </w:p>
    <w:p w14:paraId="19C1549E">
      <w:pPr>
        <w:widowControl/>
        <w:snapToGrid w:val="0"/>
        <w:spacing w:line="360" w:lineRule="auto"/>
        <w:rPr>
          <w:rFonts w:hint="eastAsia" w:ascii="仿宋" w:hAnsi="仿宋" w:eastAsia="仿宋" w:cs="仿宋"/>
          <w:b/>
          <w:kern w:val="0"/>
          <w:sz w:val="24"/>
          <w:highlight w:val="none"/>
        </w:rPr>
      </w:pPr>
      <w:r>
        <w:rPr>
          <w:rFonts w:hint="eastAsia" w:ascii="仿宋" w:hAnsi="仿宋" w:eastAsia="仿宋" w:cs="仿宋"/>
          <w:b/>
          <w:bCs/>
          <w:sz w:val="21"/>
          <w:szCs w:val="21"/>
          <w:highlight w:val="none"/>
          <w:lang w:val="en-US" w:eastAsia="zh-CN"/>
        </w:rPr>
        <w:t>后附营业执照</w:t>
      </w:r>
      <w:r>
        <w:rPr>
          <w:rFonts w:hint="eastAsia" w:ascii="仿宋" w:hAnsi="仿宋" w:eastAsia="仿宋" w:cs="仿宋"/>
          <w:b/>
          <w:kern w:val="0"/>
          <w:sz w:val="24"/>
          <w:highlight w:val="none"/>
        </w:rPr>
        <w:br w:type="page"/>
      </w:r>
      <w:r>
        <w:rPr>
          <w:rFonts w:hint="eastAsia" w:ascii="仿宋" w:hAnsi="仿宋" w:eastAsia="仿宋" w:cs="仿宋"/>
          <w:b/>
          <w:kern w:val="0"/>
          <w:sz w:val="24"/>
          <w:highlight w:val="none"/>
          <w:lang w:val="en-US" w:eastAsia="zh-CN"/>
        </w:rPr>
        <w:t>格式二：</w:t>
      </w:r>
      <w:r>
        <w:rPr>
          <w:rFonts w:hint="eastAsia" w:ascii="仿宋" w:hAnsi="仿宋" w:eastAsia="仿宋" w:cs="仿宋"/>
          <w:b/>
          <w:sz w:val="24"/>
          <w:highlight w:val="none"/>
        </w:rPr>
        <w:t>具有良好的商业信誉和健全的财务会计制度证明文件</w:t>
      </w:r>
    </w:p>
    <w:p w14:paraId="2155F9E2">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投标人</w:t>
      </w:r>
      <w:r>
        <w:rPr>
          <w:rFonts w:hint="eastAsia" w:ascii="仿宋" w:hAnsi="仿宋" w:eastAsia="仿宋" w:cs="仿宋"/>
          <w:b/>
          <w:sz w:val="28"/>
          <w:szCs w:val="28"/>
          <w:highlight w:val="none"/>
        </w:rPr>
        <w:t>具有良好的商业信誉和健全的财务会计制度的承诺函</w:t>
      </w:r>
    </w:p>
    <w:p w14:paraId="0241C9B2">
      <w:pPr>
        <w:rPr>
          <w:rFonts w:hint="eastAsia" w:ascii="仿宋" w:hAnsi="仿宋" w:eastAsia="仿宋" w:cs="仿宋"/>
          <w:sz w:val="24"/>
          <w:highlight w:val="none"/>
          <w:u w:val="single"/>
        </w:rPr>
      </w:pPr>
    </w:p>
    <w:p w14:paraId="06E23981">
      <w:pPr>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采购人</w:t>
      </w:r>
      <w:r>
        <w:rPr>
          <w:rFonts w:hint="eastAsia" w:ascii="仿宋" w:hAnsi="仿宋" w:eastAsia="仿宋" w:cs="仿宋"/>
          <w:sz w:val="21"/>
          <w:szCs w:val="21"/>
          <w:highlight w:val="none"/>
          <w:u w:val="single"/>
        </w:rPr>
        <w:t>名称  ：</w:t>
      </w:r>
    </w:p>
    <w:p w14:paraId="0A5D644A">
      <w:pPr>
        <w:widowControl/>
        <w:snapToGrid w:val="0"/>
        <w:spacing w:line="360" w:lineRule="auto"/>
        <w:ind w:firstLine="420" w:firstLineChars="200"/>
        <w:rPr>
          <w:rFonts w:hint="eastAsia" w:ascii="仿宋" w:hAnsi="仿宋" w:eastAsia="仿宋" w:cs="仿宋"/>
          <w:sz w:val="21"/>
          <w:szCs w:val="21"/>
          <w:highlight w:val="none"/>
        </w:rPr>
      </w:pPr>
    </w:p>
    <w:p w14:paraId="15DDD25E">
      <w:pPr>
        <w:widowControl/>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本</w:t>
      </w: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现参与贵公司组织的</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项目（</w:t>
      </w:r>
      <w:r>
        <w:rPr>
          <w:rFonts w:hint="eastAsia" w:ascii="仿宋" w:hAnsi="仿宋" w:eastAsia="仿宋" w:cs="仿宋"/>
          <w:sz w:val="21"/>
          <w:szCs w:val="21"/>
          <w:highlight w:val="none"/>
          <w:lang w:eastAsia="zh-CN"/>
        </w:rPr>
        <w:t>项目编号</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rPr>
        <w:t>）的采购活动。依据</w:t>
      </w:r>
      <w:r>
        <w:rPr>
          <w:rFonts w:hint="eastAsia" w:ascii="仿宋" w:hAnsi="仿宋" w:eastAsia="仿宋" w:cs="仿宋"/>
          <w:sz w:val="21"/>
          <w:szCs w:val="21"/>
          <w:highlight w:val="none"/>
          <w:lang w:eastAsia="zh-CN"/>
        </w:rPr>
        <w:t>招标文件</w:t>
      </w:r>
      <w:r>
        <w:rPr>
          <w:rFonts w:hint="eastAsia" w:ascii="仿宋" w:hAnsi="仿宋" w:eastAsia="仿宋" w:cs="仿宋"/>
          <w:sz w:val="21"/>
          <w:szCs w:val="21"/>
          <w:highlight w:val="none"/>
        </w:rPr>
        <w:t>相关规定，现郑重承诺：我方具有通过具备审计资格的第三方出具的</w:t>
      </w:r>
      <w:r>
        <w:rPr>
          <w:rFonts w:hint="eastAsia" w:ascii="仿宋" w:hAnsi="仿宋" w:eastAsia="仿宋" w:cs="仿宋"/>
          <w:sz w:val="21"/>
          <w:szCs w:val="21"/>
          <w:highlight w:val="none"/>
          <w:lang w:val="en-US" w:eastAsia="zh-CN"/>
        </w:rPr>
        <w:t>2025年度</w:t>
      </w:r>
      <w:r>
        <w:rPr>
          <w:rFonts w:hint="eastAsia" w:ascii="仿宋" w:hAnsi="仿宋" w:eastAsia="仿宋" w:cs="仿宋"/>
          <w:sz w:val="21"/>
          <w:szCs w:val="21"/>
          <w:highlight w:val="none"/>
        </w:rPr>
        <w:t>合格且有效的财务审计报告或在基本户开户银行出具的无不良记录资信证明等文件。商业信誉良好，财务制度健全。</w:t>
      </w:r>
    </w:p>
    <w:p w14:paraId="65FE3925">
      <w:pPr>
        <w:widowControl/>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以上承诺信息如有虚假或隐瞒，我方愿意承担一切后果，并不再寻求任何旨在减轻</w:t>
      </w:r>
      <w:r>
        <w:rPr>
          <w:rFonts w:hint="eastAsia" w:ascii="仿宋" w:hAnsi="仿宋" w:eastAsia="仿宋" w:cs="仿宋"/>
          <w:color w:val="000000"/>
          <w:sz w:val="21"/>
          <w:szCs w:val="21"/>
          <w:highlight w:val="none"/>
        </w:rPr>
        <w:t>或免除法律责</w:t>
      </w:r>
      <w:r>
        <w:rPr>
          <w:rFonts w:hint="eastAsia" w:ascii="仿宋" w:hAnsi="仿宋" w:eastAsia="仿宋" w:cs="仿宋"/>
          <w:sz w:val="21"/>
          <w:szCs w:val="21"/>
          <w:highlight w:val="none"/>
        </w:rPr>
        <w:t xml:space="preserve">任的辩解。 </w:t>
      </w:r>
    </w:p>
    <w:p w14:paraId="6D6D0176">
      <w:pPr>
        <w:widowControl/>
        <w:snapToGrid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特此承诺。</w:t>
      </w:r>
    </w:p>
    <w:p w14:paraId="098F0CDC">
      <w:pPr>
        <w:widowControl/>
        <w:snapToGrid w:val="0"/>
        <w:spacing w:line="360" w:lineRule="auto"/>
        <w:ind w:firstLine="420" w:firstLineChars="200"/>
        <w:rPr>
          <w:rFonts w:hint="eastAsia" w:ascii="仿宋" w:hAnsi="仿宋" w:eastAsia="仿宋" w:cs="仿宋"/>
          <w:sz w:val="21"/>
          <w:szCs w:val="21"/>
          <w:highlight w:val="none"/>
        </w:rPr>
      </w:pPr>
    </w:p>
    <w:p w14:paraId="7B1565BD">
      <w:pPr>
        <w:widowControl/>
        <w:snapToGrid w:val="0"/>
        <w:spacing w:line="360" w:lineRule="auto"/>
        <w:ind w:firstLine="420" w:firstLineChars="200"/>
        <w:rPr>
          <w:rFonts w:hint="eastAsia" w:ascii="仿宋" w:hAnsi="仿宋" w:eastAsia="仿宋" w:cs="仿宋"/>
          <w:sz w:val="21"/>
          <w:szCs w:val="21"/>
          <w:highlight w:val="none"/>
        </w:rPr>
      </w:pPr>
    </w:p>
    <w:p w14:paraId="17F8C6CD">
      <w:pPr>
        <w:snapToGrid w:val="0"/>
        <w:spacing w:line="480" w:lineRule="exact"/>
        <w:ind w:firstLine="2730" w:firstLineChars="130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名称：</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（盖章）</w:t>
      </w:r>
    </w:p>
    <w:p w14:paraId="323F3C1F">
      <w:pPr>
        <w:snapToGrid w:val="0"/>
        <w:spacing w:line="48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法定代表人（负责人）：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（签字或盖章）  </w:t>
      </w:r>
    </w:p>
    <w:p w14:paraId="10D1DC44">
      <w:pPr>
        <w:spacing w:line="48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日      期：</w:t>
      </w:r>
    </w:p>
    <w:p w14:paraId="27B3215E">
      <w:pPr>
        <w:widowControl/>
        <w:snapToGrid w:val="0"/>
        <w:spacing w:line="360" w:lineRule="auto"/>
        <w:ind w:firstLine="480" w:firstLineChars="200"/>
        <w:rPr>
          <w:rFonts w:hint="eastAsia" w:ascii="仿宋" w:hAnsi="仿宋" w:eastAsia="仿宋" w:cs="仿宋"/>
          <w:sz w:val="24"/>
          <w:highlight w:val="none"/>
        </w:rPr>
      </w:pPr>
    </w:p>
    <w:p w14:paraId="7B2B98AC">
      <w:pPr>
        <w:widowControl/>
        <w:spacing w:line="330" w:lineRule="atLeast"/>
        <w:jc w:val="left"/>
        <w:rPr>
          <w:rFonts w:hint="eastAsia" w:ascii="仿宋" w:hAnsi="仿宋" w:eastAsia="仿宋" w:cs="仿宋"/>
          <w:b/>
          <w:kern w:val="0"/>
          <w:sz w:val="24"/>
          <w:highlight w:val="none"/>
        </w:rPr>
      </w:pPr>
    </w:p>
    <w:p w14:paraId="51D9BC87">
      <w:pPr>
        <w:snapToGrid w:val="0"/>
        <w:spacing w:line="360" w:lineRule="auto"/>
        <w:rPr>
          <w:rFonts w:hint="eastAsia" w:ascii="仿宋" w:hAnsi="仿宋" w:eastAsia="仿宋" w:cs="仿宋"/>
          <w:b/>
          <w:kern w:val="0"/>
          <w:sz w:val="24"/>
          <w:highlight w:val="none"/>
        </w:rPr>
      </w:pPr>
      <w:r>
        <w:rPr>
          <w:rFonts w:hint="eastAsia" w:ascii="仿宋" w:hAnsi="仿宋" w:eastAsia="仿宋" w:cs="仿宋"/>
          <w:b/>
          <w:kern w:val="0"/>
          <w:sz w:val="24"/>
          <w:highlight w:val="none"/>
        </w:rPr>
        <w:br w:type="page"/>
      </w:r>
      <w:r>
        <w:rPr>
          <w:rFonts w:hint="eastAsia" w:ascii="仿宋" w:hAnsi="仿宋" w:eastAsia="仿宋" w:cs="仿宋"/>
          <w:b/>
          <w:kern w:val="0"/>
          <w:sz w:val="24"/>
          <w:highlight w:val="none"/>
          <w:lang w:val="en-US" w:eastAsia="zh-CN"/>
        </w:rPr>
        <w:t>格式三：</w:t>
      </w:r>
      <w:r>
        <w:rPr>
          <w:rFonts w:hint="eastAsia" w:ascii="仿宋" w:hAnsi="仿宋" w:eastAsia="仿宋" w:cs="仿宋"/>
          <w:b/>
          <w:kern w:val="0"/>
          <w:sz w:val="24"/>
          <w:highlight w:val="none"/>
        </w:rPr>
        <w:t>具有履行合同所必需的设备和专业技术能力证明文件</w:t>
      </w:r>
    </w:p>
    <w:p w14:paraId="16F05C46">
      <w:pPr>
        <w:jc w:val="center"/>
        <w:rPr>
          <w:rFonts w:hint="eastAsia" w:ascii="仿宋" w:hAnsi="仿宋" w:eastAsia="仿宋" w:cs="仿宋"/>
          <w:b/>
          <w:sz w:val="24"/>
          <w:highlight w:val="none"/>
        </w:rPr>
      </w:pPr>
      <w:r>
        <w:rPr>
          <w:rFonts w:hint="eastAsia" w:ascii="仿宋" w:hAnsi="仿宋" w:eastAsia="仿宋" w:cs="仿宋"/>
          <w:b/>
          <w:sz w:val="28"/>
          <w:szCs w:val="28"/>
          <w:highlight w:val="none"/>
          <w:lang w:eastAsia="zh-CN"/>
        </w:rPr>
        <w:t>投标人</w:t>
      </w:r>
      <w:r>
        <w:rPr>
          <w:rFonts w:hint="eastAsia" w:ascii="仿宋" w:hAnsi="仿宋" w:eastAsia="仿宋" w:cs="仿宋"/>
          <w:b/>
          <w:sz w:val="28"/>
          <w:szCs w:val="28"/>
          <w:highlight w:val="none"/>
        </w:rPr>
        <w:t>履行合同能力承诺函</w:t>
      </w:r>
    </w:p>
    <w:p w14:paraId="043150D0">
      <w:pPr>
        <w:keepNext/>
        <w:rPr>
          <w:rFonts w:hint="eastAsia" w:ascii="仿宋" w:hAnsi="仿宋" w:eastAsia="仿宋" w:cs="仿宋"/>
          <w:sz w:val="24"/>
          <w:highlight w:val="none"/>
        </w:rPr>
      </w:pPr>
    </w:p>
    <w:p w14:paraId="56AFB2CA">
      <w:pPr>
        <w:pStyle w:val="25"/>
        <w:keepNext/>
        <w:widowControl w:val="0"/>
        <w:rPr>
          <w:rFonts w:hint="eastAsia" w:ascii="仿宋" w:hAnsi="仿宋" w:eastAsia="仿宋" w:cs="仿宋"/>
          <w:highlight w:val="none"/>
        </w:rPr>
      </w:pPr>
    </w:p>
    <w:p w14:paraId="1A2364D4">
      <w:pPr>
        <w:keepNext/>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采购人</w:t>
      </w:r>
      <w:r>
        <w:rPr>
          <w:rFonts w:hint="eastAsia" w:ascii="仿宋" w:hAnsi="仿宋" w:eastAsia="仿宋" w:cs="仿宋"/>
          <w:sz w:val="21"/>
          <w:szCs w:val="21"/>
          <w:highlight w:val="none"/>
          <w:u w:val="single"/>
        </w:rPr>
        <w:t>名称  ：</w:t>
      </w:r>
    </w:p>
    <w:p w14:paraId="4BF044A0">
      <w:pPr>
        <w:pStyle w:val="25"/>
        <w:keepNext/>
        <w:widowControl w:val="0"/>
        <w:rPr>
          <w:rFonts w:hint="eastAsia" w:ascii="仿宋" w:hAnsi="仿宋" w:eastAsia="仿宋" w:cs="仿宋"/>
          <w:sz w:val="21"/>
          <w:szCs w:val="21"/>
          <w:highlight w:val="none"/>
        </w:rPr>
      </w:pPr>
    </w:p>
    <w:p w14:paraId="38AD22EA">
      <w:pPr>
        <w:keepNext/>
        <w:snapToGrid w:val="0"/>
        <w:spacing w:line="48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本</w:t>
      </w: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现参与贵公司组织的</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项目（</w:t>
      </w:r>
      <w:r>
        <w:rPr>
          <w:rFonts w:hint="eastAsia" w:ascii="仿宋" w:hAnsi="仿宋" w:eastAsia="仿宋" w:cs="仿宋"/>
          <w:sz w:val="21"/>
          <w:szCs w:val="21"/>
          <w:highlight w:val="none"/>
          <w:lang w:eastAsia="zh-CN"/>
        </w:rPr>
        <w:t>项目编号</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rPr>
        <w:t>）的采购活动。依据</w:t>
      </w:r>
      <w:r>
        <w:rPr>
          <w:rFonts w:hint="eastAsia" w:ascii="仿宋" w:hAnsi="仿宋" w:eastAsia="仿宋" w:cs="仿宋"/>
          <w:sz w:val="21"/>
          <w:szCs w:val="21"/>
          <w:highlight w:val="none"/>
          <w:lang w:eastAsia="zh-CN"/>
        </w:rPr>
        <w:t>招标文件</w:t>
      </w:r>
      <w:r>
        <w:rPr>
          <w:rFonts w:hint="eastAsia" w:ascii="仿宋" w:hAnsi="仿宋" w:eastAsia="仿宋" w:cs="仿宋"/>
          <w:sz w:val="21"/>
          <w:szCs w:val="21"/>
          <w:highlight w:val="none"/>
        </w:rPr>
        <w:t>相关规定，现郑重承诺：我方具备履行合同所必需的设备和专业技术能力。</w:t>
      </w:r>
    </w:p>
    <w:p w14:paraId="39709694">
      <w:pPr>
        <w:keepNext/>
        <w:snapToGrid w:val="0"/>
        <w:spacing w:line="48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以上承诺信息如有虚假或隐瞒，我方愿意承担一切后果，并不再寻求任何旨在减轻或免</w:t>
      </w:r>
      <w:r>
        <w:rPr>
          <w:rFonts w:hint="eastAsia" w:ascii="仿宋" w:hAnsi="仿宋" w:eastAsia="仿宋" w:cs="仿宋"/>
          <w:color w:val="000000"/>
          <w:sz w:val="21"/>
          <w:szCs w:val="21"/>
          <w:highlight w:val="none"/>
        </w:rPr>
        <w:t>除法律责任</w:t>
      </w:r>
      <w:r>
        <w:rPr>
          <w:rFonts w:hint="eastAsia" w:ascii="仿宋" w:hAnsi="仿宋" w:eastAsia="仿宋" w:cs="仿宋"/>
          <w:sz w:val="21"/>
          <w:szCs w:val="21"/>
          <w:highlight w:val="none"/>
        </w:rPr>
        <w:t>的辩解。</w:t>
      </w:r>
    </w:p>
    <w:p w14:paraId="2EF48C38">
      <w:pPr>
        <w:keepNext/>
        <w:snapToGrid w:val="0"/>
        <w:spacing w:line="48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特此承诺</w:t>
      </w:r>
    </w:p>
    <w:p w14:paraId="049F5857">
      <w:pPr>
        <w:keepNext/>
        <w:ind w:firstLine="2948" w:firstLineChars="1404"/>
        <w:rPr>
          <w:rFonts w:hint="eastAsia" w:ascii="仿宋" w:hAnsi="仿宋" w:eastAsia="仿宋" w:cs="仿宋"/>
          <w:sz w:val="21"/>
          <w:szCs w:val="21"/>
          <w:highlight w:val="none"/>
        </w:rPr>
      </w:pPr>
    </w:p>
    <w:p w14:paraId="47A06D72">
      <w:pPr>
        <w:keepNext/>
        <w:ind w:firstLine="2948" w:firstLineChars="1404"/>
        <w:rPr>
          <w:rFonts w:hint="eastAsia" w:ascii="仿宋" w:hAnsi="仿宋" w:eastAsia="仿宋" w:cs="仿宋"/>
          <w:sz w:val="21"/>
          <w:szCs w:val="21"/>
          <w:highlight w:val="none"/>
        </w:rPr>
      </w:pPr>
    </w:p>
    <w:p w14:paraId="334A1956">
      <w:pPr>
        <w:keepNext/>
        <w:ind w:firstLine="2948" w:firstLineChars="1404"/>
        <w:rPr>
          <w:rFonts w:hint="eastAsia" w:ascii="仿宋" w:hAnsi="仿宋" w:eastAsia="仿宋" w:cs="仿宋"/>
          <w:sz w:val="21"/>
          <w:szCs w:val="21"/>
          <w:highlight w:val="none"/>
        </w:rPr>
      </w:pPr>
    </w:p>
    <w:p w14:paraId="68004FA4">
      <w:pPr>
        <w:pStyle w:val="25"/>
        <w:keepNext/>
        <w:widowControl w:val="0"/>
        <w:rPr>
          <w:rFonts w:hint="eastAsia" w:ascii="仿宋" w:hAnsi="仿宋" w:eastAsia="仿宋" w:cs="仿宋"/>
          <w:sz w:val="21"/>
          <w:szCs w:val="21"/>
          <w:highlight w:val="none"/>
        </w:rPr>
      </w:pPr>
    </w:p>
    <w:p w14:paraId="65DE0446">
      <w:pPr>
        <w:pStyle w:val="25"/>
        <w:keepNext/>
        <w:widowControl w:val="0"/>
        <w:rPr>
          <w:rFonts w:hint="eastAsia" w:ascii="仿宋" w:hAnsi="仿宋" w:eastAsia="仿宋" w:cs="仿宋"/>
          <w:sz w:val="21"/>
          <w:szCs w:val="21"/>
          <w:highlight w:val="none"/>
        </w:rPr>
      </w:pPr>
    </w:p>
    <w:p w14:paraId="4F296921">
      <w:pPr>
        <w:keepNext/>
        <w:ind w:firstLine="2948" w:firstLineChars="1404"/>
        <w:rPr>
          <w:rFonts w:hint="eastAsia" w:ascii="仿宋" w:hAnsi="仿宋" w:eastAsia="仿宋" w:cs="仿宋"/>
          <w:sz w:val="21"/>
          <w:szCs w:val="21"/>
          <w:highlight w:val="none"/>
        </w:rPr>
      </w:pPr>
    </w:p>
    <w:p w14:paraId="64CD17BF">
      <w:pPr>
        <w:keepNext/>
        <w:ind w:firstLine="2948" w:firstLineChars="1404"/>
        <w:rPr>
          <w:rFonts w:hint="eastAsia" w:ascii="仿宋" w:hAnsi="仿宋" w:eastAsia="仿宋" w:cs="仿宋"/>
          <w:sz w:val="21"/>
          <w:szCs w:val="21"/>
          <w:highlight w:val="none"/>
        </w:rPr>
      </w:pPr>
    </w:p>
    <w:p w14:paraId="139D92B9">
      <w:pPr>
        <w:snapToGrid w:val="0"/>
        <w:spacing w:line="480" w:lineRule="exact"/>
        <w:ind w:firstLine="2730" w:firstLineChars="130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名称：</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（盖章）</w:t>
      </w:r>
    </w:p>
    <w:p w14:paraId="225B22CC">
      <w:pPr>
        <w:snapToGrid w:val="0"/>
        <w:spacing w:line="48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法定代表人（负责人）：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（签字或盖章）  </w:t>
      </w:r>
    </w:p>
    <w:p w14:paraId="005CC885">
      <w:pPr>
        <w:spacing w:line="48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日      期：</w:t>
      </w:r>
    </w:p>
    <w:p w14:paraId="68A66397">
      <w:pPr>
        <w:pStyle w:val="25"/>
        <w:rPr>
          <w:rFonts w:hint="eastAsia" w:ascii="仿宋" w:hAnsi="仿宋" w:eastAsia="仿宋" w:cs="仿宋"/>
          <w:sz w:val="24"/>
          <w:szCs w:val="24"/>
          <w:highlight w:val="none"/>
        </w:rPr>
      </w:pPr>
    </w:p>
    <w:p w14:paraId="02F1E718">
      <w:pPr>
        <w:pStyle w:val="25"/>
        <w:rPr>
          <w:rFonts w:hint="eastAsia" w:ascii="仿宋" w:hAnsi="仿宋" w:eastAsia="仿宋" w:cs="仿宋"/>
          <w:sz w:val="24"/>
          <w:szCs w:val="24"/>
          <w:highlight w:val="none"/>
        </w:rPr>
      </w:pPr>
    </w:p>
    <w:p w14:paraId="063AF119">
      <w:pPr>
        <w:pStyle w:val="25"/>
        <w:rPr>
          <w:rFonts w:hint="eastAsia" w:ascii="仿宋" w:hAnsi="仿宋" w:eastAsia="仿宋" w:cs="仿宋"/>
          <w:sz w:val="24"/>
          <w:szCs w:val="24"/>
          <w:highlight w:val="none"/>
        </w:rPr>
      </w:pPr>
    </w:p>
    <w:p w14:paraId="7A3D9FF8">
      <w:pPr>
        <w:snapToGrid w:val="0"/>
        <w:spacing w:line="360" w:lineRule="auto"/>
        <w:rPr>
          <w:rFonts w:hint="eastAsia" w:ascii="仿宋" w:hAnsi="仿宋" w:eastAsia="仿宋" w:cs="仿宋"/>
          <w:sz w:val="24"/>
          <w:highlight w:val="none"/>
        </w:rPr>
      </w:pPr>
    </w:p>
    <w:p w14:paraId="54DB0AF6">
      <w:pPr>
        <w:widowControl/>
        <w:snapToGrid w:val="0"/>
        <w:spacing w:line="360" w:lineRule="auto"/>
        <w:rPr>
          <w:rFonts w:hint="eastAsia" w:ascii="仿宋" w:hAnsi="仿宋" w:eastAsia="仿宋" w:cs="仿宋"/>
          <w:b/>
          <w:kern w:val="0"/>
          <w:sz w:val="24"/>
          <w:highlight w:val="none"/>
        </w:rPr>
      </w:pPr>
      <w:r>
        <w:rPr>
          <w:rFonts w:hint="eastAsia" w:ascii="仿宋" w:hAnsi="仿宋" w:eastAsia="仿宋" w:cs="仿宋"/>
          <w:b/>
          <w:kern w:val="0"/>
          <w:sz w:val="24"/>
          <w:highlight w:val="none"/>
        </w:rPr>
        <w:br w:type="page"/>
      </w:r>
      <w:r>
        <w:rPr>
          <w:rFonts w:hint="eastAsia" w:ascii="仿宋" w:hAnsi="仿宋" w:eastAsia="仿宋" w:cs="仿宋"/>
          <w:b/>
          <w:kern w:val="0"/>
          <w:sz w:val="24"/>
          <w:highlight w:val="none"/>
          <w:lang w:val="en-US" w:eastAsia="zh-CN"/>
        </w:rPr>
        <w:t>格式四：</w:t>
      </w:r>
      <w:r>
        <w:rPr>
          <w:rFonts w:hint="eastAsia" w:ascii="仿宋" w:hAnsi="仿宋" w:eastAsia="仿宋" w:cs="仿宋"/>
          <w:b/>
          <w:kern w:val="0"/>
          <w:sz w:val="24"/>
          <w:highlight w:val="none"/>
        </w:rPr>
        <w:t>具有依法缴纳税收和社会保障资金的证明文件</w:t>
      </w:r>
    </w:p>
    <w:p w14:paraId="40506B63">
      <w:pP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投标人</w:t>
      </w:r>
      <w:r>
        <w:rPr>
          <w:rFonts w:hint="eastAsia" w:ascii="仿宋" w:hAnsi="仿宋" w:eastAsia="仿宋" w:cs="仿宋"/>
          <w:b/>
          <w:sz w:val="28"/>
          <w:szCs w:val="28"/>
          <w:highlight w:val="none"/>
        </w:rPr>
        <w:t>依法缴纳税收和社会保障资金的承诺函</w:t>
      </w:r>
    </w:p>
    <w:p w14:paraId="2430D19E">
      <w:pPr>
        <w:rPr>
          <w:rFonts w:hint="eastAsia" w:ascii="仿宋" w:hAnsi="仿宋" w:eastAsia="仿宋" w:cs="仿宋"/>
          <w:highlight w:val="none"/>
        </w:rPr>
      </w:pPr>
    </w:p>
    <w:p w14:paraId="4177B9C2">
      <w:pPr>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采购人</w:t>
      </w:r>
      <w:r>
        <w:rPr>
          <w:rFonts w:hint="eastAsia" w:ascii="仿宋" w:hAnsi="仿宋" w:eastAsia="仿宋" w:cs="仿宋"/>
          <w:sz w:val="21"/>
          <w:szCs w:val="21"/>
          <w:highlight w:val="none"/>
          <w:u w:val="single"/>
        </w:rPr>
        <w:t>名称  ：</w:t>
      </w:r>
    </w:p>
    <w:p w14:paraId="20D16C0E">
      <w:pPr>
        <w:widowControl/>
        <w:snapToGrid w:val="0"/>
        <w:spacing w:line="360" w:lineRule="auto"/>
        <w:ind w:firstLine="420" w:firstLineChars="200"/>
        <w:rPr>
          <w:rFonts w:hint="eastAsia" w:ascii="仿宋" w:hAnsi="仿宋" w:eastAsia="仿宋" w:cs="仿宋"/>
          <w:sz w:val="21"/>
          <w:szCs w:val="21"/>
          <w:highlight w:val="none"/>
        </w:rPr>
      </w:pPr>
    </w:p>
    <w:p w14:paraId="54EC3CB9">
      <w:pPr>
        <w:widowControl/>
        <w:snapToGrid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sz w:val="21"/>
          <w:szCs w:val="21"/>
          <w:highlight w:val="none"/>
        </w:rPr>
        <w:t>本</w:t>
      </w: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现参与贵公司组织的</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项目（</w:t>
      </w:r>
      <w:r>
        <w:rPr>
          <w:rFonts w:hint="eastAsia" w:ascii="仿宋" w:hAnsi="仿宋" w:eastAsia="仿宋" w:cs="仿宋"/>
          <w:sz w:val="21"/>
          <w:szCs w:val="21"/>
          <w:highlight w:val="none"/>
          <w:lang w:eastAsia="zh-CN"/>
        </w:rPr>
        <w:t>项目编号</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rPr>
        <w:t>）的采购活动。依据</w:t>
      </w:r>
      <w:r>
        <w:rPr>
          <w:rFonts w:hint="eastAsia" w:ascii="仿宋" w:hAnsi="仿宋" w:eastAsia="仿宋" w:cs="仿宋"/>
          <w:sz w:val="21"/>
          <w:szCs w:val="21"/>
          <w:highlight w:val="none"/>
          <w:lang w:eastAsia="zh-CN"/>
        </w:rPr>
        <w:t>招标文件</w:t>
      </w:r>
      <w:r>
        <w:rPr>
          <w:rFonts w:hint="eastAsia" w:ascii="仿宋" w:hAnsi="仿宋" w:eastAsia="仿宋" w:cs="仿宋"/>
          <w:sz w:val="21"/>
          <w:szCs w:val="21"/>
          <w:highlight w:val="none"/>
        </w:rPr>
        <w:t>相关规定，现郑重承诺：我方在参加本次采购活</w:t>
      </w:r>
      <w:r>
        <w:rPr>
          <w:rFonts w:hint="eastAsia" w:ascii="仿宋" w:hAnsi="仿宋" w:eastAsia="仿宋" w:cs="仿宋"/>
          <w:color w:val="000000"/>
          <w:sz w:val="21"/>
          <w:szCs w:val="21"/>
          <w:highlight w:val="none"/>
        </w:rPr>
        <w:t>动前一年内严格依法缴纳税收</w:t>
      </w:r>
      <w:r>
        <w:rPr>
          <w:rFonts w:hint="eastAsia" w:ascii="仿宋" w:hAnsi="仿宋" w:eastAsia="仿宋" w:cs="仿宋"/>
          <w:sz w:val="21"/>
          <w:szCs w:val="21"/>
          <w:highlight w:val="none"/>
        </w:rPr>
        <w:t>或依法享受国家免税优惠政策，并依法给单位职工缴</w:t>
      </w:r>
      <w:r>
        <w:rPr>
          <w:rFonts w:hint="eastAsia" w:ascii="仿宋" w:hAnsi="仿宋" w:eastAsia="仿宋" w:cs="仿宋"/>
          <w:color w:val="000000"/>
          <w:sz w:val="21"/>
          <w:szCs w:val="21"/>
          <w:highlight w:val="none"/>
        </w:rPr>
        <w:t>纳社会保障金或依法不需要缴纳社会保障资金的证明文件。</w:t>
      </w:r>
    </w:p>
    <w:p w14:paraId="50378C4E">
      <w:pPr>
        <w:widowControl/>
        <w:snapToGrid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以上承诺信息如有虚假或隐瞒，我方愿意承担一切后果，并不再寻求任何旨在减轻或免除法律责任的辩解。 </w:t>
      </w:r>
    </w:p>
    <w:p w14:paraId="7CCCBD1D">
      <w:pPr>
        <w:widowControl/>
        <w:snapToGrid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特此承诺。</w:t>
      </w:r>
    </w:p>
    <w:p w14:paraId="56B22138">
      <w:pPr>
        <w:widowControl/>
        <w:snapToGrid w:val="0"/>
        <w:spacing w:line="360" w:lineRule="auto"/>
        <w:ind w:firstLine="420" w:firstLineChars="200"/>
        <w:rPr>
          <w:rFonts w:hint="eastAsia" w:ascii="仿宋" w:hAnsi="仿宋" w:eastAsia="仿宋" w:cs="仿宋"/>
          <w:sz w:val="21"/>
          <w:szCs w:val="21"/>
          <w:highlight w:val="none"/>
        </w:rPr>
      </w:pPr>
    </w:p>
    <w:p w14:paraId="123C27A9">
      <w:pPr>
        <w:widowControl/>
        <w:snapToGrid w:val="0"/>
        <w:spacing w:line="360" w:lineRule="auto"/>
        <w:ind w:firstLine="420" w:firstLineChars="200"/>
        <w:rPr>
          <w:rFonts w:hint="eastAsia" w:ascii="仿宋" w:hAnsi="仿宋" w:eastAsia="仿宋" w:cs="仿宋"/>
          <w:sz w:val="21"/>
          <w:szCs w:val="21"/>
          <w:highlight w:val="none"/>
        </w:rPr>
      </w:pPr>
    </w:p>
    <w:p w14:paraId="2FE09F4B">
      <w:pPr>
        <w:snapToGrid w:val="0"/>
        <w:spacing w:line="480" w:lineRule="exact"/>
        <w:ind w:firstLine="2730" w:firstLineChars="130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名称：</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（盖章）</w:t>
      </w:r>
    </w:p>
    <w:p w14:paraId="22AF46F6">
      <w:pPr>
        <w:snapToGrid w:val="0"/>
        <w:spacing w:line="48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法定代表人（负责人）：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（签字或盖章）  </w:t>
      </w:r>
    </w:p>
    <w:p w14:paraId="55E8620A">
      <w:pPr>
        <w:spacing w:line="480" w:lineRule="exact"/>
        <w:rPr>
          <w:rFonts w:hint="eastAsia" w:ascii="仿宋" w:hAnsi="仿宋" w:eastAsia="仿宋" w:cs="仿宋"/>
          <w:sz w:val="24"/>
          <w:highlight w:val="none"/>
        </w:rPr>
      </w:pPr>
      <w:r>
        <w:rPr>
          <w:rFonts w:hint="eastAsia" w:ascii="仿宋" w:hAnsi="仿宋" w:eastAsia="仿宋" w:cs="仿宋"/>
          <w:sz w:val="21"/>
          <w:szCs w:val="21"/>
          <w:highlight w:val="none"/>
        </w:rPr>
        <w:t xml:space="preserve">                          日      期：</w:t>
      </w:r>
    </w:p>
    <w:p w14:paraId="7D550A92">
      <w:pPr>
        <w:spacing w:line="480" w:lineRule="exact"/>
        <w:rPr>
          <w:rFonts w:hint="eastAsia" w:ascii="仿宋" w:hAnsi="仿宋" w:eastAsia="仿宋" w:cs="仿宋"/>
          <w:sz w:val="24"/>
          <w:highlight w:val="none"/>
        </w:rPr>
      </w:pPr>
    </w:p>
    <w:p w14:paraId="11711686">
      <w:pPr>
        <w:snapToGrid w:val="0"/>
        <w:spacing w:line="360" w:lineRule="auto"/>
        <w:rPr>
          <w:rFonts w:hint="eastAsia" w:ascii="仿宋" w:hAnsi="仿宋" w:eastAsia="仿宋" w:cs="仿宋"/>
          <w:b/>
          <w:kern w:val="0"/>
          <w:sz w:val="24"/>
          <w:highlight w:val="none"/>
        </w:rPr>
      </w:pPr>
      <w:r>
        <w:rPr>
          <w:rFonts w:hint="eastAsia" w:ascii="仿宋" w:hAnsi="仿宋" w:eastAsia="仿宋" w:cs="仿宋"/>
          <w:b/>
          <w:kern w:val="0"/>
          <w:sz w:val="24"/>
          <w:highlight w:val="none"/>
        </w:rPr>
        <w:br w:type="page"/>
      </w:r>
      <w:r>
        <w:rPr>
          <w:rFonts w:hint="eastAsia" w:ascii="仿宋" w:hAnsi="仿宋" w:eastAsia="仿宋" w:cs="仿宋"/>
          <w:b/>
          <w:kern w:val="0"/>
          <w:sz w:val="24"/>
          <w:highlight w:val="none"/>
          <w:lang w:val="en-US" w:eastAsia="zh-CN"/>
        </w:rPr>
        <w:t>格式五：</w:t>
      </w:r>
      <w:r>
        <w:rPr>
          <w:rFonts w:hint="eastAsia" w:ascii="仿宋" w:hAnsi="仿宋" w:eastAsia="仿宋" w:cs="仿宋"/>
          <w:b/>
          <w:kern w:val="0"/>
          <w:sz w:val="24"/>
          <w:highlight w:val="none"/>
        </w:rPr>
        <w:t>参加政府采购活动前三年内，在经营活动中没有重大违法记录证明文件</w:t>
      </w:r>
    </w:p>
    <w:p w14:paraId="6ABC1732">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投标人</w:t>
      </w:r>
      <w:r>
        <w:rPr>
          <w:rFonts w:hint="eastAsia" w:ascii="仿宋" w:hAnsi="仿宋" w:eastAsia="仿宋" w:cs="仿宋"/>
          <w:b/>
          <w:sz w:val="28"/>
          <w:szCs w:val="28"/>
          <w:highlight w:val="none"/>
        </w:rPr>
        <w:t>近三年无重大违法记录的承诺函</w:t>
      </w:r>
    </w:p>
    <w:p w14:paraId="2A138CA8">
      <w:pPr>
        <w:pStyle w:val="25"/>
        <w:widowControl w:val="0"/>
        <w:rPr>
          <w:rFonts w:hint="eastAsia" w:ascii="仿宋" w:hAnsi="仿宋" w:eastAsia="仿宋" w:cs="仿宋"/>
          <w:highlight w:val="none"/>
        </w:rPr>
      </w:pPr>
    </w:p>
    <w:p w14:paraId="7F90912B">
      <w:pPr>
        <w:rPr>
          <w:rFonts w:hint="eastAsia" w:ascii="仿宋" w:hAnsi="仿宋" w:eastAsia="仿宋" w:cs="仿宋"/>
          <w:sz w:val="21"/>
          <w:szCs w:val="21"/>
          <w:highlight w:val="none"/>
          <w:u w:val="single"/>
        </w:rPr>
      </w:pPr>
      <w:r>
        <w:rPr>
          <w:rFonts w:hint="eastAsia" w:ascii="仿宋" w:hAnsi="仿宋" w:eastAsia="仿宋" w:cs="仿宋"/>
          <w:sz w:val="24"/>
          <w:highlight w:val="none"/>
          <w:u w:val="single"/>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采购人</w:t>
      </w:r>
      <w:r>
        <w:rPr>
          <w:rFonts w:hint="eastAsia" w:ascii="仿宋" w:hAnsi="仿宋" w:eastAsia="仿宋" w:cs="仿宋"/>
          <w:sz w:val="21"/>
          <w:szCs w:val="21"/>
          <w:highlight w:val="none"/>
          <w:u w:val="single"/>
        </w:rPr>
        <w:t>名称  ：</w:t>
      </w:r>
    </w:p>
    <w:p w14:paraId="29D2784D">
      <w:pPr>
        <w:pStyle w:val="54"/>
        <w:snapToGrid w:val="0"/>
        <w:spacing w:line="52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现参与贵公司组织的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w:t>
      </w:r>
      <w:r>
        <w:rPr>
          <w:rFonts w:hint="eastAsia" w:ascii="仿宋" w:hAnsi="仿宋" w:eastAsia="仿宋" w:cs="仿宋"/>
          <w:color w:val="auto"/>
          <w:sz w:val="21"/>
          <w:szCs w:val="21"/>
          <w:highlight w:val="none"/>
          <w:lang w:eastAsia="zh-CN"/>
        </w:rPr>
        <w:t>项目编号</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color w:val="auto"/>
          <w:sz w:val="21"/>
          <w:szCs w:val="21"/>
          <w:highlight w:val="none"/>
        </w:rPr>
        <w:t>）的采购活动。依据</w:t>
      </w:r>
      <w:r>
        <w:rPr>
          <w:rFonts w:hint="eastAsia" w:ascii="仿宋" w:hAnsi="仿宋" w:eastAsia="仿宋" w:cs="仿宋"/>
          <w:color w:val="auto"/>
          <w:sz w:val="21"/>
          <w:szCs w:val="21"/>
          <w:highlight w:val="none"/>
          <w:lang w:eastAsia="zh-CN"/>
        </w:rPr>
        <w:t>招标文件</w:t>
      </w:r>
      <w:r>
        <w:rPr>
          <w:rFonts w:hint="eastAsia" w:ascii="仿宋" w:hAnsi="仿宋" w:eastAsia="仿宋" w:cs="仿宋"/>
          <w:color w:val="auto"/>
          <w:sz w:val="21"/>
          <w:szCs w:val="21"/>
          <w:highlight w:val="none"/>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w:t>
      </w:r>
      <w:r>
        <w:rPr>
          <w:rFonts w:hint="eastAsia" w:ascii="仿宋" w:hAnsi="仿宋" w:eastAsia="仿宋" w:cs="仿宋"/>
          <w:color w:val="auto"/>
          <w:sz w:val="21"/>
          <w:szCs w:val="21"/>
          <w:highlight w:val="none"/>
          <w:lang w:val="en-US" w:eastAsia="zh-CN"/>
        </w:rPr>
        <w:t>失信主体</w:t>
      </w:r>
      <w:r>
        <w:rPr>
          <w:rFonts w:hint="eastAsia" w:ascii="仿宋" w:hAnsi="仿宋" w:eastAsia="仿宋" w:cs="仿宋"/>
          <w:color w:val="auto"/>
          <w:sz w:val="21"/>
          <w:szCs w:val="21"/>
          <w:highlight w:val="none"/>
        </w:rPr>
        <w:t>均为0记录；在中国政府采购网（http://www.ccgp.gov.cn）中的政府采购严重违法失信行为信息记录也为0记录。</w:t>
      </w:r>
    </w:p>
    <w:p w14:paraId="4C244307">
      <w:pPr>
        <w:pStyle w:val="54"/>
        <w:snapToGrid w:val="0"/>
        <w:spacing w:line="52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以上承诺信息如有虚假或隐瞒，我方愿意承担一切后果，并不再寻求任何旨在减轻或免除法律责任的辩解。</w:t>
      </w:r>
    </w:p>
    <w:p w14:paraId="20F6084B">
      <w:pPr>
        <w:pStyle w:val="54"/>
        <w:snapToGrid w:val="0"/>
        <w:spacing w:line="52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特此承诺</w:t>
      </w:r>
    </w:p>
    <w:p w14:paraId="6738B248">
      <w:pPr>
        <w:pStyle w:val="54"/>
        <w:snapToGrid w:val="0"/>
        <w:spacing w:line="520" w:lineRule="exact"/>
        <w:ind w:firstLine="420" w:firstLineChars="200"/>
        <w:rPr>
          <w:rFonts w:hint="eastAsia" w:ascii="仿宋" w:hAnsi="仿宋" w:eastAsia="仿宋" w:cs="仿宋"/>
          <w:sz w:val="21"/>
          <w:szCs w:val="21"/>
          <w:highlight w:val="none"/>
        </w:rPr>
      </w:pPr>
    </w:p>
    <w:p w14:paraId="60EFE998">
      <w:pPr>
        <w:pStyle w:val="54"/>
        <w:snapToGrid w:val="0"/>
        <w:spacing w:line="520" w:lineRule="exact"/>
        <w:ind w:firstLine="420" w:firstLineChars="200"/>
        <w:rPr>
          <w:rFonts w:hint="eastAsia" w:ascii="仿宋" w:hAnsi="仿宋" w:eastAsia="仿宋" w:cs="仿宋"/>
          <w:sz w:val="21"/>
          <w:szCs w:val="21"/>
          <w:highlight w:val="none"/>
        </w:rPr>
      </w:pPr>
    </w:p>
    <w:p w14:paraId="4C4BD2B9">
      <w:pPr>
        <w:pStyle w:val="54"/>
        <w:snapToGrid w:val="0"/>
        <w:spacing w:line="520" w:lineRule="exact"/>
        <w:ind w:firstLine="420" w:firstLineChars="200"/>
        <w:rPr>
          <w:rFonts w:hint="eastAsia" w:ascii="仿宋" w:hAnsi="仿宋" w:eastAsia="仿宋" w:cs="仿宋"/>
          <w:sz w:val="21"/>
          <w:szCs w:val="21"/>
          <w:highlight w:val="none"/>
        </w:rPr>
      </w:pPr>
    </w:p>
    <w:p w14:paraId="30059E22">
      <w:pPr>
        <w:pStyle w:val="54"/>
        <w:snapToGrid w:val="0"/>
        <w:spacing w:line="520" w:lineRule="exact"/>
        <w:ind w:firstLine="420" w:firstLineChars="200"/>
        <w:rPr>
          <w:rFonts w:hint="eastAsia" w:ascii="仿宋" w:hAnsi="仿宋" w:eastAsia="仿宋" w:cs="仿宋"/>
          <w:sz w:val="21"/>
          <w:szCs w:val="21"/>
          <w:highlight w:val="none"/>
        </w:rPr>
      </w:pPr>
    </w:p>
    <w:p w14:paraId="029B6C85">
      <w:pPr>
        <w:snapToGrid w:val="0"/>
        <w:spacing w:line="480" w:lineRule="exact"/>
        <w:ind w:firstLine="2730" w:firstLineChars="130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名称：</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（盖章）</w:t>
      </w:r>
    </w:p>
    <w:p w14:paraId="0129F48A">
      <w:pPr>
        <w:snapToGrid w:val="0"/>
        <w:spacing w:line="48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法定代表人（负责人）：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（签字或盖章）  </w:t>
      </w:r>
    </w:p>
    <w:p w14:paraId="3D1CFD05">
      <w:pPr>
        <w:spacing w:line="480" w:lineRule="exact"/>
        <w:rPr>
          <w:rFonts w:hint="eastAsia" w:ascii="仿宋" w:hAnsi="仿宋" w:eastAsia="仿宋" w:cs="仿宋"/>
          <w:sz w:val="24"/>
          <w:highlight w:val="none"/>
        </w:rPr>
      </w:pPr>
      <w:r>
        <w:rPr>
          <w:rFonts w:hint="eastAsia" w:ascii="仿宋" w:hAnsi="仿宋" w:eastAsia="仿宋" w:cs="仿宋"/>
          <w:sz w:val="21"/>
          <w:szCs w:val="21"/>
          <w:highlight w:val="none"/>
        </w:rPr>
        <w:t xml:space="preserve">                          日      期：</w:t>
      </w:r>
    </w:p>
    <w:p w14:paraId="4C8BFBBA">
      <w:pPr>
        <w:spacing w:line="480" w:lineRule="exact"/>
        <w:rPr>
          <w:rFonts w:hint="eastAsia" w:ascii="仿宋" w:hAnsi="仿宋" w:eastAsia="仿宋" w:cs="仿宋"/>
          <w:b/>
          <w:sz w:val="24"/>
          <w:highlight w:val="none"/>
        </w:rPr>
      </w:pPr>
    </w:p>
    <w:p w14:paraId="05A9E1DA">
      <w:pPr>
        <w:spacing w:line="480" w:lineRule="exact"/>
        <w:jc w:val="center"/>
        <w:rPr>
          <w:rFonts w:hint="eastAsia" w:ascii="仿宋" w:hAnsi="仿宋" w:eastAsia="仿宋" w:cs="仿宋"/>
          <w:b/>
          <w:highlight w:val="none"/>
        </w:rPr>
      </w:pPr>
    </w:p>
    <w:p w14:paraId="0707817B">
      <w:pPr>
        <w:rPr>
          <w:rFonts w:hint="eastAsia" w:ascii="仿宋" w:hAnsi="仿宋" w:eastAsia="仿宋" w:cs="仿宋"/>
          <w:b/>
          <w:highlight w:val="none"/>
        </w:rPr>
      </w:pPr>
      <w:r>
        <w:rPr>
          <w:rFonts w:hint="eastAsia" w:ascii="仿宋" w:hAnsi="仿宋" w:eastAsia="仿宋" w:cs="仿宋"/>
          <w:b/>
          <w:highlight w:val="none"/>
        </w:rPr>
        <w:br w:type="page"/>
      </w:r>
    </w:p>
    <w:p w14:paraId="630DB3FD">
      <w:pPr>
        <w:snapToGrid w:val="0"/>
        <w:spacing w:line="360" w:lineRule="auto"/>
        <w:rPr>
          <w:rFonts w:hint="eastAsia" w:ascii="仿宋" w:hAnsi="仿宋" w:eastAsia="仿宋" w:cs="仿宋"/>
          <w:b/>
          <w:kern w:val="0"/>
          <w:sz w:val="24"/>
          <w:highlight w:val="none"/>
          <w:lang w:val="en-US" w:eastAsia="zh-CN"/>
        </w:rPr>
      </w:pPr>
      <w:r>
        <w:rPr>
          <w:rFonts w:hint="eastAsia" w:ascii="仿宋" w:hAnsi="仿宋" w:eastAsia="仿宋" w:cs="仿宋"/>
          <w:b/>
          <w:kern w:val="0"/>
          <w:sz w:val="24"/>
          <w:highlight w:val="none"/>
          <w:lang w:val="en-US" w:eastAsia="zh-CN"/>
        </w:rPr>
        <w:t>格式六：开户许可证或基本存款账户信息</w:t>
      </w:r>
      <w:r>
        <w:rPr>
          <w:rFonts w:hint="eastAsia" w:ascii="仿宋" w:hAnsi="仿宋" w:eastAsia="仿宋" w:cs="仿宋"/>
          <w:b/>
          <w:kern w:val="0"/>
          <w:sz w:val="24"/>
          <w:highlight w:val="none"/>
          <w:lang w:val="en-US" w:eastAsia="zh-CN"/>
        </w:rPr>
        <w:br w:type="page"/>
      </w:r>
    </w:p>
    <w:p w14:paraId="70FC7BA3">
      <w:pPr>
        <w:tabs>
          <w:tab w:val="left" w:pos="730"/>
        </w:tabs>
        <w:snapToGrid w:val="0"/>
        <w:spacing w:line="400" w:lineRule="exact"/>
        <w:jc w:val="both"/>
        <w:rPr>
          <w:rFonts w:hint="eastAsia" w:ascii="仿宋" w:hAnsi="仿宋" w:eastAsia="仿宋" w:cs="仿宋"/>
          <w:b/>
          <w:kern w:val="0"/>
          <w:sz w:val="24"/>
          <w:highlight w:val="none"/>
          <w:lang w:val="en-US" w:eastAsia="zh-CN"/>
        </w:rPr>
      </w:pPr>
      <w:r>
        <w:rPr>
          <w:rFonts w:hint="eastAsia" w:ascii="仿宋" w:hAnsi="仿宋" w:eastAsia="仿宋" w:cs="仿宋"/>
          <w:b/>
          <w:kern w:val="0"/>
          <w:sz w:val="24"/>
          <w:highlight w:val="none"/>
          <w:lang w:val="en-US" w:eastAsia="zh-CN"/>
        </w:rPr>
        <w:t>格式七：投标人交纳投标保证金的汇款凭证</w:t>
      </w:r>
    </w:p>
    <w:p w14:paraId="2F04DDEB">
      <w:pPr>
        <w:rPr>
          <w:rFonts w:hint="eastAsia" w:ascii="仿宋" w:hAnsi="仿宋" w:eastAsia="仿宋" w:cs="仿宋"/>
          <w:b/>
          <w:highlight w:val="none"/>
        </w:rPr>
      </w:pPr>
      <w:r>
        <w:rPr>
          <w:rFonts w:hint="eastAsia" w:ascii="仿宋" w:hAnsi="仿宋" w:eastAsia="仿宋" w:cs="仿宋"/>
          <w:b/>
          <w:kern w:val="0"/>
          <w:sz w:val="24"/>
          <w:highlight w:val="none"/>
          <w:lang w:val="en-US" w:eastAsia="zh-CN"/>
        </w:rPr>
        <w:br w:type="page"/>
      </w:r>
    </w:p>
    <w:p w14:paraId="5DC90640">
      <w:pPr>
        <w:tabs>
          <w:tab w:val="left" w:pos="730"/>
        </w:tabs>
        <w:snapToGrid w:val="0"/>
        <w:spacing w:line="400" w:lineRule="exact"/>
        <w:jc w:val="both"/>
        <w:rPr>
          <w:rFonts w:hint="eastAsia" w:ascii="仿宋" w:hAnsi="仿宋" w:eastAsia="仿宋" w:cs="仿宋"/>
          <w:b/>
          <w:kern w:val="0"/>
          <w:sz w:val="24"/>
          <w:highlight w:val="none"/>
          <w:lang w:val="en-US" w:eastAsia="zh-CN"/>
        </w:rPr>
      </w:pPr>
      <w:r>
        <w:rPr>
          <w:rFonts w:hint="eastAsia" w:ascii="仿宋" w:hAnsi="仿宋" w:eastAsia="仿宋" w:cs="仿宋"/>
          <w:b/>
          <w:kern w:val="0"/>
          <w:sz w:val="24"/>
          <w:highlight w:val="none"/>
          <w:lang w:val="en-US" w:eastAsia="zh-CN"/>
        </w:rPr>
        <w:t>格式八：投标人认为需要提供的其他资格证明文件</w:t>
      </w:r>
    </w:p>
    <w:p w14:paraId="0BE80EC3">
      <w:pPr>
        <w:spacing w:line="480" w:lineRule="exact"/>
        <w:rPr>
          <w:rFonts w:hint="eastAsia" w:ascii="仿宋" w:hAnsi="仿宋" w:eastAsia="仿宋" w:cs="仿宋"/>
          <w:b/>
          <w:sz w:val="28"/>
          <w:szCs w:val="28"/>
          <w:highlight w:val="none"/>
        </w:rPr>
      </w:pPr>
    </w:p>
    <w:p w14:paraId="31D418D7">
      <w:pPr>
        <w:spacing w:line="480" w:lineRule="exact"/>
        <w:rPr>
          <w:rFonts w:hint="eastAsia" w:ascii="仿宋" w:hAnsi="仿宋" w:eastAsia="仿宋" w:cs="仿宋"/>
          <w:b/>
          <w:sz w:val="28"/>
          <w:szCs w:val="28"/>
          <w:highlight w:val="none"/>
        </w:rPr>
      </w:pPr>
    </w:p>
    <w:p w14:paraId="5A6407B2">
      <w:pPr>
        <w:spacing w:line="480" w:lineRule="exact"/>
        <w:rPr>
          <w:rFonts w:hint="eastAsia" w:ascii="仿宋" w:hAnsi="仿宋" w:eastAsia="仿宋" w:cs="仿宋"/>
          <w:b/>
          <w:sz w:val="28"/>
          <w:szCs w:val="28"/>
          <w:highlight w:val="none"/>
        </w:rPr>
      </w:pPr>
    </w:p>
    <w:p w14:paraId="15E07786">
      <w:pPr>
        <w:spacing w:line="480" w:lineRule="exact"/>
        <w:rPr>
          <w:rFonts w:hint="eastAsia" w:ascii="仿宋" w:hAnsi="仿宋" w:eastAsia="仿宋" w:cs="仿宋"/>
          <w:b/>
          <w:sz w:val="28"/>
          <w:szCs w:val="28"/>
          <w:highlight w:val="none"/>
        </w:rPr>
      </w:pPr>
    </w:p>
    <w:p w14:paraId="31939896">
      <w:pPr>
        <w:spacing w:line="480" w:lineRule="exact"/>
        <w:rPr>
          <w:rFonts w:hint="eastAsia" w:ascii="仿宋" w:hAnsi="仿宋" w:eastAsia="仿宋" w:cs="仿宋"/>
          <w:b/>
          <w:sz w:val="28"/>
          <w:szCs w:val="28"/>
          <w:highlight w:val="none"/>
        </w:rPr>
      </w:pPr>
    </w:p>
    <w:p w14:paraId="204E08BE">
      <w:pPr>
        <w:spacing w:line="480" w:lineRule="exact"/>
        <w:rPr>
          <w:rFonts w:hint="eastAsia" w:ascii="仿宋" w:hAnsi="仿宋" w:eastAsia="仿宋" w:cs="仿宋"/>
          <w:b/>
          <w:sz w:val="28"/>
          <w:szCs w:val="28"/>
          <w:highlight w:val="none"/>
        </w:rPr>
      </w:pPr>
    </w:p>
    <w:p w14:paraId="0C4E9B00">
      <w:pPr>
        <w:spacing w:line="480" w:lineRule="exact"/>
        <w:rPr>
          <w:rFonts w:hint="eastAsia" w:ascii="仿宋" w:hAnsi="仿宋" w:eastAsia="仿宋" w:cs="仿宋"/>
          <w:b/>
          <w:sz w:val="28"/>
          <w:szCs w:val="28"/>
          <w:highlight w:val="none"/>
        </w:rPr>
      </w:pPr>
    </w:p>
    <w:p w14:paraId="71365DBB">
      <w:pPr>
        <w:spacing w:line="480" w:lineRule="exact"/>
        <w:rPr>
          <w:rFonts w:hint="eastAsia" w:ascii="仿宋" w:hAnsi="仿宋" w:eastAsia="仿宋" w:cs="仿宋"/>
          <w:b/>
          <w:sz w:val="28"/>
          <w:szCs w:val="28"/>
          <w:highlight w:val="none"/>
        </w:rPr>
      </w:pPr>
    </w:p>
    <w:p w14:paraId="7775370C">
      <w:pPr>
        <w:spacing w:line="480" w:lineRule="exact"/>
        <w:rPr>
          <w:rFonts w:hint="eastAsia" w:ascii="仿宋" w:hAnsi="仿宋" w:eastAsia="仿宋" w:cs="仿宋"/>
          <w:b/>
          <w:sz w:val="28"/>
          <w:szCs w:val="28"/>
          <w:highlight w:val="none"/>
        </w:rPr>
      </w:pPr>
    </w:p>
    <w:p w14:paraId="22E16E6F">
      <w:pPr>
        <w:spacing w:line="480" w:lineRule="exact"/>
        <w:rPr>
          <w:rFonts w:hint="eastAsia" w:ascii="仿宋" w:hAnsi="仿宋" w:eastAsia="仿宋" w:cs="仿宋"/>
          <w:b/>
          <w:sz w:val="28"/>
          <w:szCs w:val="28"/>
          <w:highlight w:val="none"/>
        </w:rPr>
      </w:pPr>
    </w:p>
    <w:p w14:paraId="304A680C">
      <w:pPr>
        <w:spacing w:line="480" w:lineRule="exact"/>
        <w:rPr>
          <w:rFonts w:hint="eastAsia" w:ascii="仿宋" w:hAnsi="仿宋" w:eastAsia="仿宋" w:cs="仿宋"/>
          <w:b/>
          <w:sz w:val="28"/>
          <w:szCs w:val="28"/>
          <w:highlight w:val="none"/>
        </w:rPr>
      </w:pPr>
    </w:p>
    <w:p w14:paraId="146BDD5F">
      <w:pPr>
        <w:spacing w:line="480" w:lineRule="exact"/>
        <w:rPr>
          <w:rFonts w:hint="eastAsia" w:ascii="仿宋" w:hAnsi="仿宋" w:eastAsia="仿宋" w:cs="仿宋"/>
          <w:b/>
          <w:sz w:val="28"/>
          <w:szCs w:val="28"/>
          <w:highlight w:val="none"/>
        </w:rPr>
      </w:pPr>
    </w:p>
    <w:p w14:paraId="3598C1F0">
      <w:pPr>
        <w:spacing w:line="48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2D3F7619">
      <w:pPr>
        <w:pStyle w:val="16"/>
        <w:jc w:val="center"/>
        <w:rPr>
          <w:rFonts w:hint="eastAsia" w:ascii="仿宋" w:hAnsi="仿宋" w:eastAsia="仿宋" w:cs="仿宋"/>
          <w:highlight w:val="none"/>
        </w:rPr>
      </w:pPr>
    </w:p>
    <w:p w14:paraId="59DE9EE5">
      <w:pPr>
        <w:spacing w:line="480" w:lineRule="exact"/>
        <w:jc w:val="center"/>
        <w:rPr>
          <w:rFonts w:hint="eastAsia" w:ascii="仿宋" w:hAnsi="仿宋" w:eastAsia="仿宋" w:cs="仿宋"/>
          <w:b/>
          <w:sz w:val="28"/>
          <w:szCs w:val="28"/>
          <w:highlight w:val="none"/>
        </w:rPr>
      </w:pPr>
    </w:p>
    <w:p w14:paraId="08DDB127">
      <w:pPr>
        <w:spacing w:line="480" w:lineRule="exact"/>
        <w:jc w:val="center"/>
        <w:rPr>
          <w:rFonts w:hint="eastAsia" w:ascii="仿宋" w:hAnsi="仿宋" w:eastAsia="仿宋" w:cs="仿宋"/>
          <w:b/>
          <w:sz w:val="28"/>
          <w:szCs w:val="28"/>
          <w:highlight w:val="none"/>
        </w:rPr>
      </w:pPr>
    </w:p>
    <w:p w14:paraId="245D28E6">
      <w:pPr>
        <w:spacing w:line="480" w:lineRule="exact"/>
        <w:jc w:val="center"/>
        <w:rPr>
          <w:rFonts w:hint="eastAsia" w:ascii="仿宋" w:hAnsi="仿宋" w:eastAsia="仿宋" w:cs="仿宋"/>
          <w:b/>
          <w:sz w:val="28"/>
          <w:szCs w:val="28"/>
          <w:highlight w:val="none"/>
        </w:rPr>
      </w:pPr>
    </w:p>
    <w:p w14:paraId="0AFA1685">
      <w:pPr>
        <w:spacing w:line="480" w:lineRule="exact"/>
        <w:jc w:val="center"/>
        <w:rPr>
          <w:rFonts w:hint="eastAsia" w:ascii="仿宋" w:hAnsi="仿宋" w:eastAsia="仿宋" w:cs="仿宋"/>
          <w:b/>
          <w:sz w:val="28"/>
          <w:szCs w:val="28"/>
          <w:highlight w:val="none"/>
        </w:rPr>
      </w:pPr>
    </w:p>
    <w:p w14:paraId="4DB6E2B0">
      <w:pPr>
        <w:spacing w:line="480" w:lineRule="exact"/>
        <w:jc w:val="center"/>
        <w:rPr>
          <w:rFonts w:hint="eastAsia" w:ascii="仿宋" w:hAnsi="仿宋" w:eastAsia="仿宋" w:cs="仿宋"/>
          <w:b/>
          <w:sz w:val="28"/>
          <w:szCs w:val="28"/>
          <w:highlight w:val="none"/>
        </w:rPr>
      </w:pPr>
    </w:p>
    <w:p w14:paraId="463F2BD4">
      <w:pPr>
        <w:pStyle w:val="16"/>
        <w:jc w:val="center"/>
        <w:rPr>
          <w:rFonts w:hint="eastAsia" w:ascii="仿宋" w:hAnsi="仿宋" w:eastAsia="仿宋" w:cs="仿宋"/>
          <w:highlight w:val="none"/>
        </w:rPr>
      </w:pPr>
    </w:p>
    <w:p w14:paraId="6B18F5C0">
      <w:pPr>
        <w:spacing w:line="480" w:lineRule="exact"/>
        <w:jc w:val="center"/>
        <w:rPr>
          <w:rFonts w:hint="eastAsia" w:ascii="仿宋" w:hAnsi="仿宋" w:eastAsia="仿宋" w:cs="仿宋"/>
          <w:b/>
          <w:sz w:val="28"/>
          <w:szCs w:val="28"/>
          <w:highlight w:val="none"/>
        </w:rPr>
      </w:pPr>
    </w:p>
    <w:p w14:paraId="256D9581">
      <w:pPr>
        <w:spacing w:line="480" w:lineRule="exact"/>
        <w:jc w:val="center"/>
        <w:rPr>
          <w:rFonts w:hint="eastAsia" w:ascii="仿宋" w:hAnsi="仿宋" w:eastAsia="仿宋" w:cs="仿宋"/>
          <w:b/>
          <w:sz w:val="28"/>
          <w:szCs w:val="28"/>
          <w:highlight w:val="none"/>
        </w:rPr>
      </w:pPr>
    </w:p>
    <w:p w14:paraId="0BA68682">
      <w:pPr>
        <w:spacing w:line="480" w:lineRule="exact"/>
        <w:jc w:val="center"/>
        <w:rPr>
          <w:rFonts w:hint="eastAsia" w:ascii="仿宋" w:hAnsi="仿宋" w:eastAsia="仿宋" w:cs="仿宋"/>
          <w:b/>
          <w:sz w:val="28"/>
          <w:szCs w:val="28"/>
          <w:highlight w:val="none"/>
        </w:rPr>
      </w:pPr>
    </w:p>
    <w:p w14:paraId="61BD8B47">
      <w:pPr>
        <w:spacing w:line="480" w:lineRule="exact"/>
        <w:jc w:val="center"/>
        <w:rPr>
          <w:rFonts w:hint="eastAsia" w:ascii="仿宋" w:hAnsi="仿宋" w:eastAsia="仿宋" w:cs="仿宋"/>
          <w:b/>
          <w:sz w:val="28"/>
          <w:szCs w:val="28"/>
          <w:highlight w:val="none"/>
        </w:rPr>
      </w:pPr>
    </w:p>
    <w:p w14:paraId="7AA2AF75">
      <w:pPr>
        <w:snapToGrid w:val="0"/>
        <w:spacing w:before="312" w:beforeLines="100" w:after="312" w:afterLines="100" w:line="480" w:lineRule="exact"/>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rPr>
        <w:t>商务、技术文件部分</w:t>
      </w:r>
    </w:p>
    <w:bookmarkEnd w:id="37"/>
    <w:p w14:paraId="058810A0">
      <w:pPr>
        <w:spacing w:line="480" w:lineRule="exact"/>
        <w:jc w:val="center"/>
        <w:rPr>
          <w:rFonts w:hint="eastAsia" w:ascii="仿宋" w:hAnsi="仿宋" w:eastAsia="仿宋" w:cs="仿宋"/>
          <w:b/>
          <w:highlight w:val="none"/>
        </w:rPr>
      </w:pPr>
    </w:p>
    <w:p w14:paraId="6F50058B">
      <w:pPr>
        <w:pStyle w:val="16"/>
        <w:rPr>
          <w:rFonts w:hint="eastAsia" w:ascii="仿宋" w:hAnsi="仿宋" w:eastAsia="仿宋" w:cs="仿宋"/>
          <w:highlight w:val="none"/>
        </w:rPr>
      </w:pPr>
    </w:p>
    <w:p w14:paraId="5E8C8420">
      <w:pPr>
        <w:pStyle w:val="16"/>
        <w:rPr>
          <w:rFonts w:hint="eastAsia" w:ascii="仿宋" w:hAnsi="仿宋" w:eastAsia="仿宋" w:cs="仿宋"/>
          <w:highlight w:val="none"/>
        </w:rPr>
      </w:pPr>
    </w:p>
    <w:p w14:paraId="2F35E80D">
      <w:pPr>
        <w:pStyle w:val="16"/>
        <w:rPr>
          <w:rFonts w:hint="eastAsia" w:ascii="仿宋" w:hAnsi="仿宋" w:eastAsia="仿宋" w:cs="仿宋"/>
          <w:highlight w:val="none"/>
        </w:rPr>
      </w:pPr>
    </w:p>
    <w:p w14:paraId="28EC99BA">
      <w:pPr>
        <w:pStyle w:val="16"/>
        <w:rPr>
          <w:rFonts w:hint="eastAsia" w:ascii="仿宋" w:hAnsi="仿宋" w:eastAsia="仿宋" w:cs="仿宋"/>
          <w:highlight w:val="none"/>
        </w:rPr>
      </w:pPr>
    </w:p>
    <w:p w14:paraId="07E7F7F0">
      <w:pPr>
        <w:pStyle w:val="16"/>
        <w:rPr>
          <w:rFonts w:hint="eastAsia" w:ascii="仿宋" w:hAnsi="仿宋" w:eastAsia="仿宋" w:cs="仿宋"/>
          <w:highlight w:val="none"/>
        </w:rPr>
      </w:pPr>
    </w:p>
    <w:p w14:paraId="7BB2C2E7">
      <w:pPr>
        <w:pStyle w:val="16"/>
        <w:rPr>
          <w:rFonts w:hint="eastAsia" w:ascii="仿宋" w:hAnsi="仿宋" w:eastAsia="仿宋" w:cs="仿宋"/>
          <w:highlight w:val="none"/>
        </w:rPr>
      </w:pPr>
    </w:p>
    <w:p w14:paraId="177D0739">
      <w:pPr>
        <w:pStyle w:val="16"/>
        <w:rPr>
          <w:rFonts w:hint="eastAsia" w:ascii="仿宋" w:hAnsi="仿宋" w:eastAsia="仿宋" w:cs="仿宋"/>
          <w:highlight w:val="none"/>
        </w:rPr>
      </w:pPr>
    </w:p>
    <w:p w14:paraId="7FF788AC">
      <w:pPr>
        <w:pStyle w:val="16"/>
        <w:rPr>
          <w:rFonts w:hint="eastAsia" w:ascii="仿宋" w:hAnsi="仿宋" w:eastAsia="仿宋" w:cs="仿宋"/>
          <w:highlight w:val="none"/>
        </w:rPr>
      </w:pPr>
    </w:p>
    <w:p w14:paraId="4EDD7D24">
      <w:pPr>
        <w:pStyle w:val="16"/>
        <w:rPr>
          <w:rFonts w:hint="eastAsia" w:ascii="仿宋" w:hAnsi="仿宋" w:eastAsia="仿宋" w:cs="仿宋"/>
          <w:highlight w:val="none"/>
        </w:rPr>
      </w:pPr>
    </w:p>
    <w:p w14:paraId="6D20DF56">
      <w:pPr>
        <w:pStyle w:val="16"/>
        <w:rPr>
          <w:rFonts w:hint="eastAsia" w:ascii="仿宋" w:hAnsi="仿宋" w:eastAsia="仿宋" w:cs="仿宋"/>
          <w:highlight w:val="none"/>
        </w:rPr>
      </w:pPr>
    </w:p>
    <w:p w14:paraId="2AE3A251">
      <w:pPr>
        <w:pStyle w:val="16"/>
        <w:rPr>
          <w:rFonts w:hint="eastAsia" w:ascii="仿宋" w:hAnsi="仿宋" w:eastAsia="仿宋" w:cs="仿宋"/>
          <w:highlight w:val="none"/>
        </w:rPr>
      </w:pPr>
    </w:p>
    <w:p w14:paraId="47BF21D7">
      <w:pPr>
        <w:pStyle w:val="16"/>
        <w:rPr>
          <w:rFonts w:hint="eastAsia" w:ascii="仿宋" w:hAnsi="仿宋" w:eastAsia="仿宋" w:cs="仿宋"/>
          <w:highlight w:val="none"/>
        </w:rPr>
      </w:pPr>
    </w:p>
    <w:p w14:paraId="11A3BFFE">
      <w:pPr>
        <w:pStyle w:val="16"/>
        <w:rPr>
          <w:rFonts w:hint="eastAsia" w:ascii="仿宋" w:hAnsi="仿宋" w:eastAsia="仿宋" w:cs="仿宋"/>
          <w:highlight w:val="none"/>
        </w:rPr>
      </w:pPr>
    </w:p>
    <w:p w14:paraId="260E16B2">
      <w:pPr>
        <w:pStyle w:val="16"/>
        <w:rPr>
          <w:rFonts w:hint="eastAsia" w:ascii="仿宋" w:hAnsi="仿宋" w:eastAsia="仿宋" w:cs="仿宋"/>
          <w:highlight w:val="none"/>
        </w:rPr>
      </w:pPr>
    </w:p>
    <w:p w14:paraId="04BEB912">
      <w:pPr>
        <w:pStyle w:val="16"/>
        <w:rPr>
          <w:rFonts w:hint="eastAsia" w:ascii="仿宋" w:hAnsi="仿宋" w:eastAsia="仿宋" w:cs="仿宋"/>
          <w:highlight w:val="none"/>
        </w:rPr>
      </w:pPr>
    </w:p>
    <w:p w14:paraId="5ACC6D4E">
      <w:pPr>
        <w:rPr>
          <w:rFonts w:hint="eastAsia" w:ascii="仿宋" w:hAnsi="仿宋" w:eastAsia="仿宋" w:cs="仿宋"/>
          <w:b/>
          <w:highlight w:val="none"/>
        </w:rPr>
      </w:pPr>
      <w:r>
        <w:rPr>
          <w:rFonts w:hint="eastAsia" w:ascii="仿宋" w:hAnsi="仿宋" w:eastAsia="仿宋" w:cs="仿宋"/>
          <w:b/>
          <w:highlight w:val="none"/>
        </w:rPr>
        <w:br w:type="page"/>
      </w:r>
    </w:p>
    <w:p w14:paraId="1F0D0D52">
      <w:pPr>
        <w:adjustRightInd w:val="0"/>
        <w:snapToGrid w:val="0"/>
        <w:spacing w:line="480" w:lineRule="exact"/>
        <w:jc w:val="both"/>
        <w:textAlignment w:val="baseline"/>
        <w:rPr>
          <w:rFonts w:hint="eastAsia" w:ascii="仿宋" w:hAnsi="仿宋" w:eastAsia="仿宋" w:cs="仿宋"/>
          <w:b/>
          <w:highlight w:val="none"/>
        </w:rPr>
      </w:pPr>
      <w:r>
        <w:rPr>
          <w:rFonts w:hint="eastAsia" w:ascii="仿宋" w:hAnsi="仿宋" w:eastAsia="仿宋" w:cs="仿宋"/>
          <w:b/>
          <w:sz w:val="24"/>
          <w:szCs w:val="24"/>
          <w:highlight w:val="none"/>
          <w:lang w:val="en-US" w:eastAsia="zh-CN"/>
        </w:rPr>
        <w:t>格式九：</w:t>
      </w:r>
      <w:r>
        <w:rPr>
          <w:rFonts w:hint="eastAsia" w:ascii="仿宋" w:hAnsi="仿宋" w:eastAsia="仿宋" w:cs="仿宋"/>
          <w:b/>
          <w:sz w:val="24"/>
          <w:szCs w:val="24"/>
          <w:highlight w:val="none"/>
        </w:rPr>
        <w:t>法定代表人身份证明书</w:t>
      </w:r>
    </w:p>
    <w:p w14:paraId="16B26787">
      <w:pPr>
        <w:spacing w:line="480" w:lineRule="exact"/>
        <w:ind w:firstLine="570"/>
        <w:jc w:val="center"/>
        <w:rPr>
          <w:rFonts w:hint="eastAsia" w:ascii="仿宋" w:hAnsi="仿宋" w:eastAsia="仿宋" w:cs="仿宋"/>
          <w:b/>
          <w:bCs/>
          <w:highlight w:val="none"/>
        </w:rPr>
      </w:pPr>
    </w:p>
    <w:p w14:paraId="68FE9511">
      <w:pPr>
        <w:wordWrap w:val="0"/>
        <w:topLinePunct/>
        <w:spacing w:line="480" w:lineRule="exact"/>
        <w:rPr>
          <w:rFonts w:hint="eastAsia" w:ascii="仿宋" w:hAnsi="仿宋" w:eastAsia="仿宋" w:cs="仿宋"/>
          <w:szCs w:val="21"/>
          <w:highlight w:val="none"/>
          <w:u w:val="single"/>
        </w:rPr>
      </w:pPr>
      <w:r>
        <w:rPr>
          <w:rFonts w:hint="eastAsia" w:ascii="仿宋" w:hAnsi="仿宋" w:eastAsia="仿宋" w:cs="仿宋"/>
          <w:szCs w:val="21"/>
          <w:highlight w:val="none"/>
        </w:rPr>
        <w:t xml:space="preserve">    单位名称：</w:t>
      </w:r>
      <w:r>
        <w:rPr>
          <w:rFonts w:hint="eastAsia" w:ascii="仿宋" w:hAnsi="仿宋" w:eastAsia="仿宋" w:cs="仿宋"/>
          <w:szCs w:val="21"/>
          <w:highlight w:val="none"/>
          <w:u w:val="single"/>
        </w:rPr>
        <w:t xml:space="preserve">                                                                 </w:t>
      </w:r>
    </w:p>
    <w:p w14:paraId="44F8FC46">
      <w:pPr>
        <w:wordWrap w:val="0"/>
        <w:topLinePunct/>
        <w:spacing w:line="480" w:lineRule="exact"/>
        <w:rPr>
          <w:rFonts w:hint="eastAsia" w:ascii="仿宋" w:hAnsi="仿宋" w:eastAsia="仿宋" w:cs="仿宋"/>
          <w:szCs w:val="21"/>
          <w:highlight w:val="none"/>
        </w:rPr>
      </w:pPr>
      <w:r>
        <w:rPr>
          <w:rFonts w:hint="eastAsia" w:ascii="仿宋" w:hAnsi="仿宋" w:eastAsia="仿宋" w:cs="仿宋"/>
          <w:szCs w:val="21"/>
          <w:highlight w:val="none"/>
        </w:rPr>
        <w:t xml:space="preserve">    单位性质：</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60000CA9">
      <w:pPr>
        <w:wordWrap w:val="0"/>
        <w:topLinePunct/>
        <w:spacing w:line="480" w:lineRule="exact"/>
        <w:ind w:firstLine="480"/>
        <w:rPr>
          <w:rFonts w:hint="eastAsia" w:ascii="仿宋" w:hAnsi="仿宋" w:eastAsia="仿宋" w:cs="仿宋"/>
          <w:szCs w:val="21"/>
          <w:highlight w:val="none"/>
          <w:u w:val="single"/>
        </w:rPr>
      </w:pPr>
      <w:r>
        <w:rPr>
          <w:rFonts w:hint="eastAsia" w:ascii="仿宋" w:hAnsi="仿宋" w:eastAsia="仿宋" w:cs="仿宋"/>
          <w:szCs w:val="21"/>
          <w:highlight w:val="none"/>
        </w:rPr>
        <w:t>地    址：</w:t>
      </w:r>
      <w:r>
        <w:rPr>
          <w:rFonts w:hint="eastAsia" w:ascii="仿宋" w:hAnsi="仿宋" w:eastAsia="仿宋" w:cs="仿宋"/>
          <w:szCs w:val="21"/>
          <w:highlight w:val="none"/>
          <w:u w:val="single"/>
        </w:rPr>
        <w:t xml:space="preserve">                                                                 </w:t>
      </w:r>
    </w:p>
    <w:p w14:paraId="65B857E1">
      <w:pPr>
        <w:wordWrap w:val="0"/>
        <w:topLinePunct/>
        <w:spacing w:line="480" w:lineRule="exact"/>
        <w:rPr>
          <w:rFonts w:hint="eastAsia" w:ascii="仿宋" w:hAnsi="仿宋" w:eastAsia="仿宋" w:cs="仿宋"/>
          <w:szCs w:val="21"/>
          <w:highlight w:val="none"/>
        </w:rPr>
      </w:pPr>
      <w:r>
        <w:rPr>
          <w:rFonts w:hint="eastAsia" w:ascii="仿宋" w:hAnsi="仿宋" w:eastAsia="仿宋" w:cs="仿宋"/>
          <w:szCs w:val="21"/>
          <w:highlight w:val="none"/>
        </w:rPr>
        <w:t xml:space="preserve">    成立时间：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57F7A3C6">
      <w:pPr>
        <w:wordWrap w:val="0"/>
        <w:topLinePunct/>
        <w:spacing w:line="480" w:lineRule="exact"/>
        <w:ind w:firstLine="480"/>
        <w:rPr>
          <w:rFonts w:hint="eastAsia" w:ascii="仿宋" w:hAnsi="仿宋" w:eastAsia="仿宋" w:cs="仿宋"/>
          <w:szCs w:val="21"/>
          <w:highlight w:val="none"/>
          <w:u w:val="single"/>
        </w:rPr>
      </w:pPr>
      <w:r>
        <w:rPr>
          <w:rFonts w:hint="eastAsia" w:ascii="仿宋" w:hAnsi="仿宋" w:eastAsia="仿宋" w:cs="仿宋"/>
          <w:szCs w:val="21"/>
          <w:highlight w:val="none"/>
        </w:rPr>
        <w:t xml:space="preserve">经营期限： </w:t>
      </w:r>
      <w:r>
        <w:rPr>
          <w:rFonts w:hint="eastAsia" w:ascii="仿宋" w:hAnsi="仿宋" w:eastAsia="仿宋" w:cs="仿宋"/>
          <w:szCs w:val="21"/>
          <w:highlight w:val="none"/>
          <w:u w:val="single"/>
        </w:rPr>
        <w:t xml:space="preserve">                                                                </w:t>
      </w:r>
    </w:p>
    <w:p w14:paraId="301A046E">
      <w:pPr>
        <w:wordWrap w:val="0"/>
        <w:topLinePunct/>
        <w:spacing w:line="480" w:lineRule="exact"/>
        <w:ind w:firstLine="480"/>
        <w:rPr>
          <w:rFonts w:hint="eastAsia" w:ascii="仿宋" w:hAnsi="仿宋" w:eastAsia="仿宋" w:cs="仿宋"/>
          <w:szCs w:val="21"/>
          <w:highlight w:val="none"/>
        </w:rPr>
      </w:pPr>
      <w:r>
        <w:rPr>
          <w:rFonts w:hint="eastAsia" w:ascii="仿宋" w:hAnsi="仿宋" w:eastAsia="仿宋" w:cs="仿宋"/>
          <w:szCs w:val="21"/>
          <w:highlight w:val="none"/>
        </w:rPr>
        <w:t>姓    名：</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性  别：</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4504F206">
      <w:pPr>
        <w:wordWrap w:val="0"/>
        <w:topLinePunct/>
        <w:spacing w:line="480" w:lineRule="exact"/>
        <w:ind w:firstLine="126" w:firstLineChars="60"/>
        <w:rPr>
          <w:rFonts w:hint="eastAsia" w:ascii="仿宋" w:hAnsi="仿宋" w:eastAsia="仿宋" w:cs="仿宋"/>
          <w:szCs w:val="21"/>
          <w:highlight w:val="none"/>
        </w:rPr>
      </w:pPr>
      <w:r>
        <w:rPr>
          <w:rFonts w:hint="eastAsia" w:ascii="仿宋" w:hAnsi="仿宋" w:eastAsia="仿宋" w:cs="仿宋"/>
          <w:szCs w:val="21"/>
          <w:highlight w:val="none"/>
        </w:rPr>
        <w:t xml:space="preserve">   身份证号：</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职  务：</w:t>
      </w:r>
      <w:r>
        <w:rPr>
          <w:rFonts w:hint="eastAsia" w:ascii="仿宋" w:hAnsi="仿宋" w:eastAsia="仿宋" w:cs="仿宋"/>
          <w:szCs w:val="21"/>
          <w:highlight w:val="none"/>
          <w:u w:val="single"/>
        </w:rPr>
        <w:t xml:space="preserve">                       </w:t>
      </w:r>
    </w:p>
    <w:p w14:paraId="74513F04">
      <w:pPr>
        <w:wordWrap w:val="0"/>
        <w:topLinePunct/>
        <w:spacing w:line="480" w:lineRule="exact"/>
        <w:rPr>
          <w:rFonts w:hint="eastAsia" w:ascii="仿宋" w:hAnsi="仿宋" w:eastAsia="仿宋" w:cs="仿宋"/>
          <w:szCs w:val="21"/>
          <w:highlight w:val="none"/>
        </w:rPr>
      </w:pPr>
      <w:r>
        <w:rPr>
          <w:rFonts w:hint="eastAsia" w:ascii="仿宋" w:hAnsi="仿宋" w:eastAsia="仿宋" w:cs="仿宋"/>
          <w:szCs w:val="21"/>
          <w:highlight w:val="none"/>
        </w:rPr>
        <w:t xml:space="preserve">    系</w:t>
      </w:r>
      <w:r>
        <w:rPr>
          <w:rFonts w:hint="eastAsia" w:ascii="仿宋" w:hAnsi="仿宋" w:eastAsia="仿宋" w:cs="仿宋"/>
          <w:szCs w:val="21"/>
          <w:highlight w:val="none"/>
          <w:u w:val="single"/>
        </w:rPr>
        <w:t xml:space="preserve">       （投标人名称）                   </w:t>
      </w:r>
      <w:r>
        <w:rPr>
          <w:rFonts w:hint="eastAsia" w:ascii="仿宋" w:hAnsi="仿宋" w:eastAsia="仿宋" w:cs="仿宋"/>
          <w:szCs w:val="21"/>
          <w:highlight w:val="none"/>
        </w:rPr>
        <w:t>的法定代表人。</w:t>
      </w:r>
    </w:p>
    <w:p w14:paraId="0C2C50A2">
      <w:pPr>
        <w:wordWrap w:val="0"/>
        <w:topLinePunct/>
        <w:spacing w:line="480" w:lineRule="exact"/>
        <w:rPr>
          <w:rFonts w:hint="eastAsia" w:ascii="仿宋" w:hAnsi="仿宋" w:eastAsia="仿宋" w:cs="仿宋"/>
          <w:szCs w:val="21"/>
          <w:highlight w:val="none"/>
        </w:rPr>
      </w:pPr>
      <w:r>
        <w:rPr>
          <w:rFonts w:hint="eastAsia" w:ascii="仿宋" w:hAnsi="仿宋" w:eastAsia="仿宋" w:cs="仿宋"/>
          <w:szCs w:val="21"/>
          <w:highlight w:val="none"/>
        </w:rPr>
        <w:t xml:space="preserve">     </w:t>
      </w:r>
    </w:p>
    <w:p w14:paraId="3676AEBB">
      <w:pPr>
        <w:wordWrap w:val="0"/>
        <w:topLinePunct/>
        <w:spacing w:line="480" w:lineRule="exact"/>
        <w:ind w:firstLine="840" w:firstLineChars="400"/>
        <w:rPr>
          <w:rFonts w:hint="eastAsia" w:ascii="仿宋" w:hAnsi="仿宋" w:eastAsia="仿宋" w:cs="仿宋"/>
          <w:szCs w:val="21"/>
          <w:highlight w:val="none"/>
        </w:rPr>
      </w:pPr>
      <w:r>
        <w:rPr>
          <w:rFonts w:hint="eastAsia" w:ascii="仿宋" w:hAnsi="仿宋" w:eastAsia="仿宋" w:cs="仿宋"/>
          <w:szCs w:val="21"/>
          <w:highlight w:val="none"/>
        </w:rPr>
        <w:t xml:space="preserve"> 特此证明。</w:t>
      </w:r>
    </w:p>
    <w:p w14:paraId="5E189343">
      <w:pPr>
        <w:wordWrap w:val="0"/>
        <w:topLinePunct/>
        <w:spacing w:line="480" w:lineRule="exact"/>
        <w:rPr>
          <w:rFonts w:hint="eastAsia" w:ascii="仿宋" w:hAnsi="仿宋" w:eastAsia="仿宋" w:cs="仿宋"/>
          <w:szCs w:val="21"/>
          <w:highlight w:val="none"/>
        </w:rPr>
      </w:pPr>
      <w:r>
        <w:rPr>
          <w:rFonts w:hint="eastAsia" w:ascii="仿宋" w:hAnsi="仿宋" w:eastAsia="仿宋" w:cs="仿宋"/>
          <w:szCs w:val="21"/>
          <w:highlight w:val="none"/>
        </w:rPr>
        <w:t xml:space="preserve">   </w:t>
      </w:r>
    </w:p>
    <w:p w14:paraId="31645EAE">
      <w:pPr>
        <w:tabs>
          <w:tab w:val="left" w:pos="4857"/>
        </w:tabs>
        <w:wordWrap w:val="0"/>
        <w:topLinePunct/>
        <w:snapToGrid w:val="0"/>
        <w:spacing w:line="480" w:lineRule="exact"/>
        <w:rPr>
          <w:rFonts w:hint="eastAsia" w:ascii="仿宋" w:hAnsi="仿宋" w:eastAsia="仿宋" w:cs="仿宋"/>
          <w:szCs w:val="21"/>
          <w:highlight w:val="none"/>
        </w:rPr>
      </w:pPr>
      <w:r>
        <w:rPr>
          <w:rFonts w:hint="eastAsia" w:ascii="仿宋" w:hAnsi="仿宋" w:eastAsia="仿宋" w:cs="仿宋"/>
          <w:szCs w:val="21"/>
          <w:highlight w:val="none"/>
        </w:rPr>
        <w:tab/>
      </w:r>
      <w:r>
        <w:rPr>
          <w:rFonts w:hint="eastAsia" w:ascii="仿宋" w:hAnsi="仿宋" w:eastAsia="仿宋" w:cs="仿宋"/>
          <w:szCs w:val="21"/>
          <w:highlight w:val="none"/>
        </w:rPr>
        <w:t>投标人（盖单位公章）：</w:t>
      </w:r>
    </w:p>
    <w:p w14:paraId="5E1D3234">
      <w:pPr>
        <w:tabs>
          <w:tab w:val="left" w:pos="4000"/>
        </w:tabs>
        <w:wordWrap w:val="0"/>
        <w:topLinePunct/>
        <w:snapToGrid w:val="0"/>
        <w:spacing w:line="480" w:lineRule="exact"/>
        <w:ind w:firstLine="4830" w:firstLineChars="2300"/>
        <w:rPr>
          <w:rFonts w:hint="eastAsia" w:ascii="仿宋" w:hAnsi="仿宋" w:eastAsia="仿宋" w:cs="仿宋"/>
          <w:szCs w:val="21"/>
          <w:highlight w:val="none"/>
        </w:rPr>
      </w:pPr>
      <w:r>
        <w:rPr>
          <w:rFonts w:hint="eastAsia" w:ascii="仿宋" w:hAnsi="仿宋" w:eastAsia="仿宋" w:cs="仿宋"/>
          <w:szCs w:val="21"/>
          <w:highlight w:val="none"/>
        </w:rPr>
        <w:t>法定代表人(签字)：</w:t>
      </w:r>
    </w:p>
    <w:p w14:paraId="5B3596DB">
      <w:pPr>
        <w:tabs>
          <w:tab w:val="left" w:pos="4863"/>
        </w:tabs>
        <w:wordWrap w:val="0"/>
        <w:topLinePunct/>
        <w:snapToGrid w:val="0"/>
        <w:spacing w:line="480" w:lineRule="exact"/>
        <w:rPr>
          <w:rFonts w:hint="eastAsia" w:ascii="仿宋" w:hAnsi="仿宋" w:eastAsia="仿宋" w:cs="仿宋"/>
          <w:szCs w:val="21"/>
          <w:highlight w:val="none"/>
        </w:rPr>
      </w:pPr>
      <w:r>
        <w:rPr>
          <w:rFonts w:hint="eastAsia" w:ascii="仿宋" w:hAnsi="仿宋" w:eastAsia="仿宋" w:cs="仿宋"/>
          <w:szCs w:val="21"/>
          <w:highlight w:val="none"/>
        </w:rPr>
        <w:tab/>
      </w:r>
      <w:r>
        <w:rPr>
          <w:rFonts w:hint="eastAsia" w:ascii="仿宋" w:hAnsi="仿宋" w:eastAsia="仿宋" w:cs="仿宋"/>
          <w:szCs w:val="21"/>
          <w:highlight w:val="none"/>
        </w:rPr>
        <w:t>日　期：</w:t>
      </w:r>
    </w:p>
    <w:p w14:paraId="42F50802">
      <w:pPr>
        <w:tabs>
          <w:tab w:val="left" w:pos="4863"/>
        </w:tabs>
        <w:wordWrap w:val="0"/>
        <w:topLinePunct/>
        <w:snapToGrid w:val="0"/>
        <w:spacing w:line="480" w:lineRule="exact"/>
        <w:rPr>
          <w:rFonts w:hint="eastAsia" w:ascii="仿宋" w:hAnsi="仿宋" w:eastAsia="仿宋" w:cs="仿宋"/>
          <w:szCs w:val="21"/>
          <w:highlight w:val="none"/>
        </w:rPr>
      </w:pPr>
    </w:p>
    <w:p w14:paraId="2DC0F6BA">
      <w:pPr>
        <w:spacing w:line="480" w:lineRule="exact"/>
        <w:rPr>
          <w:rFonts w:hint="eastAsia" w:ascii="仿宋" w:hAnsi="仿宋" w:eastAsia="仿宋" w:cs="仿宋"/>
          <w:b/>
          <w:szCs w:val="21"/>
          <w:highlight w:val="none"/>
        </w:rPr>
      </w:pPr>
      <w:r>
        <w:rPr>
          <w:rFonts w:hint="eastAsia" w:ascii="仿宋" w:hAnsi="仿宋" w:eastAsia="仿宋" w:cs="仿宋"/>
          <w:b/>
          <w:szCs w:val="21"/>
          <w:highlight w:val="none"/>
        </w:rPr>
        <w:t>附法定代表人有效的身份证正反两面扫描件。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6"/>
        <w:gridCol w:w="4496"/>
      </w:tblGrid>
      <w:tr w14:paraId="64D9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496" w:type="dxa"/>
            <w:noWrap w:val="0"/>
            <w:vAlign w:val="top"/>
          </w:tcPr>
          <w:p w14:paraId="54C910E8">
            <w:pPr>
              <w:spacing w:line="480" w:lineRule="exact"/>
              <w:rPr>
                <w:rFonts w:hint="eastAsia" w:ascii="仿宋" w:hAnsi="仿宋" w:eastAsia="仿宋" w:cs="仿宋"/>
                <w:b/>
                <w:szCs w:val="21"/>
                <w:highlight w:val="none"/>
              </w:rPr>
            </w:pPr>
          </w:p>
        </w:tc>
        <w:tc>
          <w:tcPr>
            <w:tcW w:w="4496" w:type="dxa"/>
            <w:noWrap w:val="0"/>
            <w:vAlign w:val="top"/>
          </w:tcPr>
          <w:p w14:paraId="4F2BBA7B">
            <w:pPr>
              <w:spacing w:line="480" w:lineRule="exact"/>
              <w:rPr>
                <w:rFonts w:hint="eastAsia" w:ascii="仿宋" w:hAnsi="仿宋" w:eastAsia="仿宋" w:cs="仿宋"/>
                <w:b/>
                <w:szCs w:val="21"/>
                <w:highlight w:val="none"/>
              </w:rPr>
            </w:pPr>
          </w:p>
        </w:tc>
      </w:tr>
    </w:tbl>
    <w:p w14:paraId="6B2B6965">
      <w:pPr>
        <w:adjustRightInd w:val="0"/>
        <w:snapToGrid w:val="0"/>
        <w:spacing w:line="480" w:lineRule="exact"/>
        <w:ind w:left="720"/>
        <w:jc w:val="left"/>
        <w:textAlignment w:val="baseline"/>
        <w:rPr>
          <w:rFonts w:hint="eastAsia" w:ascii="仿宋" w:hAnsi="仿宋" w:eastAsia="仿宋" w:cs="仿宋"/>
          <w:b/>
          <w:highlight w:val="none"/>
        </w:rPr>
      </w:pPr>
    </w:p>
    <w:p w14:paraId="4537F1BC">
      <w:pPr>
        <w:adjustRightInd w:val="0"/>
        <w:snapToGrid w:val="0"/>
        <w:spacing w:line="480" w:lineRule="exact"/>
        <w:jc w:val="both"/>
        <w:textAlignment w:val="baseline"/>
        <w:rPr>
          <w:rFonts w:hint="eastAsia" w:ascii="仿宋" w:hAnsi="仿宋" w:eastAsia="仿宋" w:cs="仿宋"/>
          <w:b/>
          <w:sz w:val="24"/>
          <w:szCs w:val="24"/>
          <w:highlight w:val="none"/>
          <w:lang w:val="en-US" w:eastAsia="zh-CN"/>
        </w:rPr>
      </w:pPr>
      <w:r>
        <w:rPr>
          <w:rFonts w:hint="eastAsia" w:ascii="仿宋" w:hAnsi="仿宋" w:eastAsia="仿宋" w:cs="仿宋"/>
          <w:b/>
          <w:highlight w:val="none"/>
        </w:rPr>
        <w:br w:type="page"/>
      </w:r>
      <w:r>
        <w:rPr>
          <w:rFonts w:hint="eastAsia" w:ascii="仿宋" w:hAnsi="仿宋" w:eastAsia="仿宋" w:cs="仿宋"/>
          <w:b/>
          <w:sz w:val="24"/>
          <w:szCs w:val="24"/>
          <w:highlight w:val="none"/>
          <w:lang w:val="en-US" w:eastAsia="zh-CN"/>
        </w:rPr>
        <w:t>格式十：法定代表人授权委托书</w:t>
      </w:r>
    </w:p>
    <w:p w14:paraId="4004ED0F">
      <w:pPr>
        <w:snapToGrid w:val="0"/>
        <w:spacing w:line="480" w:lineRule="exact"/>
        <w:rPr>
          <w:rFonts w:hint="eastAsia" w:ascii="仿宋" w:hAnsi="仿宋" w:eastAsia="仿宋" w:cs="仿宋"/>
          <w:b/>
          <w:highlight w:val="none"/>
        </w:rPr>
      </w:pPr>
    </w:p>
    <w:p w14:paraId="0DB977C5">
      <w:pPr>
        <w:snapToGrid w:val="0"/>
        <w:spacing w:line="460" w:lineRule="exact"/>
        <w:rPr>
          <w:rFonts w:hint="eastAsia" w:ascii="仿宋" w:hAnsi="仿宋" w:eastAsia="仿宋" w:cs="仿宋"/>
          <w:b/>
          <w:szCs w:val="21"/>
          <w:highlight w:val="none"/>
          <w:u w:val="single"/>
          <w:lang w:val="en-US" w:eastAsia="zh-CN"/>
        </w:rPr>
      </w:pPr>
      <w:r>
        <w:rPr>
          <w:rFonts w:hint="eastAsia" w:ascii="仿宋" w:hAnsi="仿宋" w:eastAsia="仿宋" w:cs="仿宋"/>
          <w:szCs w:val="21"/>
          <w:highlight w:val="none"/>
          <w:lang w:eastAsia="zh-CN"/>
        </w:rPr>
        <w:t>采购人</w:t>
      </w:r>
      <w:r>
        <w:rPr>
          <w:rFonts w:hint="eastAsia" w:ascii="仿宋" w:hAnsi="仿宋" w:eastAsia="仿宋" w:cs="仿宋"/>
          <w:b/>
          <w:szCs w:val="21"/>
          <w:highlight w:val="none"/>
        </w:rPr>
        <w:t>：</w:t>
      </w:r>
      <w:r>
        <w:rPr>
          <w:rFonts w:hint="eastAsia" w:ascii="仿宋" w:hAnsi="仿宋" w:eastAsia="仿宋" w:cs="仿宋"/>
          <w:b/>
          <w:szCs w:val="21"/>
          <w:highlight w:val="none"/>
          <w:u w:val="single"/>
          <w:lang w:val="en-US" w:eastAsia="zh-CN"/>
        </w:rPr>
        <w:t xml:space="preserve">              </w:t>
      </w:r>
    </w:p>
    <w:p w14:paraId="1ED76131">
      <w:pPr>
        <w:wordWrap w:val="0"/>
        <w:topLinePunct/>
        <w:snapToGrid w:val="0"/>
        <w:spacing w:line="460" w:lineRule="exact"/>
        <w:rPr>
          <w:rFonts w:hint="eastAsia" w:ascii="仿宋" w:hAnsi="仿宋" w:eastAsia="仿宋" w:cs="仿宋"/>
          <w:szCs w:val="21"/>
          <w:highlight w:val="none"/>
        </w:rPr>
      </w:pPr>
      <w:r>
        <w:rPr>
          <w:rFonts w:hint="eastAsia" w:ascii="仿宋" w:hAnsi="仿宋" w:eastAsia="仿宋" w:cs="仿宋"/>
          <w:szCs w:val="21"/>
          <w:highlight w:val="none"/>
        </w:rPr>
        <w:t xml:space="preserve">    本授权委托书声明：注册于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（投标人住址）的</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（投标人名称）法定代表人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（法定代表人姓名、职务、身份证号）代表本公司授权</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（投标人代表姓名、职务、身份证号）为本公司的合法代理人，就贵方组织的项目名称：</w:t>
      </w:r>
      <w:r>
        <w:rPr>
          <w:rFonts w:hint="eastAsia" w:ascii="仿宋" w:hAnsi="仿宋" w:eastAsia="仿宋" w:cs="仿宋"/>
          <w:b/>
          <w:szCs w:val="21"/>
          <w:highlight w:val="none"/>
          <w:u w:val="single"/>
        </w:rPr>
        <w:t xml:space="preserve">                      </w:t>
      </w:r>
      <w:r>
        <w:rPr>
          <w:rFonts w:hint="eastAsia" w:ascii="仿宋" w:hAnsi="仿宋" w:eastAsia="仿宋" w:cs="仿宋"/>
          <w:szCs w:val="21"/>
          <w:highlight w:val="none"/>
        </w:rPr>
        <w:t>，</w:t>
      </w:r>
      <w:r>
        <w:rPr>
          <w:rFonts w:hint="eastAsia" w:ascii="仿宋" w:hAnsi="仿宋" w:eastAsia="仿宋" w:cs="仿宋"/>
          <w:szCs w:val="21"/>
          <w:highlight w:val="none"/>
          <w:lang w:eastAsia="zh-CN"/>
        </w:rPr>
        <w:t>项目编号</w:t>
      </w:r>
      <w:r>
        <w:rPr>
          <w:rFonts w:hint="eastAsia" w:ascii="仿宋" w:hAnsi="仿宋" w:eastAsia="仿宋" w:cs="仿宋"/>
          <w:szCs w:val="21"/>
          <w:highlight w:val="none"/>
        </w:rPr>
        <w:t>：</w:t>
      </w:r>
      <w:r>
        <w:rPr>
          <w:rFonts w:hint="eastAsia" w:ascii="仿宋" w:hAnsi="仿宋" w:eastAsia="仿宋" w:cs="仿宋"/>
          <w:b/>
          <w:szCs w:val="21"/>
          <w:highlight w:val="none"/>
          <w:u w:val="single"/>
        </w:rPr>
        <w:t xml:space="preserve">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以本公司名义处理一切与之有关的事务。</w:t>
      </w:r>
    </w:p>
    <w:p w14:paraId="351566F5">
      <w:pPr>
        <w:snapToGrid w:val="0"/>
        <w:spacing w:line="460" w:lineRule="exact"/>
        <w:rPr>
          <w:rFonts w:hint="eastAsia" w:ascii="仿宋" w:hAnsi="仿宋" w:eastAsia="仿宋" w:cs="仿宋"/>
          <w:szCs w:val="21"/>
          <w:highlight w:val="none"/>
        </w:rPr>
      </w:pPr>
      <w:r>
        <w:rPr>
          <w:rFonts w:hint="eastAsia" w:ascii="仿宋" w:hAnsi="仿宋" w:eastAsia="仿宋" w:cs="仿宋"/>
          <w:szCs w:val="21"/>
          <w:highlight w:val="none"/>
        </w:rPr>
        <w:t xml:space="preserve">    本授权书于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日签字生效，特此声明。</w:t>
      </w:r>
    </w:p>
    <w:p w14:paraId="7A6E3174">
      <w:pPr>
        <w:tabs>
          <w:tab w:val="left" w:pos="4857"/>
        </w:tabs>
        <w:wordWrap w:val="0"/>
        <w:topLinePunct/>
        <w:snapToGrid w:val="0"/>
        <w:spacing w:line="480" w:lineRule="exact"/>
        <w:ind w:firstLine="4830" w:firstLineChars="2300"/>
        <w:rPr>
          <w:rFonts w:hint="eastAsia" w:ascii="仿宋" w:hAnsi="仿宋" w:eastAsia="仿宋" w:cs="仿宋"/>
          <w:szCs w:val="21"/>
          <w:highlight w:val="none"/>
        </w:rPr>
      </w:pPr>
    </w:p>
    <w:p w14:paraId="1A52E048">
      <w:pPr>
        <w:tabs>
          <w:tab w:val="left" w:pos="4857"/>
        </w:tabs>
        <w:wordWrap w:val="0"/>
        <w:topLinePunct/>
        <w:snapToGrid w:val="0"/>
        <w:spacing w:line="480" w:lineRule="exact"/>
        <w:ind w:firstLine="4830" w:firstLineChars="2300"/>
        <w:rPr>
          <w:rFonts w:hint="eastAsia" w:ascii="仿宋" w:hAnsi="仿宋" w:eastAsia="仿宋" w:cs="仿宋"/>
          <w:szCs w:val="21"/>
          <w:highlight w:val="none"/>
        </w:rPr>
      </w:pPr>
      <w:r>
        <w:rPr>
          <w:rFonts w:hint="eastAsia" w:ascii="仿宋" w:hAnsi="仿宋" w:eastAsia="仿宋" w:cs="仿宋"/>
          <w:szCs w:val="21"/>
          <w:highlight w:val="none"/>
        </w:rPr>
        <w:t>投标人（盖单位公章）：</w:t>
      </w:r>
    </w:p>
    <w:p w14:paraId="57559A1C">
      <w:pPr>
        <w:tabs>
          <w:tab w:val="left" w:pos="4000"/>
        </w:tabs>
        <w:wordWrap w:val="0"/>
        <w:topLinePunct/>
        <w:snapToGrid w:val="0"/>
        <w:spacing w:line="480" w:lineRule="exact"/>
        <w:ind w:firstLine="4830" w:firstLineChars="2300"/>
        <w:rPr>
          <w:rFonts w:hint="eastAsia" w:ascii="仿宋" w:hAnsi="仿宋" w:eastAsia="仿宋" w:cs="仿宋"/>
          <w:szCs w:val="21"/>
          <w:highlight w:val="none"/>
        </w:rPr>
      </w:pPr>
      <w:r>
        <w:rPr>
          <w:rFonts w:hint="eastAsia" w:ascii="仿宋" w:hAnsi="仿宋" w:eastAsia="仿宋" w:cs="仿宋"/>
          <w:szCs w:val="21"/>
          <w:highlight w:val="none"/>
        </w:rPr>
        <w:t>法定代表人(签字)：</w:t>
      </w:r>
    </w:p>
    <w:p w14:paraId="2F0D6A0D">
      <w:pPr>
        <w:tabs>
          <w:tab w:val="left" w:pos="4000"/>
        </w:tabs>
        <w:wordWrap w:val="0"/>
        <w:topLinePunct/>
        <w:snapToGrid w:val="0"/>
        <w:spacing w:line="480" w:lineRule="exact"/>
        <w:ind w:firstLine="4830" w:firstLineChars="2300"/>
        <w:rPr>
          <w:rFonts w:hint="eastAsia" w:ascii="仿宋" w:hAnsi="仿宋" w:eastAsia="仿宋" w:cs="仿宋"/>
          <w:szCs w:val="21"/>
          <w:highlight w:val="none"/>
        </w:rPr>
      </w:pPr>
      <w:r>
        <w:rPr>
          <w:rFonts w:hint="eastAsia" w:ascii="仿宋" w:hAnsi="仿宋" w:eastAsia="仿宋" w:cs="仿宋"/>
          <w:szCs w:val="21"/>
          <w:highlight w:val="none"/>
        </w:rPr>
        <w:t>授权代表(签字)：</w:t>
      </w:r>
    </w:p>
    <w:p w14:paraId="5E096FF6">
      <w:pPr>
        <w:tabs>
          <w:tab w:val="left" w:pos="4863"/>
        </w:tabs>
        <w:wordWrap w:val="0"/>
        <w:topLinePunct/>
        <w:snapToGrid w:val="0"/>
        <w:spacing w:line="480" w:lineRule="exact"/>
        <w:rPr>
          <w:rFonts w:hint="eastAsia" w:ascii="仿宋" w:hAnsi="仿宋" w:eastAsia="仿宋" w:cs="仿宋"/>
          <w:szCs w:val="21"/>
          <w:highlight w:val="none"/>
        </w:rPr>
      </w:pPr>
      <w:r>
        <w:rPr>
          <w:rFonts w:hint="eastAsia" w:ascii="仿宋" w:hAnsi="仿宋" w:eastAsia="仿宋" w:cs="仿宋"/>
          <w:szCs w:val="21"/>
          <w:highlight w:val="none"/>
        </w:rPr>
        <w:tab/>
      </w:r>
      <w:r>
        <w:rPr>
          <w:rFonts w:hint="eastAsia" w:ascii="仿宋" w:hAnsi="仿宋" w:eastAsia="仿宋" w:cs="仿宋"/>
          <w:szCs w:val="21"/>
          <w:highlight w:val="none"/>
        </w:rPr>
        <w:t>日　期：</w:t>
      </w:r>
    </w:p>
    <w:p w14:paraId="620BDF0E">
      <w:pPr>
        <w:tabs>
          <w:tab w:val="left" w:pos="4863"/>
        </w:tabs>
        <w:wordWrap w:val="0"/>
        <w:topLinePunct/>
        <w:snapToGrid w:val="0"/>
        <w:spacing w:line="480" w:lineRule="exact"/>
        <w:rPr>
          <w:rFonts w:hint="eastAsia" w:ascii="仿宋" w:hAnsi="仿宋" w:eastAsia="仿宋" w:cs="仿宋"/>
          <w:szCs w:val="21"/>
          <w:highlight w:val="none"/>
        </w:rPr>
      </w:pPr>
    </w:p>
    <w:p w14:paraId="3CF8A948">
      <w:pPr>
        <w:snapToGrid w:val="0"/>
        <w:spacing w:line="460" w:lineRule="exact"/>
        <w:rPr>
          <w:rFonts w:hint="eastAsia" w:ascii="仿宋" w:hAnsi="仿宋" w:eastAsia="仿宋" w:cs="仿宋"/>
          <w:szCs w:val="21"/>
          <w:highlight w:val="none"/>
        </w:rPr>
      </w:pPr>
      <w:r>
        <w:rPr>
          <w:rFonts w:hint="eastAsia" w:ascii="仿宋" w:hAnsi="仿宋" w:eastAsia="仿宋" w:cs="仿宋"/>
          <w:b/>
          <w:szCs w:val="21"/>
          <w:highlight w:val="none"/>
        </w:rPr>
        <w:t>附投标人代表有效的身份证正反两面扫描件：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0"/>
        <w:gridCol w:w="4590"/>
      </w:tblGrid>
      <w:tr w14:paraId="1C76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4590" w:type="dxa"/>
            <w:noWrap w:val="0"/>
            <w:vAlign w:val="top"/>
          </w:tcPr>
          <w:p w14:paraId="0E9BA1F6">
            <w:pPr>
              <w:spacing w:line="480" w:lineRule="exact"/>
              <w:rPr>
                <w:rFonts w:hint="eastAsia" w:ascii="仿宋" w:hAnsi="仿宋" w:eastAsia="仿宋" w:cs="仿宋"/>
                <w:b/>
                <w:szCs w:val="21"/>
                <w:highlight w:val="none"/>
              </w:rPr>
            </w:pPr>
          </w:p>
        </w:tc>
        <w:tc>
          <w:tcPr>
            <w:tcW w:w="4590" w:type="dxa"/>
            <w:noWrap w:val="0"/>
            <w:vAlign w:val="top"/>
          </w:tcPr>
          <w:p w14:paraId="20397744">
            <w:pPr>
              <w:spacing w:line="480" w:lineRule="exact"/>
              <w:rPr>
                <w:rFonts w:hint="eastAsia" w:ascii="仿宋" w:hAnsi="仿宋" w:eastAsia="仿宋" w:cs="仿宋"/>
                <w:b/>
                <w:szCs w:val="21"/>
                <w:highlight w:val="none"/>
              </w:rPr>
            </w:pPr>
          </w:p>
        </w:tc>
      </w:tr>
    </w:tbl>
    <w:p w14:paraId="5FD93F41">
      <w:pPr>
        <w:spacing w:line="600" w:lineRule="exact"/>
        <w:rPr>
          <w:rFonts w:hint="eastAsia" w:ascii="仿宋" w:hAnsi="仿宋" w:eastAsia="仿宋" w:cs="仿宋"/>
          <w:szCs w:val="21"/>
          <w:highlight w:val="none"/>
        </w:rPr>
      </w:pPr>
      <w:r>
        <w:rPr>
          <w:rFonts w:hint="eastAsia" w:ascii="仿宋" w:hAnsi="仿宋" w:eastAsia="仿宋" w:cs="仿宋"/>
          <w:szCs w:val="21"/>
          <w:highlight w:val="none"/>
        </w:rPr>
        <w:t>说明：1、除可填报项目外，对本授权委托书内容不可做实质性修改，从而导致该报价有可能被拒绝。</w:t>
      </w:r>
    </w:p>
    <w:p w14:paraId="688A4DCB">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2、法定代表人签字要求：要求所签字体必须工整且易于辩认，否则由此造成的报价被拒绝由报价单位自行承担。</w:t>
      </w:r>
    </w:p>
    <w:p w14:paraId="3D7CD602">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3、如投标人代表为法定代表人，此项不做要求。</w:t>
      </w:r>
    </w:p>
    <w:p w14:paraId="0358E349">
      <w:pPr>
        <w:spacing w:line="480" w:lineRule="exact"/>
        <w:rPr>
          <w:rFonts w:hint="eastAsia" w:ascii="仿宋" w:hAnsi="仿宋" w:eastAsia="仿宋" w:cs="仿宋"/>
          <w:szCs w:val="21"/>
          <w:highlight w:val="none"/>
        </w:rPr>
      </w:pPr>
    </w:p>
    <w:p w14:paraId="69671DAB">
      <w:pPr>
        <w:spacing w:line="480" w:lineRule="exact"/>
        <w:jc w:val="both"/>
        <w:rPr>
          <w:rFonts w:hint="eastAsia" w:ascii="仿宋" w:hAnsi="仿宋" w:eastAsia="仿宋" w:cs="仿宋"/>
          <w:b/>
          <w:sz w:val="24"/>
          <w:szCs w:val="24"/>
          <w:highlight w:val="none"/>
          <w:lang w:val="en-US" w:eastAsia="zh-CN"/>
        </w:rPr>
      </w:pPr>
      <w:r>
        <w:rPr>
          <w:rFonts w:hint="eastAsia" w:ascii="仿宋" w:hAnsi="仿宋" w:eastAsia="仿宋" w:cs="仿宋"/>
          <w:b/>
          <w:highlight w:val="none"/>
        </w:rPr>
        <w:br w:type="page"/>
      </w:r>
      <w:r>
        <w:rPr>
          <w:rFonts w:hint="eastAsia" w:ascii="仿宋" w:hAnsi="仿宋" w:eastAsia="仿宋" w:cs="仿宋"/>
          <w:b/>
          <w:sz w:val="24"/>
          <w:szCs w:val="24"/>
          <w:highlight w:val="none"/>
          <w:lang w:val="en-US" w:eastAsia="zh-CN"/>
        </w:rPr>
        <w:t>格式十一：投标函</w:t>
      </w:r>
    </w:p>
    <w:p w14:paraId="2D8C3B28">
      <w:pPr>
        <w:tabs>
          <w:tab w:val="left" w:pos="4860"/>
        </w:tabs>
        <w:spacing w:after="312" w:afterLines="100" w:line="480" w:lineRule="exact"/>
        <w:rPr>
          <w:rFonts w:hint="eastAsia" w:ascii="仿宋" w:hAnsi="仿宋" w:eastAsia="仿宋" w:cs="仿宋"/>
          <w:bCs/>
          <w:szCs w:val="21"/>
          <w:highlight w:val="none"/>
          <w:u w:val="single"/>
          <w:lang w:val="en-US" w:eastAsia="zh-CN"/>
        </w:rPr>
      </w:pPr>
      <w:r>
        <w:rPr>
          <w:rFonts w:hint="eastAsia" w:ascii="仿宋" w:hAnsi="仿宋" w:eastAsia="仿宋" w:cs="仿宋"/>
          <w:bCs/>
          <w:szCs w:val="21"/>
          <w:highlight w:val="none"/>
          <w:u w:val="none"/>
          <w:lang w:eastAsia="zh-CN"/>
        </w:rPr>
        <w:t>采购人</w:t>
      </w:r>
      <w:r>
        <w:rPr>
          <w:rFonts w:hint="eastAsia" w:ascii="仿宋" w:hAnsi="仿宋" w:eastAsia="仿宋" w:cs="仿宋"/>
          <w:bCs/>
          <w:szCs w:val="21"/>
          <w:highlight w:val="none"/>
          <w:u w:val="none"/>
        </w:rPr>
        <w:t>：</w:t>
      </w:r>
      <w:r>
        <w:rPr>
          <w:rFonts w:hint="eastAsia" w:ascii="仿宋" w:hAnsi="仿宋" w:eastAsia="仿宋" w:cs="仿宋"/>
          <w:bCs/>
          <w:szCs w:val="21"/>
          <w:highlight w:val="none"/>
          <w:u w:val="single"/>
          <w:lang w:val="en-US" w:eastAsia="zh-CN"/>
        </w:rPr>
        <w:t xml:space="preserve">                  </w:t>
      </w:r>
    </w:p>
    <w:p w14:paraId="5E5E845B">
      <w:pPr>
        <w:pStyle w:val="57"/>
        <w:snapToGrid w:val="0"/>
        <w:spacing w:line="44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 xml:space="preserve"> </w:t>
      </w:r>
      <w:r>
        <w:rPr>
          <w:rFonts w:hint="eastAsia" w:ascii="仿宋" w:hAnsi="仿宋" w:eastAsia="仿宋" w:cs="仿宋"/>
          <w:color w:val="000000"/>
          <w:sz w:val="21"/>
          <w:szCs w:val="21"/>
          <w:highlight w:val="none"/>
          <w:u w:val="single"/>
        </w:rPr>
        <w:t xml:space="preserve">                   </w:t>
      </w:r>
      <w:r>
        <w:rPr>
          <w:rFonts w:hint="eastAsia" w:ascii="仿宋" w:hAnsi="仿宋" w:eastAsia="仿宋" w:cs="仿宋"/>
          <w:kern w:val="0"/>
          <w:sz w:val="21"/>
          <w:szCs w:val="21"/>
          <w:highlight w:val="none"/>
        </w:rPr>
        <w:t>(投标人全称)授</w:t>
      </w:r>
      <w:r>
        <w:rPr>
          <w:rFonts w:hint="eastAsia" w:ascii="仿宋" w:hAnsi="仿宋" w:eastAsia="仿宋" w:cs="仿宋"/>
          <w:color w:val="000000"/>
          <w:sz w:val="21"/>
          <w:szCs w:val="21"/>
          <w:highlight w:val="none"/>
        </w:rPr>
        <w:t>权</w:t>
      </w:r>
      <w:r>
        <w:rPr>
          <w:rFonts w:hint="eastAsia" w:ascii="仿宋" w:hAnsi="仿宋" w:eastAsia="仿宋" w:cs="仿宋"/>
          <w:color w:val="000000"/>
          <w:sz w:val="21"/>
          <w:szCs w:val="21"/>
          <w:highlight w:val="none"/>
          <w:u w:val="single"/>
        </w:rPr>
        <w:t xml:space="preserve">         </w:t>
      </w:r>
      <w:r>
        <w:rPr>
          <w:rFonts w:hint="eastAsia" w:ascii="仿宋" w:hAnsi="仿宋" w:eastAsia="仿宋" w:cs="仿宋"/>
          <w:kern w:val="0"/>
          <w:sz w:val="21"/>
          <w:szCs w:val="21"/>
          <w:highlight w:val="none"/>
        </w:rPr>
        <w:t xml:space="preserve"> (投标人代表姓名)</w:t>
      </w:r>
      <w:r>
        <w:rPr>
          <w:rFonts w:hint="eastAsia" w:ascii="仿宋" w:hAnsi="仿宋" w:eastAsia="仿宋" w:cs="仿宋"/>
          <w:color w:val="000000"/>
          <w:sz w:val="21"/>
          <w:szCs w:val="21"/>
          <w:highlight w:val="none"/>
          <w:u w:val="single"/>
        </w:rPr>
        <w:t xml:space="preserve">            </w:t>
      </w:r>
      <w:r>
        <w:rPr>
          <w:rFonts w:hint="eastAsia" w:ascii="仿宋" w:hAnsi="仿宋" w:eastAsia="仿宋" w:cs="仿宋"/>
          <w:color w:val="000000"/>
          <w:sz w:val="21"/>
          <w:szCs w:val="21"/>
          <w:highlight w:val="none"/>
        </w:rPr>
        <w:t>(职务、职称)为我方代表，参加贵方组织的</w:t>
      </w:r>
      <w:r>
        <w:rPr>
          <w:rFonts w:hint="eastAsia" w:ascii="仿宋" w:hAnsi="仿宋" w:eastAsia="仿宋" w:cs="仿宋"/>
          <w:color w:val="000000"/>
          <w:sz w:val="21"/>
          <w:szCs w:val="21"/>
          <w:highlight w:val="none"/>
          <w:u w:val="single"/>
        </w:rPr>
        <w:t xml:space="preserve">                          </w:t>
      </w:r>
      <w:r>
        <w:rPr>
          <w:rFonts w:hint="eastAsia" w:ascii="仿宋" w:hAnsi="仿宋" w:eastAsia="仿宋" w:cs="仿宋"/>
          <w:color w:val="000000"/>
          <w:sz w:val="21"/>
          <w:szCs w:val="21"/>
          <w:highlight w:val="none"/>
        </w:rPr>
        <w:t>(项目名称、</w:t>
      </w:r>
      <w:r>
        <w:rPr>
          <w:rFonts w:hint="eastAsia" w:ascii="仿宋" w:hAnsi="仿宋" w:eastAsia="仿宋" w:cs="仿宋"/>
          <w:color w:val="000000"/>
          <w:sz w:val="21"/>
          <w:szCs w:val="21"/>
          <w:highlight w:val="none"/>
          <w:lang w:eastAsia="zh-CN"/>
        </w:rPr>
        <w:t>项目编号</w:t>
      </w:r>
      <w:r>
        <w:rPr>
          <w:rFonts w:hint="eastAsia" w:ascii="仿宋" w:hAnsi="仿宋" w:eastAsia="仿宋" w:cs="仿宋"/>
          <w:color w:val="000000"/>
          <w:sz w:val="21"/>
          <w:szCs w:val="21"/>
          <w:highlight w:val="none"/>
        </w:rPr>
        <w:t>)招标的有关活动，并对此项目进行投标。为此：</w:t>
      </w:r>
    </w:p>
    <w:p w14:paraId="4265A840">
      <w:pPr>
        <w:pStyle w:val="54"/>
        <w:tabs>
          <w:tab w:val="left" w:pos="1711"/>
        </w:tabs>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1、我方已仔细研究了本项目招标文件的全部内容，愿意以以下投标报价，按照招标文件要求及合同约定完成项目。</w:t>
      </w:r>
    </w:p>
    <w:p w14:paraId="61F2A84D">
      <w:pPr>
        <w:pStyle w:val="54"/>
        <w:tabs>
          <w:tab w:val="left" w:pos="1711"/>
        </w:tabs>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人民币（大写）</w:t>
      </w:r>
      <w:r>
        <w:rPr>
          <w:rFonts w:hint="eastAsia" w:ascii="仿宋" w:hAnsi="仿宋" w:eastAsia="仿宋" w:cs="仿宋"/>
          <w:highlight w:val="none"/>
          <w:u w:val="single"/>
        </w:rPr>
        <w:t xml:space="preserve">               </w:t>
      </w:r>
      <w:r>
        <w:rPr>
          <w:rFonts w:hint="eastAsia" w:ascii="仿宋" w:hAnsi="仿宋" w:eastAsia="仿宋" w:cs="仿宋"/>
          <w:highlight w:val="none"/>
        </w:rPr>
        <w:t>元</w:t>
      </w:r>
      <w:r>
        <w:rPr>
          <w:rFonts w:hint="eastAsia" w:ascii="仿宋" w:hAnsi="仿宋" w:eastAsia="仿宋" w:cs="仿宋"/>
          <w:highlight w:val="none"/>
          <w:lang w:val="en-US" w:eastAsia="zh-CN"/>
        </w:rPr>
        <w:t>/三年</w:t>
      </w:r>
      <w:r>
        <w:rPr>
          <w:rFonts w:hint="eastAsia" w:ascii="仿宋" w:hAnsi="仿宋" w:eastAsia="仿宋" w:cs="仿宋"/>
          <w:highlight w:val="none"/>
        </w:rPr>
        <w:t>（¥</w:t>
      </w:r>
      <w:r>
        <w:rPr>
          <w:rFonts w:hint="eastAsia" w:ascii="仿宋" w:hAnsi="仿宋" w:eastAsia="仿宋" w:cs="仿宋"/>
          <w:highlight w:val="none"/>
          <w:u w:val="single"/>
        </w:rPr>
        <w:t xml:space="preserve">               </w:t>
      </w:r>
      <w:r>
        <w:rPr>
          <w:rFonts w:hint="eastAsia" w:ascii="仿宋" w:hAnsi="仿宋" w:eastAsia="仿宋" w:cs="仿宋"/>
          <w:highlight w:val="none"/>
        </w:rPr>
        <w:t>元</w:t>
      </w:r>
      <w:r>
        <w:rPr>
          <w:rFonts w:hint="eastAsia" w:ascii="仿宋" w:hAnsi="仿宋" w:eastAsia="仿宋" w:cs="仿宋"/>
          <w:highlight w:val="none"/>
          <w:lang w:val="en-US" w:eastAsia="zh-CN"/>
        </w:rPr>
        <w:t>/三年</w:t>
      </w:r>
      <w:r>
        <w:rPr>
          <w:rFonts w:hint="eastAsia" w:ascii="仿宋" w:hAnsi="仿宋" w:eastAsia="仿宋" w:cs="仿宋"/>
          <w:highlight w:val="none"/>
        </w:rPr>
        <w:t>）</w:t>
      </w:r>
    </w:p>
    <w:p w14:paraId="40DA96E8">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2、我方同意在本项目招标文件中规定的投标文件有效期</w:t>
      </w:r>
      <w:r>
        <w:rPr>
          <w:rFonts w:hint="eastAsia" w:ascii="仿宋" w:hAnsi="仿宋" w:eastAsia="仿宋" w:cs="仿宋"/>
          <w:highlight w:val="none"/>
          <w:u w:val="single"/>
        </w:rPr>
        <w:t xml:space="preserve">         </w:t>
      </w:r>
      <w:r>
        <w:rPr>
          <w:rFonts w:hint="eastAsia" w:ascii="仿宋" w:hAnsi="仿宋" w:eastAsia="仿宋" w:cs="仿宋"/>
          <w:highlight w:val="none"/>
        </w:rPr>
        <w:t>个日历天内（自递交投标文件之日起计算）遵守本投标文件中的承诺且在此期限期满之前均具有约束力。如果中标，投标文件有效期延长至合同履约完毕。</w:t>
      </w:r>
    </w:p>
    <w:p w14:paraId="1A36F6C5">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3、我方承诺已经具备《中华人民共和国政府采购法》中规定的参加政府采购活动的</w:t>
      </w:r>
      <w:r>
        <w:rPr>
          <w:rFonts w:hint="eastAsia" w:ascii="仿宋" w:hAnsi="仿宋" w:eastAsia="仿宋" w:cs="仿宋"/>
          <w:highlight w:val="none"/>
          <w:lang w:eastAsia="zh-CN"/>
        </w:rPr>
        <w:t>投标人</w:t>
      </w:r>
      <w:r>
        <w:rPr>
          <w:rFonts w:hint="eastAsia" w:ascii="仿宋" w:hAnsi="仿宋" w:eastAsia="仿宋" w:cs="仿宋"/>
          <w:highlight w:val="none"/>
        </w:rPr>
        <w:t>应当具备的全部条件和本招标文件规定的特定资质要求。</w:t>
      </w:r>
    </w:p>
    <w:p w14:paraId="15B3B688">
      <w:pPr>
        <w:snapToGrid w:val="0"/>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4、提供投标须知规定的全部投标文件。</w:t>
      </w:r>
    </w:p>
    <w:p w14:paraId="3BAC4529">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5、按招标文件要求提供和交付的货物的投标报价详见开标一览表。</w:t>
      </w:r>
    </w:p>
    <w:p w14:paraId="112EF7B1">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6、我方承诺：完全理解投标报价超过招标文件公布的预算金额时，导致投标无效。</w:t>
      </w:r>
    </w:p>
    <w:p w14:paraId="0F81BE9F">
      <w:pPr>
        <w:pStyle w:val="54"/>
        <w:tabs>
          <w:tab w:val="left" w:pos="1680"/>
        </w:tabs>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7、保证忠实地执行双方所签订的合同，并承担合同规定的责任和义务。</w:t>
      </w:r>
    </w:p>
    <w:p w14:paraId="42C1F6B9">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8、承诺完全满足和响应招标文件中的各项商务和技术要求，若有偏差，已在投标文件偏离表中予以明确特别说明。</w:t>
      </w:r>
    </w:p>
    <w:p w14:paraId="410C40B9">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9、保证遵守招标文件的所有规定。</w:t>
      </w:r>
    </w:p>
    <w:p w14:paraId="1CA04F03">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10、保证在投标文件递交截止时间前，对所递交的投标文件进行补充、修改或者撤回时，我方会以书面形式通知</w:t>
      </w:r>
      <w:r>
        <w:rPr>
          <w:rFonts w:hint="eastAsia" w:ascii="仿宋" w:hAnsi="仿宋" w:eastAsia="仿宋" w:cs="仿宋"/>
          <w:highlight w:val="none"/>
          <w:lang w:eastAsia="zh-CN"/>
        </w:rPr>
        <w:t>招标代理机构</w:t>
      </w:r>
      <w:r>
        <w:rPr>
          <w:rFonts w:hint="eastAsia" w:ascii="仿宋" w:hAnsi="仿宋" w:eastAsia="仿宋" w:cs="仿宋"/>
          <w:highlight w:val="none"/>
        </w:rPr>
        <w:t>，否则可视为无效。</w:t>
      </w:r>
    </w:p>
    <w:p w14:paraId="110C36A5">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11、对贵方以书面(包括书面材料、信函、传真、电子邮件等)或以在本次招标公告刊登的媒体上发布的公告或与本项目有关的通知，我方会立即予以回复确认。若因登记有误或线路故障等其他原因导致通知延迟送达或无法送达，责任由我方自负。</w:t>
      </w:r>
    </w:p>
    <w:p w14:paraId="252AA319">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12、如果在开标后规定的投标有效期内撤回投标，我方的投标保证金可被贵方没收。</w:t>
      </w:r>
    </w:p>
    <w:p w14:paraId="1B0102FC">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13、我方完全理解贵方不一定接受最低价的投标或收到的任何投标。</w:t>
      </w:r>
    </w:p>
    <w:p w14:paraId="09F9518A">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14、我方愿意向贵方提供任何与本项投标有关的数据、情况和技术资料。若贵方需要，我方愿意提供我方做出的一切承诺的证明材料。</w:t>
      </w:r>
    </w:p>
    <w:p w14:paraId="76E9749C">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15、我方已详细审核全部投标文件，包括投标文件修改书（如有的话）、参考资料及有关附件，确认无误。</w:t>
      </w:r>
    </w:p>
    <w:p w14:paraId="2D18FD83">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16、我方承诺：</w:t>
      </w:r>
      <w:r>
        <w:rPr>
          <w:rFonts w:hint="eastAsia" w:ascii="仿宋" w:hAnsi="仿宋" w:eastAsia="仿宋" w:cs="仿宋"/>
          <w:highlight w:val="none"/>
          <w:lang w:eastAsia="zh-CN"/>
        </w:rPr>
        <w:t>采购人</w:t>
      </w:r>
      <w:r>
        <w:rPr>
          <w:rFonts w:hint="eastAsia" w:ascii="仿宋" w:hAnsi="仿宋" w:eastAsia="仿宋" w:cs="仿宋"/>
          <w:highlight w:val="none"/>
        </w:rPr>
        <w:t>若需追加采购本项目招标文件所列服务的，在不改变合同其他实质性条款的前提下，按相同或更优惠的折扣率保证完成。</w:t>
      </w:r>
    </w:p>
    <w:p w14:paraId="29DF8F38">
      <w:pPr>
        <w:pStyle w:val="54"/>
        <w:snapToGrid w:val="0"/>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17、我方承诺接受招标文件中合同全部条款且无任何异议。</w:t>
      </w:r>
    </w:p>
    <w:p w14:paraId="78AF02F4">
      <w:pPr>
        <w:snapToGrid w:val="0"/>
        <w:spacing w:line="480" w:lineRule="exact"/>
        <w:rPr>
          <w:rFonts w:hint="eastAsia" w:ascii="仿宋" w:hAnsi="仿宋" w:eastAsia="仿宋" w:cs="仿宋"/>
          <w:szCs w:val="21"/>
          <w:highlight w:val="none"/>
        </w:rPr>
      </w:pPr>
    </w:p>
    <w:p w14:paraId="751B68AA">
      <w:pPr>
        <w:snapToGrid w:val="0"/>
        <w:spacing w:line="480" w:lineRule="exact"/>
        <w:rPr>
          <w:rFonts w:hint="eastAsia" w:ascii="仿宋" w:hAnsi="仿宋" w:eastAsia="仿宋" w:cs="仿宋"/>
          <w:szCs w:val="21"/>
          <w:highlight w:val="none"/>
        </w:rPr>
      </w:pPr>
      <w:r>
        <w:rPr>
          <w:rFonts w:hint="eastAsia" w:ascii="仿宋" w:hAnsi="仿宋" w:eastAsia="仿宋" w:cs="仿宋"/>
          <w:szCs w:val="21"/>
          <w:highlight w:val="none"/>
        </w:rPr>
        <w:t>所有有关本次投标的一切往来联系方式为：</w:t>
      </w:r>
    </w:p>
    <w:p w14:paraId="6874F05A">
      <w:pPr>
        <w:snapToGrid w:val="0"/>
        <w:spacing w:line="600" w:lineRule="exact"/>
        <w:rPr>
          <w:rFonts w:hint="eastAsia" w:ascii="仿宋" w:hAnsi="仿宋" w:eastAsia="仿宋" w:cs="仿宋"/>
          <w:szCs w:val="21"/>
          <w:highlight w:val="none"/>
        </w:rPr>
      </w:pPr>
      <w:r>
        <w:rPr>
          <w:rFonts w:hint="eastAsia" w:ascii="仿宋" w:hAnsi="仿宋" w:eastAsia="仿宋" w:cs="仿宋"/>
          <w:szCs w:val="21"/>
          <w:highlight w:val="none"/>
        </w:rPr>
        <w:t>地址：</w:t>
      </w:r>
      <w:r>
        <w:rPr>
          <w:rFonts w:hint="eastAsia" w:ascii="仿宋" w:hAnsi="仿宋" w:eastAsia="仿宋" w:cs="仿宋"/>
          <w:szCs w:val="21"/>
          <w:highlight w:val="none"/>
        </w:rPr>
        <w:tab/>
      </w:r>
      <w:r>
        <w:rPr>
          <w:rFonts w:hint="eastAsia" w:ascii="仿宋" w:hAnsi="仿宋" w:eastAsia="仿宋" w:cs="仿宋"/>
          <w:szCs w:val="21"/>
          <w:highlight w:val="none"/>
        </w:rPr>
        <w:t xml:space="preserve">                            邮编：</w:t>
      </w:r>
      <w:r>
        <w:rPr>
          <w:rFonts w:hint="eastAsia" w:ascii="仿宋" w:hAnsi="仿宋" w:eastAsia="仿宋" w:cs="仿宋"/>
          <w:szCs w:val="21"/>
          <w:highlight w:val="none"/>
        </w:rPr>
        <w:tab/>
      </w:r>
    </w:p>
    <w:p w14:paraId="798B9024">
      <w:pPr>
        <w:snapToGrid w:val="0"/>
        <w:spacing w:line="600" w:lineRule="exact"/>
        <w:rPr>
          <w:rFonts w:hint="eastAsia" w:ascii="仿宋" w:hAnsi="仿宋" w:eastAsia="仿宋" w:cs="仿宋"/>
          <w:szCs w:val="21"/>
          <w:highlight w:val="none"/>
        </w:rPr>
      </w:pPr>
      <w:r>
        <w:rPr>
          <w:rFonts w:hint="eastAsia" w:ascii="仿宋" w:hAnsi="仿宋" w:eastAsia="仿宋" w:cs="仿宋"/>
          <w:szCs w:val="21"/>
          <w:highlight w:val="none"/>
        </w:rPr>
        <w:t>电话：</w:t>
      </w:r>
      <w:r>
        <w:rPr>
          <w:rFonts w:hint="eastAsia" w:ascii="仿宋" w:hAnsi="仿宋" w:eastAsia="仿宋" w:cs="仿宋"/>
          <w:szCs w:val="21"/>
          <w:highlight w:val="none"/>
        </w:rPr>
        <w:tab/>
      </w:r>
      <w:r>
        <w:rPr>
          <w:rFonts w:hint="eastAsia" w:ascii="仿宋" w:hAnsi="仿宋" w:eastAsia="仿宋" w:cs="仿宋"/>
          <w:szCs w:val="21"/>
          <w:highlight w:val="none"/>
        </w:rPr>
        <w:t xml:space="preserve">                            传真：</w:t>
      </w:r>
    </w:p>
    <w:p w14:paraId="1E6D297E">
      <w:pPr>
        <w:tabs>
          <w:tab w:val="left" w:pos="480"/>
        </w:tabs>
        <w:snapToGrid w:val="0"/>
        <w:spacing w:line="600" w:lineRule="exact"/>
        <w:rPr>
          <w:rFonts w:hint="eastAsia" w:ascii="仿宋" w:hAnsi="仿宋" w:eastAsia="仿宋" w:cs="仿宋"/>
          <w:szCs w:val="21"/>
          <w:highlight w:val="none"/>
        </w:rPr>
      </w:pPr>
      <w:r>
        <w:rPr>
          <w:rFonts w:hint="eastAsia" w:ascii="仿宋" w:hAnsi="仿宋" w:eastAsia="仿宋" w:cs="仿宋"/>
          <w:szCs w:val="21"/>
          <w:highlight w:val="none"/>
        </w:rPr>
        <w:t>投标人代表姓名：</w:t>
      </w:r>
    </w:p>
    <w:p w14:paraId="74A46F55">
      <w:pPr>
        <w:tabs>
          <w:tab w:val="left" w:pos="480"/>
        </w:tabs>
        <w:snapToGrid w:val="0"/>
        <w:spacing w:line="600" w:lineRule="exact"/>
        <w:rPr>
          <w:rFonts w:hint="eastAsia" w:ascii="仿宋" w:hAnsi="仿宋" w:eastAsia="仿宋" w:cs="仿宋"/>
          <w:szCs w:val="21"/>
          <w:highlight w:val="none"/>
        </w:rPr>
      </w:pPr>
      <w:r>
        <w:rPr>
          <w:rFonts w:hint="eastAsia" w:ascii="仿宋" w:hAnsi="仿宋" w:eastAsia="仿宋" w:cs="仿宋"/>
          <w:szCs w:val="21"/>
          <w:highlight w:val="none"/>
        </w:rPr>
        <w:t>投标人代表联系电话：      （办公）           （手机）</w:t>
      </w:r>
    </w:p>
    <w:p w14:paraId="7073F6AA">
      <w:pPr>
        <w:tabs>
          <w:tab w:val="left" w:pos="480"/>
        </w:tabs>
        <w:snapToGrid w:val="0"/>
        <w:spacing w:line="600" w:lineRule="exact"/>
        <w:rPr>
          <w:rFonts w:hint="eastAsia" w:ascii="仿宋" w:hAnsi="仿宋" w:eastAsia="仿宋" w:cs="仿宋"/>
          <w:szCs w:val="21"/>
          <w:highlight w:val="none"/>
        </w:rPr>
      </w:pPr>
      <w:r>
        <w:rPr>
          <w:rFonts w:hint="eastAsia" w:ascii="仿宋" w:hAnsi="仿宋" w:eastAsia="仿宋" w:cs="仿宋"/>
          <w:szCs w:val="21"/>
          <w:highlight w:val="none"/>
        </w:rPr>
        <w:t>E-mail：</w:t>
      </w:r>
    </w:p>
    <w:p w14:paraId="4CE302C7">
      <w:pPr>
        <w:snapToGrid w:val="0"/>
        <w:spacing w:line="360" w:lineRule="auto"/>
        <w:ind w:firstLine="420" w:firstLineChars="200"/>
        <w:rPr>
          <w:rFonts w:hint="eastAsia" w:ascii="仿宋" w:hAnsi="仿宋" w:eastAsia="仿宋" w:cs="仿宋"/>
          <w:szCs w:val="21"/>
          <w:highlight w:val="none"/>
          <w:u w:val="single"/>
        </w:rPr>
      </w:pPr>
    </w:p>
    <w:p w14:paraId="35FCB844">
      <w:pPr>
        <w:tabs>
          <w:tab w:val="left" w:pos="4857"/>
        </w:tabs>
        <w:wordWrap w:val="0"/>
        <w:topLinePunct/>
        <w:snapToGrid w:val="0"/>
        <w:spacing w:line="480" w:lineRule="exact"/>
        <w:ind w:firstLine="4830" w:firstLineChars="2300"/>
        <w:rPr>
          <w:rFonts w:hint="eastAsia" w:ascii="仿宋" w:hAnsi="仿宋" w:eastAsia="仿宋" w:cs="仿宋"/>
          <w:szCs w:val="21"/>
          <w:highlight w:val="none"/>
        </w:rPr>
      </w:pPr>
      <w:r>
        <w:rPr>
          <w:rFonts w:hint="eastAsia" w:ascii="仿宋" w:hAnsi="仿宋" w:eastAsia="仿宋" w:cs="仿宋"/>
          <w:szCs w:val="21"/>
          <w:highlight w:val="none"/>
        </w:rPr>
        <w:t>投标人（盖单位公章）：</w:t>
      </w:r>
    </w:p>
    <w:p w14:paraId="39B0F582">
      <w:pPr>
        <w:tabs>
          <w:tab w:val="left" w:pos="4857"/>
        </w:tabs>
        <w:wordWrap w:val="0"/>
        <w:topLinePunct/>
        <w:snapToGrid w:val="0"/>
        <w:spacing w:line="480" w:lineRule="exact"/>
        <w:ind w:firstLine="4830" w:firstLineChars="2300"/>
        <w:rPr>
          <w:rFonts w:hint="eastAsia" w:ascii="仿宋" w:hAnsi="仿宋" w:eastAsia="仿宋" w:cs="仿宋"/>
          <w:szCs w:val="21"/>
          <w:highlight w:val="none"/>
        </w:rPr>
      </w:pPr>
      <w:r>
        <w:rPr>
          <w:rFonts w:hint="eastAsia" w:ascii="仿宋" w:hAnsi="仿宋" w:eastAsia="仿宋" w:cs="仿宋"/>
          <w:szCs w:val="21"/>
          <w:highlight w:val="none"/>
        </w:rPr>
        <w:t>法定代表人或其授权人（签字</w:t>
      </w:r>
      <w:r>
        <w:rPr>
          <w:rFonts w:hint="eastAsia" w:ascii="仿宋" w:hAnsi="仿宋" w:eastAsia="仿宋" w:cs="仿宋"/>
          <w:szCs w:val="21"/>
          <w:highlight w:val="none"/>
          <w:lang w:val="en-US" w:eastAsia="zh-CN"/>
        </w:rPr>
        <w:t>或盖章</w:t>
      </w:r>
      <w:r>
        <w:rPr>
          <w:rFonts w:hint="eastAsia" w:ascii="仿宋" w:hAnsi="仿宋" w:eastAsia="仿宋" w:cs="仿宋"/>
          <w:szCs w:val="21"/>
          <w:highlight w:val="none"/>
        </w:rPr>
        <w:t>）：</w:t>
      </w:r>
    </w:p>
    <w:p w14:paraId="59FD0FF8">
      <w:pPr>
        <w:tabs>
          <w:tab w:val="left" w:pos="4857"/>
        </w:tabs>
        <w:wordWrap w:val="0"/>
        <w:topLinePunct/>
        <w:snapToGrid w:val="0"/>
        <w:spacing w:line="480" w:lineRule="exact"/>
        <w:ind w:firstLine="4830" w:firstLineChars="2300"/>
        <w:rPr>
          <w:rFonts w:hint="eastAsia" w:ascii="仿宋" w:hAnsi="仿宋" w:eastAsia="仿宋" w:cs="仿宋"/>
          <w:szCs w:val="21"/>
          <w:highlight w:val="none"/>
        </w:rPr>
      </w:pPr>
      <w:r>
        <w:rPr>
          <w:rFonts w:hint="eastAsia" w:ascii="仿宋" w:hAnsi="仿宋" w:eastAsia="仿宋" w:cs="仿宋"/>
          <w:szCs w:val="21"/>
          <w:highlight w:val="none"/>
        </w:rPr>
        <w:t>日期：</w:t>
      </w:r>
    </w:p>
    <w:p w14:paraId="57D11661">
      <w:pPr>
        <w:spacing w:line="480" w:lineRule="exact"/>
        <w:rPr>
          <w:rFonts w:hint="eastAsia" w:ascii="仿宋" w:hAnsi="仿宋" w:eastAsia="仿宋" w:cs="仿宋"/>
          <w:szCs w:val="21"/>
          <w:highlight w:val="none"/>
        </w:rPr>
      </w:pPr>
    </w:p>
    <w:p w14:paraId="5C98FD3D">
      <w:pPr>
        <w:spacing w:line="480" w:lineRule="exact"/>
        <w:rPr>
          <w:rFonts w:hint="eastAsia" w:ascii="仿宋" w:hAnsi="仿宋" w:eastAsia="仿宋" w:cs="仿宋"/>
          <w:szCs w:val="21"/>
          <w:highlight w:val="none"/>
        </w:rPr>
      </w:pPr>
    </w:p>
    <w:p w14:paraId="20E592B3">
      <w:pPr>
        <w:spacing w:line="480" w:lineRule="exact"/>
        <w:rPr>
          <w:rFonts w:hint="eastAsia" w:ascii="仿宋" w:hAnsi="仿宋" w:eastAsia="仿宋" w:cs="仿宋"/>
          <w:szCs w:val="21"/>
          <w:highlight w:val="none"/>
        </w:rPr>
      </w:pPr>
      <w:r>
        <w:rPr>
          <w:rFonts w:hint="eastAsia" w:ascii="仿宋" w:hAnsi="仿宋" w:eastAsia="仿宋" w:cs="仿宋"/>
          <w:szCs w:val="21"/>
          <w:highlight w:val="none"/>
        </w:rPr>
        <w:t>说明：1、除可填报项目外，对本投标函的任何实质性修改将被视为非实质性响应报价，从而导致该报价无效；</w:t>
      </w:r>
    </w:p>
    <w:p w14:paraId="1400BB34">
      <w:pPr>
        <w:spacing w:line="480" w:lineRule="exact"/>
        <w:ind w:firstLine="632" w:firstLineChars="300"/>
        <w:rPr>
          <w:rFonts w:hint="eastAsia" w:ascii="仿宋" w:hAnsi="仿宋" w:eastAsia="仿宋" w:cs="仿宋"/>
          <w:b/>
          <w:szCs w:val="21"/>
          <w:highlight w:val="none"/>
        </w:rPr>
      </w:pPr>
    </w:p>
    <w:p w14:paraId="1305471D">
      <w:pPr>
        <w:spacing w:line="480" w:lineRule="exact"/>
        <w:ind w:firstLine="632" w:firstLineChars="300"/>
        <w:rPr>
          <w:rFonts w:hint="eastAsia" w:ascii="仿宋" w:hAnsi="仿宋" w:eastAsia="仿宋" w:cs="仿宋"/>
          <w:b/>
          <w:szCs w:val="21"/>
          <w:highlight w:val="none"/>
        </w:rPr>
      </w:pPr>
    </w:p>
    <w:p w14:paraId="429EB418">
      <w:pPr>
        <w:pStyle w:val="18"/>
        <w:snapToGrid w:val="0"/>
        <w:spacing w:line="400" w:lineRule="exact"/>
        <w:rPr>
          <w:rFonts w:hint="eastAsia" w:ascii="仿宋" w:hAnsi="仿宋" w:eastAsia="仿宋" w:cs="仿宋"/>
          <w:color w:val="000000"/>
          <w:kern w:val="0"/>
          <w:highlight w:val="none"/>
        </w:rPr>
      </w:pPr>
    </w:p>
    <w:p w14:paraId="73CF8976">
      <w:pPr>
        <w:rPr>
          <w:rFonts w:hint="eastAsia" w:ascii="仿宋" w:hAnsi="仿宋" w:eastAsia="仿宋" w:cs="仿宋"/>
          <w:b/>
          <w:color w:val="000000"/>
          <w:szCs w:val="21"/>
          <w:highlight w:val="none"/>
        </w:rPr>
      </w:pPr>
    </w:p>
    <w:p w14:paraId="6329E6A5">
      <w:pPr>
        <w:spacing w:line="480" w:lineRule="exact"/>
        <w:jc w:val="both"/>
        <w:rPr>
          <w:rFonts w:hint="eastAsia" w:ascii="仿宋" w:hAnsi="仿宋" w:eastAsia="仿宋" w:cs="仿宋"/>
          <w:b/>
          <w:sz w:val="24"/>
          <w:szCs w:val="24"/>
          <w:highlight w:val="none"/>
          <w:lang w:val="en-US" w:eastAsia="zh-CN"/>
        </w:rPr>
      </w:pPr>
      <w:r>
        <w:rPr>
          <w:rFonts w:hint="eastAsia" w:ascii="仿宋" w:hAnsi="仿宋" w:eastAsia="仿宋" w:cs="仿宋"/>
          <w:b/>
          <w:highlight w:val="none"/>
        </w:rPr>
        <w:br w:type="page"/>
      </w:r>
      <w:r>
        <w:rPr>
          <w:rFonts w:hint="eastAsia" w:ascii="仿宋" w:hAnsi="仿宋" w:eastAsia="仿宋" w:cs="仿宋"/>
          <w:b/>
          <w:sz w:val="24"/>
          <w:szCs w:val="24"/>
          <w:highlight w:val="none"/>
          <w:lang w:val="en-US" w:eastAsia="zh-CN"/>
        </w:rPr>
        <w:t>格式十二：开标一览表（格式）</w:t>
      </w:r>
    </w:p>
    <w:p w14:paraId="66A03C19">
      <w:pPr>
        <w:spacing w:line="480" w:lineRule="exact"/>
        <w:rPr>
          <w:rFonts w:hint="eastAsia" w:ascii="仿宋" w:hAnsi="仿宋" w:eastAsia="仿宋" w:cs="仿宋"/>
          <w:color w:val="000000"/>
          <w:szCs w:val="21"/>
          <w:highlight w:val="none"/>
        </w:rPr>
      </w:pPr>
    </w:p>
    <w:p w14:paraId="5F79C2DA">
      <w:pPr>
        <w:spacing w:line="480" w:lineRule="exact"/>
        <w:rPr>
          <w:rFonts w:hint="eastAsia" w:ascii="仿宋" w:hAnsi="仿宋" w:eastAsia="仿宋" w:cs="仿宋"/>
          <w:color w:val="000000"/>
          <w:szCs w:val="21"/>
          <w:highlight w:val="none"/>
          <w:u w:val="single"/>
        </w:rPr>
      </w:pPr>
      <w:r>
        <w:rPr>
          <w:rFonts w:hint="eastAsia" w:ascii="仿宋" w:hAnsi="仿宋" w:eastAsia="仿宋" w:cs="仿宋"/>
          <w:color w:val="000000"/>
          <w:szCs w:val="21"/>
          <w:highlight w:val="none"/>
        </w:rPr>
        <w:t>项目名称：</w:t>
      </w:r>
      <w:r>
        <w:rPr>
          <w:rFonts w:hint="eastAsia" w:ascii="仿宋" w:hAnsi="仿宋" w:eastAsia="仿宋" w:cs="仿宋"/>
          <w:color w:val="000000"/>
          <w:szCs w:val="21"/>
          <w:highlight w:val="none"/>
          <w:u w:val="single"/>
        </w:rPr>
        <w:t xml:space="preserve">                                    </w:t>
      </w:r>
    </w:p>
    <w:p w14:paraId="70A7DE05">
      <w:pPr>
        <w:spacing w:line="480" w:lineRule="exact"/>
        <w:rPr>
          <w:rFonts w:hint="eastAsia" w:ascii="仿宋" w:hAnsi="仿宋" w:eastAsia="仿宋" w:cs="仿宋"/>
          <w:color w:val="000000"/>
          <w:szCs w:val="21"/>
          <w:highlight w:val="none"/>
          <w:u w:val="single"/>
        </w:rPr>
      </w:pPr>
      <w:r>
        <w:rPr>
          <w:rFonts w:hint="eastAsia" w:ascii="仿宋" w:hAnsi="仿宋" w:eastAsia="仿宋" w:cs="仿宋"/>
          <w:color w:val="000000"/>
          <w:szCs w:val="21"/>
          <w:highlight w:val="none"/>
          <w:lang w:eastAsia="zh-CN"/>
        </w:rPr>
        <w:t>项目编号</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u w:val="single"/>
        </w:rPr>
        <w:t xml:space="preserve">                                    </w:t>
      </w:r>
    </w:p>
    <w:p w14:paraId="71AB1EB5">
      <w:pPr>
        <w:spacing w:line="48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投标人名称：  </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rPr>
        <w:t xml:space="preserve"> </w:t>
      </w:r>
    </w:p>
    <w:p w14:paraId="2AEDF3B4">
      <w:pPr>
        <w:pStyle w:val="2"/>
        <w:rPr>
          <w:rFonts w:hint="eastAsia" w:ascii="仿宋" w:hAnsi="仿宋" w:eastAsia="仿宋" w:cs="仿宋"/>
          <w:highlight w:val="none"/>
        </w:rPr>
      </w:pPr>
    </w:p>
    <w:p w14:paraId="2A0BF2EE">
      <w:pPr>
        <w:pStyle w:val="2"/>
        <w:rPr>
          <w:rFonts w:hint="eastAsia" w:ascii="仿宋" w:hAnsi="仿宋" w:eastAsia="仿宋" w:cs="仿宋"/>
          <w:highlight w:val="none"/>
        </w:rPr>
      </w:pPr>
    </w:p>
    <w:p w14:paraId="4DC1315F">
      <w:pPr>
        <w:pStyle w:val="2"/>
        <w:rPr>
          <w:rFonts w:hint="eastAsia" w:ascii="仿宋" w:hAnsi="仿宋" w:eastAsia="仿宋" w:cs="仿宋"/>
          <w:highlight w:val="none"/>
        </w:rPr>
      </w:pPr>
    </w:p>
    <w:p w14:paraId="4B4F8D06">
      <w:pPr>
        <w:spacing w:line="480" w:lineRule="exact"/>
        <w:jc w:val="righ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（价格单位：元</w:t>
      </w:r>
      <w:r>
        <w:rPr>
          <w:rFonts w:hint="eastAsia" w:ascii="仿宋" w:hAnsi="仿宋" w:eastAsia="仿宋" w:cs="仿宋"/>
          <w:color w:val="000000"/>
          <w:szCs w:val="21"/>
          <w:highlight w:val="none"/>
          <w:lang w:val="en-US" w:eastAsia="zh-CN"/>
        </w:rPr>
        <w:t>/三年</w:t>
      </w:r>
      <w:r>
        <w:rPr>
          <w:rFonts w:hint="eastAsia" w:ascii="仿宋" w:hAnsi="仿宋" w:eastAsia="仿宋" w:cs="仿宋"/>
          <w:color w:val="000000"/>
          <w:szCs w:val="21"/>
          <w:highlight w:val="none"/>
        </w:rPr>
        <w:t>人民币）</w:t>
      </w:r>
    </w:p>
    <w:tbl>
      <w:tblPr>
        <w:tblStyle w:val="31"/>
        <w:tblpPr w:leftFromText="41" w:rightFromText="41" w:vertAnchor="text" w:tblpXSpec="center"/>
        <w:tblW w:w="910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2399"/>
        <w:gridCol w:w="1984"/>
        <w:gridCol w:w="1725"/>
        <w:gridCol w:w="2172"/>
      </w:tblGrid>
      <w:tr w14:paraId="3ECA95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848"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74010F74">
            <w:pPr>
              <w:widowControl/>
              <w:snapToGrid w:val="0"/>
              <w:spacing w:line="408" w:lineRule="exact"/>
              <w:jc w:val="center"/>
              <w:rPr>
                <w:rFonts w:hint="eastAsia" w:ascii="仿宋" w:hAnsi="仿宋" w:eastAsia="仿宋" w:cs="仿宋"/>
                <w:b/>
                <w:bCs/>
                <w:color w:val="000000"/>
                <w:kern w:val="0"/>
                <w:sz w:val="24"/>
                <w:highlight w:val="none"/>
              </w:rPr>
            </w:pPr>
            <w:r>
              <w:rPr>
                <w:rFonts w:hint="eastAsia" w:ascii="仿宋" w:hAnsi="仿宋" w:eastAsia="仿宋" w:cs="仿宋"/>
                <w:color w:val="000000"/>
                <w:kern w:val="0"/>
                <w:sz w:val="24"/>
                <w:highlight w:val="none"/>
              </w:rPr>
              <w:t>序号</w:t>
            </w:r>
          </w:p>
        </w:tc>
        <w:tc>
          <w:tcPr>
            <w:tcW w:w="2399" w:type="dxa"/>
            <w:tcBorders>
              <w:top w:val="single" w:color="auto" w:sz="4" w:space="0"/>
              <w:left w:val="nil"/>
              <w:bottom w:val="single" w:color="auto" w:sz="4" w:space="0"/>
              <w:right w:val="single" w:color="auto" w:sz="4" w:space="0"/>
            </w:tcBorders>
            <w:noWrap w:val="0"/>
            <w:vAlign w:val="center"/>
          </w:tcPr>
          <w:p w14:paraId="08131FA4">
            <w:pPr>
              <w:widowControl/>
              <w:snapToGrid w:val="0"/>
              <w:spacing w:line="408" w:lineRule="exact"/>
              <w:jc w:val="center"/>
              <w:rPr>
                <w:rFonts w:hint="eastAsia" w:ascii="仿宋" w:hAnsi="仿宋" w:eastAsia="仿宋" w:cs="仿宋"/>
                <w:b/>
                <w:bCs/>
                <w:color w:val="000000"/>
                <w:kern w:val="0"/>
                <w:sz w:val="24"/>
                <w:highlight w:val="none"/>
              </w:rPr>
            </w:pPr>
            <w:r>
              <w:rPr>
                <w:rFonts w:hint="eastAsia" w:ascii="仿宋" w:hAnsi="仿宋" w:eastAsia="仿宋" w:cs="仿宋"/>
                <w:color w:val="000000"/>
                <w:kern w:val="0"/>
                <w:sz w:val="24"/>
                <w:highlight w:val="none"/>
              </w:rPr>
              <w:t>项目名称</w:t>
            </w:r>
          </w:p>
        </w:tc>
        <w:tc>
          <w:tcPr>
            <w:tcW w:w="1984" w:type="dxa"/>
            <w:tcBorders>
              <w:top w:val="single" w:color="auto" w:sz="4" w:space="0"/>
              <w:left w:val="nil"/>
              <w:bottom w:val="single" w:color="auto" w:sz="4" w:space="0"/>
              <w:right w:val="single" w:color="auto" w:sz="4" w:space="0"/>
            </w:tcBorders>
            <w:noWrap w:val="0"/>
            <w:vAlign w:val="center"/>
          </w:tcPr>
          <w:p w14:paraId="6D7C1425">
            <w:pPr>
              <w:widowControl/>
              <w:snapToGrid w:val="0"/>
              <w:spacing w:line="408" w:lineRule="exact"/>
              <w:jc w:val="center"/>
              <w:rPr>
                <w:rFonts w:hint="eastAsia" w:ascii="仿宋" w:hAnsi="仿宋" w:eastAsia="仿宋" w:cs="仿宋"/>
                <w:b/>
                <w:bCs/>
                <w:color w:val="000000"/>
                <w:kern w:val="0"/>
                <w:sz w:val="24"/>
                <w:highlight w:val="none"/>
              </w:rPr>
            </w:pPr>
            <w:r>
              <w:rPr>
                <w:rFonts w:hint="eastAsia" w:ascii="仿宋" w:hAnsi="仿宋" w:eastAsia="仿宋" w:cs="仿宋"/>
                <w:color w:val="000000"/>
                <w:kern w:val="0"/>
                <w:sz w:val="24"/>
                <w:highlight w:val="none"/>
              </w:rPr>
              <w:t>报价</w:t>
            </w:r>
          </w:p>
        </w:tc>
        <w:tc>
          <w:tcPr>
            <w:tcW w:w="1725" w:type="dxa"/>
            <w:tcBorders>
              <w:top w:val="single" w:color="auto" w:sz="4" w:space="0"/>
              <w:left w:val="nil"/>
              <w:bottom w:val="single" w:color="auto" w:sz="4" w:space="0"/>
              <w:right w:val="single" w:color="auto" w:sz="4" w:space="0"/>
            </w:tcBorders>
            <w:noWrap w:val="0"/>
            <w:vAlign w:val="center"/>
          </w:tcPr>
          <w:p w14:paraId="5F2388FD">
            <w:pPr>
              <w:widowControl/>
              <w:snapToGrid w:val="0"/>
              <w:spacing w:line="408" w:lineRule="exact"/>
              <w:jc w:val="cente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rPr>
              <w:t>合同履行期限</w:t>
            </w:r>
          </w:p>
        </w:tc>
        <w:tc>
          <w:tcPr>
            <w:tcW w:w="2172" w:type="dxa"/>
            <w:tcBorders>
              <w:top w:val="single" w:color="auto" w:sz="4" w:space="0"/>
              <w:left w:val="nil"/>
              <w:bottom w:val="single" w:color="auto" w:sz="4" w:space="0"/>
              <w:right w:val="single" w:color="auto" w:sz="4" w:space="0"/>
            </w:tcBorders>
            <w:noWrap w:val="0"/>
            <w:vAlign w:val="center"/>
          </w:tcPr>
          <w:p w14:paraId="4EC1F6B6">
            <w:pPr>
              <w:widowControl/>
              <w:snapToGrid w:val="0"/>
              <w:spacing w:line="408"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备注</w:t>
            </w:r>
          </w:p>
        </w:tc>
      </w:tr>
      <w:tr w14:paraId="255871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2CAC8344">
            <w:pPr>
              <w:widowControl/>
              <w:snapToGrid w:val="0"/>
              <w:spacing w:line="408"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2399" w:type="dxa"/>
            <w:tcBorders>
              <w:top w:val="single" w:color="auto" w:sz="4" w:space="0"/>
              <w:left w:val="nil"/>
              <w:bottom w:val="single" w:color="auto" w:sz="4" w:space="0"/>
              <w:right w:val="single" w:color="auto" w:sz="4" w:space="0"/>
            </w:tcBorders>
            <w:noWrap w:val="0"/>
            <w:vAlign w:val="center"/>
          </w:tcPr>
          <w:p w14:paraId="6A8D6ED7">
            <w:pPr>
              <w:widowControl/>
              <w:snapToGrid w:val="0"/>
              <w:spacing w:line="408" w:lineRule="exact"/>
              <w:jc w:val="center"/>
              <w:rPr>
                <w:rFonts w:hint="eastAsia" w:ascii="仿宋" w:hAnsi="仿宋" w:eastAsia="仿宋" w:cs="仿宋"/>
                <w:b/>
                <w:bCs/>
                <w:color w:val="000000"/>
                <w:kern w:val="0"/>
                <w:sz w:val="24"/>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37C83926">
            <w:pPr>
              <w:widowControl/>
              <w:snapToGrid w:val="0"/>
              <w:spacing w:line="408" w:lineRule="exact"/>
              <w:jc w:val="center"/>
              <w:rPr>
                <w:rFonts w:hint="eastAsia" w:ascii="仿宋" w:hAnsi="仿宋" w:eastAsia="仿宋" w:cs="仿宋"/>
                <w:b/>
                <w:bCs/>
                <w:color w:val="000000"/>
                <w:kern w:val="0"/>
                <w:sz w:val="24"/>
                <w:highlight w:val="none"/>
              </w:rPr>
            </w:pPr>
          </w:p>
        </w:tc>
        <w:tc>
          <w:tcPr>
            <w:tcW w:w="1725" w:type="dxa"/>
            <w:tcBorders>
              <w:top w:val="single" w:color="auto" w:sz="4" w:space="0"/>
              <w:left w:val="nil"/>
              <w:bottom w:val="single" w:color="auto" w:sz="4" w:space="0"/>
              <w:right w:val="single" w:color="auto" w:sz="4" w:space="0"/>
            </w:tcBorders>
            <w:noWrap w:val="0"/>
            <w:vAlign w:val="top"/>
          </w:tcPr>
          <w:p w14:paraId="55F14373">
            <w:pPr>
              <w:widowControl/>
              <w:snapToGrid w:val="0"/>
              <w:spacing w:line="408" w:lineRule="exact"/>
              <w:jc w:val="center"/>
              <w:rPr>
                <w:rFonts w:hint="eastAsia" w:ascii="仿宋" w:hAnsi="仿宋" w:eastAsia="仿宋" w:cs="仿宋"/>
                <w:color w:val="000000"/>
                <w:kern w:val="0"/>
                <w:sz w:val="24"/>
                <w:highlight w:val="none"/>
              </w:rPr>
            </w:pPr>
          </w:p>
        </w:tc>
        <w:tc>
          <w:tcPr>
            <w:tcW w:w="2172" w:type="dxa"/>
            <w:tcBorders>
              <w:top w:val="single" w:color="auto" w:sz="4" w:space="0"/>
              <w:left w:val="nil"/>
              <w:bottom w:val="single" w:color="auto" w:sz="4" w:space="0"/>
              <w:right w:val="single" w:color="auto" w:sz="4" w:space="0"/>
            </w:tcBorders>
            <w:noWrap w:val="0"/>
            <w:vAlign w:val="top"/>
          </w:tcPr>
          <w:p w14:paraId="0FC88606">
            <w:pPr>
              <w:widowControl/>
              <w:snapToGrid w:val="0"/>
              <w:spacing w:line="408" w:lineRule="exact"/>
              <w:jc w:val="center"/>
              <w:rPr>
                <w:rFonts w:hint="eastAsia" w:ascii="仿宋" w:hAnsi="仿宋" w:eastAsia="仿宋" w:cs="仿宋"/>
                <w:color w:val="000000"/>
                <w:kern w:val="0"/>
                <w:sz w:val="24"/>
                <w:highlight w:val="none"/>
              </w:rPr>
            </w:pPr>
          </w:p>
        </w:tc>
      </w:tr>
      <w:tr w14:paraId="4987F1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3227" w:type="dxa"/>
            <w:gridSpan w:val="2"/>
            <w:tcBorders>
              <w:top w:val="single" w:color="auto" w:sz="4" w:space="0"/>
              <w:left w:val="single" w:color="auto" w:sz="4" w:space="0"/>
              <w:bottom w:val="single" w:color="auto" w:sz="4" w:space="0"/>
              <w:right w:val="single" w:color="auto" w:sz="4" w:space="0"/>
            </w:tcBorders>
            <w:noWrap w:val="0"/>
            <w:vAlign w:val="center"/>
          </w:tcPr>
          <w:p w14:paraId="19DE68CD">
            <w:pPr>
              <w:widowControl/>
              <w:snapToGrid w:val="0"/>
              <w:spacing w:line="408" w:lineRule="exact"/>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lang w:val="en-US" w:eastAsia="zh-CN"/>
              </w:rPr>
              <w:t>投标总报价</w:t>
            </w:r>
          </w:p>
        </w:tc>
        <w:tc>
          <w:tcPr>
            <w:tcW w:w="5881" w:type="dxa"/>
            <w:gridSpan w:val="3"/>
            <w:tcBorders>
              <w:top w:val="single" w:color="auto" w:sz="4" w:space="0"/>
              <w:left w:val="nil"/>
              <w:bottom w:val="single" w:color="auto" w:sz="4" w:space="0"/>
              <w:right w:val="single" w:color="auto" w:sz="4" w:space="0"/>
            </w:tcBorders>
            <w:noWrap w:val="0"/>
            <w:vAlign w:val="center"/>
          </w:tcPr>
          <w:p w14:paraId="7DDB658A">
            <w:pPr>
              <w:widowControl/>
              <w:snapToGrid w:val="0"/>
              <w:spacing w:line="408" w:lineRule="exact"/>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大写：</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 xml:space="preserve"> 小写：</w:t>
            </w:r>
            <w:r>
              <w:rPr>
                <w:rFonts w:hint="eastAsia" w:ascii="仿宋" w:hAnsi="仿宋" w:eastAsia="仿宋" w:cs="仿宋"/>
                <w:color w:val="000000"/>
                <w:kern w:val="0"/>
                <w:sz w:val="24"/>
                <w:highlight w:val="none"/>
                <w:u w:val="single"/>
              </w:rPr>
              <w:t xml:space="preserve">          </w:t>
            </w:r>
          </w:p>
        </w:tc>
      </w:tr>
      <w:tr w14:paraId="6EDD1C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3227" w:type="dxa"/>
            <w:gridSpan w:val="2"/>
            <w:tcBorders>
              <w:top w:val="single" w:color="auto" w:sz="4" w:space="0"/>
              <w:left w:val="single" w:color="auto" w:sz="4" w:space="0"/>
              <w:bottom w:val="single" w:color="auto" w:sz="4" w:space="0"/>
              <w:right w:val="single" w:color="auto" w:sz="4" w:space="0"/>
            </w:tcBorders>
            <w:noWrap w:val="0"/>
            <w:vAlign w:val="center"/>
          </w:tcPr>
          <w:p w14:paraId="423BB88C">
            <w:pPr>
              <w:snapToGrid w:val="0"/>
              <w:spacing w:line="408"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备注</w:t>
            </w:r>
          </w:p>
        </w:tc>
        <w:tc>
          <w:tcPr>
            <w:tcW w:w="5881" w:type="dxa"/>
            <w:gridSpan w:val="3"/>
            <w:tcBorders>
              <w:top w:val="single" w:color="auto" w:sz="4" w:space="0"/>
              <w:left w:val="nil"/>
              <w:bottom w:val="single" w:color="auto" w:sz="4" w:space="0"/>
              <w:right w:val="single" w:color="auto" w:sz="4" w:space="0"/>
            </w:tcBorders>
            <w:noWrap w:val="0"/>
            <w:vAlign w:val="center"/>
          </w:tcPr>
          <w:p w14:paraId="0A1AC1BB">
            <w:pPr>
              <w:snapToGrid w:val="0"/>
              <w:spacing w:line="408" w:lineRule="exact"/>
              <w:jc w:val="left"/>
              <w:rPr>
                <w:rFonts w:hint="eastAsia" w:ascii="仿宋" w:hAnsi="仿宋" w:eastAsia="仿宋" w:cs="仿宋"/>
                <w:color w:val="000000"/>
                <w:kern w:val="0"/>
                <w:sz w:val="24"/>
                <w:highlight w:val="none"/>
              </w:rPr>
            </w:pPr>
          </w:p>
        </w:tc>
      </w:tr>
    </w:tbl>
    <w:p w14:paraId="17AD3E76">
      <w:pPr>
        <w:snapToGrid w:val="0"/>
        <w:spacing w:line="600" w:lineRule="exact"/>
        <w:ind w:firstLine="3780" w:firstLineChars="1800"/>
        <w:rPr>
          <w:rFonts w:hint="eastAsia" w:ascii="仿宋" w:hAnsi="仿宋" w:eastAsia="仿宋" w:cs="仿宋"/>
          <w:color w:val="000000"/>
          <w:highlight w:val="none"/>
        </w:rPr>
      </w:pPr>
    </w:p>
    <w:p w14:paraId="355529EA">
      <w:pPr>
        <w:snapToGrid w:val="0"/>
        <w:spacing w:line="600" w:lineRule="exact"/>
        <w:ind w:firstLine="3780" w:firstLineChars="1800"/>
        <w:rPr>
          <w:rFonts w:hint="eastAsia" w:ascii="仿宋" w:hAnsi="仿宋" w:eastAsia="仿宋" w:cs="仿宋"/>
          <w:color w:val="000000"/>
          <w:highlight w:val="none"/>
        </w:rPr>
      </w:pPr>
    </w:p>
    <w:p w14:paraId="37FD791C">
      <w:pPr>
        <w:snapToGrid w:val="0"/>
        <w:spacing w:line="600" w:lineRule="exact"/>
        <w:ind w:firstLine="3780" w:firstLineChars="1800"/>
        <w:rPr>
          <w:rFonts w:hint="eastAsia" w:ascii="仿宋" w:hAnsi="仿宋" w:eastAsia="仿宋" w:cs="仿宋"/>
          <w:color w:val="000000"/>
          <w:szCs w:val="21"/>
          <w:highlight w:val="none"/>
        </w:rPr>
      </w:pPr>
      <w:r>
        <w:rPr>
          <w:rFonts w:hint="eastAsia" w:ascii="仿宋" w:hAnsi="仿宋" w:eastAsia="仿宋" w:cs="仿宋"/>
          <w:color w:val="000000"/>
          <w:highlight w:val="none"/>
        </w:rPr>
        <w:t xml:space="preserve">              </w:t>
      </w:r>
    </w:p>
    <w:p w14:paraId="7E32FD54">
      <w:pPr>
        <w:tabs>
          <w:tab w:val="left" w:pos="4857"/>
        </w:tabs>
        <w:wordWrap w:val="0"/>
        <w:topLinePunct/>
        <w:snapToGrid w:val="0"/>
        <w:spacing w:line="480" w:lineRule="exact"/>
        <w:ind w:firstLine="4830" w:firstLineChars="2300"/>
        <w:rPr>
          <w:rFonts w:hint="eastAsia" w:ascii="仿宋" w:hAnsi="仿宋" w:eastAsia="仿宋" w:cs="仿宋"/>
          <w:szCs w:val="21"/>
          <w:highlight w:val="none"/>
        </w:rPr>
      </w:pPr>
      <w:r>
        <w:rPr>
          <w:rFonts w:hint="eastAsia" w:ascii="仿宋" w:hAnsi="仿宋" w:eastAsia="仿宋" w:cs="仿宋"/>
          <w:szCs w:val="21"/>
          <w:highlight w:val="none"/>
        </w:rPr>
        <w:t>投标人（盖单位公章）：</w:t>
      </w:r>
    </w:p>
    <w:p w14:paraId="27C29BB4">
      <w:pPr>
        <w:tabs>
          <w:tab w:val="left" w:pos="4857"/>
        </w:tabs>
        <w:wordWrap w:val="0"/>
        <w:topLinePunct/>
        <w:snapToGrid w:val="0"/>
        <w:spacing w:line="480" w:lineRule="exact"/>
        <w:ind w:firstLine="4830" w:firstLineChars="2300"/>
        <w:rPr>
          <w:rFonts w:hint="eastAsia" w:ascii="仿宋" w:hAnsi="仿宋" w:eastAsia="仿宋" w:cs="仿宋"/>
          <w:szCs w:val="21"/>
          <w:highlight w:val="none"/>
        </w:rPr>
      </w:pPr>
      <w:r>
        <w:rPr>
          <w:rFonts w:hint="eastAsia" w:ascii="仿宋" w:hAnsi="仿宋" w:eastAsia="仿宋" w:cs="仿宋"/>
          <w:szCs w:val="21"/>
          <w:highlight w:val="none"/>
        </w:rPr>
        <w:t>法定代表人或其授权人（签字</w:t>
      </w:r>
      <w:r>
        <w:rPr>
          <w:rFonts w:hint="eastAsia" w:ascii="仿宋" w:hAnsi="仿宋" w:eastAsia="仿宋" w:cs="仿宋"/>
          <w:szCs w:val="21"/>
          <w:highlight w:val="none"/>
          <w:lang w:val="en-US" w:eastAsia="zh-CN"/>
        </w:rPr>
        <w:t>或盖章</w:t>
      </w:r>
      <w:r>
        <w:rPr>
          <w:rFonts w:hint="eastAsia" w:ascii="仿宋" w:hAnsi="仿宋" w:eastAsia="仿宋" w:cs="仿宋"/>
          <w:szCs w:val="21"/>
          <w:highlight w:val="none"/>
        </w:rPr>
        <w:t>）：</w:t>
      </w:r>
    </w:p>
    <w:p w14:paraId="3D74C4BF">
      <w:pPr>
        <w:tabs>
          <w:tab w:val="left" w:pos="4857"/>
        </w:tabs>
        <w:wordWrap w:val="0"/>
        <w:topLinePunct/>
        <w:snapToGrid w:val="0"/>
        <w:spacing w:line="480" w:lineRule="exact"/>
        <w:ind w:firstLine="4830" w:firstLineChars="2300"/>
        <w:rPr>
          <w:rFonts w:hint="eastAsia" w:ascii="仿宋" w:hAnsi="仿宋" w:eastAsia="仿宋" w:cs="仿宋"/>
          <w:szCs w:val="21"/>
          <w:highlight w:val="none"/>
        </w:rPr>
      </w:pPr>
      <w:r>
        <w:rPr>
          <w:rFonts w:hint="eastAsia" w:ascii="仿宋" w:hAnsi="仿宋" w:eastAsia="仿宋" w:cs="仿宋"/>
          <w:szCs w:val="21"/>
          <w:highlight w:val="none"/>
        </w:rPr>
        <w:t>日期：</w:t>
      </w:r>
    </w:p>
    <w:p w14:paraId="1864EADF">
      <w:pPr>
        <w:pStyle w:val="54"/>
        <w:snapToGrid w:val="0"/>
        <w:spacing w:line="480" w:lineRule="exact"/>
        <w:ind w:firstLine="54" w:firstLineChars="26"/>
        <w:textAlignment w:val="auto"/>
        <w:rPr>
          <w:rFonts w:hint="eastAsia" w:ascii="仿宋" w:hAnsi="仿宋" w:eastAsia="仿宋" w:cs="仿宋"/>
          <w:color w:val="000000"/>
          <w:highlight w:val="none"/>
        </w:rPr>
      </w:pPr>
    </w:p>
    <w:p w14:paraId="240F9782">
      <w:pPr>
        <w:pStyle w:val="54"/>
        <w:snapToGrid w:val="0"/>
        <w:spacing w:line="480" w:lineRule="exact"/>
        <w:ind w:firstLine="54" w:firstLineChars="26"/>
        <w:textAlignment w:val="auto"/>
        <w:rPr>
          <w:rFonts w:hint="eastAsia" w:ascii="仿宋" w:hAnsi="仿宋" w:eastAsia="仿宋" w:cs="仿宋"/>
          <w:color w:val="000000"/>
          <w:highlight w:val="none"/>
        </w:rPr>
      </w:pPr>
    </w:p>
    <w:p w14:paraId="62F542E1">
      <w:pPr>
        <w:rPr>
          <w:rFonts w:hint="eastAsia" w:ascii="仿宋" w:hAnsi="仿宋" w:eastAsia="仿宋" w:cs="仿宋"/>
          <w:b/>
          <w:highlight w:val="none"/>
        </w:rPr>
      </w:pPr>
      <w:r>
        <w:rPr>
          <w:rFonts w:hint="eastAsia" w:ascii="仿宋" w:hAnsi="仿宋" w:eastAsia="仿宋" w:cs="仿宋"/>
          <w:b/>
          <w:highlight w:val="none"/>
        </w:rPr>
        <w:br w:type="page"/>
      </w:r>
    </w:p>
    <w:p w14:paraId="51C96ADC">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分项报价明细表（格式自拟）注：需体现每年的投标报价</w:t>
      </w:r>
    </w:p>
    <w:p w14:paraId="4E7D34AE">
      <w:pPr>
        <w:pStyle w:val="2"/>
        <w:rPr>
          <w:rFonts w:hint="eastAsia" w:ascii="仿宋" w:hAnsi="仿宋" w:eastAsia="仿宋" w:cs="仿宋"/>
          <w:sz w:val="21"/>
          <w:szCs w:val="21"/>
          <w:highlight w:val="none"/>
        </w:rPr>
      </w:pPr>
    </w:p>
    <w:p w14:paraId="368F39D7">
      <w:pPr>
        <w:rPr>
          <w:rFonts w:hint="eastAsia" w:ascii="仿宋" w:hAnsi="仿宋" w:eastAsia="仿宋" w:cs="仿宋"/>
          <w:sz w:val="21"/>
          <w:szCs w:val="21"/>
          <w:highlight w:val="none"/>
        </w:rPr>
      </w:pPr>
      <w:r>
        <w:rPr>
          <w:rFonts w:hint="eastAsia" w:ascii="仿宋" w:hAnsi="仿宋" w:eastAsia="仿宋" w:cs="仿宋"/>
          <w:sz w:val="21"/>
          <w:szCs w:val="21"/>
          <w:highlight w:val="none"/>
        </w:rPr>
        <w:br w:type="page"/>
      </w:r>
    </w:p>
    <w:p w14:paraId="6245F8A4">
      <w:pPr>
        <w:spacing w:after="312" w:afterLines="100" w:line="480" w:lineRule="exact"/>
        <w:ind w:left="539"/>
        <w:jc w:val="both"/>
        <w:rPr>
          <w:rFonts w:hint="eastAsia" w:ascii="仿宋" w:hAnsi="仿宋" w:eastAsia="仿宋" w:cs="仿宋"/>
          <w:b/>
          <w:sz w:val="24"/>
          <w:szCs w:val="24"/>
          <w:highlight w:val="none"/>
          <w:lang w:val="en-US" w:eastAsia="zh-CN"/>
        </w:rPr>
      </w:pPr>
      <w:r>
        <w:rPr>
          <w:rFonts w:hint="eastAsia" w:ascii="仿宋" w:hAnsi="仿宋" w:eastAsia="仿宋" w:cs="仿宋"/>
          <w:sz w:val="21"/>
          <w:szCs w:val="21"/>
          <w:highlight w:val="none"/>
        </w:rPr>
        <w:t xml:space="preserve"> </w:t>
      </w:r>
      <w:r>
        <w:rPr>
          <w:rFonts w:hint="eastAsia" w:ascii="仿宋" w:hAnsi="仿宋" w:eastAsia="仿宋" w:cs="仿宋"/>
          <w:b/>
          <w:sz w:val="24"/>
          <w:szCs w:val="24"/>
          <w:highlight w:val="none"/>
          <w:lang w:val="en-US" w:eastAsia="zh-CN"/>
        </w:rPr>
        <w:t>格式十三：投标人基本情况表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906"/>
        <w:gridCol w:w="181"/>
        <w:gridCol w:w="1997"/>
        <w:gridCol w:w="90"/>
        <w:gridCol w:w="1766"/>
      </w:tblGrid>
      <w:tr w14:paraId="2541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679" w:type="dxa"/>
            <w:noWrap w:val="0"/>
            <w:vAlign w:val="center"/>
          </w:tcPr>
          <w:p w14:paraId="2B754E3D">
            <w:pPr>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5940" w:type="dxa"/>
            <w:gridSpan w:val="5"/>
            <w:noWrap w:val="0"/>
            <w:vAlign w:val="center"/>
          </w:tcPr>
          <w:p w14:paraId="37DA5A3C">
            <w:pPr>
              <w:jc w:val="center"/>
              <w:rPr>
                <w:rFonts w:hint="eastAsia" w:ascii="仿宋" w:hAnsi="仿宋" w:eastAsia="仿宋" w:cs="仿宋"/>
                <w:szCs w:val="21"/>
                <w:highlight w:val="none"/>
              </w:rPr>
            </w:pPr>
          </w:p>
        </w:tc>
      </w:tr>
      <w:tr w14:paraId="75AA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79" w:type="dxa"/>
            <w:noWrap w:val="0"/>
            <w:vAlign w:val="center"/>
          </w:tcPr>
          <w:p w14:paraId="2FE532FA">
            <w:pPr>
              <w:jc w:val="center"/>
              <w:rPr>
                <w:rFonts w:hint="eastAsia" w:ascii="仿宋" w:hAnsi="仿宋" w:eastAsia="仿宋" w:cs="仿宋"/>
                <w:szCs w:val="21"/>
                <w:highlight w:val="none"/>
              </w:rPr>
            </w:pPr>
            <w:r>
              <w:rPr>
                <w:rFonts w:hint="eastAsia" w:ascii="仿宋" w:hAnsi="仿宋" w:eastAsia="仿宋" w:cs="仿宋"/>
                <w:szCs w:val="21"/>
                <w:highlight w:val="none"/>
              </w:rPr>
              <w:t>单位地址</w:t>
            </w:r>
          </w:p>
        </w:tc>
        <w:tc>
          <w:tcPr>
            <w:tcW w:w="5940" w:type="dxa"/>
            <w:gridSpan w:val="5"/>
            <w:noWrap w:val="0"/>
            <w:vAlign w:val="center"/>
          </w:tcPr>
          <w:p w14:paraId="236A28B4">
            <w:pPr>
              <w:jc w:val="center"/>
              <w:rPr>
                <w:rFonts w:hint="eastAsia" w:ascii="仿宋" w:hAnsi="仿宋" w:eastAsia="仿宋" w:cs="仿宋"/>
                <w:szCs w:val="21"/>
                <w:highlight w:val="none"/>
              </w:rPr>
            </w:pPr>
          </w:p>
        </w:tc>
      </w:tr>
      <w:tr w14:paraId="3A38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679" w:type="dxa"/>
            <w:noWrap w:val="0"/>
            <w:vAlign w:val="center"/>
          </w:tcPr>
          <w:p w14:paraId="4789E4DE">
            <w:pPr>
              <w:jc w:val="center"/>
              <w:rPr>
                <w:rFonts w:hint="eastAsia" w:ascii="仿宋" w:hAnsi="仿宋" w:eastAsia="仿宋" w:cs="仿宋"/>
                <w:szCs w:val="21"/>
                <w:highlight w:val="none"/>
              </w:rPr>
            </w:pPr>
            <w:r>
              <w:rPr>
                <w:rFonts w:hint="eastAsia" w:ascii="仿宋" w:hAnsi="仿宋" w:eastAsia="仿宋" w:cs="仿宋"/>
                <w:szCs w:val="21"/>
                <w:highlight w:val="none"/>
              </w:rPr>
              <w:t>资质等级</w:t>
            </w:r>
          </w:p>
        </w:tc>
        <w:tc>
          <w:tcPr>
            <w:tcW w:w="2087" w:type="dxa"/>
            <w:gridSpan w:val="2"/>
            <w:noWrap w:val="0"/>
            <w:vAlign w:val="center"/>
          </w:tcPr>
          <w:p w14:paraId="068CDE04">
            <w:pPr>
              <w:jc w:val="center"/>
              <w:rPr>
                <w:rFonts w:hint="eastAsia" w:ascii="仿宋" w:hAnsi="仿宋" w:eastAsia="仿宋" w:cs="仿宋"/>
                <w:szCs w:val="21"/>
                <w:highlight w:val="none"/>
              </w:rPr>
            </w:pPr>
          </w:p>
        </w:tc>
        <w:tc>
          <w:tcPr>
            <w:tcW w:w="2087" w:type="dxa"/>
            <w:gridSpan w:val="2"/>
            <w:noWrap w:val="0"/>
            <w:vAlign w:val="center"/>
          </w:tcPr>
          <w:p w14:paraId="637C57A4">
            <w:pPr>
              <w:jc w:val="center"/>
              <w:rPr>
                <w:rFonts w:hint="eastAsia" w:ascii="仿宋" w:hAnsi="仿宋" w:eastAsia="仿宋" w:cs="仿宋"/>
                <w:szCs w:val="21"/>
                <w:highlight w:val="none"/>
              </w:rPr>
            </w:pPr>
            <w:r>
              <w:rPr>
                <w:rFonts w:hint="eastAsia" w:ascii="仿宋" w:hAnsi="仿宋" w:eastAsia="仿宋" w:cs="仿宋"/>
                <w:szCs w:val="21"/>
                <w:highlight w:val="none"/>
              </w:rPr>
              <w:t>注册资金</w:t>
            </w:r>
          </w:p>
        </w:tc>
        <w:tc>
          <w:tcPr>
            <w:tcW w:w="1766" w:type="dxa"/>
            <w:noWrap w:val="0"/>
            <w:vAlign w:val="center"/>
          </w:tcPr>
          <w:p w14:paraId="3521CAF7">
            <w:pPr>
              <w:jc w:val="center"/>
              <w:rPr>
                <w:rFonts w:hint="eastAsia" w:ascii="仿宋" w:hAnsi="仿宋" w:eastAsia="仿宋" w:cs="仿宋"/>
                <w:szCs w:val="21"/>
                <w:highlight w:val="none"/>
              </w:rPr>
            </w:pPr>
          </w:p>
        </w:tc>
      </w:tr>
      <w:tr w14:paraId="6504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679" w:type="dxa"/>
            <w:noWrap w:val="0"/>
            <w:vAlign w:val="center"/>
          </w:tcPr>
          <w:p w14:paraId="5D470D62">
            <w:pPr>
              <w:jc w:val="center"/>
              <w:rPr>
                <w:rFonts w:hint="eastAsia" w:ascii="仿宋" w:hAnsi="仿宋" w:eastAsia="仿宋" w:cs="仿宋"/>
                <w:szCs w:val="21"/>
                <w:highlight w:val="none"/>
              </w:rPr>
            </w:pPr>
            <w:r>
              <w:rPr>
                <w:rFonts w:hint="eastAsia" w:ascii="仿宋" w:hAnsi="仿宋" w:eastAsia="仿宋" w:cs="仿宋"/>
                <w:szCs w:val="21"/>
                <w:highlight w:val="none"/>
              </w:rPr>
              <w:t>营业范围</w:t>
            </w:r>
          </w:p>
        </w:tc>
        <w:tc>
          <w:tcPr>
            <w:tcW w:w="5940" w:type="dxa"/>
            <w:gridSpan w:val="5"/>
            <w:noWrap w:val="0"/>
            <w:vAlign w:val="center"/>
          </w:tcPr>
          <w:p w14:paraId="4FDB6A2E">
            <w:pPr>
              <w:jc w:val="center"/>
              <w:rPr>
                <w:rFonts w:hint="eastAsia" w:ascii="仿宋" w:hAnsi="仿宋" w:eastAsia="仿宋" w:cs="仿宋"/>
                <w:szCs w:val="21"/>
                <w:highlight w:val="none"/>
              </w:rPr>
            </w:pPr>
          </w:p>
        </w:tc>
      </w:tr>
      <w:tr w14:paraId="6C62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79" w:type="dxa"/>
            <w:noWrap w:val="0"/>
            <w:vAlign w:val="center"/>
          </w:tcPr>
          <w:p w14:paraId="3719DA70">
            <w:pPr>
              <w:jc w:val="center"/>
              <w:rPr>
                <w:rFonts w:hint="eastAsia" w:ascii="仿宋" w:hAnsi="仿宋" w:eastAsia="仿宋" w:cs="仿宋"/>
                <w:szCs w:val="21"/>
                <w:highlight w:val="none"/>
              </w:rPr>
            </w:pPr>
            <w:r>
              <w:rPr>
                <w:rFonts w:hint="eastAsia" w:ascii="仿宋" w:hAnsi="仿宋" w:eastAsia="仿宋" w:cs="仿宋"/>
                <w:szCs w:val="21"/>
                <w:highlight w:val="none"/>
              </w:rPr>
              <w:t>法定或机构代表人</w:t>
            </w:r>
          </w:p>
        </w:tc>
        <w:tc>
          <w:tcPr>
            <w:tcW w:w="5940" w:type="dxa"/>
            <w:gridSpan w:val="5"/>
            <w:noWrap w:val="0"/>
            <w:vAlign w:val="center"/>
          </w:tcPr>
          <w:p w14:paraId="49C3675C">
            <w:pPr>
              <w:jc w:val="center"/>
              <w:rPr>
                <w:rFonts w:hint="eastAsia" w:ascii="仿宋" w:hAnsi="仿宋" w:eastAsia="仿宋" w:cs="仿宋"/>
                <w:szCs w:val="21"/>
                <w:highlight w:val="none"/>
              </w:rPr>
            </w:pPr>
          </w:p>
        </w:tc>
      </w:tr>
      <w:tr w14:paraId="5263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679" w:type="dxa"/>
            <w:noWrap w:val="0"/>
            <w:vAlign w:val="center"/>
          </w:tcPr>
          <w:p w14:paraId="44098074">
            <w:pPr>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5940" w:type="dxa"/>
            <w:gridSpan w:val="5"/>
            <w:noWrap w:val="0"/>
            <w:vAlign w:val="center"/>
          </w:tcPr>
          <w:p w14:paraId="3461E7FD">
            <w:pPr>
              <w:jc w:val="center"/>
              <w:rPr>
                <w:rFonts w:hint="eastAsia" w:ascii="仿宋" w:hAnsi="仿宋" w:eastAsia="仿宋" w:cs="仿宋"/>
                <w:szCs w:val="21"/>
                <w:highlight w:val="none"/>
              </w:rPr>
            </w:pPr>
          </w:p>
        </w:tc>
      </w:tr>
      <w:tr w14:paraId="1DAA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679" w:type="dxa"/>
            <w:noWrap w:val="0"/>
            <w:vAlign w:val="center"/>
          </w:tcPr>
          <w:p w14:paraId="60521B44">
            <w:pPr>
              <w:jc w:val="center"/>
              <w:rPr>
                <w:rFonts w:hint="eastAsia" w:ascii="仿宋" w:hAnsi="仿宋" w:eastAsia="仿宋" w:cs="仿宋"/>
                <w:szCs w:val="21"/>
                <w:highlight w:val="none"/>
              </w:rPr>
            </w:pPr>
            <w:r>
              <w:rPr>
                <w:rFonts w:hint="eastAsia" w:ascii="仿宋" w:hAnsi="仿宋" w:eastAsia="仿宋" w:cs="仿宋"/>
                <w:szCs w:val="21"/>
                <w:highlight w:val="none"/>
              </w:rPr>
              <w:t>工商登记号</w:t>
            </w:r>
          </w:p>
        </w:tc>
        <w:tc>
          <w:tcPr>
            <w:tcW w:w="5940" w:type="dxa"/>
            <w:gridSpan w:val="5"/>
            <w:noWrap w:val="0"/>
            <w:vAlign w:val="center"/>
          </w:tcPr>
          <w:p w14:paraId="26D282F9">
            <w:pPr>
              <w:jc w:val="center"/>
              <w:rPr>
                <w:rFonts w:hint="eastAsia" w:ascii="仿宋" w:hAnsi="仿宋" w:eastAsia="仿宋" w:cs="仿宋"/>
                <w:szCs w:val="21"/>
                <w:highlight w:val="none"/>
              </w:rPr>
            </w:pPr>
          </w:p>
        </w:tc>
      </w:tr>
      <w:tr w14:paraId="6918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679" w:type="dxa"/>
            <w:noWrap w:val="0"/>
            <w:vAlign w:val="center"/>
          </w:tcPr>
          <w:p w14:paraId="0483FAC8">
            <w:pPr>
              <w:jc w:val="center"/>
              <w:rPr>
                <w:rFonts w:hint="eastAsia" w:ascii="仿宋" w:hAnsi="仿宋" w:eastAsia="仿宋" w:cs="仿宋"/>
                <w:szCs w:val="21"/>
                <w:highlight w:val="none"/>
              </w:rPr>
            </w:pPr>
            <w:r>
              <w:rPr>
                <w:rFonts w:hint="eastAsia" w:ascii="仿宋" w:hAnsi="仿宋" w:eastAsia="仿宋" w:cs="仿宋"/>
                <w:szCs w:val="21"/>
                <w:highlight w:val="none"/>
              </w:rPr>
              <w:t>税务登记号</w:t>
            </w:r>
          </w:p>
        </w:tc>
        <w:tc>
          <w:tcPr>
            <w:tcW w:w="5940" w:type="dxa"/>
            <w:gridSpan w:val="5"/>
            <w:noWrap w:val="0"/>
            <w:vAlign w:val="center"/>
          </w:tcPr>
          <w:p w14:paraId="15303C29">
            <w:pPr>
              <w:jc w:val="center"/>
              <w:rPr>
                <w:rFonts w:hint="eastAsia" w:ascii="仿宋" w:hAnsi="仿宋" w:eastAsia="仿宋" w:cs="仿宋"/>
                <w:szCs w:val="21"/>
                <w:highlight w:val="none"/>
              </w:rPr>
            </w:pPr>
          </w:p>
        </w:tc>
      </w:tr>
      <w:tr w14:paraId="053F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679" w:type="dxa"/>
            <w:noWrap w:val="0"/>
            <w:vAlign w:val="center"/>
          </w:tcPr>
          <w:p w14:paraId="5B2A6408">
            <w:pPr>
              <w:jc w:val="center"/>
              <w:rPr>
                <w:rFonts w:hint="eastAsia" w:ascii="仿宋" w:hAnsi="仿宋" w:eastAsia="仿宋" w:cs="仿宋"/>
                <w:szCs w:val="21"/>
                <w:highlight w:val="none"/>
              </w:rPr>
            </w:pPr>
            <w:r>
              <w:rPr>
                <w:rFonts w:hint="eastAsia" w:ascii="仿宋" w:hAnsi="仿宋" w:eastAsia="仿宋" w:cs="仿宋"/>
                <w:szCs w:val="21"/>
                <w:highlight w:val="none"/>
              </w:rPr>
              <w:t>开户银行及帐号</w:t>
            </w:r>
          </w:p>
        </w:tc>
        <w:tc>
          <w:tcPr>
            <w:tcW w:w="5940" w:type="dxa"/>
            <w:gridSpan w:val="5"/>
            <w:noWrap w:val="0"/>
            <w:vAlign w:val="center"/>
          </w:tcPr>
          <w:p w14:paraId="4845CC42">
            <w:pPr>
              <w:jc w:val="center"/>
              <w:rPr>
                <w:rFonts w:hint="eastAsia" w:ascii="仿宋" w:hAnsi="仿宋" w:eastAsia="仿宋" w:cs="仿宋"/>
                <w:szCs w:val="21"/>
                <w:highlight w:val="none"/>
              </w:rPr>
            </w:pPr>
          </w:p>
        </w:tc>
      </w:tr>
      <w:tr w14:paraId="3868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679" w:type="dxa"/>
            <w:noWrap w:val="0"/>
            <w:vAlign w:val="center"/>
          </w:tcPr>
          <w:p w14:paraId="2433D321">
            <w:pPr>
              <w:jc w:val="center"/>
              <w:rPr>
                <w:rFonts w:hint="eastAsia" w:ascii="仿宋" w:hAnsi="仿宋" w:eastAsia="仿宋" w:cs="仿宋"/>
                <w:szCs w:val="21"/>
                <w:highlight w:val="none"/>
              </w:rPr>
            </w:pPr>
            <w:r>
              <w:rPr>
                <w:rFonts w:hint="eastAsia" w:ascii="仿宋" w:hAnsi="仿宋" w:eastAsia="仿宋" w:cs="仿宋"/>
                <w:szCs w:val="21"/>
                <w:highlight w:val="none"/>
              </w:rPr>
              <w:t>联系人</w:t>
            </w:r>
          </w:p>
        </w:tc>
        <w:tc>
          <w:tcPr>
            <w:tcW w:w="1906" w:type="dxa"/>
            <w:noWrap w:val="0"/>
            <w:vAlign w:val="center"/>
          </w:tcPr>
          <w:p w14:paraId="19FF0055">
            <w:pPr>
              <w:jc w:val="center"/>
              <w:rPr>
                <w:rFonts w:hint="eastAsia" w:ascii="仿宋" w:hAnsi="仿宋" w:eastAsia="仿宋" w:cs="仿宋"/>
                <w:szCs w:val="21"/>
                <w:highlight w:val="none"/>
              </w:rPr>
            </w:pPr>
          </w:p>
        </w:tc>
        <w:tc>
          <w:tcPr>
            <w:tcW w:w="2178" w:type="dxa"/>
            <w:gridSpan w:val="2"/>
            <w:noWrap w:val="0"/>
            <w:vAlign w:val="center"/>
          </w:tcPr>
          <w:p w14:paraId="4E548C9E">
            <w:pPr>
              <w:jc w:val="center"/>
              <w:rPr>
                <w:rFonts w:hint="eastAsia" w:ascii="仿宋" w:hAnsi="仿宋" w:eastAsia="仿宋" w:cs="仿宋"/>
                <w:szCs w:val="21"/>
                <w:highlight w:val="none"/>
              </w:rPr>
            </w:pPr>
            <w:r>
              <w:rPr>
                <w:rFonts w:hint="eastAsia" w:ascii="仿宋" w:hAnsi="仿宋" w:eastAsia="仿宋" w:cs="仿宋"/>
                <w:szCs w:val="21"/>
                <w:highlight w:val="none"/>
              </w:rPr>
              <w:t>联系电话</w:t>
            </w:r>
          </w:p>
        </w:tc>
        <w:tc>
          <w:tcPr>
            <w:tcW w:w="1856" w:type="dxa"/>
            <w:gridSpan w:val="2"/>
            <w:noWrap w:val="0"/>
            <w:vAlign w:val="center"/>
          </w:tcPr>
          <w:p w14:paraId="2B20760E">
            <w:pPr>
              <w:jc w:val="center"/>
              <w:rPr>
                <w:rFonts w:hint="eastAsia" w:ascii="仿宋" w:hAnsi="仿宋" w:eastAsia="仿宋" w:cs="仿宋"/>
                <w:szCs w:val="21"/>
                <w:highlight w:val="none"/>
              </w:rPr>
            </w:pPr>
          </w:p>
        </w:tc>
      </w:tr>
      <w:tr w14:paraId="7A87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79" w:type="dxa"/>
            <w:noWrap w:val="0"/>
            <w:vAlign w:val="center"/>
          </w:tcPr>
          <w:p w14:paraId="502643F7">
            <w:pPr>
              <w:jc w:val="center"/>
              <w:rPr>
                <w:rFonts w:hint="eastAsia" w:ascii="仿宋" w:hAnsi="仿宋" w:eastAsia="仿宋" w:cs="仿宋"/>
                <w:szCs w:val="21"/>
                <w:highlight w:val="none"/>
              </w:rPr>
            </w:pPr>
            <w:r>
              <w:rPr>
                <w:rFonts w:hint="eastAsia" w:ascii="仿宋" w:hAnsi="仿宋" w:eastAsia="仿宋" w:cs="仿宋"/>
                <w:szCs w:val="21"/>
                <w:highlight w:val="none"/>
              </w:rPr>
              <w:t>传真号</w:t>
            </w:r>
          </w:p>
        </w:tc>
        <w:tc>
          <w:tcPr>
            <w:tcW w:w="1906" w:type="dxa"/>
            <w:noWrap w:val="0"/>
            <w:vAlign w:val="center"/>
          </w:tcPr>
          <w:p w14:paraId="46A948CF">
            <w:pPr>
              <w:jc w:val="center"/>
              <w:rPr>
                <w:rFonts w:hint="eastAsia" w:ascii="仿宋" w:hAnsi="仿宋" w:eastAsia="仿宋" w:cs="仿宋"/>
                <w:szCs w:val="21"/>
                <w:highlight w:val="none"/>
              </w:rPr>
            </w:pPr>
          </w:p>
        </w:tc>
        <w:tc>
          <w:tcPr>
            <w:tcW w:w="2178" w:type="dxa"/>
            <w:gridSpan w:val="2"/>
            <w:noWrap w:val="0"/>
            <w:vAlign w:val="center"/>
          </w:tcPr>
          <w:p w14:paraId="23B57CE8">
            <w:pPr>
              <w:jc w:val="center"/>
              <w:rPr>
                <w:rFonts w:hint="eastAsia" w:ascii="仿宋" w:hAnsi="仿宋" w:eastAsia="仿宋" w:cs="仿宋"/>
                <w:szCs w:val="21"/>
                <w:highlight w:val="none"/>
              </w:rPr>
            </w:pPr>
            <w:r>
              <w:rPr>
                <w:rFonts w:hint="eastAsia" w:ascii="仿宋" w:hAnsi="仿宋" w:eastAsia="仿宋" w:cs="仿宋"/>
                <w:szCs w:val="21"/>
                <w:highlight w:val="none"/>
              </w:rPr>
              <w:t>电子邮箱</w:t>
            </w:r>
          </w:p>
        </w:tc>
        <w:tc>
          <w:tcPr>
            <w:tcW w:w="1856" w:type="dxa"/>
            <w:gridSpan w:val="2"/>
            <w:noWrap w:val="0"/>
            <w:vAlign w:val="center"/>
          </w:tcPr>
          <w:p w14:paraId="0DB60047">
            <w:pPr>
              <w:jc w:val="center"/>
              <w:rPr>
                <w:rFonts w:hint="eastAsia" w:ascii="仿宋" w:hAnsi="仿宋" w:eastAsia="仿宋" w:cs="仿宋"/>
                <w:szCs w:val="21"/>
                <w:highlight w:val="none"/>
              </w:rPr>
            </w:pPr>
          </w:p>
        </w:tc>
      </w:tr>
      <w:tr w14:paraId="1D35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679" w:type="dxa"/>
            <w:noWrap w:val="0"/>
            <w:vAlign w:val="center"/>
          </w:tcPr>
          <w:p w14:paraId="706EEFAE">
            <w:pPr>
              <w:jc w:val="center"/>
              <w:rPr>
                <w:rFonts w:hint="eastAsia" w:ascii="仿宋" w:hAnsi="仿宋" w:eastAsia="仿宋" w:cs="仿宋"/>
                <w:szCs w:val="21"/>
                <w:highlight w:val="none"/>
              </w:rPr>
            </w:pPr>
            <w:r>
              <w:rPr>
                <w:rFonts w:hint="eastAsia" w:ascii="仿宋" w:hAnsi="仿宋" w:eastAsia="仿宋" w:cs="仿宋"/>
                <w:szCs w:val="21"/>
                <w:highlight w:val="none"/>
              </w:rPr>
              <w:t>曾获得的奖项</w:t>
            </w:r>
          </w:p>
        </w:tc>
        <w:tc>
          <w:tcPr>
            <w:tcW w:w="5940" w:type="dxa"/>
            <w:gridSpan w:val="5"/>
            <w:noWrap w:val="0"/>
            <w:vAlign w:val="center"/>
          </w:tcPr>
          <w:p w14:paraId="0F584C47">
            <w:pPr>
              <w:jc w:val="center"/>
              <w:rPr>
                <w:rFonts w:hint="eastAsia" w:ascii="仿宋" w:hAnsi="仿宋" w:eastAsia="仿宋" w:cs="仿宋"/>
                <w:szCs w:val="21"/>
                <w:highlight w:val="none"/>
              </w:rPr>
            </w:pPr>
          </w:p>
        </w:tc>
      </w:tr>
      <w:tr w14:paraId="180A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679" w:type="dxa"/>
            <w:noWrap w:val="0"/>
            <w:vAlign w:val="center"/>
          </w:tcPr>
          <w:p w14:paraId="57B11EB7">
            <w:pPr>
              <w:jc w:val="center"/>
              <w:rPr>
                <w:rFonts w:hint="eastAsia" w:ascii="仿宋" w:hAnsi="仿宋" w:eastAsia="仿宋" w:cs="仿宋"/>
                <w:szCs w:val="21"/>
                <w:highlight w:val="none"/>
              </w:rPr>
            </w:pPr>
            <w:r>
              <w:rPr>
                <w:rFonts w:hint="eastAsia" w:ascii="仿宋" w:hAnsi="仿宋" w:eastAsia="仿宋" w:cs="仿宋"/>
                <w:szCs w:val="21"/>
                <w:highlight w:val="none"/>
              </w:rPr>
              <w:t>其他</w:t>
            </w:r>
          </w:p>
        </w:tc>
        <w:tc>
          <w:tcPr>
            <w:tcW w:w="5940" w:type="dxa"/>
            <w:gridSpan w:val="5"/>
            <w:noWrap w:val="0"/>
            <w:vAlign w:val="center"/>
          </w:tcPr>
          <w:p w14:paraId="3AF080CB">
            <w:pPr>
              <w:jc w:val="center"/>
              <w:rPr>
                <w:rFonts w:hint="eastAsia" w:ascii="仿宋" w:hAnsi="仿宋" w:eastAsia="仿宋" w:cs="仿宋"/>
                <w:szCs w:val="21"/>
                <w:highlight w:val="none"/>
              </w:rPr>
            </w:pPr>
          </w:p>
        </w:tc>
      </w:tr>
    </w:tbl>
    <w:p w14:paraId="267F6AE3">
      <w:pPr>
        <w:pStyle w:val="54"/>
        <w:snapToGrid w:val="0"/>
        <w:spacing w:line="480" w:lineRule="exact"/>
        <w:ind w:firstLine="54" w:firstLineChars="26"/>
        <w:textAlignment w:val="auto"/>
        <w:rPr>
          <w:rFonts w:hint="eastAsia" w:ascii="仿宋" w:hAnsi="仿宋" w:eastAsia="仿宋" w:cs="仿宋"/>
          <w:color w:val="000000"/>
          <w:highlight w:val="none"/>
        </w:rPr>
      </w:pPr>
    </w:p>
    <w:p w14:paraId="40D2233E">
      <w:pPr>
        <w:pStyle w:val="54"/>
        <w:snapToGrid w:val="0"/>
        <w:spacing w:line="480" w:lineRule="exact"/>
        <w:ind w:firstLine="54" w:firstLineChars="26"/>
        <w:textAlignment w:val="auto"/>
        <w:rPr>
          <w:rFonts w:hint="eastAsia" w:ascii="仿宋" w:hAnsi="仿宋" w:eastAsia="仿宋" w:cs="仿宋"/>
          <w:color w:val="000000"/>
          <w:highlight w:val="none"/>
        </w:rPr>
      </w:pPr>
    </w:p>
    <w:p w14:paraId="53CA0383">
      <w:pPr>
        <w:spacing w:line="480" w:lineRule="exact"/>
        <w:jc w:val="both"/>
        <w:rPr>
          <w:rFonts w:hint="eastAsia" w:ascii="仿宋" w:hAnsi="仿宋" w:eastAsia="仿宋" w:cs="仿宋"/>
          <w:b/>
          <w:sz w:val="24"/>
          <w:szCs w:val="24"/>
          <w:highlight w:val="none"/>
          <w:lang w:val="en-US" w:eastAsia="zh-CN"/>
        </w:rPr>
      </w:pPr>
      <w:r>
        <w:rPr>
          <w:rFonts w:hint="eastAsia" w:ascii="仿宋" w:hAnsi="仿宋" w:eastAsia="仿宋" w:cs="仿宋"/>
          <w:b/>
          <w:color w:val="000000"/>
          <w:highlight w:val="none"/>
        </w:rPr>
        <w:br w:type="page"/>
      </w:r>
      <w:r>
        <w:rPr>
          <w:rFonts w:hint="eastAsia" w:ascii="仿宋" w:hAnsi="仿宋" w:eastAsia="仿宋" w:cs="仿宋"/>
          <w:b/>
          <w:sz w:val="24"/>
          <w:szCs w:val="24"/>
          <w:highlight w:val="none"/>
          <w:lang w:val="en-US" w:eastAsia="zh-CN"/>
        </w:rPr>
        <w:t>格式十四：近三年同类型案例及相关证明材料</w:t>
      </w:r>
    </w:p>
    <w:p w14:paraId="3963A0EC">
      <w:pPr>
        <w:pStyle w:val="16"/>
        <w:spacing w:before="312" w:beforeLines="100" w:after="0" w:line="360" w:lineRule="auto"/>
        <w:jc w:val="center"/>
        <w:rPr>
          <w:rFonts w:hint="eastAsia" w:ascii="仿宋" w:hAnsi="仿宋" w:eastAsia="仿宋" w:cs="仿宋"/>
          <w:b/>
          <w:highlight w:val="none"/>
        </w:rPr>
      </w:pPr>
      <w:r>
        <w:rPr>
          <w:rFonts w:hint="eastAsia" w:ascii="仿宋" w:hAnsi="仿宋" w:eastAsia="仿宋" w:cs="仿宋"/>
          <w:b/>
          <w:highlight w:val="none"/>
        </w:rPr>
        <w:t>投标人近</w:t>
      </w:r>
      <w:r>
        <w:rPr>
          <w:rFonts w:hint="eastAsia" w:ascii="仿宋" w:hAnsi="仿宋" w:eastAsia="仿宋" w:cs="仿宋"/>
          <w:b/>
          <w:highlight w:val="none"/>
          <w:lang w:val="en-US" w:eastAsia="zh-CN"/>
        </w:rPr>
        <w:t>三</w:t>
      </w:r>
      <w:r>
        <w:rPr>
          <w:rFonts w:hint="eastAsia" w:ascii="仿宋" w:hAnsi="仿宋" w:eastAsia="仿宋" w:cs="仿宋"/>
          <w:b/>
          <w:highlight w:val="none"/>
        </w:rPr>
        <w:t>年同类项目业绩一览表</w:t>
      </w:r>
    </w:p>
    <w:tbl>
      <w:tblPr>
        <w:tblStyle w:val="31"/>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3"/>
        <w:gridCol w:w="1607"/>
        <w:gridCol w:w="1936"/>
        <w:gridCol w:w="1116"/>
        <w:gridCol w:w="1276"/>
        <w:gridCol w:w="1012"/>
      </w:tblGrid>
      <w:tr w14:paraId="37AB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51" w:type="dxa"/>
            <w:noWrap w:val="0"/>
            <w:vAlign w:val="center"/>
          </w:tcPr>
          <w:p w14:paraId="07839641">
            <w:pPr>
              <w:widowControl/>
              <w:jc w:val="center"/>
              <w:rPr>
                <w:rFonts w:hint="eastAsia" w:ascii="仿宋" w:hAnsi="仿宋" w:eastAsia="仿宋" w:cs="仿宋"/>
                <w:bCs/>
                <w:szCs w:val="21"/>
                <w:highlight w:val="none"/>
              </w:rPr>
            </w:pPr>
            <w:r>
              <w:rPr>
                <w:rFonts w:hint="eastAsia" w:ascii="仿宋" w:hAnsi="仿宋" w:eastAsia="仿宋" w:cs="仿宋"/>
                <w:bCs/>
                <w:szCs w:val="21"/>
                <w:highlight w:val="none"/>
              </w:rPr>
              <w:t>序号</w:t>
            </w:r>
          </w:p>
        </w:tc>
        <w:tc>
          <w:tcPr>
            <w:tcW w:w="1653" w:type="dxa"/>
            <w:noWrap w:val="0"/>
            <w:vAlign w:val="center"/>
          </w:tcPr>
          <w:p w14:paraId="162BA40B">
            <w:pPr>
              <w:widowControl/>
              <w:jc w:val="center"/>
              <w:rPr>
                <w:rFonts w:hint="eastAsia" w:ascii="仿宋" w:hAnsi="仿宋" w:eastAsia="仿宋" w:cs="仿宋"/>
                <w:bCs/>
                <w:szCs w:val="21"/>
                <w:highlight w:val="none"/>
              </w:rPr>
            </w:pPr>
            <w:r>
              <w:rPr>
                <w:rFonts w:hint="eastAsia" w:ascii="仿宋" w:hAnsi="仿宋" w:eastAsia="仿宋" w:cs="仿宋"/>
                <w:bCs/>
                <w:szCs w:val="21"/>
                <w:highlight w:val="none"/>
              </w:rPr>
              <w:t>委托单位</w:t>
            </w:r>
          </w:p>
        </w:tc>
        <w:tc>
          <w:tcPr>
            <w:tcW w:w="1607" w:type="dxa"/>
            <w:noWrap w:val="0"/>
            <w:vAlign w:val="center"/>
          </w:tcPr>
          <w:p w14:paraId="0177B6D7">
            <w:pPr>
              <w:widowControl/>
              <w:jc w:val="center"/>
              <w:rPr>
                <w:rFonts w:hint="eastAsia" w:ascii="仿宋" w:hAnsi="仿宋" w:eastAsia="仿宋" w:cs="仿宋"/>
                <w:bCs/>
                <w:szCs w:val="21"/>
                <w:highlight w:val="none"/>
              </w:rPr>
            </w:pPr>
            <w:r>
              <w:rPr>
                <w:rFonts w:hint="eastAsia" w:ascii="仿宋" w:hAnsi="仿宋" w:eastAsia="仿宋" w:cs="仿宋"/>
                <w:bCs/>
                <w:szCs w:val="21"/>
                <w:highlight w:val="none"/>
              </w:rPr>
              <w:t>项目名称</w:t>
            </w:r>
          </w:p>
        </w:tc>
        <w:tc>
          <w:tcPr>
            <w:tcW w:w="1936" w:type="dxa"/>
            <w:noWrap w:val="0"/>
            <w:vAlign w:val="center"/>
          </w:tcPr>
          <w:p w14:paraId="39D69A29">
            <w:pPr>
              <w:widowControl/>
              <w:jc w:val="center"/>
              <w:rPr>
                <w:rFonts w:hint="eastAsia" w:ascii="仿宋" w:hAnsi="仿宋" w:eastAsia="仿宋" w:cs="仿宋"/>
                <w:bCs/>
                <w:szCs w:val="21"/>
                <w:highlight w:val="none"/>
              </w:rPr>
            </w:pPr>
            <w:r>
              <w:rPr>
                <w:rFonts w:hint="eastAsia" w:ascii="仿宋" w:hAnsi="仿宋" w:eastAsia="仿宋" w:cs="仿宋"/>
                <w:bCs/>
                <w:szCs w:val="21"/>
                <w:highlight w:val="none"/>
              </w:rPr>
              <w:t>合同金额</w:t>
            </w:r>
          </w:p>
        </w:tc>
        <w:tc>
          <w:tcPr>
            <w:tcW w:w="1116" w:type="dxa"/>
            <w:noWrap w:val="0"/>
            <w:vAlign w:val="center"/>
          </w:tcPr>
          <w:p w14:paraId="77506BB3">
            <w:pPr>
              <w:widowControl/>
              <w:jc w:val="center"/>
              <w:rPr>
                <w:rFonts w:hint="eastAsia" w:ascii="仿宋" w:hAnsi="仿宋" w:eastAsia="仿宋" w:cs="仿宋"/>
                <w:bCs/>
                <w:szCs w:val="21"/>
                <w:highlight w:val="none"/>
              </w:rPr>
            </w:pPr>
            <w:r>
              <w:rPr>
                <w:rFonts w:hint="eastAsia" w:ascii="仿宋" w:hAnsi="仿宋" w:eastAsia="仿宋" w:cs="仿宋"/>
                <w:bCs/>
                <w:szCs w:val="21"/>
                <w:highlight w:val="none"/>
              </w:rPr>
              <w:t>签订日期</w:t>
            </w:r>
          </w:p>
        </w:tc>
        <w:tc>
          <w:tcPr>
            <w:tcW w:w="1276" w:type="dxa"/>
            <w:noWrap w:val="0"/>
            <w:vAlign w:val="center"/>
          </w:tcPr>
          <w:p w14:paraId="38DEF7BF">
            <w:pPr>
              <w:widowControl/>
              <w:jc w:val="center"/>
              <w:rPr>
                <w:rFonts w:hint="eastAsia" w:ascii="仿宋" w:hAnsi="仿宋" w:eastAsia="仿宋" w:cs="仿宋"/>
                <w:bCs/>
                <w:szCs w:val="21"/>
                <w:highlight w:val="none"/>
              </w:rPr>
            </w:pPr>
            <w:r>
              <w:rPr>
                <w:rFonts w:hint="eastAsia" w:ascii="仿宋" w:hAnsi="仿宋" w:eastAsia="仿宋" w:cs="仿宋"/>
                <w:bCs/>
                <w:szCs w:val="21"/>
                <w:highlight w:val="none"/>
              </w:rPr>
              <w:t>联系人</w:t>
            </w:r>
          </w:p>
        </w:tc>
        <w:tc>
          <w:tcPr>
            <w:tcW w:w="1012" w:type="dxa"/>
            <w:noWrap w:val="0"/>
            <w:vAlign w:val="center"/>
          </w:tcPr>
          <w:p w14:paraId="57B7065F">
            <w:pPr>
              <w:widowControl/>
              <w:adjustRightInd w:val="0"/>
              <w:snapToGrid w:val="0"/>
              <w:jc w:val="center"/>
              <w:rPr>
                <w:rFonts w:hint="eastAsia" w:ascii="仿宋" w:hAnsi="仿宋" w:eastAsia="仿宋" w:cs="仿宋"/>
                <w:bCs/>
                <w:szCs w:val="21"/>
                <w:highlight w:val="none"/>
              </w:rPr>
            </w:pPr>
            <w:r>
              <w:rPr>
                <w:rFonts w:hint="eastAsia" w:ascii="仿宋" w:hAnsi="仿宋" w:eastAsia="仿宋" w:cs="仿宋"/>
                <w:bCs/>
                <w:szCs w:val="21"/>
                <w:highlight w:val="none"/>
              </w:rPr>
              <w:t>备注</w:t>
            </w:r>
          </w:p>
        </w:tc>
      </w:tr>
      <w:tr w14:paraId="2F7E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1A6450E8">
            <w:pPr>
              <w:widowControl/>
              <w:jc w:val="center"/>
              <w:rPr>
                <w:rFonts w:hint="eastAsia" w:ascii="仿宋" w:hAnsi="仿宋" w:eastAsia="仿宋" w:cs="仿宋"/>
                <w:bCs/>
                <w:highlight w:val="none"/>
              </w:rPr>
            </w:pPr>
            <w:r>
              <w:rPr>
                <w:rFonts w:hint="eastAsia" w:ascii="仿宋" w:hAnsi="仿宋" w:eastAsia="仿宋" w:cs="仿宋"/>
                <w:bCs/>
                <w:highlight w:val="none"/>
              </w:rPr>
              <w:t>1</w:t>
            </w:r>
          </w:p>
        </w:tc>
        <w:tc>
          <w:tcPr>
            <w:tcW w:w="1653" w:type="dxa"/>
            <w:noWrap w:val="0"/>
            <w:vAlign w:val="center"/>
          </w:tcPr>
          <w:p w14:paraId="44B0304E">
            <w:pPr>
              <w:widowControl/>
              <w:jc w:val="center"/>
              <w:rPr>
                <w:rFonts w:hint="eastAsia" w:ascii="仿宋" w:hAnsi="仿宋" w:eastAsia="仿宋" w:cs="仿宋"/>
                <w:bCs/>
                <w:highlight w:val="none"/>
              </w:rPr>
            </w:pPr>
          </w:p>
        </w:tc>
        <w:tc>
          <w:tcPr>
            <w:tcW w:w="1607" w:type="dxa"/>
            <w:noWrap w:val="0"/>
            <w:vAlign w:val="center"/>
          </w:tcPr>
          <w:p w14:paraId="34A34BD0">
            <w:pPr>
              <w:widowControl/>
              <w:jc w:val="center"/>
              <w:rPr>
                <w:rFonts w:hint="eastAsia" w:ascii="仿宋" w:hAnsi="仿宋" w:eastAsia="仿宋" w:cs="仿宋"/>
                <w:bCs/>
                <w:highlight w:val="none"/>
              </w:rPr>
            </w:pPr>
          </w:p>
        </w:tc>
        <w:tc>
          <w:tcPr>
            <w:tcW w:w="1936" w:type="dxa"/>
            <w:noWrap w:val="0"/>
            <w:vAlign w:val="center"/>
          </w:tcPr>
          <w:p w14:paraId="1F8D5F56">
            <w:pPr>
              <w:widowControl/>
              <w:jc w:val="center"/>
              <w:rPr>
                <w:rFonts w:hint="eastAsia" w:ascii="仿宋" w:hAnsi="仿宋" w:eastAsia="仿宋" w:cs="仿宋"/>
                <w:bCs/>
                <w:highlight w:val="none"/>
              </w:rPr>
            </w:pPr>
          </w:p>
        </w:tc>
        <w:tc>
          <w:tcPr>
            <w:tcW w:w="1116" w:type="dxa"/>
            <w:noWrap w:val="0"/>
            <w:vAlign w:val="center"/>
          </w:tcPr>
          <w:p w14:paraId="63BFCACB">
            <w:pPr>
              <w:widowControl/>
              <w:jc w:val="center"/>
              <w:rPr>
                <w:rFonts w:hint="eastAsia" w:ascii="仿宋" w:hAnsi="仿宋" w:eastAsia="仿宋" w:cs="仿宋"/>
                <w:bCs/>
                <w:highlight w:val="none"/>
              </w:rPr>
            </w:pPr>
          </w:p>
        </w:tc>
        <w:tc>
          <w:tcPr>
            <w:tcW w:w="1276" w:type="dxa"/>
            <w:noWrap w:val="0"/>
            <w:vAlign w:val="center"/>
          </w:tcPr>
          <w:p w14:paraId="073418A2">
            <w:pPr>
              <w:widowControl/>
              <w:jc w:val="center"/>
              <w:rPr>
                <w:rFonts w:hint="eastAsia" w:ascii="仿宋" w:hAnsi="仿宋" w:eastAsia="仿宋" w:cs="仿宋"/>
                <w:bCs/>
                <w:highlight w:val="none"/>
              </w:rPr>
            </w:pPr>
          </w:p>
        </w:tc>
        <w:tc>
          <w:tcPr>
            <w:tcW w:w="1012" w:type="dxa"/>
            <w:noWrap w:val="0"/>
            <w:vAlign w:val="center"/>
          </w:tcPr>
          <w:p w14:paraId="6F94678F">
            <w:pPr>
              <w:widowControl/>
              <w:adjustRightInd w:val="0"/>
              <w:snapToGrid w:val="0"/>
              <w:jc w:val="center"/>
              <w:rPr>
                <w:rFonts w:hint="eastAsia" w:ascii="仿宋" w:hAnsi="仿宋" w:eastAsia="仿宋" w:cs="仿宋"/>
                <w:bCs/>
                <w:highlight w:val="none"/>
              </w:rPr>
            </w:pPr>
          </w:p>
        </w:tc>
      </w:tr>
      <w:tr w14:paraId="2CFB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4D19DB7D">
            <w:pPr>
              <w:widowControl/>
              <w:jc w:val="center"/>
              <w:rPr>
                <w:rFonts w:hint="eastAsia" w:ascii="仿宋" w:hAnsi="仿宋" w:eastAsia="仿宋" w:cs="仿宋"/>
                <w:bCs/>
                <w:highlight w:val="none"/>
              </w:rPr>
            </w:pPr>
            <w:r>
              <w:rPr>
                <w:rFonts w:hint="eastAsia" w:ascii="仿宋" w:hAnsi="仿宋" w:eastAsia="仿宋" w:cs="仿宋"/>
                <w:bCs/>
                <w:highlight w:val="none"/>
              </w:rPr>
              <w:t>2</w:t>
            </w:r>
          </w:p>
        </w:tc>
        <w:tc>
          <w:tcPr>
            <w:tcW w:w="1653" w:type="dxa"/>
            <w:noWrap w:val="0"/>
            <w:vAlign w:val="center"/>
          </w:tcPr>
          <w:p w14:paraId="3B12D3A1">
            <w:pPr>
              <w:widowControl/>
              <w:jc w:val="center"/>
              <w:rPr>
                <w:rFonts w:hint="eastAsia" w:ascii="仿宋" w:hAnsi="仿宋" w:eastAsia="仿宋" w:cs="仿宋"/>
                <w:bCs/>
                <w:highlight w:val="none"/>
              </w:rPr>
            </w:pPr>
          </w:p>
        </w:tc>
        <w:tc>
          <w:tcPr>
            <w:tcW w:w="1607" w:type="dxa"/>
            <w:noWrap w:val="0"/>
            <w:vAlign w:val="center"/>
          </w:tcPr>
          <w:p w14:paraId="4D63197F">
            <w:pPr>
              <w:widowControl/>
              <w:jc w:val="center"/>
              <w:rPr>
                <w:rFonts w:hint="eastAsia" w:ascii="仿宋" w:hAnsi="仿宋" w:eastAsia="仿宋" w:cs="仿宋"/>
                <w:bCs/>
                <w:highlight w:val="none"/>
              </w:rPr>
            </w:pPr>
          </w:p>
        </w:tc>
        <w:tc>
          <w:tcPr>
            <w:tcW w:w="1936" w:type="dxa"/>
            <w:noWrap w:val="0"/>
            <w:vAlign w:val="center"/>
          </w:tcPr>
          <w:p w14:paraId="6001535C">
            <w:pPr>
              <w:widowControl/>
              <w:jc w:val="center"/>
              <w:rPr>
                <w:rFonts w:hint="eastAsia" w:ascii="仿宋" w:hAnsi="仿宋" w:eastAsia="仿宋" w:cs="仿宋"/>
                <w:bCs/>
                <w:highlight w:val="none"/>
              </w:rPr>
            </w:pPr>
          </w:p>
        </w:tc>
        <w:tc>
          <w:tcPr>
            <w:tcW w:w="1116" w:type="dxa"/>
            <w:noWrap w:val="0"/>
            <w:vAlign w:val="center"/>
          </w:tcPr>
          <w:p w14:paraId="2A034DCA">
            <w:pPr>
              <w:widowControl/>
              <w:jc w:val="center"/>
              <w:rPr>
                <w:rFonts w:hint="eastAsia" w:ascii="仿宋" w:hAnsi="仿宋" w:eastAsia="仿宋" w:cs="仿宋"/>
                <w:bCs/>
                <w:highlight w:val="none"/>
              </w:rPr>
            </w:pPr>
          </w:p>
        </w:tc>
        <w:tc>
          <w:tcPr>
            <w:tcW w:w="1276" w:type="dxa"/>
            <w:noWrap w:val="0"/>
            <w:vAlign w:val="center"/>
          </w:tcPr>
          <w:p w14:paraId="450AF39C">
            <w:pPr>
              <w:widowControl/>
              <w:jc w:val="center"/>
              <w:rPr>
                <w:rFonts w:hint="eastAsia" w:ascii="仿宋" w:hAnsi="仿宋" w:eastAsia="仿宋" w:cs="仿宋"/>
                <w:bCs/>
                <w:highlight w:val="none"/>
              </w:rPr>
            </w:pPr>
          </w:p>
        </w:tc>
        <w:tc>
          <w:tcPr>
            <w:tcW w:w="1012" w:type="dxa"/>
            <w:noWrap w:val="0"/>
            <w:vAlign w:val="center"/>
          </w:tcPr>
          <w:p w14:paraId="621CD023">
            <w:pPr>
              <w:widowControl/>
              <w:adjustRightInd w:val="0"/>
              <w:snapToGrid w:val="0"/>
              <w:jc w:val="center"/>
              <w:rPr>
                <w:rFonts w:hint="eastAsia" w:ascii="仿宋" w:hAnsi="仿宋" w:eastAsia="仿宋" w:cs="仿宋"/>
                <w:bCs/>
                <w:highlight w:val="none"/>
              </w:rPr>
            </w:pPr>
          </w:p>
        </w:tc>
      </w:tr>
      <w:tr w14:paraId="3B37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2A5D1C8B">
            <w:pPr>
              <w:widowControl/>
              <w:jc w:val="center"/>
              <w:rPr>
                <w:rFonts w:hint="eastAsia" w:ascii="仿宋" w:hAnsi="仿宋" w:eastAsia="仿宋" w:cs="仿宋"/>
                <w:bCs/>
                <w:highlight w:val="none"/>
              </w:rPr>
            </w:pPr>
            <w:r>
              <w:rPr>
                <w:rFonts w:hint="eastAsia" w:ascii="仿宋" w:hAnsi="仿宋" w:eastAsia="仿宋" w:cs="仿宋"/>
                <w:bCs/>
                <w:highlight w:val="none"/>
              </w:rPr>
              <w:t>3</w:t>
            </w:r>
          </w:p>
        </w:tc>
        <w:tc>
          <w:tcPr>
            <w:tcW w:w="1653" w:type="dxa"/>
            <w:noWrap w:val="0"/>
            <w:vAlign w:val="center"/>
          </w:tcPr>
          <w:p w14:paraId="13C12450">
            <w:pPr>
              <w:widowControl/>
              <w:jc w:val="center"/>
              <w:rPr>
                <w:rFonts w:hint="eastAsia" w:ascii="仿宋" w:hAnsi="仿宋" w:eastAsia="仿宋" w:cs="仿宋"/>
                <w:bCs/>
                <w:highlight w:val="none"/>
              </w:rPr>
            </w:pPr>
          </w:p>
        </w:tc>
        <w:tc>
          <w:tcPr>
            <w:tcW w:w="1607" w:type="dxa"/>
            <w:noWrap w:val="0"/>
            <w:vAlign w:val="center"/>
          </w:tcPr>
          <w:p w14:paraId="01FEFA7F">
            <w:pPr>
              <w:widowControl/>
              <w:jc w:val="center"/>
              <w:rPr>
                <w:rFonts w:hint="eastAsia" w:ascii="仿宋" w:hAnsi="仿宋" w:eastAsia="仿宋" w:cs="仿宋"/>
                <w:bCs/>
                <w:highlight w:val="none"/>
              </w:rPr>
            </w:pPr>
          </w:p>
        </w:tc>
        <w:tc>
          <w:tcPr>
            <w:tcW w:w="1936" w:type="dxa"/>
            <w:noWrap w:val="0"/>
            <w:vAlign w:val="center"/>
          </w:tcPr>
          <w:p w14:paraId="383D9AF3">
            <w:pPr>
              <w:widowControl/>
              <w:jc w:val="center"/>
              <w:rPr>
                <w:rFonts w:hint="eastAsia" w:ascii="仿宋" w:hAnsi="仿宋" w:eastAsia="仿宋" w:cs="仿宋"/>
                <w:bCs/>
                <w:highlight w:val="none"/>
              </w:rPr>
            </w:pPr>
          </w:p>
        </w:tc>
        <w:tc>
          <w:tcPr>
            <w:tcW w:w="1116" w:type="dxa"/>
            <w:noWrap w:val="0"/>
            <w:vAlign w:val="center"/>
          </w:tcPr>
          <w:p w14:paraId="0027000F">
            <w:pPr>
              <w:widowControl/>
              <w:jc w:val="center"/>
              <w:rPr>
                <w:rFonts w:hint="eastAsia" w:ascii="仿宋" w:hAnsi="仿宋" w:eastAsia="仿宋" w:cs="仿宋"/>
                <w:bCs/>
                <w:highlight w:val="none"/>
              </w:rPr>
            </w:pPr>
          </w:p>
        </w:tc>
        <w:tc>
          <w:tcPr>
            <w:tcW w:w="1276" w:type="dxa"/>
            <w:noWrap w:val="0"/>
            <w:vAlign w:val="center"/>
          </w:tcPr>
          <w:p w14:paraId="2F56563F">
            <w:pPr>
              <w:widowControl/>
              <w:jc w:val="center"/>
              <w:rPr>
                <w:rFonts w:hint="eastAsia" w:ascii="仿宋" w:hAnsi="仿宋" w:eastAsia="仿宋" w:cs="仿宋"/>
                <w:bCs/>
                <w:highlight w:val="none"/>
              </w:rPr>
            </w:pPr>
          </w:p>
        </w:tc>
        <w:tc>
          <w:tcPr>
            <w:tcW w:w="1012" w:type="dxa"/>
            <w:noWrap w:val="0"/>
            <w:vAlign w:val="center"/>
          </w:tcPr>
          <w:p w14:paraId="7C5201A8">
            <w:pPr>
              <w:widowControl/>
              <w:adjustRightInd w:val="0"/>
              <w:snapToGrid w:val="0"/>
              <w:jc w:val="center"/>
              <w:rPr>
                <w:rFonts w:hint="eastAsia" w:ascii="仿宋" w:hAnsi="仿宋" w:eastAsia="仿宋" w:cs="仿宋"/>
                <w:bCs/>
                <w:highlight w:val="none"/>
              </w:rPr>
            </w:pPr>
          </w:p>
        </w:tc>
      </w:tr>
      <w:tr w14:paraId="5E68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60AC9B9A">
            <w:pPr>
              <w:widowControl/>
              <w:jc w:val="center"/>
              <w:rPr>
                <w:rFonts w:hint="eastAsia" w:ascii="仿宋" w:hAnsi="仿宋" w:eastAsia="仿宋" w:cs="仿宋"/>
                <w:bCs/>
                <w:highlight w:val="none"/>
              </w:rPr>
            </w:pPr>
            <w:r>
              <w:rPr>
                <w:rFonts w:hint="eastAsia" w:ascii="仿宋" w:hAnsi="仿宋" w:eastAsia="仿宋" w:cs="仿宋"/>
                <w:bCs/>
                <w:highlight w:val="none"/>
              </w:rPr>
              <w:t>…</w:t>
            </w:r>
          </w:p>
        </w:tc>
        <w:tc>
          <w:tcPr>
            <w:tcW w:w="1653" w:type="dxa"/>
            <w:noWrap w:val="0"/>
            <w:vAlign w:val="center"/>
          </w:tcPr>
          <w:p w14:paraId="6542B1DA">
            <w:pPr>
              <w:widowControl/>
              <w:jc w:val="center"/>
              <w:rPr>
                <w:rFonts w:hint="eastAsia" w:ascii="仿宋" w:hAnsi="仿宋" w:eastAsia="仿宋" w:cs="仿宋"/>
                <w:bCs/>
                <w:highlight w:val="none"/>
              </w:rPr>
            </w:pPr>
          </w:p>
        </w:tc>
        <w:tc>
          <w:tcPr>
            <w:tcW w:w="1607" w:type="dxa"/>
            <w:noWrap w:val="0"/>
            <w:vAlign w:val="center"/>
          </w:tcPr>
          <w:p w14:paraId="2A27A6EB">
            <w:pPr>
              <w:widowControl/>
              <w:jc w:val="center"/>
              <w:rPr>
                <w:rFonts w:hint="eastAsia" w:ascii="仿宋" w:hAnsi="仿宋" w:eastAsia="仿宋" w:cs="仿宋"/>
                <w:bCs/>
                <w:highlight w:val="none"/>
              </w:rPr>
            </w:pPr>
          </w:p>
        </w:tc>
        <w:tc>
          <w:tcPr>
            <w:tcW w:w="1936" w:type="dxa"/>
            <w:noWrap w:val="0"/>
            <w:vAlign w:val="center"/>
          </w:tcPr>
          <w:p w14:paraId="036F0E07">
            <w:pPr>
              <w:widowControl/>
              <w:jc w:val="center"/>
              <w:rPr>
                <w:rFonts w:hint="eastAsia" w:ascii="仿宋" w:hAnsi="仿宋" w:eastAsia="仿宋" w:cs="仿宋"/>
                <w:bCs/>
                <w:highlight w:val="none"/>
              </w:rPr>
            </w:pPr>
          </w:p>
        </w:tc>
        <w:tc>
          <w:tcPr>
            <w:tcW w:w="1116" w:type="dxa"/>
            <w:noWrap w:val="0"/>
            <w:vAlign w:val="center"/>
          </w:tcPr>
          <w:p w14:paraId="7E59F15E">
            <w:pPr>
              <w:widowControl/>
              <w:jc w:val="center"/>
              <w:rPr>
                <w:rFonts w:hint="eastAsia" w:ascii="仿宋" w:hAnsi="仿宋" w:eastAsia="仿宋" w:cs="仿宋"/>
                <w:bCs/>
                <w:highlight w:val="none"/>
              </w:rPr>
            </w:pPr>
          </w:p>
        </w:tc>
        <w:tc>
          <w:tcPr>
            <w:tcW w:w="1276" w:type="dxa"/>
            <w:noWrap w:val="0"/>
            <w:vAlign w:val="center"/>
          </w:tcPr>
          <w:p w14:paraId="71DBAE80">
            <w:pPr>
              <w:widowControl/>
              <w:jc w:val="center"/>
              <w:rPr>
                <w:rFonts w:hint="eastAsia" w:ascii="仿宋" w:hAnsi="仿宋" w:eastAsia="仿宋" w:cs="仿宋"/>
                <w:bCs/>
                <w:highlight w:val="none"/>
              </w:rPr>
            </w:pPr>
          </w:p>
        </w:tc>
        <w:tc>
          <w:tcPr>
            <w:tcW w:w="1012" w:type="dxa"/>
            <w:noWrap w:val="0"/>
            <w:vAlign w:val="center"/>
          </w:tcPr>
          <w:p w14:paraId="3C0D78FA">
            <w:pPr>
              <w:widowControl/>
              <w:adjustRightInd w:val="0"/>
              <w:snapToGrid w:val="0"/>
              <w:jc w:val="center"/>
              <w:rPr>
                <w:rFonts w:hint="eastAsia" w:ascii="仿宋" w:hAnsi="仿宋" w:eastAsia="仿宋" w:cs="仿宋"/>
                <w:bCs/>
                <w:highlight w:val="none"/>
              </w:rPr>
            </w:pPr>
          </w:p>
        </w:tc>
      </w:tr>
      <w:tr w14:paraId="25DD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14:paraId="7F22C344">
            <w:pPr>
              <w:widowControl/>
              <w:jc w:val="center"/>
              <w:rPr>
                <w:rFonts w:hint="eastAsia" w:ascii="仿宋" w:hAnsi="仿宋" w:eastAsia="仿宋" w:cs="仿宋"/>
                <w:bCs/>
                <w:highlight w:val="none"/>
              </w:rPr>
            </w:pPr>
            <w:r>
              <w:rPr>
                <w:rFonts w:hint="eastAsia" w:ascii="仿宋" w:hAnsi="仿宋" w:eastAsia="仿宋" w:cs="仿宋"/>
                <w:bCs/>
                <w:highlight w:val="none"/>
              </w:rPr>
              <w:t>…</w:t>
            </w:r>
          </w:p>
        </w:tc>
        <w:tc>
          <w:tcPr>
            <w:tcW w:w="1653" w:type="dxa"/>
            <w:noWrap w:val="0"/>
            <w:vAlign w:val="center"/>
          </w:tcPr>
          <w:p w14:paraId="4F4AD35E">
            <w:pPr>
              <w:widowControl/>
              <w:jc w:val="center"/>
              <w:rPr>
                <w:rFonts w:hint="eastAsia" w:ascii="仿宋" w:hAnsi="仿宋" w:eastAsia="仿宋" w:cs="仿宋"/>
                <w:bCs/>
                <w:highlight w:val="none"/>
              </w:rPr>
            </w:pPr>
          </w:p>
        </w:tc>
        <w:tc>
          <w:tcPr>
            <w:tcW w:w="1607" w:type="dxa"/>
            <w:noWrap w:val="0"/>
            <w:vAlign w:val="center"/>
          </w:tcPr>
          <w:p w14:paraId="1180BC36">
            <w:pPr>
              <w:widowControl/>
              <w:jc w:val="center"/>
              <w:rPr>
                <w:rFonts w:hint="eastAsia" w:ascii="仿宋" w:hAnsi="仿宋" w:eastAsia="仿宋" w:cs="仿宋"/>
                <w:bCs/>
                <w:highlight w:val="none"/>
              </w:rPr>
            </w:pPr>
          </w:p>
        </w:tc>
        <w:tc>
          <w:tcPr>
            <w:tcW w:w="1936" w:type="dxa"/>
            <w:noWrap w:val="0"/>
            <w:vAlign w:val="center"/>
          </w:tcPr>
          <w:p w14:paraId="08016D8B">
            <w:pPr>
              <w:widowControl/>
              <w:jc w:val="center"/>
              <w:rPr>
                <w:rFonts w:hint="eastAsia" w:ascii="仿宋" w:hAnsi="仿宋" w:eastAsia="仿宋" w:cs="仿宋"/>
                <w:bCs/>
                <w:highlight w:val="none"/>
              </w:rPr>
            </w:pPr>
          </w:p>
        </w:tc>
        <w:tc>
          <w:tcPr>
            <w:tcW w:w="1116" w:type="dxa"/>
            <w:noWrap w:val="0"/>
            <w:vAlign w:val="center"/>
          </w:tcPr>
          <w:p w14:paraId="798D893F">
            <w:pPr>
              <w:widowControl/>
              <w:jc w:val="center"/>
              <w:rPr>
                <w:rFonts w:hint="eastAsia" w:ascii="仿宋" w:hAnsi="仿宋" w:eastAsia="仿宋" w:cs="仿宋"/>
                <w:bCs/>
                <w:highlight w:val="none"/>
              </w:rPr>
            </w:pPr>
          </w:p>
        </w:tc>
        <w:tc>
          <w:tcPr>
            <w:tcW w:w="1276" w:type="dxa"/>
            <w:noWrap w:val="0"/>
            <w:vAlign w:val="center"/>
          </w:tcPr>
          <w:p w14:paraId="5924E8B8">
            <w:pPr>
              <w:widowControl/>
              <w:jc w:val="center"/>
              <w:rPr>
                <w:rFonts w:hint="eastAsia" w:ascii="仿宋" w:hAnsi="仿宋" w:eastAsia="仿宋" w:cs="仿宋"/>
                <w:bCs/>
                <w:highlight w:val="none"/>
              </w:rPr>
            </w:pPr>
          </w:p>
        </w:tc>
        <w:tc>
          <w:tcPr>
            <w:tcW w:w="1012" w:type="dxa"/>
            <w:noWrap w:val="0"/>
            <w:vAlign w:val="center"/>
          </w:tcPr>
          <w:p w14:paraId="534B8D35">
            <w:pPr>
              <w:widowControl/>
              <w:adjustRightInd w:val="0"/>
              <w:snapToGrid w:val="0"/>
              <w:jc w:val="center"/>
              <w:rPr>
                <w:rFonts w:hint="eastAsia" w:ascii="仿宋" w:hAnsi="仿宋" w:eastAsia="仿宋" w:cs="仿宋"/>
                <w:bCs/>
                <w:highlight w:val="none"/>
              </w:rPr>
            </w:pPr>
          </w:p>
        </w:tc>
      </w:tr>
    </w:tbl>
    <w:p w14:paraId="668545DC">
      <w:pPr>
        <w:spacing w:line="480" w:lineRule="exact"/>
        <w:rPr>
          <w:rFonts w:hint="eastAsia" w:ascii="仿宋" w:hAnsi="仿宋" w:eastAsia="仿宋" w:cs="仿宋"/>
          <w:szCs w:val="21"/>
          <w:highlight w:val="none"/>
        </w:rPr>
      </w:pPr>
      <w:r>
        <w:rPr>
          <w:rFonts w:hint="eastAsia" w:ascii="仿宋" w:hAnsi="仿宋" w:eastAsia="仿宋" w:cs="仿宋"/>
          <w:szCs w:val="21"/>
          <w:highlight w:val="none"/>
        </w:rPr>
        <w:t>说明：</w:t>
      </w: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 1 \* GB3 </w:instrText>
      </w:r>
      <w:r>
        <w:rPr>
          <w:rFonts w:hint="eastAsia" w:ascii="仿宋" w:hAnsi="仿宋" w:eastAsia="仿宋" w:cs="仿宋"/>
          <w:szCs w:val="21"/>
          <w:highlight w:val="none"/>
        </w:rPr>
        <w:fldChar w:fldCharType="separate"/>
      </w:r>
      <w:r>
        <w:rPr>
          <w:rFonts w:hint="eastAsia" w:ascii="仿宋" w:hAnsi="仿宋" w:eastAsia="仿宋" w:cs="仿宋"/>
          <w:szCs w:val="21"/>
          <w:highlight w:val="none"/>
        </w:rPr>
        <w:t>①</w:t>
      </w:r>
      <w:r>
        <w:rPr>
          <w:rFonts w:hint="eastAsia" w:ascii="仿宋" w:hAnsi="仿宋" w:eastAsia="仿宋" w:cs="仿宋"/>
          <w:szCs w:val="21"/>
          <w:highlight w:val="none"/>
        </w:rPr>
        <w:fldChar w:fldCharType="end"/>
      </w:r>
      <w:r>
        <w:rPr>
          <w:rFonts w:hint="eastAsia" w:ascii="仿宋" w:hAnsi="仿宋" w:eastAsia="仿宋" w:cs="仿宋"/>
          <w:szCs w:val="21"/>
          <w:highlight w:val="none"/>
        </w:rPr>
        <w:t>后附业绩证明资料；</w:t>
      </w:r>
    </w:p>
    <w:p w14:paraId="2CEE3D16">
      <w:pPr>
        <w:spacing w:line="480" w:lineRule="exact"/>
        <w:ind w:firstLine="630" w:firstLineChars="300"/>
        <w:rPr>
          <w:rFonts w:hint="eastAsia" w:ascii="仿宋" w:hAnsi="仿宋" w:eastAsia="仿宋" w:cs="仿宋"/>
          <w:szCs w:val="21"/>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 2 \* GB3 </w:instrText>
      </w:r>
      <w:r>
        <w:rPr>
          <w:rFonts w:hint="eastAsia" w:ascii="仿宋" w:hAnsi="仿宋" w:eastAsia="仿宋" w:cs="仿宋"/>
          <w:szCs w:val="21"/>
          <w:highlight w:val="none"/>
        </w:rPr>
        <w:fldChar w:fldCharType="separate"/>
      </w:r>
      <w:r>
        <w:rPr>
          <w:rFonts w:hint="eastAsia" w:ascii="仿宋" w:hAnsi="仿宋" w:eastAsia="仿宋" w:cs="仿宋"/>
          <w:szCs w:val="21"/>
          <w:highlight w:val="none"/>
        </w:rPr>
        <w:t>②</w:t>
      </w:r>
      <w:r>
        <w:rPr>
          <w:rFonts w:hint="eastAsia" w:ascii="仿宋" w:hAnsi="仿宋" w:eastAsia="仿宋" w:cs="仿宋"/>
          <w:szCs w:val="21"/>
          <w:highlight w:val="none"/>
        </w:rPr>
        <w:fldChar w:fldCharType="end"/>
      </w:r>
      <w:r>
        <w:rPr>
          <w:rFonts w:hint="eastAsia" w:ascii="仿宋" w:hAnsi="仿宋" w:eastAsia="仿宋" w:cs="仿宋"/>
          <w:szCs w:val="21"/>
          <w:highlight w:val="none"/>
        </w:rPr>
        <w:t>投标人可根据实际项目业绩自行增减横向单元格，纵向单元格不得增减内容。</w:t>
      </w:r>
    </w:p>
    <w:p w14:paraId="115ABF95">
      <w:pPr>
        <w:tabs>
          <w:tab w:val="left" w:pos="630"/>
        </w:tabs>
        <w:ind w:left="165"/>
        <w:jc w:val="both"/>
        <w:rPr>
          <w:rFonts w:hint="eastAsia" w:ascii="仿宋" w:hAnsi="仿宋" w:eastAsia="仿宋" w:cs="仿宋"/>
          <w:b/>
          <w:sz w:val="24"/>
          <w:szCs w:val="24"/>
          <w:highlight w:val="none"/>
          <w:lang w:val="en-US" w:eastAsia="zh-CN"/>
        </w:rPr>
      </w:pPr>
      <w:r>
        <w:rPr>
          <w:rFonts w:hint="eastAsia" w:ascii="仿宋" w:hAnsi="仿宋" w:eastAsia="仿宋" w:cs="仿宋"/>
          <w:b/>
          <w:highlight w:val="none"/>
        </w:rPr>
        <w:br w:type="page"/>
      </w:r>
      <w:r>
        <w:rPr>
          <w:rFonts w:hint="eastAsia" w:ascii="仿宋" w:hAnsi="仿宋" w:eastAsia="仿宋" w:cs="仿宋"/>
          <w:b/>
          <w:sz w:val="24"/>
          <w:szCs w:val="24"/>
          <w:highlight w:val="none"/>
          <w:lang w:val="en-US" w:eastAsia="zh-CN"/>
        </w:rPr>
        <w:t>格式十五：</w:t>
      </w:r>
      <w:bookmarkStart w:id="38" w:name="_Toc461457668"/>
      <w:r>
        <w:rPr>
          <w:rFonts w:hint="eastAsia" w:ascii="仿宋" w:hAnsi="仿宋" w:eastAsia="仿宋" w:cs="仿宋"/>
          <w:b/>
          <w:sz w:val="24"/>
          <w:szCs w:val="24"/>
          <w:highlight w:val="none"/>
          <w:lang w:val="en-US" w:eastAsia="zh-CN"/>
        </w:rPr>
        <w:t>商务、技术条款偏离表</w:t>
      </w:r>
      <w:bookmarkEnd w:id="38"/>
    </w:p>
    <w:p w14:paraId="7546FA08">
      <w:pPr>
        <w:widowControl/>
        <w:tabs>
          <w:tab w:val="left" w:pos="4000"/>
        </w:tabs>
        <w:snapToGrid w:val="0"/>
        <w:spacing w:after="156" w:afterLines="50"/>
        <w:jc w:val="center"/>
        <w:rPr>
          <w:rFonts w:hint="eastAsia" w:ascii="仿宋" w:hAnsi="仿宋" w:eastAsia="仿宋" w:cs="仿宋"/>
          <w:b/>
          <w:highlight w:val="none"/>
        </w:rPr>
      </w:pPr>
    </w:p>
    <w:p w14:paraId="56D0DA20">
      <w:pPr>
        <w:widowControl/>
        <w:wordWrap w:val="0"/>
        <w:topLinePunct/>
        <w:spacing w:line="360" w:lineRule="exact"/>
        <w:rPr>
          <w:rFonts w:hint="eastAsia" w:ascii="仿宋" w:hAnsi="仿宋" w:eastAsia="仿宋" w:cs="仿宋"/>
          <w:szCs w:val="21"/>
          <w:highlight w:val="none"/>
        </w:rPr>
      </w:pPr>
      <w:r>
        <w:rPr>
          <w:rFonts w:hint="eastAsia" w:ascii="仿宋" w:hAnsi="仿宋" w:eastAsia="仿宋" w:cs="仿宋"/>
          <w:szCs w:val="21"/>
          <w:highlight w:val="none"/>
        </w:rPr>
        <w:t xml:space="preserve">项目名称 </w:t>
      </w:r>
      <w:r>
        <w:rPr>
          <w:rFonts w:hint="eastAsia" w:ascii="仿宋" w:hAnsi="仿宋" w:eastAsia="仿宋" w:cs="仿宋"/>
          <w:szCs w:val="21"/>
          <w:highlight w:val="none"/>
          <w:u w:val="single"/>
        </w:rPr>
        <w:t xml:space="preserve">                                      </w:t>
      </w:r>
    </w:p>
    <w:p w14:paraId="439029EA">
      <w:pPr>
        <w:widowControl/>
        <w:wordWrap w:val="0"/>
        <w:topLinePunct/>
        <w:spacing w:line="360" w:lineRule="exact"/>
        <w:rPr>
          <w:rFonts w:hint="eastAsia" w:ascii="仿宋" w:hAnsi="仿宋" w:eastAsia="仿宋" w:cs="仿宋"/>
          <w:szCs w:val="21"/>
          <w:highlight w:val="none"/>
          <w:u w:val="single"/>
        </w:rPr>
      </w:pPr>
      <w:r>
        <w:rPr>
          <w:rFonts w:hint="eastAsia" w:ascii="仿宋" w:hAnsi="仿宋" w:eastAsia="仿宋" w:cs="仿宋"/>
          <w:szCs w:val="21"/>
          <w:highlight w:val="none"/>
          <w:lang w:eastAsia="zh-CN"/>
        </w:rPr>
        <w:t>项目编号</w:t>
      </w:r>
      <w:r>
        <w:rPr>
          <w:rFonts w:hint="eastAsia" w:ascii="仿宋" w:hAnsi="仿宋" w:eastAsia="仿宋" w:cs="仿宋"/>
          <w:szCs w:val="21"/>
          <w:highlight w:val="none"/>
        </w:rPr>
        <w:t xml:space="preserve">： </w:t>
      </w:r>
      <w:r>
        <w:rPr>
          <w:rFonts w:hint="eastAsia" w:ascii="仿宋" w:hAnsi="仿宋" w:eastAsia="仿宋" w:cs="仿宋"/>
          <w:szCs w:val="21"/>
          <w:highlight w:val="none"/>
          <w:u w:val="single"/>
        </w:rPr>
        <w:t xml:space="preserve">                                      </w:t>
      </w:r>
    </w:p>
    <w:p w14:paraId="6E087E81">
      <w:pPr>
        <w:widowControl/>
        <w:wordWrap w:val="0"/>
        <w:topLinePunct/>
        <w:spacing w:line="360" w:lineRule="exact"/>
        <w:rPr>
          <w:rFonts w:hint="eastAsia" w:ascii="仿宋" w:hAnsi="仿宋" w:eastAsia="仿宋" w:cs="仿宋"/>
          <w:szCs w:val="21"/>
          <w:highlight w:val="none"/>
          <w:u w:val="single"/>
        </w:rPr>
      </w:pPr>
      <w:r>
        <w:rPr>
          <w:rFonts w:hint="eastAsia" w:ascii="仿宋" w:hAnsi="仿宋" w:eastAsia="仿宋" w:cs="仿宋"/>
          <w:szCs w:val="21"/>
          <w:highlight w:val="none"/>
        </w:rPr>
        <w:t>投标人名称：</w:t>
      </w:r>
      <w:r>
        <w:rPr>
          <w:rFonts w:hint="eastAsia" w:ascii="仿宋" w:hAnsi="仿宋" w:eastAsia="仿宋" w:cs="仿宋"/>
          <w:szCs w:val="21"/>
          <w:highlight w:val="none"/>
          <w:u w:val="single"/>
        </w:rPr>
        <w:t xml:space="preserve">                                     </w:t>
      </w:r>
    </w:p>
    <w:p w14:paraId="1B7D170B">
      <w:pPr>
        <w:pStyle w:val="2"/>
        <w:rPr>
          <w:rFonts w:hint="eastAsia" w:ascii="仿宋" w:hAnsi="仿宋" w:eastAsia="仿宋" w:cs="仿宋"/>
          <w:highlight w:val="none"/>
        </w:rPr>
      </w:pPr>
    </w:p>
    <w:p w14:paraId="53A1F7D0">
      <w:pPr>
        <w:pStyle w:val="2"/>
        <w:rPr>
          <w:rFonts w:hint="eastAsia" w:ascii="仿宋" w:hAnsi="仿宋" w:eastAsia="仿宋" w:cs="仿宋"/>
          <w:highlight w:val="none"/>
        </w:rPr>
      </w:pP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7"/>
        <w:gridCol w:w="2714"/>
        <w:gridCol w:w="2884"/>
        <w:gridCol w:w="1708"/>
        <w:gridCol w:w="1101"/>
      </w:tblGrid>
      <w:tr w14:paraId="0CB11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2" w:hRule="atLeast"/>
          <w:jc w:val="center"/>
        </w:trPr>
        <w:tc>
          <w:tcPr>
            <w:tcW w:w="937" w:type="dxa"/>
            <w:tcBorders>
              <w:right w:val="single" w:color="auto" w:sz="4" w:space="0"/>
            </w:tcBorders>
            <w:noWrap w:val="0"/>
            <w:vAlign w:val="center"/>
          </w:tcPr>
          <w:p w14:paraId="17B6BBF4">
            <w:pPr>
              <w:snapToGrid w:val="0"/>
              <w:spacing w:line="300" w:lineRule="auto"/>
              <w:jc w:val="center"/>
              <w:rPr>
                <w:rFonts w:hint="eastAsia" w:ascii="仿宋" w:hAnsi="仿宋" w:eastAsia="仿宋" w:cs="仿宋"/>
                <w:szCs w:val="24"/>
                <w:highlight w:val="none"/>
              </w:rPr>
            </w:pPr>
            <w:r>
              <w:rPr>
                <w:rFonts w:hint="eastAsia" w:ascii="仿宋" w:hAnsi="仿宋" w:eastAsia="仿宋" w:cs="仿宋"/>
                <w:szCs w:val="24"/>
                <w:highlight w:val="none"/>
              </w:rPr>
              <w:t>序号</w:t>
            </w:r>
          </w:p>
        </w:tc>
        <w:tc>
          <w:tcPr>
            <w:tcW w:w="2714" w:type="dxa"/>
            <w:noWrap w:val="0"/>
            <w:vAlign w:val="center"/>
          </w:tcPr>
          <w:p w14:paraId="529F083A">
            <w:pPr>
              <w:snapToGrid w:val="0"/>
              <w:spacing w:line="300" w:lineRule="auto"/>
              <w:jc w:val="center"/>
              <w:rPr>
                <w:rFonts w:hint="eastAsia" w:ascii="仿宋" w:hAnsi="仿宋" w:eastAsia="仿宋" w:cs="仿宋"/>
                <w:szCs w:val="24"/>
                <w:highlight w:val="none"/>
              </w:rPr>
            </w:pPr>
            <w:r>
              <w:rPr>
                <w:rFonts w:hint="eastAsia" w:ascii="仿宋" w:hAnsi="仿宋" w:eastAsia="仿宋" w:cs="仿宋"/>
                <w:szCs w:val="24"/>
                <w:highlight w:val="none"/>
              </w:rPr>
              <w:t>招标文件技术</w:t>
            </w:r>
          </w:p>
          <w:p w14:paraId="2C901BC8">
            <w:pPr>
              <w:snapToGrid w:val="0"/>
              <w:spacing w:line="300" w:lineRule="auto"/>
              <w:jc w:val="center"/>
              <w:rPr>
                <w:rFonts w:hint="eastAsia" w:ascii="仿宋" w:hAnsi="仿宋" w:eastAsia="仿宋" w:cs="仿宋"/>
                <w:szCs w:val="24"/>
                <w:highlight w:val="none"/>
              </w:rPr>
            </w:pPr>
            <w:r>
              <w:rPr>
                <w:rFonts w:hint="eastAsia" w:ascii="仿宋" w:hAnsi="仿宋" w:eastAsia="仿宋" w:cs="仿宋"/>
                <w:szCs w:val="24"/>
                <w:highlight w:val="none"/>
              </w:rPr>
              <w:t>规范、要求</w:t>
            </w:r>
          </w:p>
        </w:tc>
        <w:tc>
          <w:tcPr>
            <w:tcW w:w="2884" w:type="dxa"/>
            <w:noWrap w:val="0"/>
            <w:vAlign w:val="center"/>
          </w:tcPr>
          <w:p w14:paraId="4BE371CD">
            <w:pPr>
              <w:snapToGrid w:val="0"/>
              <w:spacing w:line="300" w:lineRule="auto"/>
              <w:jc w:val="center"/>
              <w:rPr>
                <w:rFonts w:hint="eastAsia" w:ascii="仿宋" w:hAnsi="仿宋" w:eastAsia="仿宋" w:cs="仿宋"/>
                <w:szCs w:val="24"/>
                <w:highlight w:val="none"/>
              </w:rPr>
            </w:pPr>
            <w:r>
              <w:rPr>
                <w:rFonts w:hint="eastAsia" w:ascii="仿宋" w:hAnsi="仿宋" w:eastAsia="仿宋" w:cs="仿宋"/>
                <w:szCs w:val="24"/>
                <w:highlight w:val="none"/>
              </w:rPr>
              <w:t>投标文件</w:t>
            </w:r>
          </w:p>
          <w:p w14:paraId="42D95F77">
            <w:pPr>
              <w:snapToGrid w:val="0"/>
              <w:spacing w:line="300" w:lineRule="auto"/>
              <w:jc w:val="center"/>
              <w:rPr>
                <w:rFonts w:hint="eastAsia" w:ascii="仿宋" w:hAnsi="仿宋" w:eastAsia="仿宋" w:cs="仿宋"/>
                <w:szCs w:val="24"/>
                <w:highlight w:val="none"/>
              </w:rPr>
            </w:pPr>
            <w:r>
              <w:rPr>
                <w:rFonts w:hint="eastAsia" w:ascii="仿宋" w:hAnsi="仿宋" w:eastAsia="仿宋" w:cs="仿宋"/>
                <w:szCs w:val="24"/>
                <w:highlight w:val="none"/>
              </w:rPr>
              <w:t>对应规范</w:t>
            </w:r>
          </w:p>
        </w:tc>
        <w:tc>
          <w:tcPr>
            <w:tcW w:w="1708" w:type="dxa"/>
            <w:noWrap w:val="0"/>
            <w:vAlign w:val="center"/>
          </w:tcPr>
          <w:p w14:paraId="72491BF0">
            <w:pPr>
              <w:snapToGrid w:val="0"/>
              <w:spacing w:line="300" w:lineRule="auto"/>
              <w:jc w:val="center"/>
              <w:rPr>
                <w:rFonts w:hint="eastAsia" w:ascii="仿宋" w:hAnsi="仿宋" w:eastAsia="仿宋" w:cs="仿宋"/>
                <w:szCs w:val="24"/>
                <w:highlight w:val="none"/>
              </w:rPr>
            </w:pPr>
            <w:r>
              <w:rPr>
                <w:rFonts w:hint="eastAsia" w:ascii="仿宋" w:hAnsi="仿宋" w:eastAsia="仿宋" w:cs="仿宋"/>
                <w:szCs w:val="24"/>
                <w:highlight w:val="none"/>
              </w:rPr>
              <w:t>偏离情况</w:t>
            </w:r>
          </w:p>
        </w:tc>
        <w:tc>
          <w:tcPr>
            <w:tcW w:w="1101" w:type="dxa"/>
            <w:noWrap w:val="0"/>
            <w:vAlign w:val="center"/>
          </w:tcPr>
          <w:p w14:paraId="08334A83">
            <w:pPr>
              <w:snapToGrid w:val="0"/>
              <w:spacing w:line="300" w:lineRule="auto"/>
              <w:jc w:val="center"/>
              <w:rPr>
                <w:rFonts w:hint="eastAsia" w:ascii="仿宋" w:hAnsi="仿宋" w:eastAsia="仿宋" w:cs="仿宋"/>
                <w:szCs w:val="24"/>
                <w:highlight w:val="none"/>
              </w:rPr>
            </w:pPr>
            <w:r>
              <w:rPr>
                <w:rFonts w:hint="eastAsia" w:ascii="仿宋" w:hAnsi="仿宋" w:eastAsia="仿宋" w:cs="仿宋"/>
                <w:szCs w:val="24"/>
                <w:highlight w:val="none"/>
              </w:rPr>
              <w:t>备注</w:t>
            </w:r>
          </w:p>
        </w:tc>
      </w:tr>
      <w:tr w14:paraId="43972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5" w:hRule="atLeast"/>
          <w:jc w:val="center"/>
        </w:trPr>
        <w:tc>
          <w:tcPr>
            <w:tcW w:w="937" w:type="dxa"/>
            <w:tcBorders>
              <w:right w:val="single" w:color="auto" w:sz="4" w:space="0"/>
            </w:tcBorders>
            <w:noWrap w:val="0"/>
            <w:vAlign w:val="center"/>
          </w:tcPr>
          <w:p w14:paraId="385609D9">
            <w:pPr>
              <w:snapToGrid w:val="0"/>
              <w:spacing w:line="300" w:lineRule="auto"/>
              <w:jc w:val="center"/>
              <w:rPr>
                <w:rFonts w:hint="eastAsia" w:ascii="仿宋" w:hAnsi="仿宋" w:eastAsia="仿宋" w:cs="仿宋"/>
                <w:szCs w:val="24"/>
                <w:highlight w:val="none"/>
              </w:rPr>
            </w:pPr>
          </w:p>
        </w:tc>
        <w:tc>
          <w:tcPr>
            <w:tcW w:w="2714" w:type="dxa"/>
            <w:noWrap w:val="0"/>
            <w:vAlign w:val="center"/>
          </w:tcPr>
          <w:p w14:paraId="6F0EA83E">
            <w:pPr>
              <w:snapToGrid w:val="0"/>
              <w:spacing w:line="300" w:lineRule="auto"/>
              <w:jc w:val="center"/>
              <w:rPr>
                <w:rFonts w:hint="eastAsia" w:ascii="仿宋" w:hAnsi="仿宋" w:eastAsia="仿宋" w:cs="仿宋"/>
                <w:szCs w:val="24"/>
                <w:highlight w:val="none"/>
              </w:rPr>
            </w:pPr>
          </w:p>
        </w:tc>
        <w:tc>
          <w:tcPr>
            <w:tcW w:w="2884" w:type="dxa"/>
            <w:noWrap w:val="0"/>
            <w:vAlign w:val="center"/>
          </w:tcPr>
          <w:p w14:paraId="126666CF">
            <w:pPr>
              <w:snapToGrid w:val="0"/>
              <w:spacing w:line="300" w:lineRule="auto"/>
              <w:jc w:val="center"/>
              <w:rPr>
                <w:rFonts w:hint="eastAsia" w:ascii="仿宋" w:hAnsi="仿宋" w:eastAsia="仿宋" w:cs="仿宋"/>
                <w:szCs w:val="24"/>
                <w:highlight w:val="none"/>
              </w:rPr>
            </w:pPr>
          </w:p>
        </w:tc>
        <w:tc>
          <w:tcPr>
            <w:tcW w:w="1708" w:type="dxa"/>
            <w:noWrap w:val="0"/>
            <w:vAlign w:val="center"/>
          </w:tcPr>
          <w:p w14:paraId="0E20E001">
            <w:pPr>
              <w:snapToGrid w:val="0"/>
              <w:spacing w:line="300" w:lineRule="auto"/>
              <w:jc w:val="center"/>
              <w:rPr>
                <w:rFonts w:hint="eastAsia" w:ascii="仿宋" w:hAnsi="仿宋" w:eastAsia="仿宋" w:cs="仿宋"/>
                <w:szCs w:val="24"/>
                <w:highlight w:val="none"/>
              </w:rPr>
            </w:pPr>
          </w:p>
        </w:tc>
        <w:tc>
          <w:tcPr>
            <w:tcW w:w="1101" w:type="dxa"/>
            <w:noWrap w:val="0"/>
            <w:vAlign w:val="center"/>
          </w:tcPr>
          <w:p w14:paraId="28BBBB8C">
            <w:pPr>
              <w:snapToGrid w:val="0"/>
              <w:spacing w:line="300" w:lineRule="auto"/>
              <w:jc w:val="center"/>
              <w:rPr>
                <w:rFonts w:hint="eastAsia" w:ascii="仿宋" w:hAnsi="仿宋" w:eastAsia="仿宋" w:cs="仿宋"/>
                <w:szCs w:val="24"/>
                <w:highlight w:val="none"/>
              </w:rPr>
            </w:pPr>
          </w:p>
        </w:tc>
      </w:tr>
      <w:tr w14:paraId="1B232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5" w:hRule="atLeast"/>
          <w:jc w:val="center"/>
        </w:trPr>
        <w:tc>
          <w:tcPr>
            <w:tcW w:w="937" w:type="dxa"/>
            <w:tcBorders>
              <w:right w:val="single" w:color="auto" w:sz="4" w:space="0"/>
            </w:tcBorders>
            <w:noWrap w:val="0"/>
            <w:vAlign w:val="center"/>
          </w:tcPr>
          <w:p w14:paraId="7EF2C311">
            <w:pPr>
              <w:snapToGrid w:val="0"/>
              <w:spacing w:line="300" w:lineRule="auto"/>
              <w:jc w:val="center"/>
              <w:rPr>
                <w:rFonts w:hint="eastAsia" w:ascii="仿宋" w:hAnsi="仿宋" w:eastAsia="仿宋" w:cs="仿宋"/>
                <w:szCs w:val="24"/>
                <w:highlight w:val="none"/>
              </w:rPr>
            </w:pPr>
          </w:p>
        </w:tc>
        <w:tc>
          <w:tcPr>
            <w:tcW w:w="2714" w:type="dxa"/>
            <w:noWrap w:val="0"/>
            <w:vAlign w:val="center"/>
          </w:tcPr>
          <w:p w14:paraId="07549062">
            <w:pPr>
              <w:snapToGrid w:val="0"/>
              <w:spacing w:line="300" w:lineRule="auto"/>
              <w:jc w:val="center"/>
              <w:rPr>
                <w:rFonts w:hint="eastAsia" w:ascii="仿宋" w:hAnsi="仿宋" w:eastAsia="仿宋" w:cs="仿宋"/>
                <w:szCs w:val="24"/>
                <w:highlight w:val="none"/>
              </w:rPr>
            </w:pPr>
          </w:p>
        </w:tc>
        <w:tc>
          <w:tcPr>
            <w:tcW w:w="2884" w:type="dxa"/>
            <w:noWrap w:val="0"/>
            <w:vAlign w:val="center"/>
          </w:tcPr>
          <w:p w14:paraId="573D4A8D">
            <w:pPr>
              <w:snapToGrid w:val="0"/>
              <w:spacing w:line="300" w:lineRule="auto"/>
              <w:jc w:val="center"/>
              <w:rPr>
                <w:rFonts w:hint="eastAsia" w:ascii="仿宋" w:hAnsi="仿宋" w:eastAsia="仿宋" w:cs="仿宋"/>
                <w:szCs w:val="24"/>
                <w:highlight w:val="none"/>
              </w:rPr>
            </w:pPr>
          </w:p>
        </w:tc>
        <w:tc>
          <w:tcPr>
            <w:tcW w:w="1708" w:type="dxa"/>
            <w:noWrap w:val="0"/>
            <w:vAlign w:val="center"/>
          </w:tcPr>
          <w:p w14:paraId="193E08D5">
            <w:pPr>
              <w:snapToGrid w:val="0"/>
              <w:spacing w:line="300" w:lineRule="auto"/>
              <w:jc w:val="center"/>
              <w:rPr>
                <w:rFonts w:hint="eastAsia" w:ascii="仿宋" w:hAnsi="仿宋" w:eastAsia="仿宋" w:cs="仿宋"/>
                <w:szCs w:val="24"/>
                <w:highlight w:val="none"/>
              </w:rPr>
            </w:pPr>
          </w:p>
        </w:tc>
        <w:tc>
          <w:tcPr>
            <w:tcW w:w="1101" w:type="dxa"/>
            <w:noWrap w:val="0"/>
            <w:vAlign w:val="center"/>
          </w:tcPr>
          <w:p w14:paraId="0FB8D124">
            <w:pPr>
              <w:snapToGrid w:val="0"/>
              <w:spacing w:line="300" w:lineRule="auto"/>
              <w:jc w:val="center"/>
              <w:rPr>
                <w:rFonts w:hint="eastAsia" w:ascii="仿宋" w:hAnsi="仿宋" w:eastAsia="仿宋" w:cs="仿宋"/>
                <w:szCs w:val="24"/>
                <w:highlight w:val="none"/>
              </w:rPr>
            </w:pPr>
          </w:p>
        </w:tc>
      </w:tr>
      <w:tr w14:paraId="74165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5" w:hRule="atLeast"/>
          <w:jc w:val="center"/>
        </w:trPr>
        <w:tc>
          <w:tcPr>
            <w:tcW w:w="937" w:type="dxa"/>
            <w:tcBorders>
              <w:right w:val="single" w:color="auto" w:sz="4" w:space="0"/>
            </w:tcBorders>
            <w:noWrap w:val="0"/>
            <w:vAlign w:val="center"/>
          </w:tcPr>
          <w:p w14:paraId="70DE0611">
            <w:pPr>
              <w:snapToGrid w:val="0"/>
              <w:spacing w:line="300" w:lineRule="auto"/>
              <w:jc w:val="center"/>
              <w:rPr>
                <w:rFonts w:hint="eastAsia" w:ascii="仿宋" w:hAnsi="仿宋" w:eastAsia="仿宋" w:cs="仿宋"/>
                <w:szCs w:val="24"/>
                <w:highlight w:val="none"/>
              </w:rPr>
            </w:pPr>
          </w:p>
        </w:tc>
        <w:tc>
          <w:tcPr>
            <w:tcW w:w="2714" w:type="dxa"/>
            <w:noWrap w:val="0"/>
            <w:vAlign w:val="center"/>
          </w:tcPr>
          <w:p w14:paraId="7E542411">
            <w:pPr>
              <w:snapToGrid w:val="0"/>
              <w:spacing w:line="300" w:lineRule="auto"/>
              <w:jc w:val="center"/>
              <w:rPr>
                <w:rFonts w:hint="eastAsia" w:ascii="仿宋" w:hAnsi="仿宋" w:eastAsia="仿宋" w:cs="仿宋"/>
                <w:szCs w:val="24"/>
                <w:highlight w:val="none"/>
              </w:rPr>
            </w:pPr>
          </w:p>
        </w:tc>
        <w:tc>
          <w:tcPr>
            <w:tcW w:w="2884" w:type="dxa"/>
            <w:noWrap w:val="0"/>
            <w:vAlign w:val="center"/>
          </w:tcPr>
          <w:p w14:paraId="193B76CE">
            <w:pPr>
              <w:snapToGrid w:val="0"/>
              <w:spacing w:line="300" w:lineRule="auto"/>
              <w:jc w:val="center"/>
              <w:rPr>
                <w:rFonts w:hint="eastAsia" w:ascii="仿宋" w:hAnsi="仿宋" w:eastAsia="仿宋" w:cs="仿宋"/>
                <w:szCs w:val="24"/>
                <w:highlight w:val="none"/>
              </w:rPr>
            </w:pPr>
          </w:p>
        </w:tc>
        <w:tc>
          <w:tcPr>
            <w:tcW w:w="1708" w:type="dxa"/>
            <w:noWrap w:val="0"/>
            <w:vAlign w:val="center"/>
          </w:tcPr>
          <w:p w14:paraId="6306595D">
            <w:pPr>
              <w:snapToGrid w:val="0"/>
              <w:spacing w:line="300" w:lineRule="auto"/>
              <w:jc w:val="center"/>
              <w:rPr>
                <w:rFonts w:hint="eastAsia" w:ascii="仿宋" w:hAnsi="仿宋" w:eastAsia="仿宋" w:cs="仿宋"/>
                <w:szCs w:val="24"/>
                <w:highlight w:val="none"/>
              </w:rPr>
            </w:pPr>
          </w:p>
        </w:tc>
        <w:tc>
          <w:tcPr>
            <w:tcW w:w="1101" w:type="dxa"/>
            <w:noWrap w:val="0"/>
            <w:vAlign w:val="center"/>
          </w:tcPr>
          <w:p w14:paraId="0FFB4C66">
            <w:pPr>
              <w:snapToGrid w:val="0"/>
              <w:spacing w:line="300" w:lineRule="auto"/>
              <w:jc w:val="center"/>
              <w:rPr>
                <w:rFonts w:hint="eastAsia" w:ascii="仿宋" w:hAnsi="仿宋" w:eastAsia="仿宋" w:cs="仿宋"/>
                <w:szCs w:val="24"/>
                <w:highlight w:val="none"/>
              </w:rPr>
            </w:pPr>
          </w:p>
        </w:tc>
      </w:tr>
      <w:tr w14:paraId="49FF7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5" w:hRule="atLeast"/>
          <w:jc w:val="center"/>
        </w:trPr>
        <w:tc>
          <w:tcPr>
            <w:tcW w:w="937" w:type="dxa"/>
            <w:tcBorders>
              <w:right w:val="single" w:color="auto" w:sz="4" w:space="0"/>
            </w:tcBorders>
            <w:noWrap w:val="0"/>
            <w:vAlign w:val="center"/>
          </w:tcPr>
          <w:p w14:paraId="7D578CB8">
            <w:pPr>
              <w:snapToGrid w:val="0"/>
              <w:spacing w:line="300" w:lineRule="auto"/>
              <w:jc w:val="center"/>
              <w:rPr>
                <w:rFonts w:hint="eastAsia" w:ascii="仿宋" w:hAnsi="仿宋" w:eastAsia="仿宋" w:cs="仿宋"/>
                <w:szCs w:val="24"/>
                <w:highlight w:val="none"/>
              </w:rPr>
            </w:pPr>
          </w:p>
        </w:tc>
        <w:tc>
          <w:tcPr>
            <w:tcW w:w="2714" w:type="dxa"/>
            <w:noWrap w:val="0"/>
            <w:vAlign w:val="center"/>
          </w:tcPr>
          <w:p w14:paraId="76B9C2AA">
            <w:pPr>
              <w:snapToGrid w:val="0"/>
              <w:spacing w:line="300" w:lineRule="auto"/>
              <w:jc w:val="center"/>
              <w:rPr>
                <w:rFonts w:hint="eastAsia" w:ascii="仿宋" w:hAnsi="仿宋" w:eastAsia="仿宋" w:cs="仿宋"/>
                <w:szCs w:val="24"/>
                <w:highlight w:val="none"/>
              </w:rPr>
            </w:pPr>
          </w:p>
        </w:tc>
        <w:tc>
          <w:tcPr>
            <w:tcW w:w="2884" w:type="dxa"/>
            <w:noWrap w:val="0"/>
            <w:vAlign w:val="center"/>
          </w:tcPr>
          <w:p w14:paraId="05F41D4F">
            <w:pPr>
              <w:snapToGrid w:val="0"/>
              <w:spacing w:line="300" w:lineRule="auto"/>
              <w:jc w:val="center"/>
              <w:rPr>
                <w:rFonts w:hint="eastAsia" w:ascii="仿宋" w:hAnsi="仿宋" w:eastAsia="仿宋" w:cs="仿宋"/>
                <w:szCs w:val="24"/>
                <w:highlight w:val="none"/>
              </w:rPr>
            </w:pPr>
          </w:p>
        </w:tc>
        <w:tc>
          <w:tcPr>
            <w:tcW w:w="1708" w:type="dxa"/>
            <w:noWrap w:val="0"/>
            <w:vAlign w:val="center"/>
          </w:tcPr>
          <w:p w14:paraId="19ACF2D0">
            <w:pPr>
              <w:snapToGrid w:val="0"/>
              <w:spacing w:line="300" w:lineRule="auto"/>
              <w:jc w:val="center"/>
              <w:rPr>
                <w:rFonts w:hint="eastAsia" w:ascii="仿宋" w:hAnsi="仿宋" w:eastAsia="仿宋" w:cs="仿宋"/>
                <w:szCs w:val="24"/>
                <w:highlight w:val="none"/>
              </w:rPr>
            </w:pPr>
          </w:p>
        </w:tc>
        <w:tc>
          <w:tcPr>
            <w:tcW w:w="1101" w:type="dxa"/>
            <w:noWrap w:val="0"/>
            <w:vAlign w:val="center"/>
          </w:tcPr>
          <w:p w14:paraId="7329151A">
            <w:pPr>
              <w:snapToGrid w:val="0"/>
              <w:spacing w:line="300" w:lineRule="auto"/>
              <w:jc w:val="center"/>
              <w:rPr>
                <w:rFonts w:hint="eastAsia" w:ascii="仿宋" w:hAnsi="仿宋" w:eastAsia="仿宋" w:cs="仿宋"/>
                <w:szCs w:val="24"/>
                <w:highlight w:val="none"/>
              </w:rPr>
            </w:pPr>
          </w:p>
        </w:tc>
      </w:tr>
      <w:tr w14:paraId="65604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5" w:hRule="atLeast"/>
          <w:jc w:val="center"/>
        </w:trPr>
        <w:tc>
          <w:tcPr>
            <w:tcW w:w="937" w:type="dxa"/>
            <w:tcBorders>
              <w:right w:val="single" w:color="auto" w:sz="4" w:space="0"/>
            </w:tcBorders>
            <w:noWrap w:val="0"/>
            <w:vAlign w:val="center"/>
          </w:tcPr>
          <w:p w14:paraId="2B1137F0">
            <w:pPr>
              <w:snapToGrid w:val="0"/>
              <w:spacing w:line="300" w:lineRule="auto"/>
              <w:jc w:val="center"/>
              <w:rPr>
                <w:rFonts w:hint="eastAsia" w:ascii="仿宋" w:hAnsi="仿宋" w:eastAsia="仿宋" w:cs="仿宋"/>
                <w:szCs w:val="24"/>
                <w:highlight w:val="none"/>
              </w:rPr>
            </w:pPr>
          </w:p>
        </w:tc>
        <w:tc>
          <w:tcPr>
            <w:tcW w:w="2714" w:type="dxa"/>
            <w:noWrap w:val="0"/>
            <w:vAlign w:val="center"/>
          </w:tcPr>
          <w:p w14:paraId="08BA1131">
            <w:pPr>
              <w:snapToGrid w:val="0"/>
              <w:spacing w:line="300" w:lineRule="auto"/>
              <w:jc w:val="center"/>
              <w:rPr>
                <w:rFonts w:hint="eastAsia" w:ascii="仿宋" w:hAnsi="仿宋" w:eastAsia="仿宋" w:cs="仿宋"/>
                <w:szCs w:val="24"/>
                <w:highlight w:val="none"/>
              </w:rPr>
            </w:pPr>
          </w:p>
        </w:tc>
        <w:tc>
          <w:tcPr>
            <w:tcW w:w="2884" w:type="dxa"/>
            <w:noWrap w:val="0"/>
            <w:vAlign w:val="center"/>
          </w:tcPr>
          <w:p w14:paraId="6232D14F">
            <w:pPr>
              <w:snapToGrid w:val="0"/>
              <w:spacing w:line="300" w:lineRule="auto"/>
              <w:jc w:val="center"/>
              <w:rPr>
                <w:rFonts w:hint="eastAsia" w:ascii="仿宋" w:hAnsi="仿宋" w:eastAsia="仿宋" w:cs="仿宋"/>
                <w:szCs w:val="24"/>
                <w:highlight w:val="none"/>
              </w:rPr>
            </w:pPr>
          </w:p>
        </w:tc>
        <w:tc>
          <w:tcPr>
            <w:tcW w:w="1708" w:type="dxa"/>
            <w:noWrap w:val="0"/>
            <w:vAlign w:val="center"/>
          </w:tcPr>
          <w:p w14:paraId="70FA24F7">
            <w:pPr>
              <w:snapToGrid w:val="0"/>
              <w:spacing w:line="300" w:lineRule="auto"/>
              <w:jc w:val="center"/>
              <w:rPr>
                <w:rFonts w:hint="eastAsia" w:ascii="仿宋" w:hAnsi="仿宋" w:eastAsia="仿宋" w:cs="仿宋"/>
                <w:szCs w:val="24"/>
                <w:highlight w:val="none"/>
              </w:rPr>
            </w:pPr>
          </w:p>
        </w:tc>
        <w:tc>
          <w:tcPr>
            <w:tcW w:w="1101" w:type="dxa"/>
            <w:noWrap w:val="0"/>
            <w:vAlign w:val="center"/>
          </w:tcPr>
          <w:p w14:paraId="79DCA05B">
            <w:pPr>
              <w:snapToGrid w:val="0"/>
              <w:spacing w:line="300" w:lineRule="auto"/>
              <w:jc w:val="center"/>
              <w:rPr>
                <w:rFonts w:hint="eastAsia" w:ascii="仿宋" w:hAnsi="仿宋" w:eastAsia="仿宋" w:cs="仿宋"/>
                <w:szCs w:val="24"/>
                <w:highlight w:val="none"/>
              </w:rPr>
            </w:pPr>
          </w:p>
        </w:tc>
      </w:tr>
      <w:tr w14:paraId="3AEAC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3" w:hRule="atLeast"/>
          <w:jc w:val="center"/>
        </w:trPr>
        <w:tc>
          <w:tcPr>
            <w:tcW w:w="937" w:type="dxa"/>
            <w:tcBorders>
              <w:right w:val="single" w:color="auto" w:sz="4" w:space="0"/>
            </w:tcBorders>
            <w:noWrap w:val="0"/>
            <w:vAlign w:val="center"/>
          </w:tcPr>
          <w:p w14:paraId="120F6E59">
            <w:pPr>
              <w:snapToGrid w:val="0"/>
              <w:spacing w:line="300" w:lineRule="auto"/>
              <w:jc w:val="center"/>
              <w:rPr>
                <w:rFonts w:hint="eastAsia" w:ascii="仿宋" w:hAnsi="仿宋" w:eastAsia="仿宋" w:cs="仿宋"/>
                <w:szCs w:val="24"/>
                <w:highlight w:val="none"/>
              </w:rPr>
            </w:pPr>
          </w:p>
        </w:tc>
        <w:tc>
          <w:tcPr>
            <w:tcW w:w="2714" w:type="dxa"/>
            <w:noWrap w:val="0"/>
            <w:vAlign w:val="center"/>
          </w:tcPr>
          <w:p w14:paraId="6ACACE61">
            <w:pPr>
              <w:snapToGrid w:val="0"/>
              <w:spacing w:line="300" w:lineRule="auto"/>
              <w:jc w:val="center"/>
              <w:rPr>
                <w:rFonts w:hint="eastAsia" w:ascii="仿宋" w:hAnsi="仿宋" w:eastAsia="仿宋" w:cs="仿宋"/>
                <w:szCs w:val="24"/>
                <w:highlight w:val="none"/>
              </w:rPr>
            </w:pPr>
          </w:p>
        </w:tc>
        <w:tc>
          <w:tcPr>
            <w:tcW w:w="2884" w:type="dxa"/>
            <w:noWrap w:val="0"/>
            <w:vAlign w:val="center"/>
          </w:tcPr>
          <w:p w14:paraId="040E9AE3">
            <w:pPr>
              <w:snapToGrid w:val="0"/>
              <w:spacing w:line="300" w:lineRule="auto"/>
              <w:jc w:val="center"/>
              <w:rPr>
                <w:rFonts w:hint="eastAsia" w:ascii="仿宋" w:hAnsi="仿宋" w:eastAsia="仿宋" w:cs="仿宋"/>
                <w:szCs w:val="24"/>
                <w:highlight w:val="none"/>
              </w:rPr>
            </w:pPr>
          </w:p>
        </w:tc>
        <w:tc>
          <w:tcPr>
            <w:tcW w:w="1708" w:type="dxa"/>
            <w:noWrap w:val="0"/>
            <w:vAlign w:val="center"/>
          </w:tcPr>
          <w:p w14:paraId="1DE2119D">
            <w:pPr>
              <w:snapToGrid w:val="0"/>
              <w:spacing w:line="300" w:lineRule="auto"/>
              <w:jc w:val="center"/>
              <w:rPr>
                <w:rFonts w:hint="eastAsia" w:ascii="仿宋" w:hAnsi="仿宋" w:eastAsia="仿宋" w:cs="仿宋"/>
                <w:szCs w:val="24"/>
                <w:highlight w:val="none"/>
              </w:rPr>
            </w:pPr>
          </w:p>
        </w:tc>
        <w:tc>
          <w:tcPr>
            <w:tcW w:w="1101" w:type="dxa"/>
            <w:noWrap w:val="0"/>
            <w:vAlign w:val="center"/>
          </w:tcPr>
          <w:p w14:paraId="722C09E4">
            <w:pPr>
              <w:snapToGrid w:val="0"/>
              <w:spacing w:line="300" w:lineRule="auto"/>
              <w:jc w:val="center"/>
              <w:rPr>
                <w:rFonts w:hint="eastAsia" w:ascii="仿宋" w:hAnsi="仿宋" w:eastAsia="仿宋" w:cs="仿宋"/>
                <w:szCs w:val="24"/>
                <w:highlight w:val="none"/>
              </w:rPr>
            </w:pPr>
          </w:p>
        </w:tc>
      </w:tr>
    </w:tbl>
    <w:p w14:paraId="3954E833">
      <w:pPr>
        <w:spacing w:line="240" w:lineRule="atLeast"/>
        <w:rPr>
          <w:rFonts w:hint="eastAsia" w:ascii="仿宋" w:hAnsi="仿宋" w:eastAsia="仿宋" w:cs="仿宋"/>
          <w:szCs w:val="21"/>
          <w:highlight w:val="none"/>
        </w:rPr>
      </w:pPr>
      <w:r>
        <w:rPr>
          <w:rFonts w:hint="eastAsia" w:ascii="仿宋" w:hAnsi="仿宋" w:eastAsia="仿宋" w:cs="仿宋"/>
          <w:szCs w:val="21"/>
          <w:highlight w:val="none"/>
        </w:rPr>
        <w:t>说明：如无偏差，请在说明一栏填“无偏差”；如有偏差，应详细填写偏差内容，并在说明一栏填“偏差”。</w:t>
      </w:r>
    </w:p>
    <w:p w14:paraId="23B6C6B9">
      <w:pPr>
        <w:widowControl/>
        <w:snapToGrid w:val="0"/>
        <w:spacing w:line="280" w:lineRule="exact"/>
        <w:ind w:firstLine="3663" w:firstLineChars="1650"/>
        <w:rPr>
          <w:rFonts w:hint="eastAsia" w:ascii="仿宋" w:hAnsi="仿宋" w:eastAsia="仿宋" w:cs="仿宋"/>
          <w:color w:val="000000"/>
          <w:spacing w:val="6"/>
          <w:szCs w:val="21"/>
          <w:highlight w:val="none"/>
        </w:rPr>
      </w:pPr>
    </w:p>
    <w:p w14:paraId="69E3EED4">
      <w:pPr>
        <w:widowControl/>
        <w:snapToGrid w:val="0"/>
        <w:spacing w:line="280" w:lineRule="exact"/>
        <w:ind w:firstLine="3663" w:firstLineChars="1650"/>
        <w:rPr>
          <w:rFonts w:hint="eastAsia" w:ascii="仿宋" w:hAnsi="仿宋" w:eastAsia="仿宋" w:cs="仿宋"/>
          <w:color w:val="000000"/>
          <w:spacing w:val="6"/>
          <w:szCs w:val="21"/>
          <w:highlight w:val="none"/>
        </w:rPr>
      </w:pPr>
    </w:p>
    <w:p w14:paraId="5DADF244">
      <w:pPr>
        <w:tabs>
          <w:tab w:val="left" w:pos="4857"/>
        </w:tabs>
        <w:wordWrap w:val="0"/>
        <w:topLinePunct/>
        <w:snapToGrid w:val="0"/>
        <w:spacing w:line="480" w:lineRule="exact"/>
        <w:ind w:firstLine="4830" w:firstLineChars="2300"/>
        <w:rPr>
          <w:rFonts w:hint="eastAsia" w:ascii="仿宋" w:hAnsi="仿宋" w:eastAsia="仿宋" w:cs="仿宋"/>
          <w:szCs w:val="21"/>
          <w:highlight w:val="none"/>
        </w:rPr>
      </w:pPr>
      <w:r>
        <w:rPr>
          <w:rFonts w:hint="eastAsia" w:ascii="仿宋" w:hAnsi="仿宋" w:eastAsia="仿宋" w:cs="仿宋"/>
          <w:szCs w:val="21"/>
          <w:highlight w:val="none"/>
        </w:rPr>
        <w:t>投标人（盖单位公章）：</w:t>
      </w:r>
    </w:p>
    <w:p w14:paraId="22F2B5D0">
      <w:pPr>
        <w:tabs>
          <w:tab w:val="left" w:pos="4857"/>
        </w:tabs>
        <w:wordWrap w:val="0"/>
        <w:topLinePunct/>
        <w:snapToGrid w:val="0"/>
        <w:spacing w:line="480" w:lineRule="exact"/>
        <w:ind w:firstLine="4830" w:firstLineChars="2300"/>
        <w:rPr>
          <w:rFonts w:hint="eastAsia" w:ascii="仿宋" w:hAnsi="仿宋" w:eastAsia="仿宋" w:cs="仿宋"/>
          <w:szCs w:val="21"/>
          <w:highlight w:val="none"/>
        </w:rPr>
      </w:pPr>
      <w:r>
        <w:rPr>
          <w:rFonts w:hint="eastAsia" w:ascii="仿宋" w:hAnsi="仿宋" w:eastAsia="仿宋" w:cs="仿宋"/>
          <w:szCs w:val="21"/>
          <w:highlight w:val="none"/>
        </w:rPr>
        <w:t>法定代表人或其授权人（签字</w:t>
      </w:r>
      <w:r>
        <w:rPr>
          <w:rFonts w:hint="eastAsia" w:ascii="仿宋" w:hAnsi="仿宋" w:eastAsia="仿宋" w:cs="仿宋"/>
          <w:szCs w:val="21"/>
          <w:highlight w:val="none"/>
          <w:lang w:val="en-US" w:eastAsia="zh-CN"/>
        </w:rPr>
        <w:t>或盖章</w:t>
      </w:r>
      <w:r>
        <w:rPr>
          <w:rFonts w:hint="eastAsia" w:ascii="仿宋" w:hAnsi="仿宋" w:eastAsia="仿宋" w:cs="仿宋"/>
          <w:szCs w:val="21"/>
          <w:highlight w:val="none"/>
        </w:rPr>
        <w:t>）：</w:t>
      </w:r>
    </w:p>
    <w:p w14:paraId="078D12F0">
      <w:pPr>
        <w:tabs>
          <w:tab w:val="left" w:pos="4857"/>
        </w:tabs>
        <w:wordWrap w:val="0"/>
        <w:topLinePunct/>
        <w:snapToGrid w:val="0"/>
        <w:spacing w:line="480" w:lineRule="exact"/>
        <w:ind w:firstLine="4830" w:firstLineChars="2300"/>
        <w:rPr>
          <w:rFonts w:hint="eastAsia" w:ascii="仿宋" w:hAnsi="仿宋" w:eastAsia="仿宋" w:cs="仿宋"/>
          <w:szCs w:val="21"/>
          <w:highlight w:val="none"/>
        </w:rPr>
      </w:pPr>
      <w:r>
        <w:rPr>
          <w:rFonts w:hint="eastAsia" w:ascii="仿宋" w:hAnsi="仿宋" w:eastAsia="仿宋" w:cs="仿宋"/>
          <w:szCs w:val="21"/>
          <w:highlight w:val="none"/>
        </w:rPr>
        <w:t>日期：</w:t>
      </w:r>
    </w:p>
    <w:p w14:paraId="12407C45">
      <w:pPr>
        <w:pStyle w:val="54"/>
        <w:snapToGrid w:val="0"/>
        <w:spacing w:line="480" w:lineRule="exact"/>
        <w:jc w:val="center"/>
        <w:textAlignment w:val="auto"/>
        <w:rPr>
          <w:rFonts w:hint="eastAsia" w:ascii="仿宋" w:hAnsi="仿宋" w:eastAsia="仿宋" w:cs="仿宋"/>
          <w:b/>
          <w:snapToGrid w:val="0"/>
          <w:highlight w:val="none"/>
        </w:rPr>
      </w:pPr>
      <w:r>
        <w:rPr>
          <w:rFonts w:hint="eastAsia" w:ascii="仿宋" w:hAnsi="仿宋" w:eastAsia="仿宋" w:cs="仿宋"/>
          <w:b/>
          <w:snapToGrid w:val="0"/>
          <w:highlight w:val="none"/>
        </w:rPr>
        <w:br w:type="page"/>
      </w:r>
    </w:p>
    <w:p w14:paraId="043EF114">
      <w:pPr>
        <w:pStyle w:val="54"/>
        <w:snapToGrid w:val="0"/>
        <w:spacing w:line="480" w:lineRule="exact"/>
        <w:jc w:val="both"/>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b/>
          <w:kern w:val="2"/>
          <w:sz w:val="24"/>
          <w:szCs w:val="24"/>
          <w:highlight w:val="none"/>
          <w:lang w:val="en-US" w:eastAsia="zh-CN" w:bidi="ar-SA"/>
        </w:rPr>
        <w:t>格式十六：</w:t>
      </w:r>
      <w:bookmarkStart w:id="39" w:name="_Hlk82006644"/>
      <w:r>
        <w:rPr>
          <w:rFonts w:hint="eastAsia" w:ascii="仿宋" w:hAnsi="仿宋" w:eastAsia="仿宋" w:cs="仿宋"/>
          <w:b/>
          <w:kern w:val="2"/>
          <w:sz w:val="24"/>
          <w:szCs w:val="24"/>
          <w:highlight w:val="none"/>
          <w:lang w:val="en-US" w:eastAsia="zh-CN" w:bidi="ar-SA"/>
        </w:rPr>
        <w:t>服务方案（格式）</w:t>
      </w:r>
      <w:bookmarkEnd w:id="39"/>
    </w:p>
    <w:p w14:paraId="6D6D771F">
      <w:pPr>
        <w:pStyle w:val="2"/>
        <w:rPr>
          <w:rFonts w:hint="eastAsia" w:ascii="仿宋" w:hAnsi="仿宋" w:eastAsia="仿宋" w:cs="仿宋"/>
          <w:highlight w:val="none"/>
        </w:rPr>
      </w:pPr>
    </w:p>
    <w:p w14:paraId="77460F01">
      <w:pPr>
        <w:spacing w:line="360" w:lineRule="auto"/>
        <w:rPr>
          <w:rFonts w:hint="eastAsia" w:ascii="仿宋" w:hAnsi="仿宋" w:eastAsia="仿宋" w:cs="仿宋"/>
          <w:b/>
          <w:snapToGrid w:val="0"/>
          <w:sz w:val="24"/>
          <w:highlight w:val="none"/>
        </w:rPr>
      </w:pPr>
      <w:r>
        <w:rPr>
          <w:rFonts w:hint="eastAsia" w:ascii="仿宋" w:hAnsi="仿宋" w:eastAsia="仿宋" w:cs="仿宋"/>
          <w:b/>
          <w:snapToGrid w:val="0"/>
          <w:sz w:val="24"/>
          <w:highlight w:val="none"/>
        </w:rPr>
        <w:br w:type="page"/>
      </w:r>
    </w:p>
    <w:p w14:paraId="3687AF27">
      <w:pPr>
        <w:tabs>
          <w:tab w:val="left" w:pos="4000"/>
        </w:tabs>
        <w:snapToGrid w:val="0"/>
        <w:spacing w:line="480" w:lineRule="exact"/>
        <w:jc w:val="center"/>
        <w:rPr>
          <w:rFonts w:hint="eastAsia" w:ascii="仿宋" w:hAnsi="仿宋" w:eastAsia="仿宋" w:cs="仿宋"/>
          <w:b/>
          <w:snapToGrid w:val="0"/>
          <w:sz w:val="24"/>
          <w:highlight w:val="none"/>
        </w:rPr>
      </w:pPr>
      <w:r>
        <w:rPr>
          <w:rFonts w:hint="eastAsia" w:ascii="仿宋" w:hAnsi="仿宋" w:eastAsia="仿宋" w:cs="仿宋"/>
          <w:b/>
          <w:highlight w:val="none"/>
          <w:lang w:val="en-US" w:eastAsia="zh-CN"/>
        </w:rPr>
        <w:t>格式十七：</w:t>
      </w:r>
      <w:r>
        <w:rPr>
          <w:rFonts w:hint="eastAsia" w:ascii="仿宋" w:hAnsi="仿宋" w:eastAsia="仿宋" w:cs="仿宋"/>
          <w:b/>
          <w:snapToGrid w:val="0"/>
          <w:sz w:val="24"/>
          <w:highlight w:val="none"/>
        </w:rPr>
        <w:t>投标人认为需要提供的其他商务技术材料</w:t>
      </w:r>
    </w:p>
    <w:p w14:paraId="3100ED64">
      <w:pPr>
        <w:pStyle w:val="12"/>
        <w:rPr>
          <w:rFonts w:hint="eastAsia" w:ascii="仿宋" w:hAnsi="仿宋" w:eastAsia="仿宋" w:cs="仿宋"/>
          <w:b/>
          <w:highlight w:val="none"/>
          <w:lang w:val="en-US" w:eastAsia="zh-CN"/>
        </w:rPr>
      </w:pPr>
    </w:p>
    <w:p w14:paraId="21D55147">
      <w:pPr>
        <w:pStyle w:val="12"/>
        <w:rPr>
          <w:rFonts w:hint="eastAsia" w:ascii="仿宋" w:hAnsi="仿宋" w:eastAsia="仿宋" w:cs="仿宋"/>
          <w:b/>
          <w:highlight w:val="none"/>
          <w:lang w:val="en-US" w:eastAsia="zh-CN"/>
        </w:rPr>
      </w:pPr>
    </w:p>
    <w:p w14:paraId="2EAA1899">
      <w:pPr>
        <w:pStyle w:val="12"/>
        <w:ind w:left="0" w:leftChars="0" w:firstLine="0" w:firstLineChars="0"/>
        <w:jc w:val="center"/>
        <w:rPr>
          <w:rFonts w:hint="eastAsia" w:ascii="仿宋" w:hAnsi="仿宋" w:eastAsia="仿宋" w:cs="仿宋"/>
          <w:b/>
          <w:kern w:val="2"/>
          <w:sz w:val="21"/>
          <w:szCs w:val="24"/>
          <w:highlight w:val="none"/>
          <w:lang w:val="en-US" w:eastAsia="zh-CN" w:bidi="ar-SA"/>
        </w:rPr>
      </w:pPr>
    </w:p>
    <w:p w14:paraId="0496083F">
      <w:pPr>
        <w:pStyle w:val="2"/>
        <w:rPr>
          <w:rFonts w:hint="eastAsia" w:ascii="仿宋" w:hAnsi="仿宋" w:eastAsia="仿宋" w:cs="仿宋"/>
          <w:highlight w:val="none"/>
        </w:rPr>
      </w:pPr>
    </w:p>
    <w:p w14:paraId="201443DE">
      <w:pPr>
        <w:pStyle w:val="2"/>
        <w:rPr>
          <w:rFonts w:hint="eastAsia" w:ascii="仿宋" w:hAnsi="仿宋" w:eastAsia="仿宋" w:cs="仿宋"/>
          <w:highlight w:val="none"/>
        </w:rPr>
      </w:pPr>
    </w:p>
    <w:p w14:paraId="721E6959">
      <w:pPr>
        <w:pStyle w:val="2"/>
        <w:rPr>
          <w:rFonts w:hint="eastAsia" w:ascii="仿宋" w:hAnsi="仿宋" w:eastAsia="仿宋" w:cs="仿宋"/>
          <w:highlight w:val="none"/>
        </w:rPr>
      </w:pPr>
    </w:p>
    <w:p w14:paraId="30689EE3">
      <w:pPr>
        <w:pStyle w:val="16"/>
        <w:jc w:val="both"/>
        <w:rPr>
          <w:rFonts w:hint="eastAsia" w:ascii="仿宋" w:hAnsi="仿宋" w:eastAsia="仿宋" w:cs="仿宋"/>
          <w:sz w:val="24"/>
          <w:highlight w:val="none"/>
        </w:rPr>
      </w:pPr>
    </w:p>
    <w:p w14:paraId="6E4AF44D">
      <w:pPr>
        <w:pStyle w:val="2"/>
        <w:rPr>
          <w:rFonts w:hint="eastAsia" w:ascii="仿宋" w:hAnsi="仿宋" w:eastAsia="仿宋" w:cs="仿宋"/>
          <w:highlight w:val="none"/>
        </w:rPr>
      </w:pPr>
    </w:p>
    <w:p w14:paraId="515A8193">
      <w:pPr>
        <w:rPr>
          <w:rFonts w:hint="eastAsia" w:ascii="仿宋" w:hAnsi="仿宋" w:eastAsia="仿宋" w:cs="仿宋"/>
          <w:color w:val="000000"/>
          <w:spacing w:val="20"/>
          <w:szCs w:val="28"/>
          <w:highlight w:val="none"/>
        </w:rPr>
      </w:pPr>
      <w:bookmarkStart w:id="40" w:name="_Toc352761954"/>
      <w:r>
        <w:rPr>
          <w:rFonts w:hint="eastAsia" w:ascii="仿宋" w:hAnsi="仿宋" w:eastAsia="仿宋" w:cs="仿宋"/>
          <w:color w:val="000000"/>
          <w:spacing w:val="20"/>
          <w:szCs w:val="28"/>
          <w:highlight w:val="none"/>
        </w:rPr>
        <w:br w:type="page"/>
      </w:r>
    </w:p>
    <w:p w14:paraId="4C159607">
      <w:pPr>
        <w:pStyle w:val="65"/>
        <w:numPr>
          <w:ilvl w:val="0"/>
          <w:numId w:val="0"/>
        </w:numPr>
        <w:snapToGrid w:val="0"/>
        <w:spacing w:before="0" w:after="0"/>
        <w:rPr>
          <w:rFonts w:hint="eastAsia" w:ascii="仿宋" w:hAnsi="仿宋" w:eastAsia="仿宋" w:cs="仿宋"/>
          <w:color w:val="000000"/>
          <w:spacing w:val="20"/>
          <w:szCs w:val="28"/>
          <w:highlight w:val="none"/>
        </w:rPr>
      </w:pPr>
      <w:bookmarkStart w:id="41" w:name="_Toc17063"/>
      <w:r>
        <w:rPr>
          <w:rFonts w:hint="eastAsia" w:ascii="仿宋" w:hAnsi="仿宋" w:eastAsia="仿宋" w:cs="仿宋"/>
          <w:color w:val="000000"/>
          <w:spacing w:val="20"/>
          <w:szCs w:val="28"/>
          <w:highlight w:val="none"/>
        </w:rPr>
        <w:t>第八部分  相关附件</w:t>
      </w:r>
      <w:bookmarkEnd w:id="40"/>
      <w:bookmarkEnd w:id="41"/>
    </w:p>
    <w:p w14:paraId="734A9C4C">
      <w:pPr>
        <w:tabs>
          <w:tab w:val="left" w:pos="1680"/>
        </w:tabs>
        <w:snapToGrid w:val="0"/>
        <w:spacing w:line="480" w:lineRule="exact"/>
        <w:jc w:val="left"/>
        <w:rPr>
          <w:rFonts w:hint="eastAsia" w:ascii="仿宋" w:hAnsi="仿宋" w:eastAsia="仿宋" w:cs="仿宋"/>
          <w:b/>
          <w:color w:val="000000"/>
          <w:highlight w:val="none"/>
        </w:rPr>
      </w:pPr>
      <w:r>
        <w:rPr>
          <w:rFonts w:hint="eastAsia" w:ascii="仿宋" w:hAnsi="仿宋" w:eastAsia="仿宋" w:cs="仿宋"/>
          <w:b/>
          <w:color w:val="000000"/>
          <w:highlight w:val="none"/>
        </w:rPr>
        <w:t>附件</w:t>
      </w:r>
      <w:r>
        <w:rPr>
          <w:rFonts w:hint="eastAsia" w:ascii="仿宋" w:hAnsi="仿宋" w:eastAsia="仿宋" w:cs="仿宋"/>
          <w:b/>
          <w:color w:val="000000"/>
          <w:highlight w:val="none"/>
          <w:lang w:val="en-US" w:eastAsia="zh-CN"/>
        </w:rPr>
        <w:t>一</w:t>
      </w:r>
      <w:r>
        <w:rPr>
          <w:rFonts w:hint="eastAsia" w:ascii="仿宋" w:hAnsi="仿宋" w:eastAsia="仿宋" w:cs="仿宋"/>
          <w:b/>
          <w:color w:val="000000"/>
          <w:highlight w:val="none"/>
        </w:rPr>
        <w:t>：中小企业声明函格式</w:t>
      </w:r>
    </w:p>
    <w:p w14:paraId="647BBDEA">
      <w:pPr>
        <w:tabs>
          <w:tab w:val="left" w:pos="1680"/>
        </w:tabs>
        <w:snapToGrid w:val="0"/>
        <w:spacing w:line="480" w:lineRule="exact"/>
        <w:jc w:val="center"/>
        <w:rPr>
          <w:rFonts w:hint="eastAsia" w:ascii="仿宋" w:hAnsi="仿宋" w:eastAsia="仿宋" w:cs="仿宋"/>
          <w:b/>
          <w:color w:val="000000"/>
          <w:highlight w:val="none"/>
        </w:rPr>
      </w:pPr>
      <w:r>
        <w:rPr>
          <w:rFonts w:hint="eastAsia" w:ascii="仿宋" w:hAnsi="仿宋" w:eastAsia="仿宋" w:cs="仿宋"/>
          <w:b/>
          <w:color w:val="000000"/>
          <w:highlight w:val="none"/>
        </w:rPr>
        <w:t>中小企业声明函</w:t>
      </w:r>
    </w:p>
    <w:p w14:paraId="6C1AEE20">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本公司(联合体)郑重声明，根据《政府采购促进中小企业发展管理办法》（财库〔2020〕46号）的规定，本公司（联合体）参加</w:t>
      </w:r>
      <w:r>
        <w:rPr>
          <w:rFonts w:hint="eastAsia" w:ascii="仿宋" w:hAnsi="仿宋" w:eastAsia="仿宋" w:cs="仿宋"/>
          <w:spacing w:val="6"/>
          <w:szCs w:val="21"/>
          <w:highlight w:val="none"/>
          <w:u w:val="single"/>
        </w:rPr>
        <w:t>（单位名称）</w:t>
      </w:r>
      <w:r>
        <w:rPr>
          <w:rFonts w:hint="eastAsia" w:ascii="仿宋" w:hAnsi="仿宋" w:eastAsia="仿宋" w:cs="仿宋"/>
          <w:spacing w:val="6"/>
          <w:szCs w:val="21"/>
          <w:highlight w:val="none"/>
        </w:rPr>
        <w:t>的</w:t>
      </w:r>
      <w:r>
        <w:rPr>
          <w:rFonts w:hint="eastAsia" w:ascii="仿宋" w:hAnsi="仿宋" w:eastAsia="仿宋" w:cs="仿宋"/>
          <w:spacing w:val="6"/>
          <w:szCs w:val="21"/>
          <w:highlight w:val="none"/>
          <w:u w:val="single"/>
        </w:rPr>
        <w:t>（项目名称）</w:t>
      </w:r>
      <w:r>
        <w:rPr>
          <w:rFonts w:hint="eastAsia" w:ascii="仿宋" w:hAnsi="仿宋" w:eastAsia="仿宋" w:cs="仿宋"/>
          <w:spacing w:val="6"/>
          <w:szCs w:val="21"/>
          <w:highlight w:val="none"/>
        </w:rPr>
        <w:t>采购活动，服务全部由符合政策要求的中小企业承接。相关企业(含联合体中的中小企业、签订分包意向协议的中小企业)的具体情况如下：</w:t>
      </w:r>
    </w:p>
    <w:p w14:paraId="63946C29">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1.</w:t>
      </w:r>
      <w:r>
        <w:rPr>
          <w:rFonts w:hint="eastAsia" w:ascii="仿宋" w:hAnsi="仿宋" w:eastAsia="仿宋" w:cs="仿宋"/>
          <w:spacing w:val="6"/>
          <w:szCs w:val="21"/>
          <w:highlight w:val="none"/>
          <w:u w:val="single"/>
        </w:rPr>
        <w:t>（标的名称）</w:t>
      </w:r>
      <w:r>
        <w:rPr>
          <w:rFonts w:hint="eastAsia" w:ascii="仿宋" w:hAnsi="仿宋" w:eastAsia="仿宋" w:cs="仿宋"/>
          <w:spacing w:val="6"/>
          <w:szCs w:val="21"/>
          <w:highlight w:val="none"/>
        </w:rPr>
        <w:t>，属于</w:t>
      </w:r>
      <w:r>
        <w:rPr>
          <w:rFonts w:hint="eastAsia" w:ascii="仿宋" w:hAnsi="仿宋" w:eastAsia="仿宋" w:cs="仿宋"/>
          <w:spacing w:val="6"/>
          <w:szCs w:val="21"/>
          <w:highlight w:val="none"/>
          <w:u w:val="single"/>
        </w:rPr>
        <w:t>（采购文件中明确的所属行业）</w:t>
      </w:r>
      <w:r>
        <w:rPr>
          <w:rFonts w:hint="eastAsia" w:ascii="仿宋" w:hAnsi="仿宋" w:eastAsia="仿宋" w:cs="仿宋"/>
          <w:spacing w:val="6"/>
          <w:szCs w:val="21"/>
          <w:highlight w:val="none"/>
        </w:rPr>
        <w:t>；承建(承接)企业为</w:t>
      </w:r>
      <w:r>
        <w:rPr>
          <w:rFonts w:hint="eastAsia" w:ascii="仿宋" w:hAnsi="仿宋" w:eastAsia="仿宋" w:cs="仿宋"/>
          <w:spacing w:val="6"/>
          <w:szCs w:val="21"/>
          <w:highlight w:val="none"/>
          <w:u w:val="single"/>
        </w:rPr>
        <w:t>（企业名称）</w:t>
      </w:r>
      <w:r>
        <w:rPr>
          <w:rFonts w:hint="eastAsia" w:ascii="仿宋" w:hAnsi="仿宋" w:eastAsia="仿宋" w:cs="仿宋"/>
          <w:spacing w:val="6"/>
          <w:szCs w:val="21"/>
          <w:highlight w:val="none"/>
        </w:rPr>
        <w:t>，从业人员__人，营业收入为___万元，资产总额为___万元，属于</w:t>
      </w:r>
      <w:r>
        <w:rPr>
          <w:rFonts w:hint="eastAsia" w:ascii="仿宋" w:hAnsi="仿宋" w:eastAsia="仿宋" w:cs="仿宋"/>
          <w:spacing w:val="6"/>
          <w:szCs w:val="21"/>
          <w:highlight w:val="none"/>
          <w:u w:val="single"/>
        </w:rPr>
        <w:t>（中型企业、小型企业、微型企业）</w:t>
      </w:r>
      <w:r>
        <w:rPr>
          <w:rFonts w:hint="eastAsia" w:ascii="仿宋" w:hAnsi="仿宋" w:eastAsia="仿宋" w:cs="仿宋"/>
          <w:spacing w:val="6"/>
          <w:szCs w:val="21"/>
          <w:highlight w:val="none"/>
        </w:rPr>
        <w:t>；</w:t>
      </w:r>
    </w:p>
    <w:p w14:paraId="5104344D">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2.（标的名称），属于（采购文件中明确的所属行业）；承建(承接)企业为（企业名称），从业人员__人，营业收入为___万元，资产总额为___万元，属于（中型企业、小型企业、微型企业）；</w:t>
      </w:r>
    </w:p>
    <w:p w14:paraId="7B968758">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w:t>
      </w:r>
    </w:p>
    <w:p w14:paraId="43526627">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以上企业，不属于大企业的分支机构，不存在控股股东为大企业的情形，也不存在与大企业的负责人为同一人的情形。</w:t>
      </w:r>
    </w:p>
    <w:p w14:paraId="73A697B0">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本企业对上述声明内容的真实性负责。如有虑假，将依法承担相应责任。</w:t>
      </w:r>
    </w:p>
    <w:p w14:paraId="117A7522">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 xml:space="preserve"> </w:t>
      </w:r>
    </w:p>
    <w:p w14:paraId="7CEE008C">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　　                                            企业名称（盖章）：</w:t>
      </w:r>
    </w:p>
    <w:p w14:paraId="15566733">
      <w:pPr>
        <w:spacing w:line="588" w:lineRule="exact"/>
        <w:ind w:firstLine="6438" w:firstLineChars="2900"/>
        <w:rPr>
          <w:rFonts w:hint="eastAsia" w:ascii="仿宋" w:hAnsi="仿宋" w:eastAsia="仿宋" w:cs="仿宋"/>
          <w:spacing w:val="6"/>
          <w:szCs w:val="21"/>
          <w:highlight w:val="none"/>
        </w:rPr>
      </w:pPr>
      <w:r>
        <w:rPr>
          <w:rFonts w:hint="eastAsia" w:ascii="仿宋" w:hAnsi="仿宋" w:eastAsia="仿宋" w:cs="仿宋"/>
          <w:spacing w:val="6"/>
          <w:szCs w:val="21"/>
          <w:highlight w:val="none"/>
        </w:rPr>
        <w:t xml:space="preserve">日 期： </w:t>
      </w:r>
    </w:p>
    <w:p w14:paraId="20CF4B37">
      <w:pPr>
        <w:pStyle w:val="54"/>
        <w:snapToGrid w:val="0"/>
        <w:spacing w:line="480" w:lineRule="exact"/>
        <w:ind w:firstLine="5880" w:firstLineChars="2800"/>
        <w:rPr>
          <w:rFonts w:hint="eastAsia" w:ascii="仿宋" w:hAnsi="仿宋" w:eastAsia="仿宋" w:cs="仿宋"/>
          <w:color w:val="000000"/>
          <w:highlight w:val="none"/>
        </w:rPr>
      </w:pPr>
    </w:p>
    <w:p w14:paraId="48F83BBA">
      <w:pPr>
        <w:tabs>
          <w:tab w:val="left" w:pos="1680"/>
        </w:tabs>
        <w:snapToGrid w:val="0"/>
        <w:spacing w:line="480" w:lineRule="exact"/>
        <w:rPr>
          <w:rFonts w:hint="eastAsia" w:ascii="仿宋" w:hAnsi="仿宋" w:eastAsia="仿宋" w:cs="仿宋"/>
          <w:b/>
          <w:color w:val="000000"/>
          <w:highlight w:val="none"/>
        </w:rPr>
      </w:pPr>
      <w:bookmarkStart w:id="42" w:name="OLE_LINK14"/>
      <w:bookmarkStart w:id="43" w:name="OLE_LINK13"/>
      <w:r>
        <w:rPr>
          <w:rFonts w:hint="eastAsia" w:ascii="仿宋" w:hAnsi="仿宋" w:eastAsia="仿宋" w:cs="仿宋"/>
          <w:b/>
          <w:color w:val="000000"/>
          <w:highlight w:val="none"/>
        </w:rPr>
        <w:br w:type="page"/>
      </w:r>
      <w:r>
        <w:rPr>
          <w:rFonts w:hint="eastAsia" w:ascii="仿宋" w:hAnsi="仿宋" w:eastAsia="仿宋" w:cs="仿宋"/>
          <w:b/>
          <w:color w:val="000000"/>
          <w:highlight w:val="none"/>
        </w:rPr>
        <w:t>附件</w:t>
      </w:r>
      <w:r>
        <w:rPr>
          <w:rFonts w:hint="eastAsia" w:ascii="仿宋" w:hAnsi="仿宋" w:eastAsia="仿宋" w:cs="仿宋"/>
          <w:b/>
          <w:color w:val="000000"/>
          <w:highlight w:val="none"/>
          <w:lang w:val="en-US" w:eastAsia="zh-CN"/>
        </w:rPr>
        <w:t>二</w:t>
      </w:r>
      <w:r>
        <w:rPr>
          <w:rFonts w:hint="eastAsia" w:ascii="仿宋" w:hAnsi="仿宋" w:eastAsia="仿宋" w:cs="仿宋"/>
          <w:b/>
          <w:color w:val="000000"/>
          <w:highlight w:val="none"/>
          <w:lang w:eastAsia="zh-CN"/>
        </w:rPr>
        <w:t>：</w:t>
      </w:r>
      <w:r>
        <w:rPr>
          <w:rFonts w:hint="eastAsia" w:ascii="仿宋" w:hAnsi="仿宋" w:eastAsia="仿宋" w:cs="仿宋"/>
          <w:b/>
          <w:color w:val="000000"/>
          <w:highlight w:val="none"/>
        </w:rPr>
        <w:t>残疾人福利性单位声明函格式</w:t>
      </w:r>
    </w:p>
    <w:p w14:paraId="422DC051">
      <w:pPr>
        <w:tabs>
          <w:tab w:val="left" w:pos="1680"/>
        </w:tabs>
        <w:snapToGrid w:val="0"/>
        <w:spacing w:line="480" w:lineRule="exact"/>
        <w:rPr>
          <w:rFonts w:hint="eastAsia" w:ascii="仿宋" w:hAnsi="仿宋" w:eastAsia="仿宋" w:cs="仿宋"/>
          <w:b/>
          <w:color w:val="000000"/>
          <w:highlight w:val="none"/>
        </w:rPr>
      </w:pPr>
    </w:p>
    <w:bookmarkEnd w:id="42"/>
    <w:bookmarkEnd w:id="43"/>
    <w:p w14:paraId="4552C985">
      <w:pPr>
        <w:tabs>
          <w:tab w:val="left" w:pos="1680"/>
        </w:tabs>
        <w:snapToGrid w:val="0"/>
        <w:spacing w:line="480" w:lineRule="exact"/>
        <w:jc w:val="center"/>
        <w:rPr>
          <w:rFonts w:hint="eastAsia" w:ascii="仿宋" w:hAnsi="仿宋" w:eastAsia="仿宋" w:cs="仿宋"/>
          <w:b/>
          <w:color w:val="000000"/>
          <w:highlight w:val="none"/>
        </w:rPr>
      </w:pPr>
      <w:r>
        <w:rPr>
          <w:rFonts w:hint="eastAsia" w:ascii="仿宋" w:hAnsi="仿宋" w:eastAsia="仿宋" w:cs="仿宋"/>
          <w:b/>
          <w:color w:val="000000"/>
          <w:highlight w:val="none"/>
        </w:rPr>
        <w:t>残疾人福利性单位声明函</w:t>
      </w:r>
    </w:p>
    <w:p w14:paraId="6A2CFD71">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本单位郑重声明，根据《财政部民政部 中国残疾人联合会关于促进残疾人就业政府采购政策的通知》（财库</w:t>
      </w:r>
      <w:r>
        <w:rPr>
          <w:rFonts w:hint="eastAsia" w:ascii="仿宋" w:hAnsi="仿宋" w:eastAsia="仿宋" w:cs="仿宋"/>
          <w:szCs w:val="21"/>
          <w:highlight w:val="none"/>
        </w:rPr>
        <w:t>〔2017〕141</w:t>
      </w:r>
      <w:r>
        <w:rPr>
          <w:rFonts w:hint="eastAsia" w:ascii="仿宋" w:hAnsi="仿宋" w:eastAsia="仿宋" w:cs="仿宋"/>
          <w:spacing w:val="6"/>
          <w:szCs w:val="21"/>
          <w:highlight w:val="none"/>
        </w:rPr>
        <w:t>号）的规定，本单位为符合条件的残疾人福利性单位，且本单位参加</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单位的</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项目（</w:t>
      </w:r>
      <w:r>
        <w:rPr>
          <w:rFonts w:hint="eastAsia" w:ascii="仿宋" w:hAnsi="仿宋" w:eastAsia="仿宋" w:cs="仿宋"/>
          <w:spacing w:val="6"/>
          <w:szCs w:val="21"/>
          <w:highlight w:val="none"/>
          <w:lang w:eastAsia="zh-CN"/>
        </w:rPr>
        <w:t>项目编号</w:t>
      </w:r>
      <w:r>
        <w:rPr>
          <w:rFonts w:hint="eastAsia" w:ascii="仿宋" w:hAnsi="仿宋" w:eastAsia="仿宋" w:cs="仿宋"/>
          <w:spacing w:val="6"/>
          <w:szCs w:val="21"/>
          <w:highlight w:val="none"/>
        </w:rPr>
        <w:t>：</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）采购活动提供本单位制造的货物（由本单位承担工程/提供服务），或者提供其他残疾人福利性单位制造的货物（不包括使用非残疾人福利性单位注册商标的货物）。</w:t>
      </w:r>
    </w:p>
    <w:p w14:paraId="01482A6D">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本单位对上述声明的真实性负责。如有虚假，将依法承担相应责任。</w:t>
      </w:r>
    </w:p>
    <w:p w14:paraId="58A12CDF">
      <w:pPr>
        <w:spacing w:line="588" w:lineRule="exact"/>
        <w:ind w:firstLine="444" w:firstLineChars="200"/>
        <w:rPr>
          <w:rFonts w:hint="eastAsia" w:ascii="仿宋" w:hAnsi="仿宋" w:eastAsia="仿宋" w:cs="仿宋"/>
          <w:spacing w:val="6"/>
          <w:szCs w:val="21"/>
          <w:highlight w:val="none"/>
        </w:rPr>
      </w:pPr>
    </w:p>
    <w:p w14:paraId="3385674F">
      <w:pPr>
        <w:pStyle w:val="54"/>
        <w:snapToGrid w:val="0"/>
        <w:spacing w:line="480" w:lineRule="exact"/>
        <w:ind w:firstLine="444" w:firstLineChars="200"/>
        <w:rPr>
          <w:rFonts w:hint="eastAsia" w:ascii="仿宋" w:hAnsi="仿宋" w:eastAsia="仿宋" w:cs="仿宋"/>
          <w:color w:val="000000"/>
          <w:highlight w:val="none"/>
        </w:rPr>
      </w:pPr>
      <w:r>
        <w:rPr>
          <w:rFonts w:hint="eastAsia" w:ascii="仿宋" w:hAnsi="仿宋" w:eastAsia="仿宋" w:cs="仿宋"/>
          <w:spacing w:val="6"/>
          <w:highlight w:val="none"/>
        </w:rPr>
        <w:t xml:space="preserve">                                    </w:t>
      </w:r>
      <w:r>
        <w:rPr>
          <w:rFonts w:hint="eastAsia" w:ascii="仿宋" w:hAnsi="仿宋" w:eastAsia="仿宋" w:cs="仿宋"/>
          <w:color w:val="000000"/>
          <w:highlight w:val="none"/>
        </w:rPr>
        <w:t>单位名称（盖章）：</w:t>
      </w:r>
    </w:p>
    <w:p w14:paraId="5E86D2C5">
      <w:pPr>
        <w:pStyle w:val="54"/>
        <w:snapToGrid w:val="0"/>
        <w:spacing w:line="480" w:lineRule="exact"/>
        <w:ind w:firstLine="420" w:firstLineChars="200"/>
        <w:rPr>
          <w:rFonts w:hint="eastAsia" w:ascii="仿宋" w:hAnsi="仿宋" w:eastAsia="仿宋" w:cs="仿宋"/>
          <w:color w:val="000000"/>
          <w:highlight w:val="none"/>
        </w:rPr>
      </w:pPr>
      <w:r>
        <w:rPr>
          <w:rFonts w:hint="eastAsia" w:ascii="仿宋" w:hAnsi="仿宋" w:eastAsia="仿宋" w:cs="仿宋"/>
          <w:color w:val="000000"/>
          <w:highlight w:val="none"/>
        </w:rPr>
        <w:t xml:space="preserve">                                         日  期：</w:t>
      </w:r>
    </w:p>
    <w:p w14:paraId="7E5D080C">
      <w:pPr>
        <w:pStyle w:val="54"/>
        <w:snapToGrid w:val="0"/>
        <w:spacing w:line="480" w:lineRule="exact"/>
        <w:ind w:firstLine="420" w:firstLineChars="200"/>
        <w:rPr>
          <w:rFonts w:hint="eastAsia" w:ascii="仿宋" w:hAnsi="仿宋" w:eastAsia="仿宋" w:cs="仿宋"/>
          <w:color w:val="000000"/>
          <w:highlight w:val="none"/>
        </w:rPr>
      </w:pPr>
    </w:p>
    <w:p w14:paraId="64554F45">
      <w:pPr>
        <w:spacing w:line="560" w:lineRule="exact"/>
        <w:ind w:right="640"/>
        <w:rPr>
          <w:rFonts w:hint="eastAsia" w:ascii="仿宋" w:hAnsi="仿宋" w:eastAsia="仿宋" w:cs="仿宋"/>
          <w:spacing w:val="6"/>
          <w:sz w:val="24"/>
          <w:highlight w:val="none"/>
        </w:rPr>
      </w:pPr>
      <w:r>
        <w:rPr>
          <w:rFonts w:hint="eastAsia" w:ascii="仿宋" w:hAnsi="仿宋" w:eastAsia="仿宋" w:cs="仿宋"/>
          <w:b/>
          <w:highlight w:val="none"/>
        </w:rPr>
        <w:br w:type="page"/>
      </w:r>
      <w:bookmarkStart w:id="44" w:name="_Hlk76544236"/>
      <w:r>
        <w:rPr>
          <w:rFonts w:hint="eastAsia" w:ascii="仿宋" w:hAnsi="仿宋" w:eastAsia="仿宋" w:cs="仿宋"/>
          <w:b/>
          <w:color w:val="000000"/>
          <w:sz w:val="24"/>
          <w:highlight w:val="none"/>
        </w:rPr>
        <w:t>附件</w:t>
      </w:r>
      <w:r>
        <w:rPr>
          <w:rFonts w:hint="eastAsia" w:ascii="仿宋" w:hAnsi="仿宋" w:eastAsia="仿宋" w:cs="仿宋"/>
          <w:b/>
          <w:color w:val="000000"/>
          <w:sz w:val="24"/>
          <w:highlight w:val="none"/>
          <w:lang w:val="en-US" w:eastAsia="zh-CN"/>
        </w:rPr>
        <w:t>三</w:t>
      </w:r>
      <w:r>
        <w:rPr>
          <w:rFonts w:hint="eastAsia" w:ascii="仿宋" w:hAnsi="仿宋" w:eastAsia="仿宋" w:cs="仿宋"/>
          <w:b/>
          <w:color w:val="000000"/>
          <w:sz w:val="24"/>
          <w:highlight w:val="none"/>
          <w:lang w:eastAsia="zh-CN"/>
        </w:rPr>
        <w:t>：</w:t>
      </w:r>
      <w:r>
        <w:rPr>
          <w:rFonts w:hint="eastAsia" w:ascii="仿宋" w:hAnsi="仿宋" w:eastAsia="仿宋" w:cs="仿宋"/>
          <w:b/>
          <w:color w:val="000000"/>
          <w:sz w:val="24"/>
          <w:highlight w:val="none"/>
        </w:rPr>
        <w:t>监狱企业证明文件格式</w:t>
      </w:r>
      <w:bookmarkEnd w:id="44"/>
    </w:p>
    <w:p w14:paraId="0B4BC224">
      <w:pPr>
        <w:spacing w:line="560" w:lineRule="exact"/>
        <w:ind w:right="640"/>
        <w:jc w:val="center"/>
        <w:rPr>
          <w:rFonts w:hint="eastAsia" w:ascii="仿宋" w:hAnsi="仿宋" w:eastAsia="仿宋" w:cs="仿宋"/>
          <w:spacing w:val="6"/>
          <w:sz w:val="24"/>
          <w:highlight w:val="none"/>
        </w:rPr>
      </w:pPr>
    </w:p>
    <w:p w14:paraId="54EC1B0A">
      <w:pPr>
        <w:tabs>
          <w:tab w:val="left" w:pos="1680"/>
        </w:tabs>
        <w:snapToGrid w:val="0"/>
        <w:spacing w:line="480" w:lineRule="exact"/>
        <w:jc w:val="center"/>
        <w:rPr>
          <w:rFonts w:hint="eastAsia" w:ascii="仿宋" w:hAnsi="仿宋" w:eastAsia="仿宋" w:cs="仿宋"/>
          <w:b/>
          <w:color w:val="000000"/>
          <w:highlight w:val="none"/>
        </w:rPr>
      </w:pPr>
      <w:r>
        <w:rPr>
          <w:rFonts w:hint="eastAsia" w:ascii="仿宋" w:hAnsi="仿宋" w:eastAsia="仿宋" w:cs="仿宋"/>
          <w:b/>
          <w:color w:val="000000"/>
          <w:highlight w:val="none"/>
        </w:rPr>
        <w:t>监狱企业证明文件（格式）</w:t>
      </w:r>
    </w:p>
    <w:p w14:paraId="447EC94B">
      <w:pPr>
        <w:rPr>
          <w:rFonts w:hint="eastAsia" w:ascii="仿宋" w:hAnsi="仿宋" w:eastAsia="仿宋" w:cs="仿宋"/>
          <w:sz w:val="24"/>
          <w:highlight w:val="none"/>
        </w:rPr>
      </w:pPr>
    </w:p>
    <w:p w14:paraId="2BCD109C">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本单位郑重声明，根据《财政部司法部关于政府采购支持监狱企业发展有关问题的通知》（财库〔2014〕68号）的规定，本单位为符合条件的监狱企业，且本单位参加单位的项目采购活动提供本单位提供的服务，或者提供其他监狱企业的服务。</w:t>
      </w:r>
    </w:p>
    <w:p w14:paraId="45CFD8A1">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附：监狱企业证明文件</w:t>
      </w:r>
    </w:p>
    <w:p w14:paraId="09D7F99B">
      <w:pPr>
        <w:spacing w:line="588" w:lineRule="exact"/>
        <w:ind w:firstLine="444" w:firstLineChars="200"/>
        <w:rPr>
          <w:rFonts w:hint="eastAsia" w:ascii="仿宋" w:hAnsi="仿宋" w:eastAsia="仿宋" w:cs="仿宋"/>
          <w:spacing w:val="6"/>
          <w:szCs w:val="21"/>
          <w:highlight w:val="none"/>
        </w:rPr>
      </w:pPr>
    </w:p>
    <w:p w14:paraId="6ADE2588">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本单位对上述声明的真实性负责。如有虚假，将依法承担相应责任。</w:t>
      </w:r>
    </w:p>
    <w:p w14:paraId="23A391E7">
      <w:pPr>
        <w:spacing w:line="588" w:lineRule="exact"/>
        <w:ind w:firstLine="480" w:firstLineChars="200"/>
        <w:rPr>
          <w:rFonts w:hint="eastAsia" w:ascii="仿宋" w:hAnsi="仿宋" w:eastAsia="仿宋" w:cs="仿宋"/>
          <w:sz w:val="24"/>
          <w:highlight w:val="none"/>
        </w:rPr>
      </w:pPr>
    </w:p>
    <w:p w14:paraId="75436B15">
      <w:pPr>
        <w:spacing w:line="588" w:lineRule="exact"/>
        <w:ind w:firstLine="480" w:firstLineChars="200"/>
        <w:rPr>
          <w:rFonts w:hint="eastAsia" w:ascii="仿宋" w:hAnsi="仿宋" w:eastAsia="仿宋" w:cs="仿宋"/>
          <w:sz w:val="24"/>
          <w:highlight w:val="none"/>
        </w:rPr>
      </w:pPr>
    </w:p>
    <w:p w14:paraId="36CBED14">
      <w:pPr>
        <w:tabs>
          <w:tab w:val="left" w:pos="4860"/>
        </w:tabs>
        <w:spacing w:line="588" w:lineRule="exact"/>
        <w:ind w:right="1560"/>
        <w:rPr>
          <w:rFonts w:hint="eastAsia" w:ascii="仿宋" w:hAnsi="仿宋" w:eastAsia="仿宋" w:cs="仿宋"/>
          <w:sz w:val="24"/>
          <w:highlight w:val="none"/>
        </w:rPr>
      </w:pPr>
    </w:p>
    <w:p w14:paraId="61790372">
      <w:pPr>
        <w:spacing w:line="588" w:lineRule="exact"/>
        <w:ind w:firstLine="480" w:firstLineChars="200"/>
        <w:rPr>
          <w:rFonts w:hint="eastAsia" w:ascii="仿宋" w:hAnsi="仿宋" w:eastAsia="仿宋" w:cs="仿宋"/>
          <w:spacing w:val="6"/>
          <w:szCs w:val="21"/>
          <w:highlight w:val="none"/>
        </w:rPr>
      </w:pPr>
      <w:r>
        <w:rPr>
          <w:rFonts w:hint="eastAsia" w:ascii="仿宋" w:hAnsi="仿宋" w:eastAsia="仿宋" w:cs="仿宋"/>
          <w:snapToGrid w:val="0"/>
          <w:sz w:val="24"/>
          <w:highlight w:val="none"/>
        </w:rPr>
        <w:t xml:space="preserve">                               </w:t>
      </w:r>
      <w:r>
        <w:rPr>
          <w:rFonts w:hint="eastAsia" w:ascii="仿宋" w:hAnsi="仿宋" w:eastAsia="仿宋" w:cs="仿宋"/>
          <w:spacing w:val="6"/>
          <w:szCs w:val="21"/>
          <w:highlight w:val="none"/>
        </w:rPr>
        <w:t xml:space="preserve"> 投标人名称（盖单位公章）：</w:t>
      </w:r>
    </w:p>
    <w:p w14:paraId="79A31B3B">
      <w:pPr>
        <w:spacing w:line="588" w:lineRule="exact"/>
        <w:ind w:firstLine="4440" w:firstLineChars="2000"/>
        <w:rPr>
          <w:rFonts w:hint="eastAsia" w:ascii="仿宋" w:hAnsi="仿宋" w:eastAsia="仿宋" w:cs="仿宋"/>
          <w:spacing w:val="6"/>
          <w:szCs w:val="21"/>
          <w:highlight w:val="none"/>
        </w:rPr>
      </w:pPr>
      <w:r>
        <w:rPr>
          <w:rFonts w:hint="eastAsia" w:ascii="仿宋" w:hAnsi="仿宋" w:eastAsia="仿宋" w:cs="仿宋"/>
          <w:spacing w:val="6"/>
          <w:szCs w:val="21"/>
          <w:highlight w:val="none"/>
        </w:rPr>
        <w:t>日期：</w:t>
      </w:r>
    </w:p>
    <w:p w14:paraId="717F149E">
      <w:pPr>
        <w:spacing w:line="588" w:lineRule="exact"/>
        <w:ind w:firstLine="444" w:firstLineChars="200"/>
        <w:rPr>
          <w:rFonts w:hint="eastAsia" w:ascii="仿宋" w:hAnsi="仿宋" w:eastAsia="仿宋" w:cs="仿宋"/>
          <w:spacing w:val="6"/>
          <w:szCs w:val="21"/>
          <w:highlight w:val="none"/>
        </w:rPr>
      </w:pPr>
    </w:p>
    <w:p w14:paraId="0BD8C181">
      <w:pPr>
        <w:ind w:right="640" w:firstLine="2760" w:firstLineChars="1150"/>
        <w:rPr>
          <w:rFonts w:hint="eastAsia" w:ascii="仿宋" w:hAnsi="仿宋" w:eastAsia="仿宋" w:cs="仿宋"/>
          <w:sz w:val="24"/>
          <w:highlight w:val="none"/>
        </w:rPr>
      </w:pPr>
    </w:p>
    <w:p w14:paraId="533BA1CC">
      <w:pPr>
        <w:ind w:right="640"/>
        <w:rPr>
          <w:rFonts w:hint="eastAsia" w:ascii="仿宋" w:hAnsi="仿宋" w:eastAsia="仿宋" w:cs="仿宋"/>
          <w:sz w:val="24"/>
          <w:highlight w:val="none"/>
        </w:rPr>
      </w:pPr>
    </w:p>
    <w:p w14:paraId="195BE153">
      <w:pPr>
        <w:spacing w:line="588" w:lineRule="exact"/>
        <w:ind w:firstLine="480" w:firstLineChars="200"/>
        <w:rPr>
          <w:rFonts w:hint="eastAsia" w:ascii="仿宋" w:hAnsi="仿宋" w:eastAsia="仿宋" w:cs="仿宋"/>
          <w:sz w:val="24"/>
          <w:highlight w:val="none"/>
        </w:rPr>
      </w:pPr>
    </w:p>
    <w:p w14:paraId="09DD1AB3">
      <w:pPr>
        <w:spacing w:line="588" w:lineRule="exact"/>
        <w:ind w:firstLine="480" w:firstLineChars="200"/>
        <w:rPr>
          <w:rFonts w:hint="eastAsia" w:ascii="仿宋" w:hAnsi="仿宋" w:eastAsia="仿宋" w:cs="仿宋"/>
          <w:sz w:val="24"/>
          <w:highlight w:val="none"/>
        </w:rPr>
      </w:pPr>
    </w:p>
    <w:p w14:paraId="42F9649A">
      <w:pPr>
        <w:spacing w:line="588" w:lineRule="exact"/>
        <w:ind w:firstLine="444"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注：如不属于监狱企业可不按格式要求提供，也可书面标明“我单位不属于监狱企业”字样并加盖单位公章。</w:t>
      </w:r>
    </w:p>
    <w:p w14:paraId="344CD210">
      <w:pPr>
        <w:spacing w:line="588" w:lineRule="exact"/>
        <w:ind w:firstLine="504" w:firstLineChars="200"/>
        <w:rPr>
          <w:rFonts w:hint="eastAsia" w:ascii="仿宋" w:hAnsi="仿宋" w:eastAsia="仿宋" w:cs="仿宋"/>
          <w:spacing w:val="6"/>
          <w:sz w:val="24"/>
          <w:highlight w:val="none"/>
        </w:rPr>
      </w:pPr>
    </w:p>
    <w:p w14:paraId="60A9972A">
      <w:pPr>
        <w:ind w:right="26"/>
        <w:rPr>
          <w:rFonts w:hint="eastAsia" w:ascii="仿宋" w:hAnsi="仿宋" w:eastAsia="仿宋" w:cs="仿宋"/>
          <w:b/>
          <w:highlight w:val="none"/>
        </w:rPr>
      </w:pPr>
    </w:p>
    <w:p w14:paraId="34FE7071">
      <w:pPr>
        <w:ind w:right="640"/>
        <w:jc w:val="both"/>
        <w:rPr>
          <w:rFonts w:hint="eastAsia" w:ascii="仿宋" w:hAnsi="仿宋" w:eastAsia="仿宋" w:cs="仿宋"/>
          <w:highlight w:val="none"/>
        </w:rPr>
      </w:pPr>
    </w:p>
    <w:sectPr>
      <w:pgSz w:w="11906" w:h="16838"/>
      <w:pgMar w:top="1418" w:right="1474" w:bottom="1418"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书宋简体">
    <w:altName w:val="宋体"/>
    <w:panose1 w:val="02000000000000000000"/>
    <w:charset w:val="86"/>
    <w:family w:val="script"/>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16" w:usb3="00000000" w:csb0="6006009F" w:csb1="DFD70000"/>
  </w:font>
  <w:font w:name="楷体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A51D5">
    <w:pPr>
      <w:pStyle w:val="2"/>
      <w:jc w:val="center"/>
    </w:pPr>
  </w:p>
  <w:p w14:paraId="732C443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6AD9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3D5C6">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03D5C6">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E3B3">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73F2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173F2F">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3E038C9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7810C">
    <w:pPr>
      <w:pStyle w:val="21"/>
      <w:pBdr>
        <w:bottom w:val="none" w:color="auto" w:sz="0" w:space="1"/>
      </w:pBdr>
      <w:jc w:val="both"/>
      <w:rPr>
        <w:rFonts w:hint="eastAsia" w:ascii="隶书" w:eastAsia="隶书"/>
        <w:spacing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B9D55"/>
    <w:multiLevelType w:val="singleLevel"/>
    <w:tmpl w:val="DAEB9D55"/>
    <w:lvl w:ilvl="0" w:tentative="0">
      <w:start w:val="2"/>
      <w:numFmt w:val="chineseCounting"/>
      <w:suff w:val="nothing"/>
      <w:lvlText w:val="（%1）"/>
      <w:lvlJc w:val="left"/>
      <w:pPr>
        <w:tabs>
          <w:tab w:val="left" w:pos="0"/>
        </w:tabs>
        <w:ind w:left="0" w:firstLine="0"/>
      </w:pPr>
      <w:rPr>
        <w:rFonts w:hint="eastAsia"/>
      </w:rPr>
    </w:lvl>
  </w:abstractNum>
  <w:abstractNum w:abstractNumId="1">
    <w:nsid w:val="E3BD9DE8"/>
    <w:multiLevelType w:val="singleLevel"/>
    <w:tmpl w:val="E3BD9DE8"/>
    <w:lvl w:ilvl="0" w:tentative="0">
      <w:start w:val="8"/>
      <w:numFmt w:val="chineseCounting"/>
      <w:suff w:val="nothing"/>
      <w:lvlText w:val="%1、"/>
      <w:lvlJc w:val="left"/>
      <w:pPr>
        <w:tabs>
          <w:tab w:val="left" w:pos="0"/>
        </w:tabs>
        <w:ind w:left="0" w:firstLine="0"/>
      </w:pPr>
      <w:rPr>
        <w:rFonts w:hint="eastAsia"/>
      </w:rPr>
    </w:lvl>
  </w:abstractNum>
  <w:abstractNum w:abstractNumId="2">
    <w:nsid w:val="EF88FBEF"/>
    <w:multiLevelType w:val="singleLevel"/>
    <w:tmpl w:val="EF88FBEF"/>
    <w:lvl w:ilvl="0" w:tentative="0">
      <w:start w:val="2"/>
      <w:numFmt w:val="decimal"/>
      <w:suff w:val="nothing"/>
      <w:lvlText w:val="%1、"/>
      <w:lvlJc w:val="left"/>
      <w:pPr>
        <w:ind w:left="-60"/>
      </w:pPr>
    </w:lvl>
  </w:abstractNum>
  <w:abstractNum w:abstractNumId="3">
    <w:nsid w:val="F87B26E8"/>
    <w:multiLevelType w:val="singleLevel"/>
    <w:tmpl w:val="F87B26E8"/>
    <w:lvl w:ilvl="0" w:tentative="0">
      <w:start w:val="6"/>
      <w:numFmt w:val="chineseCounting"/>
      <w:suff w:val="space"/>
      <w:lvlText w:val="第%1部分"/>
      <w:lvlJc w:val="left"/>
      <w:rPr>
        <w:rFonts w:hint="eastAsia"/>
      </w:rPr>
    </w:lvl>
  </w:abstractNum>
  <w:abstractNum w:abstractNumId="4">
    <w:nsid w:val="0EEE7718"/>
    <w:multiLevelType w:val="multilevel"/>
    <w:tmpl w:val="0EEE7718"/>
    <w:lvl w:ilvl="0" w:tentative="0">
      <w:start w:val="1"/>
      <w:numFmt w:val="upperLetter"/>
      <w:lvlText w:val="%1、"/>
      <w:lvlJc w:val="left"/>
      <w:pPr>
        <w:tabs>
          <w:tab w:val="left" w:pos="1500"/>
        </w:tabs>
        <w:ind w:left="1500" w:hanging="420"/>
      </w:pPr>
      <w:rPr>
        <w:rFonts w:ascii="宋体" w:hAnsi="宋体" w:eastAsia="宋体" w:cs="Times New Roman"/>
      </w:rPr>
    </w:lvl>
    <w:lvl w:ilvl="1" w:tentative="0">
      <w:start w:val="1"/>
      <w:numFmt w:val="decimal"/>
      <w:lvlText w:val="%2、"/>
      <w:lvlJc w:val="left"/>
      <w:pPr>
        <w:tabs>
          <w:tab w:val="left" w:pos="900"/>
        </w:tabs>
        <w:ind w:left="900" w:hanging="360"/>
      </w:pPr>
      <w:rPr>
        <w:rFonts w:hint="default"/>
      </w:rPr>
    </w:lvl>
    <w:lvl w:ilvl="2" w:tentative="0">
      <w:start w:val="1"/>
      <w:numFmt w:val="lowerRoman"/>
      <w:lvlText w:val="%3."/>
      <w:lvlJc w:val="right"/>
      <w:pPr>
        <w:tabs>
          <w:tab w:val="left" w:pos="1920"/>
        </w:tabs>
        <w:ind w:left="1920" w:hanging="420"/>
      </w:pPr>
    </w:lvl>
    <w:lvl w:ilvl="3" w:tentative="0">
      <w:start w:val="1"/>
      <w:numFmt w:val="decimal"/>
      <w:pStyle w:val="59"/>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5">
    <w:nsid w:val="14D265AB"/>
    <w:multiLevelType w:val="multilevel"/>
    <w:tmpl w:val="14D265AB"/>
    <w:lvl w:ilvl="0" w:tentative="0">
      <w:start w:val="1"/>
      <w:numFmt w:val="chineseCountingThousand"/>
      <w:pStyle w:val="27"/>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1D8B13F4"/>
    <w:multiLevelType w:val="multilevel"/>
    <w:tmpl w:val="1D8B13F4"/>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56D6133"/>
    <w:multiLevelType w:val="multilevel"/>
    <w:tmpl w:val="656D6133"/>
    <w:lvl w:ilvl="0" w:tentative="0">
      <w:start w:val="1"/>
      <w:numFmt w:val="chineseCountingThousand"/>
      <w:pStyle w:val="3"/>
      <w:suff w:val="nothing"/>
      <w:lvlText w:val="第%1部分"/>
      <w:lvlJc w:val="center"/>
      <w:pPr>
        <w:ind w:left="252" w:firstLine="288"/>
      </w:pPr>
      <w:rPr>
        <w:rFonts w:hint="eastAsia"/>
        <w:sz w:val="28"/>
        <w:szCs w:val="28"/>
      </w:rPr>
    </w:lvl>
    <w:lvl w:ilvl="1" w:tentative="0">
      <w:start w:val="1"/>
      <w:numFmt w:val="chineseCountingThousand"/>
      <w:pStyle w:val="66"/>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5"/>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426" w:firstLine="0"/>
      </w:pPr>
      <w:rPr>
        <w:rFonts w:hint="eastAsia"/>
      </w:rPr>
    </w:lvl>
    <w:lvl w:ilvl="4" w:tentative="0">
      <w:start w:val="1"/>
      <w:numFmt w:val="upperLetter"/>
      <w:pStyle w:val="7"/>
      <w:suff w:val="nothing"/>
      <w:lvlText w:val="%5、"/>
      <w:lvlJc w:val="left"/>
      <w:pPr>
        <w:ind w:left="252" w:firstLine="0"/>
      </w:pPr>
      <w:rPr>
        <w:rFonts w:hint="eastAsia"/>
      </w:rPr>
    </w:lvl>
    <w:lvl w:ilvl="5" w:tentative="0">
      <w:start w:val="1"/>
      <w:numFmt w:val="none"/>
      <w:pStyle w:val="8"/>
      <w:suff w:val="nothing"/>
      <w:lvlText w:val=""/>
      <w:lvlJc w:val="left"/>
      <w:pPr>
        <w:ind w:left="252" w:firstLine="0"/>
      </w:pPr>
      <w:rPr>
        <w:rFonts w:hint="eastAsia"/>
      </w:rPr>
    </w:lvl>
    <w:lvl w:ilvl="6" w:tentative="0">
      <w:start w:val="1"/>
      <w:numFmt w:val="none"/>
      <w:pStyle w:val="9"/>
      <w:suff w:val="nothing"/>
      <w:lvlText w:val=""/>
      <w:lvlJc w:val="left"/>
      <w:pPr>
        <w:ind w:left="252" w:firstLine="0"/>
      </w:pPr>
      <w:rPr>
        <w:rFonts w:hint="eastAsia"/>
      </w:rPr>
    </w:lvl>
    <w:lvl w:ilvl="7" w:tentative="0">
      <w:start w:val="1"/>
      <w:numFmt w:val="none"/>
      <w:pStyle w:val="10"/>
      <w:suff w:val="nothing"/>
      <w:lvlText w:val=""/>
      <w:lvlJc w:val="left"/>
      <w:pPr>
        <w:ind w:left="252" w:firstLine="0"/>
      </w:pPr>
      <w:rPr>
        <w:rFonts w:hint="eastAsia"/>
      </w:rPr>
    </w:lvl>
    <w:lvl w:ilvl="8" w:tentative="0">
      <w:start w:val="1"/>
      <w:numFmt w:val="none"/>
      <w:pStyle w:val="11"/>
      <w:suff w:val="nothing"/>
      <w:lvlText w:val=""/>
      <w:lvlJc w:val="left"/>
      <w:pPr>
        <w:ind w:left="252" w:firstLine="0"/>
      </w:pPr>
      <w:rPr>
        <w:rFonts w:hint="eastAsia"/>
      </w:rPr>
    </w:lvl>
  </w:abstractNum>
  <w:abstractNum w:abstractNumId="8">
    <w:nsid w:val="78638743"/>
    <w:multiLevelType w:val="singleLevel"/>
    <w:tmpl w:val="78638743"/>
    <w:lvl w:ilvl="0" w:tentative="0">
      <w:start w:val="5"/>
      <w:numFmt w:val="decimal"/>
      <w:suff w:val="nothing"/>
      <w:lvlText w:val="%1、"/>
      <w:lvlJc w:val="left"/>
      <w:pPr>
        <w:ind w:left="-60"/>
      </w:pPr>
    </w:lvl>
  </w:abstractNum>
  <w:num w:numId="1">
    <w:abstractNumId w:val="7"/>
  </w:num>
  <w:num w:numId="2">
    <w:abstractNumId w:val="5"/>
  </w:num>
  <w:num w:numId="3">
    <w:abstractNumId w:val="4"/>
  </w:num>
  <w:num w:numId="4">
    <w:abstractNumId w:val="6"/>
  </w:num>
  <w:num w:numId="5">
    <w:abstractNumId w:val="2"/>
  </w:num>
  <w:num w:numId="6">
    <w:abstractNumId w:val="8"/>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NzJhMzdlOTFjNzM0N2ZhMjY4ZTBmNDYwNTA5YmUifQ=="/>
  </w:docVars>
  <w:rsids>
    <w:rsidRoot w:val="001775DE"/>
    <w:rsid w:val="000013B7"/>
    <w:rsid w:val="0000144C"/>
    <w:rsid w:val="0000159A"/>
    <w:rsid w:val="000017E2"/>
    <w:rsid w:val="0000239C"/>
    <w:rsid w:val="000030E4"/>
    <w:rsid w:val="00003788"/>
    <w:rsid w:val="00005870"/>
    <w:rsid w:val="000068E4"/>
    <w:rsid w:val="0000740E"/>
    <w:rsid w:val="00007433"/>
    <w:rsid w:val="00007C07"/>
    <w:rsid w:val="00010326"/>
    <w:rsid w:val="000112D0"/>
    <w:rsid w:val="00011C31"/>
    <w:rsid w:val="00011E1F"/>
    <w:rsid w:val="00011E90"/>
    <w:rsid w:val="00011EDE"/>
    <w:rsid w:val="0001240B"/>
    <w:rsid w:val="000131D0"/>
    <w:rsid w:val="0001321B"/>
    <w:rsid w:val="00013531"/>
    <w:rsid w:val="00013651"/>
    <w:rsid w:val="00013AFD"/>
    <w:rsid w:val="00013F55"/>
    <w:rsid w:val="00014060"/>
    <w:rsid w:val="000144EE"/>
    <w:rsid w:val="0001629B"/>
    <w:rsid w:val="0001639C"/>
    <w:rsid w:val="0001675A"/>
    <w:rsid w:val="00017892"/>
    <w:rsid w:val="000178BF"/>
    <w:rsid w:val="00017BCF"/>
    <w:rsid w:val="00017F2E"/>
    <w:rsid w:val="00020A8B"/>
    <w:rsid w:val="00020C14"/>
    <w:rsid w:val="00020F9A"/>
    <w:rsid w:val="0002108F"/>
    <w:rsid w:val="000212EB"/>
    <w:rsid w:val="00022053"/>
    <w:rsid w:val="00022423"/>
    <w:rsid w:val="00022D17"/>
    <w:rsid w:val="00022EAE"/>
    <w:rsid w:val="00024DA4"/>
    <w:rsid w:val="00024DF9"/>
    <w:rsid w:val="00024ED2"/>
    <w:rsid w:val="00025EC4"/>
    <w:rsid w:val="00026B90"/>
    <w:rsid w:val="0002763F"/>
    <w:rsid w:val="00030749"/>
    <w:rsid w:val="0003075F"/>
    <w:rsid w:val="00030838"/>
    <w:rsid w:val="0003166C"/>
    <w:rsid w:val="000323D4"/>
    <w:rsid w:val="00032A52"/>
    <w:rsid w:val="00032E09"/>
    <w:rsid w:val="000330A0"/>
    <w:rsid w:val="000333B4"/>
    <w:rsid w:val="00033D86"/>
    <w:rsid w:val="00033ECB"/>
    <w:rsid w:val="00034B36"/>
    <w:rsid w:val="00034D52"/>
    <w:rsid w:val="0003615E"/>
    <w:rsid w:val="00036308"/>
    <w:rsid w:val="00036685"/>
    <w:rsid w:val="000376CC"/>
    <w:rsid w:val="00037B16"/>
    <w:rsid w:val="00037ED2"/>
    <w:rsid w:val="0004020A"/>
    <w:rsid w:val="0004047F"/>
    <w:rsid w:val="00040721"/>
    <w:rsid w:val="00041DFD"/>
    <w:rsid w:val="00042CD4"/>
    <w:rsid w:val="00044633"/>
    <w:rsid w:val="00045F8A"/>
    <w:rsid w:val="00046144"/>
    <w:rsid w:val="00046898"/>
    <w:rsid w:val="00046AF0"/>
    <w:rsid w:val="00046D75"/>
    <w:rsid w:val="00046DA2"/>
    <w:rsid w:val="000479EA"/>
    <w:rsid w:val="00047ACF"/>
    <w:rsid w:val="00050E51"/>
    <w:rsid w:val="00053121"/>
    <w:rsid w:val="00053848"/>
    <w:rsid w:val="00053988"/>
    <w:rsid w:val="00053E30"/>
    <w:rsid w:val="00055023"/>
    <w:rsid w:val="000554E8"/>
    <w:rsid w:val="00055F1F"/>
    <w:rsid w:val="000560D7"/>
    <w:rsid w:val="0005640C"/>
    <w:rsid w:val="000565B6"/>
    <w:rsid w:val="000578BC"/>
    <w:rsid w:val="00057AF8"/>
    <w:rsid w:val="00060C65"/>
    <w:rsid w:val="00061A10"/>
    <w:rsid w:val="00062051"/>
    <w:rsid w:val="00062A38"/>
    <w:rsid w:val="00064770"/>
    <w:rsid w:val="000648E2"/>
    <w:rsid w:val="000656E8"/>
    <w:rsid w:val="00066EB3"/>
    <w:rsid w:val="000678BF"/>
    <w:rsid w:val="00070212"/>
    <w:rsid w:val="0007067C"/>
    <w:rsid w:val="000709A7"/>
    <w:rsid w:val="00070A5F"/>
    <w:rsid w:val="00070C7D"/>
    <w:rsid w:val="00071130"/>
    <w:rsid w:val="00071292"/>
    <w:rsid w:val="00071EF3"/>
    <w:rsid w:val="0007200D"/>
    <w:rsid w:val="0007215F"/>
    <w:rsid w:val="00072899"/>
    <w:rsid w:val="00073001"/>
    <w:rsid w:val="000734C1"/>
    <w:rsid w:val="000734DD"/>
    <w:rsid w:val="00073B11"/>
    <w:rsid w:val="0007482C"/>
    <w:rsid w:val="000758F1"/>
    <w:rsid w:val="00076D44"/>
    <w:rsid w:val="00076F26"/>
    <w:rsid w:val="00077714"/>
    <w:rsid w:val="00077D28"/>
    <w:rsid w:val="00077E1B"/>
    <w:rsid w:val="00083C4F"/>
    <w:rsid w:val="00083CE9"/>
    <w:rsid w:val="0008438A"/>
    <w:rsid w:val="00084A41"/>
    <w:rsid w:val="00084E56"/>
    <w:rsid w:val="00085451"/>
    <w:rsid w:val="000859D8"/>
    <w:rsid w:val="00085A51"/>
    <w:rsid w:val="00085FCE"/>
    <w:rsid w:val="00085FD5"/>
    <w:rsid w:val="000866F0"/>
    <w:rsid w:val="00086D43"/>
    <w:rsid w:val="00087406"/>
    <w:rsid w:val="000876F4"/>
    <w:rsid w:val="000879EC"/>
    <w:rsid w:val="00087AC8"/>
    <w:rsid w:val="00090534"/>
    <w:rsid w:val="00090B12"/>
    <w:rsid w:val="0009370E"/>
    <w:rsid w:val="00094277"/>
    <w:rsid w:val="000943E8"/>
    <w:rsid w:val="00094E99"/>
    <w:rsid w:val="00095360"/>
    <w:rsid w:val="00095707"/>
    <w:rsid w:val="000957E3"/>
    <w:rsid w:val="00095D28"/>
    <w:rsid w:val="00097546"/>
    <w:rsid w:val="00097761"/>
    <w:rsid w:val="00097B61"/>
    <w:rsid w:val="000A0925"/>
    <w:rsid w:val="000A1262"/>
    <w:rsid w:val="000A1678"/>
    <w:rsid w:val="000A1F20"/>
    <w:rsid w:val="000A20C6"/>
    <w:rsid w:val="000A26E5"/>
    <w:rsid w:val="000A28D9"/>
    <w:rsid w:val="000A2F35"/>
    <w:rsid w:val="000A4338"/>
    <w:rsid w:val="000A612F"/>
    <w:rsid w:val="000A6673"/>
    <w:rsid w:val="000A6B3E"/>
    <w:rsid w:val="000A6BC8"/>
    <w:rsid w:val="000B04D9"/>
    <w:rsid w:val="000B0BE8"/>
    <w:rsid w:val="000B1723"/>
    <w:rsid w:val="000B1799"/>
    <w:rsid w:val="000B1D81"/>
    <w:rsid w:val="000B2EB5"/>
    <w:rsid w:val="000B306D"/>
    <w:rsid w:val="000B37C8"/>
    <w:rsid w:val="000B3C12"/>
    <w:rsid w:val="000B41C1"/>
    <w:rsid w:val="000B4733"/>
    <w:rsid w:val="000B4F4D"/>
    <w:rsid w:val="000B5CE4"/>
    <w:rsid w:val="000B5D38"/>
    <w:rsid w:val="000B5D67"/>
    <w:rsid w:val="000B6108"/>
    <w:rsid w:val="000B681C"/>
    <w:rsid w:val="000B7F72"/>
    <w:rsid w:val="000C043B"/>
    <w:rsid w:val="000C0B80"/>
    <w:rsid w:val="000C14A7"/>
    <w:rsid w:val="000C240F"/>
    <w:rsid w:val="000C2925"/>
    <w:rsid w:val="000C3C6D"/>
    <w:rsid w:val="000C40D7"/>
    <w:rsid w:val="000C54C0"/>
    <w:rsid w:val="000C5B91"/>
    <w:rsid w:val="000C6E33"/>
    <w:rsid w:val="000C6EE1"/>
    <w:rsid w:val="000C72A3"/>
    <w:rsid w:val="000D0629"/>
    <w:rsid w:val="000D16BD"/>
    <w:rsid w:val="000D1B92"/>
    <w:rsid w:val="000D1E90"/>
    <w:rsid w:val="000D27A0"/>
    <w:rsid w:val="000D29D9"/>
    <w:rsid w:val="000D356B"/>
    <w:rsid w:val="000D3B71"/>
    <w:rsid w:val="000D40EB"/>
    <w:rsid w:val="000D4933"/>
    <w:rsid w:val="000D498A"/>
    <w:rsid w:val="000D50F3"/>
    <w:rsid w:val="000D5322"/>
    <w:rsid w:val="000D565A"/>
    <w:rsid w:val="000D632D"/>
    <w:rsid w:val="000D66E9"/>
    <w:rsid w:val="000D7158"/>
    <w:rsid w:val="000D7C01"/>
    <w:rsid w:val="000E0A6A"/>
    <w:rsid w:val="000E0E6C"/>
    <w:rsid w:val="000E132F"/>
    <w:rsid w:val="000E139B"/>
    <w:rsid w:val="000E14DD"/>
    <w:rsid w:val="000E1DF6"/>
    <w:rsid w:val="000E25C9"/>
    <w:rsid w:val="000E2BE8"/>
    <w:rsid w:val="000E2C77"/>
    <w:rsid w:val="000E3CB0"/>
    <w:rsid w:val="000E3CE2"/>
    <w:rsid w:val="000E40F2"/>
    <w:rsid w:val="000E6C20"/>
    <w:rsid w:val="000E6E54"/>
    <w:rsid w:val="000E6F56"/>
    <w:rsid w:val="000E7ADD"/>
    <w:rsid w:val="000E7E58"/>
    <w:rsid w:val="000F005F"/>
    <w:rsid w:val="000F0AC0"/>
    <w:rsid w:val="000F18FA"/>
    <w:rsid w:val="000F190E"/>
    <w:rsid w:val="000F25A9"/>
    <w:rsid w:val="000F33E0"/>
    <w:rsid w:val="000F3B4A"/>
    <w:rsid w:val="000F471A"/>
    <w:rsid w:val="000F4A8A"/>
    <w:rsid w:val="000F54D7"/>
    <w:rsid w:val="000F614E"/>
    <w:rsid w:val="000F697B"/>
    <w:rsid w:val="000F6AB6"/>
    <w:rsid w:val="000F6C25"/>
    <w:rsid w:val="000F726F"/>
    <w:rsid w:val="00101390"/>
    <w:rsid w:val="00102065"/>
    <w:rsid w:val="00102828"/>
    <w:rsid w:val="00102B42"/>
    <w:rsid w:val="00103D10"/>
    <w:rsid w:val="00103EA1"/>
    <w:rsid w:val="001043A7"/>
    <w:rsid w:val="00104810"/>
    <w:rsid w:val="00104919"/>
    <w:rsid w:val="00104C4B"/>
    <w:rsid w:val="00105727"/>
    <w:rsid w:val="00105A5B"/>
    <w:rsid w:val="00105F78"/>
    <w:rsid w:val="0010681A"/>
    <w:rsid w:val="001069E7"/>
    <w:rsid w:val="0010730A"/>
    <w:rsid w:val="0010738B"/>
    <w:rsid w:val="00107DA4"/>
    <w:rsid w:val="001102FE"/>
    <w:rsid w:val="00111073"/>
    <w:rsid w:val="0011243F"/>
    <w:rsid w:val="00112A4A"/>
    <w:rsid w:val="00112A93"/>
    <w:rsid w:val="0011363F"/>
    <w:rsid w:val="00113B07"/>
    <w:rsid w:val="00114CB0"/>
    <w:rsid w:val="00115011"/>
    <w:rsid w:val="0011695D"/>
    <w:rsid w:val="00116BA8"/>
    <w:rsid w:val="001177A8"/>
    <w:rsid w:val="00117CDC"/>
    <w:rsid w:val="0012003E"/>
    <w:rsid w:val="0012071C"/>
    <w:rsid w:val="00120A8B"/>
    <w:rsid w:val="00121DED"/>
    <w:rsid w:val="00122003"/>
    <w:rsid w:val="0012203F"/>
    <w:rsid w:val="00122706"/>
    <w:rsid w:val="001227DA"/>
    <w:rsid w:val="00122BFD"/>
    <w:rsid w:val="00123926"/>
    <w:rsid w:val="001253A5"/>
    <w:rsid w:val="0012666D"/>
    <w:rsid w:val="00127592"/>
    <w:rsid w:val="0012779B"/>
    <w:rsid w:val="001300EB"/>
    <w:rsid w:val="001300F8"/>
    <w:rsid w:val="0013029F"/>
    <w:rsid w:val="001304DC"/>
    <w:rsid w:val="00130AE7"/>
    <w:rsid w:val="00131362"/>
    <w:rsid w:val="001313C1"/>
    <w:rsid w:val="00132EDE"/>
    <w:rsid w:val="00133D33"/>
    <w:rsid w:val="0013437B"/>
    <w:rsid w:val="001343CA"/>
    <w:rsid w:val="0013474B"/>
    <w:rsid w:val="0013487F"/>
    <w:rsid w:val="00134B04"/>
    <w:rsid w:val="00135269"/>
    <w:rsid w:val="0013546A"/>
    <w:rsid w:val="00136AD7"/>
    <w:rsid w:val="00137315"/>
    <w:rsid w:val="001373A7"/>
    <w:rsid w:val="001379D3"/>
    <w:rsid w:val="001400A6"/>
    <w:rsid w:val="00140151"/>
    <w:rsid w:val="001402EE"/>
    <w:rsid w:val="0014061B"/>
    <w:rsid w:val="00140F84"/>
    <w:rsid w:val="001413BF"/>
    <w:rsid w:val="00142209"/>
    <w:rsid w:val="00142263"/>
    <w:rsid w:val="0014241D"/>
    <w:rsid w:val="00143867"/>
    <w:rsid w:val="001440CD"/>
    <w:rsid w:val="00144F3A"/>
    <w:rsid w:val="001456D1"/>
    <w:rsid w:val="001458A5"/>
    <w:rsid w:val="001458E7"/>
    <w:rsid w:val="00145E62"/>
    <w:rsid w:val="0014655D"/>
    <w:rsid w:val="00146CB0"/>
    <w:rsid w:val="00150077"/>
    <w:rsid w:val="00150621"/>
    <w:rsid w:val="0015075D"/>
    <w:rsid w:val="00151785"/>
    <w:rsid w:val="0015189C"/>
    <w:rsid w:val="001521AE"/>
    <w:rsid w:val="00153496"/>
    <w:rsid w:val="001537A0"/>
    <w:rsid w:val="00153DFD"/>
    <w:rsid w:val="00154219"/>
    <w:rsid w:val="001542AB"/>
    <w:rsid w:val="00154719"/>
    <w:rsid w:val="00154AC8"/>
    <w:rsid w:val="00155E73"/>
    <w:rsid w:val="0015675D"/>
    <w:rsid w:val="00157ADA"/>
    <w:rsid w:val="00157C6B"/>
    <w:rsid w:val="0016093B"/>
    <w:rsid w:val="00160B44"/>
    <w:rsid w:val="001613BB"/>
    <w:rsid w:val="001613C1"/>
    <w:rsid w:val="0016141E"/>
    <w:rsid w:val="0016162E"/>
    <w:rsid w:val="00161F3F"/>
    <w:rsid w:val="00162EA0"/>
    <w:rsid w:val="00163911"/>
    <w:rsid w:val="00163E96"/>
    <w:rsid w:val="0016439D"/>
    <w:rsid w:val="00164786"/>
    <w:rsid w:val="00164D6A"/>
    <w:rsid w:val="00164E77"/>
    <w:rsid w:val="00165004"/>
    <w:rsid w:val="00165A9A"/>
    <w:rsid w:val="00166601"/>
    <w:rsid w:val="001670EB"/>
    <w:rsid w:val="001672F5"/>
    <w:rsid w:val="00167622"/>
    <w:rsid w:val="0017077B"/>
    <w:rsid w:val="00172496"/>
    <w:rsid w:val="00172756"/>
    <w:rsid w:val="00172F54"/>
    <w:rsid w:val="001736A8"/>
    <w:rsid w:val="0017391B"/>
    <w:rsid w:val="00173946"/>
    <w:rsid w:val="0017479F"/>
    <w:rsid w:val="00174892"/>
    <w:rsid w:val="00174CFF"/>
    <w:rsid w:val="00175D4B"/>
    <w:rsid w:val="00175E0A"/>
    <w:rsid w:val="0017616D"/>
    <w:rsid w:val="001769C9"/>
    <w:rsid w:val="00176A17"/>
    <w:rsid w:val="00176CD2"/>
    <w:rsid w:val="00176EA8"/>
    <w:rsid w:val="001775DE"/>
    <w:rsid w:val="0017771C"/>
    <w:rsid w:val="001802DE"/>
    <w:rsid w:val="00180894"/>
    <w:rsid w:val="001809C6"/>
    <w:rsid w:val="001818AF"/>
    <w:rsid w:val="00182151"/>
    <w:rsid w:val="00182814"/>
    <w:rsid w:val="00183289"/>
    <w:rsid w:val="00183486"/>
    <w:rsid w:val="00183C16"/>
    <w:rsid w:val="00183D2B"/>
    <w:rsid w:val="001845AE"/>
    <w:rsid w:val="001845E8"/>
    <w:rsid w:val="00185318"/>
    <w:rsid w:val="00185EE2"/>
    <w:rsid w:val="00186087"/>
    <w:rsid w:val="001863BC"/>
    <w:rsid w:val="001868D6"/>
    <w:rsid w:val="001869D5"/>
    <w:rsid w:val="00186A00"/>
    <w:rsid w:val="00187F0D"/>
    <w:rsid w:val="00190AFE"/>
    <w:rsid w:val="00190FF4"/>
    <w:rsid w:val="0019120F"/>
    <w:rsid w:val="001914AE"/>
    <w:rsid w:val="00191889"/>
    <w:rsid w:val="00192D81"/>
    <w:rsid w:val="00192EC5"/>
    <w:rsid w:val="001943F9"/>
    <w:rsid w:val="0019501D"/>
    <w:rsid w:val="001959E2"/>
    <w:rsid w:val="00195CC8"/>
    <w:rsid w:val="0019667A"/>
    <w:rsid w:val="001969B3"/>
    <w:rsid w:val="00196AB2"/>
    <w:rsid w:val="00196DC0"/>
    <w:rsid w:val="0019759E"/>
    <w:rsid w:val="0019769D"/>
    <w:rsid w:val="00197845"/>
    <w:rsid w:val="00197912"/>
    <w:rsid w:val="00197C00"/>
    <w:rsid w:val="00197CC6"/>
    <w:rsid w:val="00197F6E"/>
    <w:rsid w:val="00197FE5"/>
    <w:rsid w:val="001A016D"/>
    <w:rsid w:val="001A0E94"/>
    <w:rsid w:val="001A0F7C"/>
    <w:rsid w:val="001A12AF"/>
    <w:rsid w:val="001A16A9"/>
    <w:rsid w:val="001A2694"/>
    <w:rsid w:val="001A3098"/>
    <w:rsid w:val="001A414E"/>
    <w:rsid w:val="001A46F2"/>
    <w:rsid w:val="001A49B7"/>
    <w:rsid w:val="001A51FD"/>
    <w:rsid w:val="001A54D6"/>
    <w:rsid w:val="001A5738"/>
    <w:rsid w:val="001A5964"/>
    <w:rsid w:val="001A62D3"/>
    <w:rsid w:val="001A6813"/>
    <w:rsid w:val="001A6A05"/>
    <w:rsid w:val="001A7018"/>
    <w:rsid w:val="001A7B93"/>
    <w:rsid w:val="001B09E7"/>
    <w:rsid w:val="001B0D20"/>
    <w:rsid w:val="001B12FD"/>
    <w:rsid w:val="001B13FB"/>
    <w:rsid w:val="001B19DA"/>
    <w:rsid w:val="001B1DC1"/>
    <w:rsid w:val="001B2FFC"/>
    <w:rsid w:val="001B3482"/>
    <w:rsid w:val="001B35B9"/>
    <w:rsid w:val="001B394C"/>
    <w:rsid w:val="001B3DD6"/>
    <w:rsid w:val="001B45A1"/>
    <w:rsid w:val="001B4809"/>
    <w:rsid w:val="001B4E17"/>
    <w:rsid w:val="001B5141"/>
    <w:rsid w:val="001B5C1A"/>
    <w:rsid w:val="001B5F20"/>
    <w:rsid w:val="001B5FAD"/>
    <w:rsid w:val="001B6396"/>
    <w:rsid w:val="001B675B"/>
    <w:rsid w:val="001B6BB9"/>
    <w:rsid w:val="001B706D"/>
    <w:rsid w:val="001B70A6"/>
    <w:rsid w:val="001B7EEA"/>
    <w:rsid w:val="001C230A"/>
    <w:rsid w:val="001C2572"/>
    <w:rsid w:val="001C4409"/>
    <w:rsid w:val="001C4C6E"/>
    <w:rsid w:val="001C58FC"/>
    <w:rsid w:val="001C5924"/>
    <w:rsid w:val="001C5B6E"/>
    <w:rsid w:val="001C6943"/>
    <w:rsid w:val="001C7104"/>
    <w:rsid w:val="001C7636"/>
    <w:rsid w:val="001C7E5C"/>
    <w:rsid w:val="001D0326"/>
    <w:rsid w:val="001D091A"/>
    <w:rsid w:val="001D0DC9"/>
    <w:rsid w:val="001D157B"/>
    <w:rsid w:val="001D1816"/>
    <w:rsid w:val="001D19DA"/>
    <w:rsid w:val="001D1E60"/>
    <w:rsid w:val="001D2215"/>
    <w:rsid w:val="001D250C"/>
    <w:rsid w:val="001D2D49"/>
    <w:rsid w:val="001D380A"/>
    <w:rsid w:val="001D3F72"/>
    <w:rsid w:val="001D4C17"/>
    <w:rsid w:val="001D5AD8"/>
    <w:rsid w:val="001D5AF6"/>
    <w:rsid w:val="001D6857"/>
    <w:rsid w:val="001E0860"/>
    <w:rsid w:val="001E0E90"/>
    <w:rsid w:val="001E1138"/>
    <w:rsid w:val="001E1202"/>
    <w:rsid w:val="001E13CB"/>
    <w:rsid w:val="001E19E1"/>
    <w:rsid w:val="001E1D70"/>
    <w:rsid w:val="001E1E66"/>
    <w:rsid w:val="001E236D"/>
    <w:rsid w:val="001E23C7"/>
    <w:rsid w:val="001E28AB"/>
    <w:rsid w:val="001E2D8D"/>
    <w:rsid w:val="001E35EE"/>
    <w:rsid w:val="001E3AC5"/>
    <w:rsid w:val="001E3CDE"/>
    <w:rsid w:val="001E4402"/>
    <w:rsid w:val="001E55D8"/>
    <w:rsid w:val="001E5A20"/>
    <w:rsid w:val="001E5DD5"/>
    <w:rsid w:val="001E676B"/>
    <w:rsid w:val="001E6EE4"/>
    <w:rsid w:val="001E7312"/>
    <w:rsid w:val="001F02D7"/>
    <w:rsid w:val="001F05BC"/>
    <w:rsid w:val="001F0E6D"/>
    <w:rsid w:val="001F1AF8"/>
    <w:rsid w:val="001F1EC4"/>
    <w:rsid w:val="001F2BE4"/>
    <w:rsid w:val="001F2BF0"/>
    <w:rsid w:val="001F46D8"/>
    <w:rsid w:val="001F596D"/>
    <w:rsid w:val="001F5A4E"/>
    <w:rsid w:val="001F63F8"/>
    <w:rsid w:val="001F667A"/>
    <w:rsid w:val="001F723F"/>
    <w:rsid w:val="001F73C5"/>
    <w:rsid w:val="001F73F4"/>
    <w:rsid w:val="001F749E"/>
    <w:rsid w:val="00200132"/>
    <w:rsid w:val="0020095B"/>
    <w:rsid w:val="00200E36"/>
    <w:rsid w:val="00201C12"/>
    <w:rsid w:val="00201FB1"/>
    <w:rsid w:val="002021FC"/>
    <w:rsid w:val="002026A3"/>
    <w:rsid w:val="00202FAF"/>
    <w:rsid w:val="00203DCD"/>
    <w:rsid w:val="00204318"/>
    <w:rsid w:val="00204957"/>
    <w:rsid w:val="0020526C"/>
    <w:rsid w:val="0020549F"/>
    <w:rsid w:val="002055A1"/>
    <w:rsid w:val="0020590C"/>
    <w:rsid w:val="00205BD3"/>
    <w:rsid w:val="00206681"/>
    <w:rsid w:val="002067B4"/>
    <w:rsid w:val="00206B49"/>
    <w:rsid w:val="00207E4B"/>
    <w:rsid w:val="00210383"/>
    <w:rsid w:val="00210ECD"/>
    <w:rsid w:val="002111CF"/>
    <w:rsid w:val="00211589"/>
    <w:rsid w:val="00211612"/>
    <w:rsid w:val="00211940"/>
    <w:rsid w:val="00212B56"/>
    <w:rsid w:val="00213510"/>
    <w:rsid w:val="00213A75"/>
    <w:rsid w:val="00213BFC"/>
    <w:rsid w:val="0021466F"/>
    <w:rsid w:val="002164B8"/>
    <w:rsid w:val="002168BE"/>
    <w:rsid w:val="002176F5"/>
    <w:rsid w:val="00217B5A"/>
    <w:rsid w:val="00220544"/>
    <w:rsid w:val="00220B20"/>
    <w:rsid w:val="00220D46"/>
    <w:rsid w:val="002216BC"/>
    <w:rsid w:val="002216D6"/>
    <w:rsid w:val="00221C75"/>
    <w:rsid w:val="00221CF3"/>
    <w:rsid w:val="00221E37"/>
    <w:rsid w:val="00221F02"/>
    <w:rsid w:val="0022211A"/>
    <w:rsid w:val="00222430"/>
    <w:rsid w:val="00224151"/>
    <w:rsid w:val="002246F4"/>
    <w:rsid w:val="00224766"/>
    <w:rsid w:val="0022486A"/>
    <w:rsid w:val="0022676B"/>
    <w:rsid w:val="00226F67"/>
    <w:rsid w:val="0022797E"/>
    <w:rsid w:val="0023216F"/>
    <w:rsid w:val="002323D6"/>
    <w:rsid w:val="00232D63"/>
    <w:rsid w:val="0023303E"/>
    <w:rsid w:val="002331C5"/>
    <w:rsid w:val="00233F7B"/>
    <w:rsid w:val="00235595"/>
    <w:rsid w:val="00235D06"/>
    <w:rsid w:val="002365F9"/>
    <w:rsid w:val="0023768E"/>
    <w:rsid w:val="002408DE"/>
    <w:rsid w:val="00240D18"/>
    <w:rsid w:val="0024141F"/>
    <w:rsid w:val="00241860"/>
    <w:rsid w:val="00242174"/>
    <w:rsid w:val="0024229F"/>
    <w:rsid w:val="002425F1"/>
    <w:rsid w:val="00242C6A"/>
    <w:rsid w:val="00243016"/>
    <w:rsid w:val="002432F1"/>
    <w:rsid w:val="00243778"/>
    <w:rsid w:val="0024398D"/>
    <w:rsid w:val="002439E3"/>
    <w:rsid w:val="0024419D"/>
    <w:rsid w:val="00244955"/>
    <w:rsid w:val="00245611"/>
    <w:rsid w:val="002460CA"/>
    <w:rsid w:val="00247323"/>
    <w:rsid w:val="00247E0C"/>
    <w:rsid w:val="00247F62"/>
    <w:rsid w:val="00250652"/>
    <w:rsid w:val="00250E07"/>
    <w:rsid w:val="00250F6F"/>
    <w:rsid w:val="00251F3A"/>
    <w:rsid w:val="00252576"/>
    <w:rsid w:val="002528B1"/>
    <w:rsid w:val="00253511"/>
    <w:rsid w:val="00253F8A"/>
    <w:rsid w:val="00255212"/>
    <w:rsid w:val="00256007"/>
    <w:rsid w:val="002560D7"/>
    <w:rsid w:val="00256773"/>
    <w:rsid w:val="00256E05"/>
    <w:rsid w:val="002573F9"/>
    <w:rsid w:val="0025758A"/>
    <w:rsid w:val="0026033D"/>
    <w:rsid w:val="00261985"/>
    <w:rsid w:val="00261B0F"/>
    <w:rsid w:val="00262507"/>
    <w:rsid w:val="00263B71"/>
    <w:rsid w:val="00263C57"/>
    <w:rsid w:val="00263FD0"/>
    <w:rsid w:val="00264522"/>
    <w:rsid w:val="00265813"/>
    <w:rsid w:val="00265C9A"/>
    <w:rsid w:val="00265FA2"/>
    <w:rsid w:val="002662C8"/>
    <w:rsid w:val="002666F5"/>
    <w:rsid w:val="00267BA1"/>
    <w:rsid w:val="00267BD4"/>
    <w:rsid w:val="00267DE6"/>
    <w:rsid w:val="002711D0"/>
    <w:rsid w:val="00272A47"/>
    <w:rsid w:val="00272C15"/>
    <w:rsid w:val="0027331A"/>
    <w:rsid w:val="00273E7A"/>
    <w:rsid w:val="002740D1"/>
    <w:rsid w:val="00274B05"/>
    <w:rsid w:val="00274E2F"/>
    <w:rsid w:val="00274EF0"/>
    <w:rsid w:val="00275018"/>
    <w:rsid w:val="0027561A"/>
    <w:rsid w:val="002756EA"/>
    <w:rsid w:val="00275C45"/>
    <w:rsid w:val="00275FDA"/>
    <w:rsid w:val="00276213"/>
    <w:rsid w:val="00276721"/>
    <w:rsid w:val="00277A5E"/>
    <w:rsid w:val="00280920"/>
    <w:rsid w:val="00280D88"/>
    <w:rsid w:val="0028208C"/>
    <w:rsid w:val="00282619"/>
    <w:rsid w:val="002828AB"/>
    <w:rsid w:val="002832C8"/>
    <w:rsid w:val="002840CA"/>
    <w:rsid w:val="00284A61"/>
    <w:rsid w:val="0028555C"/>
    <w:rsid w:val="00285E82"/>
    <w:rsid w:val="00287BE7"/>
    <w:rsid w:val="002904DB"/>
    <w:rsid w:val="00290F48"/>
    <w:rsid w:val="00292BB7"/>
    <w:rsid w:val="00292DE8"/>
    <w:rsid w:val="002934EE"/>
    <w:rsid w:val="00294277"/>
    <w:rsid w:val="00294732"/>
    <w:rsid w:val="0029486A"/>
    <w:rsid w:val="00295A1E"/>
    <w:rsid w:val="00295C9E"/>
    <w:rsid w:val="00295ECC"/>
    <w:rsid w:val="002976DF"/>
    <w:rsid w:val="00297BF0"/>
    <w:rsid w:val="00297D88"/>
    <w:rsid w:val="002A00BD"/>
    <w:rsid w:val="002A036D"/>
    <w:rsid w:val="002A0A96"/>
    <w:rsid w:val="002A1E32"/>
    <w:rsid w:val="002A3B8D"/>
    <w:rsid w:val="002A415F"/>
    <w:rsid w:val="002A4552"/>
    <w:rsid w:val="002A48D0"/>
    <w:rsid w:val="002A4AEE"/>
    <w:rsid w:val="002A4DBC"/>
    <w:rsid w:val="002A587B"/>
    <w:rsid w:val="002A5920"/>
    <w:rsid w:val="002B1100"/>
    <w:rsid w:val="002B1244"/>
    <w:rsid w:val="002B16A8"/>
    <w:rsid w:val="002B2A42"/>
    <w:rsid w:val="002B2E6B"/>
    <w:rsid w:val="002B4463"/>
    <w:rsid w:val="002B45F9"/>
    <w:rsid w:val="002B4C4D"/>
    <w:rsid w:val="002B4E62"/>
    <w:rsid w:val="002B4EDB"/>
    <w:rsid w:val="002B5A61"/>
    <w:rsid w:val="002B643F"/>
    <w:rsid w:val="002B661A"/>
    <w:rsid w:val="002B748D"/>
    <w:rsid w:val="002C0630"/>
    <w:rsid w:val="002C107D"/>
    <w:rsid w:val="002C1533"/>
    <w:rsid w:val="002C19E0"/>
    <w:rsid w:val="002C1BB4"/>
    <w:rsid w:val="002C1C89"/>
    <w:rsid w:val="002C27CF"/>
    <w:rsid w:val="002C30A7"/>
    <w:rsid w:val="002C30B5"/>
    <w:rsid w:val="002C3943"/>
    <w:rsid w:val="002C4046"/>
    <w:rsid w:val="002C42A0"/>
    <w:rsid w:val="002C4A9A"/>
    <w:rsid w:val="002C519D"/>
    <w:rsid w:val="002C559F"/>
    <w:rsid w:val="002C59C1"/>
    <w:rsid w:val="002C6A17"/>
    <w:rsid w:val="002C6B52"/>
    <w:rsid w:val="002C71FD"/>
    <w:rsid w:val="002D118D"/>
    <w:rsid w:val="002D1DE0"/>
    <w:rsid w:val="002D2F80"/>
    <w:rsid w:val="002D3442"/>
    <w:rsid w:val="002D5CDC"/>
    <w:rsid w:val="002D62A2"/>
    <w:rsid w:val="002D6ECE"/>
    <w:rsid w:val="002D786F"/>
    <w:rsid w:val="002E04CC"/>
    <w:rsid w:val="002E0ACA"/>
    <w:rsid w:val="002E2493"/>
    <w:rsid w:val="002E2B79"/>
    <w:rsid w:val="002E2DFE"/>
    <w:rsid w:val="002E3242"/>
    <w:rsid w:val="002E3711"/>
    <w:rsid w:val="002E4DDE"/>
    <w:rsid w:val="002E55D9"/>
    <w:rsid w:val="002E598B"/>
    <w:rsid w:val="002E67D2"/>
    <w:rsid w:val="002E69CF"/>
    <w:rsid w:val="002E7737"/>
    <w:rsid w:val="002E7C26"/>
    <w:rsid w:val="002E7DD2"/>
    <w:rsid w:val="002F0C15"/>
    <w:rsid w:val="002F0E58"/>
    <w:rsid w:val="002F24A5"/>
    <w:rsid w:val="002F3D07"/>
    <w:rsid w:val="002F3EC3"/>
    <w:rsid w:val="002F3F18"/>
    <w:rsid w:val="002F4B22"/>
    <w:rsid w:val="002F621E"/>
    <w:rsid w:val="002F62B8"/>
    <w:rsid w:val="002F661D"/>
    <w:rsid w:val="002F6724"/>
    <w:rsid w:val="002F68E0"/>
    <w:rsid w:val="0030097D"/>
    <w:rsid w:val="00300E69"/>
    <w:rsid w:val="003011DA"/>
    <w:rsid w:val="00302853"/>
    <w:rsid w:val="00302C3D"/>
    <w:rsid w:val="0030491F"/>
    <w:rsid w:val="0030494A"/>
    <w:rsid w:val="00304DDE"/>
    <w:rsid w:val="00307540"/>
    <w:rsid w:val="00307592"/>
    <w:rsid w:val="003101F7"/>
    <w:rsid w:val="00310BC8"/>
    <w:rsid w:val="00312356"/>
    <w:rsid w:val="003124F3"/>
    <w:rsid w:val="00313C72"/>
    <w:rsid w:val="00314261"/>
    <w:rsid w:val="0031441F"/>
    <w:rsid w:val="0031451E"/>
    <w:rsid w:val="0031492E"/>
    <w:rsid w:val="00315383"/>
    <w:rsid w:val="00316884"/>
    <w:rsid w:val="00316A02"/>
    <w:rsid w:val="00316C79"/>
    <w:rsid w:val="00320355"/>
    <w:rsid w:val="00321262"/>
    <w:rsid w:val="00321999"/>
    <w:rsid w:val="00321A6E"/>
    <w:rsid w:val="003226D9"/>
    <w:rsid w:val="00322750"/>
    <w:rsid w:val="00322B1C"/>
    <w:rsid w:val="00323424"/>
    <w:rsid w:val="0032459E"/>
    <w:rsid w:val="00324D22"/>
    <w:rsid w:val="00325817"/>
    <w:rsid w:val="00326085"/>
    <w:rsid w:val="003261AB"/>
    <w:rsid w:val="003273EB"/>
    <w:rsid w:val="00327F33"/>
    <w:rsid w:val="00330615"/>
    <w:rsid w:val="003307E3"/>
    <w:rsid w:val="0033125B"/>
    <w:rsid w:val="003318BC"/>
    <w:rsid w:val="00332668"/>
    <w:rsid w:val="00333B46"/>
    <w:rsid w:val="003342DD"/>
    <w:rsid w:val="003345D2"/>
    <w:rsid w:val="00334E6B"/>
    <w:rsid w:val="003351B3"/>
    <w:rsid w:val="00335F61"/>
    <w:rsid w:val="00336712"/>
    <w:rsid w:val="00336A1E"/>
    <w:rsid w:val="00336D38"/>
    <w:rsid w:val="00337939"/>
    <w:rsid w:val="003379A8"/>
    <w:rsid w:val="003405C6"/>
    <w:rsid w:val="00341032"/>
    <w:rsid w:val="00341071"/>
    <w:rsid w:val="00341A52"/>
    <w:rsid w:val="00341CD4"/>
    <w:rsid w:val="00343AA9"/>
    <w:rsid w:val="00343F03"/>
    <w:rsid w:val="003440FE"/>
    <w:rsid w:val="0034471E"/>
    <w:rsid w:val="00344A23"/>
    <w:rsid w:val="00344B68"/>
    <w:rsid w:val="00345C11"/>
    <w:rsid w:val="00345D4B"/>
    <w:rsid w:val="003461D5"/>
    <w:rsid w:val="003467BF"/>
    <w:rsid w:val="00347931"/>
    <w:rsid w:val="003507DE"/>
    <w:rsid w:val="00350F3D"/>
    <w:rsid w:val="00351CB9"/>
    <w:rsid w:val="00352E56"/>
    <w:rsid w:val="00353165"/>
    <w:rsid w:val="0035321D"/>
    <w:rsid w:val="003532F5"/>
    <w:rsid w:val="003533F0"/>
    <w:rsid w:val="003534D6"/>
    <w:rsid w:val="00354931"/>
    <w:rsid w:val="00355764"/>
    <w:rsid w:val="00355C88"/>
    <w:rsid w:val="00356F45"/>
    <w:rsid w:val="003570C7"/>
    <w:rsid w:val="00357928"/>
    <w:rsid w:val="0036027C"/>
    <w:rsid w:val="003604BA"/>
    <w:rsid w:val="003608CE"/>
    <w:rsid w:val="00360A70"/>
    <w:rsid w:val="00360B23"/>
    <w:rsid w:val="00360EA5"/>
    <w:rsid w:val="00361B5A"/>
    <w:rsid w:val="00361DB1"/>
    <w:rsid w:val="003620CE"/>
    <w:rsid w:val="003633A6"/>
    <w:rsid w:val="00363C44"/>
    <w:rsid w:val="00363F0C"/>
    <w:rsid w:val="003641AE"/>
    <w:rsid w:val="00364C36"/>
    <w:rsid w:val="00364C87"/>
    <w:rsid w:val="00364E70"/>
    <w:rsid w:val="00365541"/>
    <w:rsid w:val="003658A4"/>
    <w:rsid w:val="0036604D"/>
    <w:rsid w:val="003660AE"/>
    <w:rsid w:val="003660BE"/>
    <w:rsid w:val="003667FE"/>
    <w:rsid w:val="003669D7"/>
    <w:rsid w:val="0036704E"/>
    <w:rsid w:val="003672B1"/>
    <w:rsid w:val="00367B21"/>
    <w:rsid w:val="00367F37"/>
    <w:rsid w:val="0037002A"/>
    <w:rsid w:val="00370572"/>
    <w:rsid w:val="00371145"/>
    <w:rsid w:val="0037178C"/>
    <w:rsid w:val="0037369D"/>
    <w:rsid w:val="00373B16"/>
    <w:rsid w:val="00374260"/>
    <w:rsid w:val="00374372"/>
    <w:rsid w:val="0037512C"/>
    <w:rsid w:val="003753D0"/>
    <w:rsid w:val="003757B5"/>
    <w:rsid w:val="00375CBF"/>
    <w:rsid w:val="00375D20"/>
    <w:rsid w:val="00375E3E"/>
    <w:rsid w:val="003763FA"/>
    <w:rsid w:val="00377DF8"/>
    <w:rsid w:val="0038049C"/>
    <w:rsid w:val="00380511"/>
    <w:rsid w:val="003809BC"/>
    <w:rsid w:val="00381399"/>
    <w:rsid w:val="00381F10"/>
    <w:rsid w:val="00382E30"/>
    <w:rsid w:val="00383A9B"/>
    <w:rsid w:val="00383F73"/>
    <w:rsid w:val="00384157"/>
    <w:rsid w:val="003847C8"/>
    <w:rsid w:val="00384EFA"/>
    <w:rsid w:val="00385178"/>
    <w:rsid w:val="003858B4"/>
    <w:rsid w:val="00385F2A"/>
    <w:rsid w:val="00386B63"/>
    <w:rsid w:val="00387894"/>
    <w:rsid w:val="00390AD1"/>
    <w:rsid w:val="003912C4"/>
    <w:rsid w:val="003912CF"/>
    <w:rsid w:val="00392826"/>
    <w:rsid w:val="00393AD1"/>
    <w:rsid w:val="00393E50"/>
    <w:rsid w:val="00395423"/>
    <w:rsid w:val="00395436"/>
    <w:rsid w:val="003960E7"/>
    <w:rsid w:val="00396979"/>
    <w:rsid w:val="00397EA9"/>
    <w:rsid w:val="003A087B"/>
    <w:rsid w:val="003A1C38"/>
    <w:rsid w:val="003A2B8C"/>
    <w:rsid w:val="003A3626"/>
    <w:rsid w:val="003A4396"/>
    <w:rsid w:val="003A44DB"/>
    <w:rsid w:val="003A4CD2"/>
    <w:rsid w:val="003A5417"/>
    <w:rsid w:val="003A5895"/>
    <w:rsid w:val="003A62C0"/>
    <w:rsid w:val="003A7771"/>
    <w:rsid w:val="003B0588"/>
    <w:rsid w:val="003B2338"/>
    <w:rsid w:val="003B23E0"/>
    <w:rsid w:val="003B3012"/>
    <w:rsid w:val="003B351A"/>
    <w:rsid w:val="003B3997"/>
    <w:rsid w:val="003B409B"/>
    <w:rsid w:val="003B48E6"/>
    <w:rsid w:val="003B4E8B"/>
    <w:rsid w:val="003B5915"/>
    <w:rsid w:val="003B5F20"/>
    <w:rsid w:val="003B6230"/>
    <w:rsid w:val="003B69FA"/>
    <w:rsid w:val="003B6C24"/>
    <w:rsid w:val="003B6ED8"/>
    <w:rsid w:val="003B7022"/>
    <w:rsid w:val="003B725F"/>
    <w:rsid w:val="003C0336"/>
    <w:rsid w:val="003C058A"/>
    <w:rsid w:val="003C16E8"/>
    <w:rsid w:val="003C1F15"/>
    <w:rsid w:val="003C226C"/>
    <w:rsid w:val="003C3293"/>
    <w:rsid w:val="003C3325"/>
    <w:rsid w:val="003C354A"/>
    <w:rsid w:val="003C38C0"/>
    <w:rsid w:val="003C4A6A"/>
    <w:rsid w:val="003C512D"/>
    <w:rsid w:val="003C5512"/>
    <w:rsid w:val="003C5623"/>
    <w:rsid w:val="003C593E"/>
    <w:rsid w:val="003C59F9"/>
    <w:rsid w:val="003C6134"/>
    <w:rsid w:val="003C6A2E"/>
    <w:rsid w:val="003C6D57"/>
    <w:rsid w:val="003C6D93"/>
    <w:rsid w:val="003C730C"/>
    <w:rsid w:val="003C7A66"/>
    <w:rsid w:val="003D000A"/>
    <w:rsid w:val="003D0FA7"/>
    <w:rsid w:val="003D10CA"/>
    <w:rsid w:val="003D1DF3"/>
    <w:rsid w:val="003D27E9"/>
    <w:rsid w:val="003D2BDF"/>
    <w:rsid w:val="003D2E19"/>
    <w:rsid w:val="003D3340"/>
    <w:rsid w:val="003D4C68"/>
    <w:rsid w:val="003D5AEB"/>
    <w:rsid w:val="003D60F0"/>
    <w:rsid w:val="003D6123"/>
    <w:rsid w:val="003D6DC1"/>
    <w:rsid w:val="003E0A1C"/>
    <w:rsid w:val="003E1654"/>
    <w:rsid w:val="003E1B5C"/>
    <w:rsid w:val="003E2FF4"/>
    <w:rsid w:val="003E329C"/>
    <w:rsid w:val="003E40E5"/>
    <w:rsid w:val="003E5257"/>
    <w:rsid w:val="003E570D"/>
    <w:rsid w:val="003E74A3"/>
    <w:rsid w:val="003F0F9F"/>
    <w:rsid w:val="003F2E50"/>
    <w:rsid w:val="003F2E60"/>
    <w:rsid w:val="003F3CC2"/>
    <w:rsid w:val="003F3E83"/>
    <w:rsid w:val="003F4899"/>
    <w:rsid w:val="003F5D65"/>
    <w:rsid w:val="003F5DBD"/>
    <w:rsid w:val="003F6033"/>
    <w:rsid w:val="003F6AE8"/>
    <w:rsid w:val="003F6C9F"/>
    <w:rsid w:val="003F7938"/>
    <w:rsid w:val="003F7B72"/>
    <w:rsid w:val="003F7E5A"/>
    <w:rsid w:val="00400891"/>
    <w:rsid w:val="00400B5A"/>
    <w:rsid w:val="0040111B"/>
    <w:rsid w:val="0040152C"/>
    <w:rsid w:val="00401995"/>
    <w:rsid w:val="0040281F"/>
    <w:rsid w:val="00403491"/>
    <w:rsid w:val="004036E9"/>
    <w:rsid w:val="004038F5"/>
    <w:rsid w:val="00403BE7"/>
    <w:rsid w:val="004043F0"/>
    <w:rsid w:val="00404C0C"/>
    <w:rsid w:val="0040527F"/>
    <w:rsid w:val="00405545"/>
    <w:rsid w:val="004055E8"/>
    <w:rsid w:val="0040587A"/>
    <w:rsid w:val="00405D9C"/>
    <w:rsid w:val="00406396"/>
    <w:rsid w:val="00407781"/>
    <w:rsid w:val="00407FE3"/>
    <w:rsid w:val="0041056E"/>
    <w:rsid w:val="004108D1"/>
    <w:rsid w:val="00412142"/>
    <w:rsid w:val="00412350"/>
    <w:rsid w:val="0041256C"/>
    <w:rsid w:val="00412A82"/>
    <w:rsid w:val="00413517"/>
    <w:rsid w:val="00413647"/>
    <w:rsid w:val="0041404F"/>
    <w:rsid w:val="00414335"/>
    <w:rsid w:val="00414614"/>
    <w:rsid w:val="00414836"/>
    <w:rsid w:val="00414FAF"/>
    <w:rsid w:val="004150EC"/>
    <w:rsid w:val="00415E49"/>
    <w:rsid w:val="0041653F"/>
    <w:rsid w:val="004166F5"/>
    <w:rsid w:val="00417210"/>
    <w:rsid w:val="0042003A"/>
    <w:rsid w:val="004202A3"/>
    <w:rsid w:val="00420321"/>
    <w:rsid w:val="004204DD"/>
    <w:rsid w:val="004208E5"/>
    <w:rsid w:val="00420937"/>
    <w:rsid w:val="00420A3E"/>
    <w:rsid w:val="00421523"/>
    <w:rsid w:val="00421F2B"/>
    <w:rsid w:val="00423454"/>
    <w:rsid w:val="00423B11"/>
    <w:rsid w:val="00424273"/>
    <w:rsid w:val="0042480A"/>
    <w:rsid w:val="00425327"/>
    <w:rsid w:val="00425B5E"/>
    <w:rsid w:val="00425C8E"/>
    <w:rsid w:val="004260E9"/>
    <w:rsid w:val="00426623"/>
    <w:rsid w:val="004269C7"/>
    <w:rsid w:val="00426AF7"/>
    <w:rsid w:val="0042781F"/>
    <w:rsid w:val="0042799C"/>
    <w:rsid w:val="004279FD"/>
    <w:rsid w:val="0043084B"/>
    <w:rsid w:val="004314B9"/>
    <w:rsid w:val="0043186C"/>
    <w:rsid w:val="00431DE6"/>
    <w:rsid w:val="004344F8"/>
    <w:rsid w:val="004354AB"/>
    <w:rsid w:val="004356B4"/>
    <w:rsid w:val="004371F5"/>
    <w:rsid w:val="00437358"/>
    <w:rsid w:val="00437BD0"/>
    <w:rsid w:val="004400DC"/>
    <w:rsid w:val="004404E7"/>
    <w:rsid w:val="004408C0"/>
    <w:rsid w:val="004410CF"/>
    <w:rsid w:val="00441710"/>
    <w:rsid w:val="00441F22"/>
    <w:rsid w:val="0044216B"/>
    <w:rsid w:val="004437B1"/>
    <w:rsid w:val="00443957"/>
    <w:rsid w:val="00443B97"/>
    <w:rsid w:val="00444015"/>
    <w:rsid w:val="00444A37"/>
    <w:rsid w:val="00444D04"/>
    <w:rsid w:val="0044522A"/>
    <w:rsid w:val="00445715"/>
    <w:rsid w:val="0044597A"/>
    <w:rsid w:val="0044603F"/>
    <w:rsid w:val="00446056"/>
    <w:rsid w:val="00446F6C"/>
    <w:rsid w:val="00447F7F"/>
    <w:rsid w:val="0045028B"/>
    <w:rsid w:val="00450497"/>
    <w:rsid w:val="00450547"/>
    <w:rsid w:val="00450BF9"/>
    <w:rsid w:val="00450F32"/>
    <w:rsid w:val="0045136F"/>
    <w:rsid w:val="00452500"/>
    <w:rsid w:val="00453722"/>
    <w:rsid w:val="00454852"/>
    <w:rsid w:val="00454CE6"/>
    <w:rsid w:val="0045574D"/>
    <w:rsid w:val="00455858"/>
    <w:rsid w:val="00455976"/>
    <w:rsid w:val="00455E9A"/>
    <w:rsid w:val="00456B47"/>
    <w:rsid w:val="0045723C"/>
    <w:rsid w:val="00457253"/>
    <w:rsid w:val="00457B16"/>
    <w:rsid w:val="00457F7D"/>
    <w:rsid w:val="00460713"/>
    <w:rsid w:val="00460B38"/>
    <w:rsid w:val="00460B78"/>
    <w:rsid w:val="00460E32"/>
    <w:rsid w:val="00461C11"/>
    <w:rsid w:val="00462304"/>
    <w:rsid w:val="004625F8"/>
    <w:rsid w:val="00463268"/>
    <w:rsid w:val="004632B9"/>
    <w:rsid w:val="004637A9"/>
    <w:rsid w:val="004648B7"/>
    <w:rsid w:val="00464F06"/>
    <w:rsid w:val="004650DD"/>
    <w:rsid w:val="004652C2"/>
    <w:rsid w:val="00465AAC"/>
    <w:rsid w:val="0046619E"/>
    <w:rsid w:val="00466260"/>
    <w:rsid w:val="00466C80"/>
    <w:rsid w:val="00466C9E"/>
    <w:rsid w:val="00467FE1"/>
    <w:rsid w:val="00470157"/>
    <w:rsid w:val="00471257"/>
    <w:rsid w:val="00472357"/>
    <w:rsid w:val="004728B5"/>
    <w:rsid w:val="004738F5"/>
    <w:rsid w:val="00475448"/>
    <w:rsid w:val="004756C3"/>
    <w:rsid w:val="004757FB"/>
    <w:rsid w:val="00475DAE"/>
    <w:rsid w:val="0047637B"/>
    <w:rsid w:val="00476582"/>
    <w:rsid w:val="0048237D"/>
    <w:rsid w:val="004828D5"/>
    <w:rsid w:val="004828EB"/>
    <w:rsid w:val="0048362C"/>
    <w:rsid w:val="004836CE"/>
    <w:rsid w:val="00484B85"/>
    <w:rsid w:val="00484EAF"/>
    <w:rsid w:val="00485685"/>
    <w:rsid w:val="004861AF"/>
    <w:rsid w:val="00486AAC"/>
    <w:rsid w:val="00486D28"/>
    <w:rsid w:val="00487BC3"/>
    <w:rsid w:val="00487CCE"/>
    <w:rsid w:val="00487DB3"/>
    <w:rsid w:val="004903C5"/>
    <w:rsid w:val="0049074F"/>
    <w:rsid w:val="00490811"/>
    <w:rsid w:val="00491857"/>
    <w:rsid w:val="00491EB5"/>
    <w:rsid w:val="00492696"/>
    <w:rsid w:val="004932CA"/>
    <w:rsid w:val="004934BB"/>
    <w:rsid w:val="004935A4"/>
    <w:rsid w:val="00495319"/>
    <w:rsid w:val="00495F07"/>
    <w:rsid w:val="00495FDD"/>
    <w:rsid w:val="00496594"/>
    <w:rsid w:val="004968C4"/>
    <w:rsid w:val="00496B83"/>
    <w:rsid w:val="00496C78"/>
    <w:rsid w:val="00496FC7"/>
    <w:rsid w:val="00497CE5"/>
    <w:rsid w:val="004A052A"/>
    <w:rsid w:val="004A06FD"/>
    <w:rsid w:val="004A093E"/>
    <w:rsid w:val="004A0C5B"/>
    <w:rsid w:val="004A0ECD"/>
    <w:rsid w:val="004A12F7"/>
    <w:rsid w:val="004A14D1"/>
    <w:rsid w:val="004A15A3"/>
    <w:rsid w:val="004A16B3"/>
    <w:rsid w:val="004A2030"/>
    <w:rsid w:val="004A261B"/>
    <w:rsid w:val="004A3600"/>
    <w:rsid w:val="004A36A9"/>
    <w:rsid w:val="004A388E"/>
    <w:rsid w:val="004A471D"/>
    <w:rsid w:val="004A4BCA"/>
    <w:rsid w:val="004A4CD1"/>
    <w:rsid w:val="004A4FF8"/>
    <w:rsid w:val="004A54A1"/>
    <w:rsid w:val="004A5500"/>
    <w:rsid w:val="004A722A"/>
    <w:rsid w:val="004A7ADC"/>
    <w:rsid w:val="004A7E0E"/>
    <w:rsid w:val="004B015A"/>
    <w:rsid w:val="004B094F"/>
    <w:rsid w:val="004B19DB"/>
    <w:rsid w:val="004B1BEC"/>
    <w:rsid w:val="004B1D15"/>
    <w:rsid w:val="004B2714"/>
    <w:rsid w:val="004B298F"/>
    <w:rsid w:val="004B2DD8"/>
    <w:rsid w:val="004B3504"/>
    <w:rsid w:val="004B3C08"/>
    <w:rsid w:val="004B4498"/>
    <w:rsid w:val="004B481C"/>
    <w:rsid w:val="004B5027"/>
    <w:rsid w:val="004B54FC"/>
    <w:rsid w:val="004B5572"/>
    <w:rsid w:val="004B5608"/>
    <w:rsid w:val="004B654D"/>
    <w:rsid w:val="004B761A"/>
    <w:rsid w:val="004C0B75"/>
    <w:rsid w:val="004C1862"/>
    <w:rsid w:val="004C1C58"/>
    <w:rsid w:val="004C307C"/>
    <w:rsid w:val="004C349D"/>
    <w:rsid w:val="004C3BA2"/>
    <w:rsid w:val="004C44D0"/>
    <w:rsid w:val="004C45EA"/>
    <w:rsid w:val="004C66F2"/>
    <w:rsid w:val="004C66FA"/>
    <w:rsid w:val="004C75D4"/>
    <w:rsid w:val="004C776C"/>
    <w:rsid w:val="004D0603"/>
    <w:rsid w:val="004D065A"/>
    <w:rsid w:val="004D0D9C"/>
    <w:rsid w:val="004D1655"/>
    <w:rsid w:val="004D1DDD"/>
    <w:rsid w:val="004D2389"/>
    <w:rsid w:val="004D2E07"/>
    <w:rsid w:val="004D2FCA"/>
    <w:rsid w:val="004D4BB7"/>
    <w:rsid w:val="004D5113"/>
    <w:rsid w:val="004D5587"/>
    <w:rsid w:val="004D7A08"/>
    <w:rsid w:val="004E00D4"/>
    <w:rsid w:val="004E0124"/>
    <w:rsid w:val="004E03A8"/>
    <w:rsid w:val="004E0648"/>
    <w:rsid w:val="004E109C"/>
    <w:rsid w:val="004E161A"/>
    <w:rsid w:val="004E195B"/>
    <w:rsid w:val="004E44FE"/>
    <w:rsid w:val="004E4DA0"/>
    <w:rsid w:val="004E4FA2"/>
    <w:rsid w:val="004E5A34"/>
    <w:rsid w:val="004E745F"/>
    <w:rsid w:val="004E763C"/>
    <w:rsid w:val="004F090B"/>
    <w:rsid w:val="004F2540"/>
    <w:rsid w:val="004F2664"/>
    <w:rsid w:val="004F2865"/>
    <w:rsid w:val="004F3106"/>
    <w:rsid w:val="004F32FE"/>
    <w:rsid w:val="004F348C"/>
    <w:rsid w:val="004F354B"/>
    <w:rsid w:val="004F47B4"/>
    <w:rsid w:val="004F492A"/>
    <w:rsid w:val="004F5AD7"/>
    <w:rsid w:val="004F5CAA"/>
    <w:rsid w:val="004F5CBE"/>
    <w:rsid w:val="004F5D77"/>
    <w:rsid w:val="004F63DC"/>
    <w:rsid w:val="004F76BC"/>
    <w:rsid w:val="004F7F7A"/>
    <w:rsid w:val="00501131"/>
    <w:rsid w:val="00501375"/>
    <w:rsid w:val="00501CE9"/>
    <w:rsid w:val="00502145"/>
    <w:rsid w:val="00502544"/>
    <w:rsid w:val="0050267C"/>
    <w:rsid w:val="005027A0"/>
    <w:rsid w:val="00503084"/>
    <w:rsid w:val="005033CD"/>
    <w:rsid w:val="00503775"/>
    <w:rsid w:val="00503A7C"/>
    <w:rsid w:val="00504097"/>
    <w:rsid w:val="00504A9D"/>
    <w:rsid w:val="00504F1E"/>
    <w:rsid w:val="005052B7"/>
    <w:rsid w:val="005055FF"/>
    <w:rsid w:val="00506314"/>
    <w:rsid w:val="0050636F"/>
    <w:rsid w:val="00506C9C"/>
    <w:rsid w:val="00507628"/>
    <w:rsid w:val="00507648"/>
    <w:rsid w:val="00507C41"/>
    <w:rsid w:val="00510412"/>
    <w:rsid w:val="005105D7"/>
    <w:rsid w:val="005113AC"/>
    <w:rsid w:val="005122D4"/>
    <w:rsid w:val="00513135"/>
    <w:rsid w:val="005134FF"/>
    <w:rsid w:val="005136B4"/>
    <w:rsid w:val="0051404D"/>
    <w:rsid w:val="005140BB"/>
    <w:rsid w:val="00514848"/>
    <w:rsid w:val="00514B7F"/>
    <w:rsid w:val="00514E9C"/>
    <w:rsid w:val="0051785E"/>
    <w:rsid w:val="00517989"/>
    <w:rsid w:val="005200CC"/>
    <w:rsid w:val="00520332"/>
    <w:rsid w:val="00520BBA"/>
    <w:rsid w:val="005211DC"/>
    <w:rsid w:val="00522A66"/>
    <w:rsid w:val="00522E24"/>
    <w:rsid w:val="00524072"/>
    <w:rsid w:val="00524560"/>
    <w:rsid w:val="0052457A"/>
    <w:rsid w:val="00524CF7"/>
    <w:rsid w:val="005251B7"/>
    <w:rsid w:val="0052597A"/>
    <w:rsid w:val="005259A5"/>
    <w:rsid w:val="00526183"/>
    <w:rsid w:val="00527320"/>
    <w:rsid w:val="00527BEA"/>
    <w:rsid w:val="005303EF"/>
    <w:rsid w:val="00531876"/>
    <w:rsid w:val="005318AD"/>
    <w:rsid w:val="00531E88"/>
    <w:rsid w:val="005320B3"/>
    <w:rsid w:val="005329B8"/>
    <w:rsid w:val="005331D4"/>
    <w:rsid w:val="0053333E"/>
    <w:rsid w:val="0053339F"/>
    <w:rsid w:val="00533789"/>
    <w:rsid w:val="00533E07"/>
    <w:rsid w:val="005345FC"/>
    <w:rsid w:val="0053465E"/>
    <w:rsid w:val="00534A97"/>
    <w:rsid w:val="00534D24"/>
    <w:rsid w:val="00536759"/>
    <w:rsid w:val="00536964"/>
    <w:rsid w:val="00536CC7"/>
    <w:rsid w:val="0053720A"/>
    <w:rsid w:val="00537B83"/>
    <w:rsid w:val="005402E1"/>
    <w:rsid w:val="00540331"/>
    <w:rsid w:val="00541F52"/>
    <w:rsid w:val="005429EE"/>
    <w:rsid w:val="00543A75"/>
    <w:rsid w:val="00543FB2"/>
    <w:rsid w:val="0054459D"/>
    <w:rsid w:val="005448C1"/>
    <w:rsid w:val="0054492C"/>
    <w:rsid w:val="005449A6"/>
    <w:rsid w:val="005456B2"/>
    <w:rsid w:val="00545701"/>
    <w:rsid w:val="005457F3"/>
    <w:rsid w:val="005467A0"/>
    <w:rsid w:val="00546FF2"/>
    <w:rsid w:val="00547021"/>
    <w:rsid w:val="00547B18"/>
    <w:rsid w:val="00547BED"/>
    <w:rsid w:val="00547FF8"/>
    <w:rsid w:val="005529A2"/>
    <w:rsid w:val="0055318D"/>
    <w:rsid w:val="005539CE"/>
    <w:rsid w:val="00553D24"/>
    <w:rsid w:val="00554874"/>
    <w:rsid w:val="00554B7C"/>
    <w:rsid w:val="00555BB6"/>
    <w:rsid w:val="0055623A"/>
    <w:rsid w:val="005569E5"/>
    <w:rsid w:val="00557536"/>
    <w:rsid w:val="0055765F"/>
    <w:rsid w:val="00557C7E"/>
    <w:rsid w:val="0056064A"/>
    <w:rsid w:val="005607B7"/>
    <w:rsid w:val="00560DAC"/>
    <w:rsid w:val="00560EBA"/>
    <w:rsid w:val="005621B3"/>
    <w:rsid w:val="0056274E"/>
    <w:rsid w:val="00562866"/>
    <w:rsid w:val="00562D38"/>
    <w:rsid w:val="00562EA6"/>
    <w:rsid w:val="00563703"/>
    <w:rsid w:val="005638EE"/>
    <w:rsid w:val="00563F59"/>
    <w:rsid w:val="00564000"/>
    <w:rsid w:val="005644A5"/>
    <w:rsid w:val="00564721"/>
    <w:rsid w:val="00564CC2"/>
    <w:rsid w:val="00564D2E"/>
    <w:rsid w:val="00565445"/>
    <w:rsid w:val="005668DD"/>
    <w:rsid w:val="005672C8"/>
    <w:rsid w:val="0057034C"/>
    <w:rsid w:val="0057056A"/>
    <w:rsid w:val="00570739"/>
    <w:rsid w:val="00571476"/>
    <w:rsid w:val="0057253E"/>
    <w:rsid w:val="005726EB"/>
    <w:rsid w:val="0057291D"/>
    <w:rsid w:val="00572976"/>
    <w:rsid w:val="00572AFE"/>
    <w:rsid w:val="005742C8"/>
    <w:rsid w:val="0057468D"/>
    <w:rsid w:val="005749DD"/>
    <w:rsid w:val="00575342"/>
    <w:rsid w:val="0057536D"/>
    <w:rsid w:val="00575D91"/>
    <w:rsid w:val="005761AC"/>
    <w:rsid w:val="005761C2"/>
    <w:rsid w:val="005765C7"/>
    <w:rsid w:val="005767C9"/>
    <w:rsid w:val="00577259"/>
    <w:rsid w:val="005776B0"/>
    <w:rsid w:val="00577C0D"/>
    <w:rsid w:val="00577F7F"/>
    <w:rsid w:val="0058070B"/>
    <w:rsid w:val="00580881"/>
    <w:rsid w:val="00581E07"/>
    <w:rsid w:val="00582B71"/>
    <w:rsid w:val="0058307F"/>
    <w:rsid w:val="00583AF5"/>
    <w:rsid w:val="00584F50"/>
    <w:rsid w:val="00585A87"/>
    <w:rsid w:val="00585F66"/>
    <w:rsid w:val="00586793"/>
    <w:rsid w:val="00587006"/>
    <w:rsid w:val="005871B7"/>
    <w:rsid w:val="00587DA9"/>
    <w:rsid w:val="00587F9B"/>
    <w:rsid w:val="00590517"/>
    <w:rsid w:val="005911D7"/>
    <w:rsid w:val="005917BA"/>
    <w:rsid w:val="0059259C"/>
    <w:rsid w:val="0059590D"/>
    <w:rsid w:val="00595A86"/>
    <w:rsid w:val="00595E4C"/>
    <w:rsid w:val="00595E96"/>
    <w:rsid w:val="00596202"/>
    <w:rsid w:val="00596E16"/>
    <w:rsid w:val="00597F13"/>
    <w:rsid w:val="005A0616"/>
    <w:rsid w:val="005A0956"/>
    <w:rsid w:val="005A1A0C"/>
    <w:rsid w:val="005A2778"/>
    <w:rsid w:val="005A2E21"/>
    <w:rsid w:val="005A3275"/>
    <w:rsid w:val="005A351B"/>
    <w:rsid w:val="005A4098"/>
    <w:rsid w:val="005A4A2C"/>
    <w:rsid w:val="005A515A"/>
    <w:rsid w:val="005A5D5D"/>
    <w:rsid w:val="005A5F05"/>
    <w:rsid w:val="005A650A"/>
    <w:rsid w:val="005A6EA3"/>
    <w:rsid w:val="005A77F1"/>
    <w:rsid w:val="005A7EB4"/>
    <w:rsid w:val="005B069A"/>
    <w:rsid w:val="005B1378"/>
    <w:rsid w:val="005B163F"/>
    <w:rsid w:val="005B275F"/>
    <w:rsid w:val="005B31C1"/>
    <w:rsid w:val="005B3BDA"/>
    <w:rsid w:val="005B3FE4"/>
    <w:rsid w:val="005B49BF"/>
    <w:rsid w:val="005B50E5"/>
    <w:rsid w:val="005B5531"/>
    <w:rsid w:val="005B5B4F"/>
    <w:rsid w:val="005B6011"/>
    <w:rsid w:val="005B631A"/>
    <w:rsid w:val="005B644B"/>
    <w:rsid w:val="005B720F"/>
    <w:rsid w:val="005C0725"/>
    <w:rsid w:val="005C0B54"/>
    <w:rsid w:val="005C181F"/>
    <w:rsid w:val="005C20C2"/>
    <w:rsid w:val="005C2159"/>
    <w:rsid w:val="005C2C5C"/>
    <w:rsid w:val="005C4323"/>
    <w:rsid w:val="005C49FD"/>
    <w:rsid w:val="005C4EF1"/>
    <w:rsid w:val="005C539C"/>
    <w:rsid w:val="005C572B"/>
    <w:rsid w:val="005C60BB"/>
    <w:rsid w:val="005C71B2"/>
    <w:rsid w:val="005C71F4"/>
    <w:rsid w:val="005C7F26"/>
    <w:rsid w:val="005D0DC8"/>
    <w:rsid w:val="005D0F39"/>
    <w:rsid w:val="005D1127"/>
    <w:rsid w:val="005D1576"/>
    <w:rsid w:val="005D1FE1"/>
    <w:rsid w:val="005D2057"/>
    <w:rsid w:val="005D280C"/>
    <w:rsid w:val="005D3494"/>
    <w:rsid w:val="005D3924"/>
    <w:rsid w:val="005D39FD"/>
    <w:rsid w:val="005D3F36"/>
    <w:rsid w:val="005D4178"/>
    <w:rsid w:val="005D437C"/>
    <w:rsid w:val="005D4912"/>
    <w:rsid w:val="005D51D7"/>
    <w:rsid w:val="005D5706"/>
    <w:rsid w:val="005D6325"/>
    <w:rsid w:val="005D657D"/>
    <w:rsid w:val="005D675E"/>
    <w:rsid w:val="005E02C8"/>
    <w:rsid w:val="005E089C"/>
    <w:rsid w:val="005E0EBA"/>
    <w:rsid w:val="005E1547"/>
    <w:rsid w:val="005E1B21"/>
    <w:rsid w:val="005E2C97"/>
    <w:rsid w:val="005E34DB"/>
    <w:rsid w:val="005E4164"/>
    <w:rsid w:val="005E4E9C"/>
    <w:rsid w:val="005E6273"/>
    <w:rsid w:val="005E6F4E"/>
    <w:rsid w:val="005E7493"/>
    <w:rsid w:val="005E7F5A"/>
    <w:rsid w:val="005F10F0"/>
    <w:rsid w:val="005F1C21"/>
    <w:rsid w:val="005F1F3E"/>
    <w:rsid w:val="005F206B"/>
    <w:rsid w:val="005F2153"/>
    <w:rsid w:val="005F2353"/>
    <w:rsid w:val="005F2D30"/>
    <w:rsid w:val="005F3172"/>
    <w:rsid w:val="005F401C"/>
    <w:rsid w:val="005F4262"/>
    <w:rsid w:val="005F4789"/>
    <w:rsid w:val="005F4F3C"/>
    <w:rsid w:val="005F503C"/>
    <w:rsid w:val="005F5AF2"/>
    <w:rsid w:val="005F5C4D"/>
    <w:rsid w:val="005F5F01"/>
    <w:rsid w:val="005F6359"/>
    <w:rsid w:val="005F671D"/>
    <w:rsid w:val="005F6934"/>
    <w:rsid w:val="005F734B"/>
    <w:rsid w:val="005F78A3"/>
    <w:rsid w:val="006015BE"/>
    <w:rsid w:val="006028CC"/>
    <w:rsid w:val="00603F55"/>
    <w:rsid w:val="00604327"/>
    <w:rsid w:val="00604BAB"/>
    <w:rsid w:val="00605185"/>
    <w:rsid w:val="00605849"/>
    <w:rsid w:val="00605C8D"/>
    <w:rsid w:val="00606610"/>
    <w:rsid w:val="00606A28"/>
    <w:rsid w:val="00606B5F"/>
    <w:rsid w:val="00606BCB"/>
    <w:rsid w:val="00606D77"/>
    <w:rsid w:val="00611186"/>
    <w:rsid w:val="00611844"/>
    <w:rsid w:val="00611F39"/>
    <w:rsid w:val="00611F92"/>
    <w:rsid w:val="00612DAD"/>
    <w:rsid w:val="00613108"/>
    <w:rsid w:val="00614C70"/>
    <w:rsid w:val="00614DB7"/>
    <w:rsid w:val="00615012"/>
    <w:rsid w:val="006159B7"/>
    <w:rsid w:val="00615E61"/>
    <w:rsid w:val="00616718"/>
    <w:rsid w:val="00616A66"/>
    <w:rsid w:val="0061719A"/>
    <w:rsid w:val="0062033B"/>
    <w:rsid w:val="006211D5"/>
    <w:rsid w:val="00621280"/>
    <w:rsid w:val="00621675"/>
    <w:rsid w:val="006218AE"/>
    <w:rsid w:val="006219BD"/>
    <w:rsid w:val="00621BB9"/>
    <w:rsid w:val="00622CB2"/>
    <w:rsid w:val="0062414A"/>
    <w:rsid w:val="006241BC"/>
    <w:rsid w:val="00625499"/>
    <w:rsid w:val="00625696"/>
    <w:rsid w:val="00625806"/>
    <w:rsid w:val="00626112"/>
    <w:rsid w:val="00627C76"/>
    <w:rsid w:val="006302AB"/>
    <w:rsid w:val="006305BC"/>
    <w:rsid w:val="006305E1"/>
    <w:rsid w:val="0063099C"/>
    <w:rsid w:val="00630ABB"/>
    <w:rsid w:val="00630EA9"/>
    <w:rsid w:val="00631128"/>
    <w:rsid w:val="00631AE2"/>
    <w:rsid w:val="00631E15"/>
    <w:rsid w:val="00633212"/>
    <w:rsid w:val="00633F64"/>
    <w:rsid w:val="006348CE"/>
    <w:rsid w:val="00634D88"/>
    <w:rsid w:val="006354AB"/>
    <w:rsid w:val="00635C8C"/>
    <w:rsid w:val="006360F6"/>
    <w:rsid w:val="00636778"/>
    <w:rsid w:val="00636855"/>
    <w:rsid w:val="00636A5F"/>
    <w:rsid w:val="00637D99"/>
    <w:rsid w:val="0064020D"/>
    <w:rsid w:val="006402F1"/>
    <w:rsid w:val="006405C1"/>
    <w:rsid w:val="00642998"/>
    <w:rsid w:val="0064354A"/>
    <w:rsid w:val="006436EF"/>
    <w:rsid w:val="00644D46"/>
    <w:rsid w:val="006450EF"/>
    <w:rsid w:val="006452F5"/>
    <w:rsid w:val="00647426"/>
    <w:rsid w:val="00650994"/>
    <w:rsid w:val="00651206"/>
    <w:rsid w:val="0065153B"/>
    <w:rsid w:val="00651D03"/>
    <w:rsid w:val="00651DAB"/>
    <w:rsid w:val="00653BCD"/>
    <w:rsid w:val="00653C6D"/>
    <w:rsid w:val="006541ED"/>
    <w:rsid w:val="00654FF3"/>
    <w:rsid w:val="006559B0"/>
    <w:rsid w:val="00655CAD"/>
    <w:rsid w:val="00655F52"/>
    <w:rsid w:val="00656A38"/>
    <w:rsid w:val="00656A7A"/>
    <w:rsid w:val="006575AC"/>
    <w:rsid w:val="00657C6E"/>
    <w:rsid w:val="00660754"/>
    <w:rsid w:val="00660892"/>
    <w:rsid w:val="006611BC"/>
    <w:rsid w:val="00661536"/>
    <w:rsid w:val="00662AB1"/>
    <w:rsid w:val="00662D9B"/>
    <w:rsid w:val="00663416"/>
    <w:rsid w:val="00663F8D"/>
    <w:rsid w:val="00664222"/>
    <w:rsid w:val="0066441E"/>
    <w:rsid w:val="0066471D"/>
    <w:rsid w:val="006647A5"/>
    <w:rsid w:val="00664AF7"/>
    <w:rsid w:val="00664C16"/>
    <w:rsid w:val="006663C9"/>
    <w:rsid w:val="00666BC3"/>
    <w:rsid w:val="00667AA7"/>
    <w:rsid w:val="00667E8A"/>
    <w:rsid w:val="006702AA"/>
    <w:rsid w:val="00670CD3"/>
    <w:rsid w:val="006711EE"/>
    <w:rsid w:val="006721E7"/>
    <w:rsid w:val="0067387E"/>
    <w:rsid w:val="00673B01"/>
    <w:rsid w:val="00674F0F"/>
    <w:rsid w:val="00675579"/>
    <w:rsid w:val="00675B53"/>
    <w:rsid w:val="00675DA4"/>
    <w:rsid w:val="006768E7"/>
    <w:rsid w:val="006769FC"/>
    <w:rsid w:val="00677C74"/>
    <w:rsid w:val="006803DE"/>
    <w:rsid w:val="00680B8E"/>
    <w:rsid w:val="0068283A"/>
    <w:rsid w:val="00682AEB"/>
    <w:rsid w:val="00682FB4"/>
    <w:rsid w:val="006831DB"/>
    <w:rsid w:val="006836E8"/>
    <w:rsid w:val="00683A80"/>
    <w:rsid w:val="00683BC6"/>
    <w:rsid w:val="00685B80"/>
    <w:rsid w:val="00685D50"/>
    <w:rsid w:val="00686048"/>
    <w:rsid w:val="006868A6"/>
    <w:rsid w:val="00686B33"/>
    <w:rsid w:val="00687CDE"/>
    <w:rsid w:val="0069039E"/>
    <w:rsid w:val="00691003"/>
    <w:rsid w:val="006918F5"/>
    <w:rsid w:val="006923CA"/>
    <w:rsid w:val="0069257B"/>
    <w:rsid w:val="0069295D"/>
    <w:rsid w:val="00692AB6"/>
    <w:rsid w:val="0069315C"/>
    <w:rsid w:val="00693A17"/>
    <w:rsid w:val="00693BF2"/>
    <w:rsid w:val="00694166"/>
    <w:rsid w:val="006945BD"/>
    <w:rsid w:val="00694799"/>
    <w:rsid w:val="00694E66"/>
    <w:rsid w:val="006952F5"/>
    <w:rsid w:val="00695540"/>
    <w:rsid w:val="00695852"/>
    <w:rsid w:val="00695C4E"/>
    <w:rsid w:val="006963CB"/>
    <w:rsid w:val="0069683B"/>
    <w:rsid w:val="0069756E"/>
    <w:rsid w:val="0069768D"/>
    <w:rsid w:val="006A054A"/>
    <w:rsid w:val="006A05B3"/>
    <w:rsid w:val="006A0826"/>
    <w:rsid w:val="006A09E7"/>
    <w:rsid w:val="006A12BC"/>
    <w:rsid w:val="006A17EA"/>
    <w:rsid w:val="006A2503"/>
    <w:rsid w:val="006A2F78"/>
    <w:rsid w:val="006A33EE"/>
    <w:rsid w:val="006A3973"/>
    <w:rsid w:val="006A3C62"/>
    <w:rsid w:val="006A46A0"/>
    <w:rsid w:val="006A480F"/>
    <w:rsid w:val="006A4DE3"/>
    <w:rsid w:val="006A520E"/>
    <w:rsid w:val="006A52BD"/>
    <w:rsid w:val="006A59FC"/>
    <w:rsid w:val="006A7756"/>
    <w:rsid w:val="006A7E7E"/>
    <w:rsid w:val="006A7FFB"/>
    <w:rsid w:val="006B09BD"/>
    <w:rsid w:val="006B11CF"/>
    <w:rsid w:val="006B147B"/>
    <w:rsid w:val="006B1DD7"/>
    <w:rsid w:val="006B218E"/>
    <w:rsid w:val="006B2915"/>
    <w:rsid w:val="006B2B5E"/>
    <w:rsid w:val="006B34AF"/>
    <w:rsid w:val="006B3A13"/>
    <w:rsid w:val="006B417E"/>
    <w:rsid w:val="006B45F3"/>
    <w:rsid w:val="006B47D0"/>
    <w:rsid w:val="006B49DD"/>
    <w:rsid w:val="006B565E"/>
    <w:rsid w:val="006B56A3"/>
    <w:rsid w:val="006B57C2"/>
    <w:rsid w:val="006B64DF"/>
    <w:rsid w:val="006B6659"/>
    <w:rsid w:val="006B66E1"/>
    <w:rsid w:val="006B6A1B"/>
    <w:rsid w:val="006B6E81"/>
    <w:rsid w:val="006B7CAD"/>
    <w:rsid w:val="006C0049"/>
    <w:rsid w:val="006C057D"/>
    <w:rsid w:val="006C099C"/>
    <w:rsid w:val="006C0BD8"/>
    <w:rsid w:val="006C14C2"/>
    <w:rsid w:val="006C1629"/>
    <w:rsid w:val="006C1964"/>
    <w:rsid w:val="006C1C46"/>
    <w:rsid w:val="006C2022"/>
    <w:rsid w:val="006C253A"/>
    <w:rsid w:val="006C3040"/>
    <w:rsid w:val="006C350F"/>
    <w:rsid w:val="006C386B"/>
    <w:rsid w:val="006C3962"/>
    <w:rsid w:val="006C5682"/>
    <w:rsid w:val="006C5771"/>
    <w:rsid w:val="006C5C9B"/>
    <w:rsid w:val="006C60C0"/>
    <w:rsid w:val="006C6302"/>
    <w:rsid w:val="006C6721"/>
    <w:rsid w:val="006C726D"/>
    <w:rsid w:val="006C72B3"/>
    <w:rsid w:val="006C72D7"/>
    <w:rsid w:val="006C7576"/>
    <w:rsid w:val="006C7E5E"/>
    <w:rsid w:val="006C7EA1"/>
    <w:rsid w:val="006D052D"/>
    <w:rsid w:val="006D125B"/>
    <w:rsid w:val="006D13F8"/>
    <w:rsid w:val="006D23E5"/>
    <w:rsid w:val="006D2A03"/>
    <w:rsid w:val="006D2CE2"/>
    <w:rsid w:val="006D327B"/>
    <w:rsid w:val="006D348A"/>
    <w:rsid w:val="006D39B7"/>
    <w:rsid w:val="006D423C"/>
    <w:rsid w:val="006D4743"/>
    <w:rsid w:val="006D4E7C"/>
    <w:rsid w:val="006D56B1"/>
    <w:rsid w:val="006D5A16"/>
    <w:rsid w:val="006D5B60"/>
    <w:rsid w:val="006D5B62"/>
    <w:rsid w:val="006D62F9"/>
    <w:rsid w:val="006D6A89"/>
    <w:rsid w:val="006D6E4B"/>
    <w:rsid w:val="006D748A"/>
    <w:rsid w:val="006D788C"/>
    <w:rsid w:val="006E1241"/>
    <w:rsid w:val="006E2E59"/>
    <w:rsid w:val="006E36DB"/>
    <w:rsid w:val="006E3765"/>
    <w:rsid w:val="006E3F08"/>
    <w:rsid w:val="006E4DCA"/>
    <w:rsid w:val="006E590F"/>
    <w:rsid w:val="006E6837"/>
    <w:rsid w:val="006E6CD7"/>
    <w:rsid w:val="006E6FD9"/>
    <w:rsid w:val="006E717A"/>
    <w:rsid w:val="006F0166"/>
    <w:rsid w:val="006F0495"/>
    <w:rsid w:val="006F0ABF"/>
    <w:rsid w:val="006F12D8"/>
    <w:rsid w:val="006F12F8"/>
    <w:rsid w:val="006F1A9F"/>
    <w:rsid w:val="006F1E04"/>
    <w:rsid w:val="006F35D3"/>
    <w:rsid w:val="006F4067"/>
    <w:rsid w:val="006F4395"/>
    <w:rsid w:val="006F4B29"/>
    <w:rsid w:val="006F4F6B"/>
    <w:rsid w:val="006F51FA"/>
    <w:rsid w:val="006F5B32"/>
    <w:rsid w:val="006F68F1"/>
    <w:rsid w:val="006F7443"/>
    <w:rsid w:val="006F7512"/>
    <w:rsid w:val="006F7D94"/>
    <w:rsid w:val="0070054C"/>
    <w:rsid w:val="007010AE"/>
    <w:rsid w:val="00701602"/>
    <w:rsid w:val="00701905"/>
    <w:rsid w:val="00701ADE"/>
    <w:rsid w:val="007020E0"/>
    <w:rsid w:val="00702D05"/>
    <w:rsid w:val="00702EBB"/>
    <w:rsid w:val="00703D20"/>
    <w:rsid w:val="0070411C"/>
    <w:rsid w:val="00704FB6"/>
    <w:rsid w:val="007051A2"/>
    <w:rsid w:val="007052E0"/>
    <w:rsid w:val="00705362"/>
    <w:rsid w:val="0070612B"/>
    <w:rsid w:val="007066DC"/>
    <w:rsid w:val="007070CF"/>
    <w:rsid w:val="00707263"/>
    <w:rsid w:val="0070766C"/>
    <w:rsid w:val="00707A22"/>
    <w:rsid w:val="00707CEF"/>
    <w:rsid w:val="00707ED7"/>
    <w:rsid w:val="00710041"/>
    <w:rsid w:val="0071046F"/>
    <w:rsid w:val="00710BB4"/>
    <w:rsid w:val="00711D12"/>
    <w:rsid w:val="0071268F"/>
    <w:rsid w:val="007145A4"/>
    <w:rsid w:val="00714BFC"/>
    <w:rsid w:val="00714E79"/>
    <w:rsid w:val="007152C0"/>
    <w:rsid w:val="007153E7"/>
    <w:rsid w:val="0071549E"/>
    <w:rsid w:val="00716510"/>
    <w:rsid w:val="00716879"/>
    <w:rsid w:val="00717E70"/>
    <w:rsid w:val="00720C45"/>
    <w:rsid w:val="007228D5"/>
    <w:rsid w:val="00722E4D"/>
    <w:rsid w:val="00723BF9"/>
    <w:rsid w:val="00723DFE"/>
    <w:rsid w:val="00724D3E"/>
    <w:rsid w:val="00724D3F"/>
    <w:rsid w:val="00725B2A"/>
    <w:rsid w:val="00725E1F"/>
    <w:rsid w:val="007263B6"/>
    <w:rsid w:val="0072698D"/>
    <w:rsid w:val="00727C6F"/>
    <w:rsid w:val="00727D3A"/>
    <w:rsid w:val="00727E24"/>
    <w:rsid w:val="007300AF"/>
    <w:rsid w:val="00730113"/>
    <w:rsid w:val="00730D8D"/>
    <w:rsid w:val="007313F4"/>
    <w:rsid w:val="007314DA"/>
    <w:rsid w:val="007317E4"/>
    <w:rsid w:val="00731B52"/>
    <w:rsid w:val="00731D9F"/>
    <w:rsid w:val="0073259C"/>
    <w:rsid w:val="00732925"/>
    <w:rsid w:val="00732DFF"/>
    <w:rsid w:val="007331CE"/>
    <w:rsid w:val="007336EC"/>
    <w:rsid w:val="00733759"/>
    <w:rsid w:val="0073379D"/>
    <w:rsid w:val="00733F8F"/>
    <w:rsid w:val="00733F9D"/>
    <w:rsid w:val="0073500C"/>
    <w:rsid w:val="00735144"/>
    <w:rsid w:val="007354B8"/>
    <w:rsid w:val="00736942"/>
    <w:rsid w:val="007369C1"/>
    <w:rsid w:val="00737990"/>
    <w:rsid w:val="00737D15"/>
    <w:rsid w:val="0074045F"/>
    <w:rsid w:val="007406F2"/>
    <w:rsid w:val="007407C3"/>
    <w:rsid w:val="00740B96"/>
    <w:rsid w:val="00740DFC"/>
    <w:rsid w:val="00740EEC"/>
    <w:rsid w:val="00740EFC"/>
    <w:rsid w:val="0074156D"/>
    <w:rsid w:val="00741E55"/>
    <w:rsid w:val="0074209A"/>
    <w:rsid w:val="00742190"/>
    <w:rsid w:val="0074300E"/>
    <w:rsid w:val="00743A5D"/>
    <w:rsid w:val="00743E03"/>
    <w:rsid w:val="0074423C"/>
    <w:rsid w:val="00744E65"/>
    <w:rsid w:val="00745424"/>
    <w:rsid w:val="0074547F"/>
    <w:rsid w:val="00746BBB"/>
    <w:rsid w:val="00747588"/>
    <w:rsid w:val="00747ACA"/>
    <w:rsid w:val="007501D4"/>
    <w:rsid w:val="00750AAA"/>
    <w:rsid w:val="00751026"/>
    <w:rsid w:val="0075120B"/>
    <w:rsid w:val="0075194E"/>
    <w:rsid w:val="007527D2"/>
    <w:rsid w:val="007533F8"/>
    <w:rsid w:val="00753A38"/>
    <w:rsid w:val="00753FE6"/>
    <w:rsid w:val="0075497D"/>
    <w:rsid w:val="00756AF0"/>
    <w:rsid w:val="00756AFD"/>
    <w:rsid w:val="007577AC"/>
    <w:rsid w:val="007603F9"/>
    <w:rsid w:val="00761A33"/>
    <w:rsid w:val="00761EAE"/>
    <w:rsid w:val="00762FB4"/>
    <w:rsid w:val="00763935"/>
    <w:rsid w:val="00763AB5"/>
    <w:rsid w:val="00763B6A"/>
    <w:rsid w:val="00763FC4"/>
    <w:rsid w:val="00764FC2"/>
    <w:rsid w:val="007652D2"/>
    <w:rsid w:val="0076610F"/>
    <w:rsid w:val="007668A9"/>
    <w:rsid w:val="00767402"/>
    <w:rsid w:val="00767CF1"/>
    <w:rsid w:val="00770153"/>
    <w:rsid w:val="00770A51"/>
    <w:rsid w:val="00771153"/>
    <w:rsid w:val="007711EE"/>
    <w:rsid w:val="0077193B"/>
    <w:rsid w:val="00771A7E"/>
    <w:rsid w:val="00771CE2"/>
    <w:rsid w:val="007727B2"/>
    <w:rsid w:val="00772F0D"/>
    <w:rsid w:val="00772FCB"/>
    <w:rsid w:val="00773171"/>
    <w:rsid w:val="00773745"/>
    <w:rsid w:val="00773DAF"/>
    <w:rsid w:val="007748C5"/>
    <w:rsid w:val="00776331"/>
    <w:rsid w:val="0077690F"/>
    <w:rsid w:val="007769C2"/>
    <w:rsid w:val="00776A42"/>
    <w:rsid w:val="00776CBD"/>
    <w:rsid w:val="00776D45"/>
    <w:rsid w:val="00777D3A"/>
    <w:rsid w:val="007804E5"/>
    <w:rsid w:val="00780502"/>
    <w:rsid w:val="00780DBF"/>
    <w:rsid w:val="007815D7"/>
    <w:rsid w:val="00781870"/>
    <w:rsid w:val="00782078"/>
    <w:rsid w:val="00782BCF"/>
    <w:rsid w:val="00785235"/>
    <w:rsid w:val="007854DE"/>
    <w:rsid w:val="0078605B"/>
    <w:rsid w:val="007862FC"/>
    <w:rsid w:val="0078636E"/>
    <w:rsid w:val="007864D1"/>
    <w:rsid w:val="00786DE1"/>
    <w:rsid w:val="00787190"/>
    <w:rsid w:val="0078763C"/>
    <w:rsid w:val="007902BC"/>
    <w:rsid w:val="007902CC"/>
    <w:rsid w:val="007907EF"/>
    <w:rsid w:val="00790962"/>
    <w:rsid w:val="00790A23"/>
    <w:rsid w:val="00790E48"/>
    <w:rsid w:val="00791183"/>
    <w:rsid w:val="00792400"/>
    <w:rsid w:val="00792408"/>
    <w:rsid w:val="00792547"/>
    <w:rsid w:val="0079288B"/>
    <w:rsid w:val="007929A0"/>
    <w:rsid w:val="00792B80"/>
    <w:rsid w:val="007933E1"/>
    <w:rsid w:val="0079370E"/>
    <w:rsid w:val="007949EA"/>
    <w:rsid w:val="00794B91"/>
    <w:rsid w:val="00794C7A"/>
    <w:rsid w:val="007957EC"/>
    <w:rsid w:val="007960C3"/>
    <w:rsid w:val="00796602"/>
    <w:rsid w:val="0079706D"/>
    <w:rsid w:val="0079712B"/>
    <w:rsid w:val="007973C3"/>
    <w:rsid w:val="0079752C"/>
    <w:rsid w:val="007976B0"/>
    <w:rsid w:val="0079779A"/>
    <w:rsid w:val="00797B13"/>
    <w:rsid w:val="00797FB3"/>
    <w:rsid w:val="007A0D85"/>
    <w:rsid w:val="007A1600"/>
    <w:rsid w:val="007A19CE"/>
    <w:rsid w:val="007A1C70"/>
    <w:rsid w:val="007A23B6"/>
    <w:rsid w:val="007A25D6"/>
    <w:rsid w:val="007A2908"/>
    <w:rsid w:val="007A35CB"/>
    <w:rsid w:val="007A36AB"/>
    <w:rsid w:val="007A478A"/>
    <w:rsid w:val="007A4F5D"/>
    <w:rsid w:val="007A51A4"/>
    <w:rsid w:val="007A644C"/>
    <w:rsid w:val="007A6722"/>
    <w:rsid w:val="007A6CBA"/>
    <w:rsid w:val="007A6DFA"/>
    <w:rsid w:val="007A6E55"/>
    <w:rsid w:val="007A75D2"/>
    <w:rsid w:val="007B004C"/>
    <w:rsid w:val="007B0677"/>
    <w:rsid w:val="007B0C46"/>
    <w:rsid w:val="007B145A"/>
    <w:rsid w:val="007B183E"/>
    <w:rsid w:val="007B204B"/>
    <w:rsid w:val="007B2050"/>
    <w:rsid w:val="007B24C4"/>
    <w:rsid w:val="007B258E"/>
    <w:rsid w:val="007B2FD4"/>
    <w:rsid w:val="007B3A91"/>
    <w:rsid w:val="007B3BA6"/>
    <w:rsid w:val="007B4364"/>
    <w:rsid w:val="007B54A1"/>
    <w:rsid w:val="007B6010"/>
    <w:rsid w:val="007B6526"/>
    <w:rsid w:val="007B6E48"/>
    <w:rsid w:val="007B7491"/>
    <w:rsid w:val="007B7BD4"/>
    <w:rsid w:val="007C0A23"/>
    <w:rsid w:val="007C128E"/>
    <w:rsid w:val="007C1328"/>
    <w:rsid w:val="007C1486"/>
    <w:rsid w:val="007C1C5A"/>
    <w:rsid w:val="007C1D5E"/>
    <w:rsid w:val="007C239D"/>
    <w:rsid w:val="007C2F2E"/>
    <w:rsid w:val="007C32DB"/>
    <w:rsid w:val="007C4852"/>
    <w:rsid w:val="007C4A2A"/>
    <w:rsid w:val="007C61B7"/>
    <w:rsid w:val="007C62D0"/>
    <w:rsid w:val="007C62DB"/>
    <w:rsid w:val="007C6626"/>
    <w:rsid w:val="007C6773"/>
    <w:rsid w:val="007C684B"/>
    <w:rsid w:val="007C6C8E"/>
    <w:rsid w:val="007C6D82"/>
    <w:rsid w:val="007C73E2"/>
    <w:rsid w:val="007C7E42"/>
    <w:rsid w:val="007C7F2A"/>
    <w:rsid w:val="007D08A7"/>
    <w:rsid w:val="007D08E1"/>
    <w:rsid w:val="007D1577"/>
    <w:rsid w:val="007D17BE"/>
    <w:rsid w:val="007D2D45"/>
    <w:rsid w:val="007D2E0F"/>
    <w:rsid w:val="007D3C1D"/>
    <w:rsid w:val="007D480D"/>
    <w:rsid w:val="007D564E"/>
    <w:rsid w:val="007D59F9"/>
    <w:rsid w:val="007D6AEE"/>
    <w:rsid w:val="007D7089"/>
    <w:rsid w:val="007D7251"/>
    <w:rsid w:val="007D72D2"/>
    <w:rsid w:val="007D7324"/>
    <w:rsid w:val="007D76AA"/>
    <w:rsid w:val="007E012D"/>
    <w:rsid w:val="007E1443"/>
    <w:rsid w:val="007E19A8"/>
    <w:rsid w:val="007E1A89"/>
    <w:rsid w:val="007E21DC"/>
    <w:rsid w:val="007E2D9A"/>
    <w:rsid w:val="007E3892"/>
    <w:rsid w:val="007E3BDB"/>
    <w:rsid w:val="007E3E64"/>
    <w:rsid w:val="007E44BD"/>
    <w:rsid w:val="007E4AE3"/>
    <w:rsid w:val="007E4C82"/>
    <w:rsid w:val="007E52F5"/>
    <w:rsid w:val="007E5725"/>
    <w:rsid w:val="007E5BA3"/>
    <w:rsid w:val="007E5F5A"/>
    <w:rsid w:val="007E68BC"/>
    <w:rsid w:val="007E6B7A"/>
    <w:rsid w:val="007E78D7"/>
    <w:rsid w:val="007E7CC1"/>
    <w:rsid w:val="007E7CE7"/>
    <w:rsid w:val="007F006B"/>
    <w:rsid w:val="007F07AF"/>
    <w:rsid w:val="007F0C98"/>
    <w:rsid w:val="007F113A"/>
    <w:rsid w:val="007F1500"/>
    <w:rsid w:val="007F1670"/>
    <w:rsid w:val="007F18EC"/>
    <w:rsid w:val="007F1BFD"/>
    <w:rsid w:val="007F2700"/>
    <w:rsid w:val="007F3680"/>
    <w:rsid w:val="007F3CED"/>
    <w:rsid w:val="007F4028"/>
    <w:rsid w:val="007F4106"/>
    <w:rsid w:val="007F431A"/>
    <w:rsid w:val="007F4653"/>
    <w:rsid w:val="007F4705"/>
    <w:rsid w:val="007F4B21"/>
    <w:rsid w:val="007F5230"/>
    <w:rsid w:val="007F5983"/>
    <w:rsid w:val="007F69DA"/>
    <w:rsid w:val="007F6A00"/>
    <w:rsid w:val="007F6B54"/>
    <w:rsid w:val="007F71C9"/>
    <w:rsid w:val="00800193"/>
    <w:rsid w:val="008001E4"/>
    <w:rsid w:val="0080055D"/>
    <w:rsid w:val="00800678"/>
    <w:rsid w:val="00800AC0"/>
    <w:rsid w:val="00800F80"/>
    <w:rsid w:val="00800FDC"/>
    <w:rsid w:val="008016C5"/>
    <w:rsid w:val="00801740"/>
    <w:rsid w:val="00803B9C"/>
    <w:rsid w:val="00803D26"/>
    <w:rsid w:val="0080478D"/>
    <w:rsid w:val="00804EB5"/>
    <w:rsid w:val="00804F83"/>
    <w:rsid w:val="00805B8F"/>
    <w:rsid w:val="00805ED5"/>
    <w:rsid w:val="00806B8C"/>
    <w:rsid w:val="00807A51"/>
    <w:rsid w:val="00807C92"/>
    <w:rsid w:val="00810615"/>
    <w:rsid w:val="00810D39"/>
    <w:rsid w:val="008118DA"/>
    <w:rsid w:val="00812A85"/>
    <w:rsid w:val="00812FE8"/>
    <w:rsid w:val="00813C3A"/>
    <w:rsid w:val="00814A4E"/>
    <w:rsid w:val="00814B40"/>
    <w:rsid w:val="00815C95"/>
    <w:rsid w:val="008168C5"/>
    <w:rsid w:val="00816A07"/>
    <w:rsid w:val="00816CFA"/>
    <w:rsid w:val="00817297"/>
    <w:rsid w:val="0081797A"/>
    <w:rsid w:val="00820A65"/>
    <w:rsid w:val="00821356"/>
    <w:rsid w:val="00822D94"/>
    <w:rsid w:val="00823479"/>
    <w:rsid w:val="0082389C"/>
    <w:rsid w:val="00824C85"/>
    <w:rsid w:val="00825169"/>
    <w:rsid w:val="0082531B"/>
    <w:rsid w:val="00825AD3"/>
    <w:rsid w:val="00825BCB"/>
    <w:rsid w:val="00825ED4"/>
    <w:rsid w:val="00826CCA"/>
    <w:rsid w:val="00827EC1"/>
    <w:rsid w:val="00830513"/>
    <w:rsid w:val="0083061E"/>
    <w:rsid w:val="00830BD1"/>
    <w:rsid w:val="00831538"/>
    <w:rsid w:val="008318CD"/>
    <w:rsid w:val="00831977"/>
    <w:rsid w:val="00831F75"/>
    <w:rsid w:val="00832C60"/>
    <w:rsid w:val="00833113"/>
    <w:rsid w:val="00833908"/>
    <w:rsid w:val="0083438C"/>
    <w:rsid w:val="00834A00"/>
    <w:rsid w:val="00834F8B"/>
    <w:rsid w:val="00835801"/>
    <w:rsid w:val="00836669"/>
    <w:rsid w:val="00836733"/>
    <w:rsid w:val="00836A84"/>
    <w:rsid w:val="00836FDD"/>
    <w:rsid w:val="00837B0E"/>
    <w:rsid w:val="00837CA6"/>
    <w:rsid w:val="008401BB"/>
    <w:rsid w:val="00841179"/>
    <w:rsid w:val="00841628"/>
    <w:rsid w:val="00841ACE"/>
    <w:rsid w:val="00841ED7"/>
    <w:rsid w:val="00842014"/>
    <w:rsid w:val="008424D3"/>
    <w:rsid w:val="0084254C"/>
    <w:rsid w:val="00843711"/>
    <w:rsid w:val="00843DBA"/>
    <w:rsid w:val="00843FF9"/>
    <w:rsid w:val="008440F3"/>
    <w:rsid w:val="00844516"/>
    <w:rsid w:val="008445C9"/>
    <w:rsid w:val="008447D2"/>
    <w:rsid w:val="00844B19"/>
    <w:rsid w:val="00844D40"/>
    <w:rsid w:val="00844D8E"/>
    <w:rsid w:val="00844E56"/>
    <w:rsid w:val="008450D9"/>
    <w:rsid w:val="008459D5"/>
    <w:rsid w:val="00845E64"/>
    <w:rsid w:val="008468E8"/>
    <w:rsid w:val="00846CC8"/>
    <w:rsid w:val="0084785B"/>
    <w:rsid w:val="00847D88"/>
    <w:rsid w:val="00850099"/>
    <w:rsid w:val="00850418"/>
    <w:rsid w:val="008509FB"/>
    <w:rsid w:val="00850BAB"/>
    <w:rsid w:val="00850ED4"/>
    <w:rsid w:val="008519C6"/>
    <w:rsid w:val="00851A56"/>
    <w:rsid w:val="00852223"/>
    <w:rsid w:val="00852A70"/>
    <w:rsid w:val="00852F7C"/>
    <w:rsid w:val="0085407B"/>
    <w:rsid w:val="008540F9"/>
    <w:rsid w:val="0085415C"/>
    <w:rsid w:val="0085441F"/>
    <w:rsid w:val="008549B4"/>
    <w:rsid w:val="00855082"/>
    <w:rsid w:val="008559C1"/>
    <w:rsid w:val="00855E7B"/>
    <w:rsid w:val="0085604E"/>
    <w:rsid w:val="008560A2"/>
    <w:rsid w:val="00856F27"/>
    <w:rsid w:val="00857A42"/>
    <w:rsid w:val="00860907"/>
    <w:rsid w:val="008612CE"/>
    <w:rsid w:val="00861946"/>
    <w:rsid w:val="00862760"/>
    <w:rsid w:val="00862893"/>
    <w:rsid w:val="0086378C"/>
    <w:rsid w:val="00864417"/>
    <w:rsid w:val="008646DB"/>
    <w:rsid w:val="00864AD1"/>
    <w:rsid w:val="00865514"/>
    <w:rsid w:val="00866197"/>
    <w:rsid w:val="0086625C"/>
    <w:rsid w:val="00866DF6"/>
    <w:rsid w:val="008673C5"/>
    <w:rsid w:val="008705FE"/>
    <w:rsid w:val="00870781"/>
    <w:rsid w:val="00871515"/>
    <w:rsid w:val="008718BD"/>
    <w:rsid w:val="00871DFF"/>
    <w:rsid w:val="0087379A"/>
    <w:rsid w:val="008737D3"/>
    <w:rsid w:val="00874B34"/>
    <w:rsid w:val="0087559C"/>
    <w:rsid w:val="00875FD8"/>
    <w:rsid w:val="008768BC"/>
    <w:rsid w:val="00877337"/>
    <w:rsid w:val="00877A15"/>
    <w:rsid w:val="00880504"/>
    <w:rsid w:val="00880A81"/>
    <w:rsid w:val="00881241"/>
    <w:rsid w:val="008816B1"/>
    <w:rsid w:val="008820F5"/>
    <w:rsid w:val="008826BD"/>
    <w:rsid w:val="0088285D"/>
    <w:rsid w:val="00882A8B"/>
    <w:rsid w:val="00882F37"/>
    <w:rsid w:val="008837EC"/>
    <w:rsid w:val="00883E1A"/>
    <w:rsid w:val="00883F78"/>
    <w:rsid w:val="0088568D"/>
    <w:rsid w:val="0088586B"/>
    <w:rsid w:val="008860D4"/>
    <w:rsid w:val="0088614C"/>
    <w:rsid w:val="008861BE"/>
    <w:rsid w:val="00886778"/>
    <w:rsid w:val="00886C39"/>
    <w:rsid w:val="00886E64"/>
    <w:rsid w:val="0088730F"/>
    <w:rsid w:val="00887E94"/>
    <w:rsid w:val="008906C0"/>
    <w:rsid w:val="00891AE1"/>
    <w:rsid w:val="00891BCD"/>
    <w:rsid w:val="00891C36"/>
    <w:rsid w:val="00892421"/>
    <w:rsid w:val="00892A28"/>
    <w:rsid w:val="00893432"/>
    <w:rsid w:val="008935CA"/>
    <w:rsid w:val="008938DA"/>
    <w:rsid w:val="00894779"/>
    <w:rsid w:val="00894987"/>
    <w:rsid w:val="00894CBB"/>
    <w:rsid w:val="00894CE4"/>
    <w:rsid w:val="00894FD2"/>
    <w:rsid w:val="00895945"/>
    <w:rsid w:val="008965A6"/>
    <w:rsid w:val="008970C5"/>
    <w:rsid w:val="008A02BC"/>
    <w:rsid w:val="008A044E"/>
    <w:rsid w:val="008A0562"/>
    <w:rsid w:val="008A0B08"/>
    <w:rsid w:val="008A191D"/>
    <w:rsid w:val="008A1EC3"/>
    <w:rsid w:val="008A2387"/>
    <w:rsid w:val="008A2540"/>
    <w:rsid w:val="008A358F"/>
    <w:rsid w:val="008A3C1A"/>
    <w:rsid w:val="008A3D99"/>
    <w:rsid w:val="008A5218"/>
    <w:rsid w:val="008A5313"/>
    <w:rsid w:val="008A5C44"/>
    <w:rsid w:val="008A5FCB"/>
    <w:rsid w:val="008A6035"/>
    <w:rsid w:val="008A78C0"/>
    <w:rsid w:val="008A7AC6"/>
    <w:rsid w:val="008B03C2"/>
    <w:rsid w:val="008B0728"/>
    <w:rsid w:val="008B0B37"/>
    <w:rsid w:val="008B1191"/>
    <w:rsid w:val="008B1CE8"/>
    <w:rsid w:val="008B3BB9"/>
    <w:rsid w:val="008B4D63"/>
    <w:rsid w:val="008B4D79"/>
    <w:rsid w:val="008B50AD"/>
    <w:rsid w:val="008B52AE"/>
    <w:rsid w:val="008B5550"/>
    <w:rsid w:val="008B5778"/>
    <w:rsid w:val="008B5865"/>
    <w:rsid w:val="008B626A"/>
    <w:rsid w:val="008B6715"/>
    <w:rsid w:val="008B6F4F"/>
    <w:rsid w:val="008B7F02"/>
    <w:rsid w:val="008C06A0"/>
    <w:rsid w:val="008C0A8E"/>
    <w:rsid w:val="008C0A9C"/>
    <w:rsid w:val="008C1184"/>
    <w:rsid w:val="008C1719"/>
    <w:rsid w:val="008C2E44"/>
    <w:rsid w:val="008C2E7D"/>
    <w:rsid w:val="008C32FC"/>
    <w:rsid w:val="008C39C9"/>
    <w:rsid w:val="008C3EEC"/>
    <w:rsid w:val="008C440F"/>
    <w:rsid w:val="008C5CDF"/>
    <w:rsid w:val="008C6EF2"/>
    <w:rsid w:val="008C776F"/>
    <w:rsid w:val="008D0CB2"/>
    <w:rsid w:val="008D0F57"/>
    <w:rsid w:val="008D100F"/>
    <w:rsid w:val="008D2F71"/>
    <w:rsid w:val="008D33C4"/>
    <w:rsid w:val="008D44BF"/>
    <w:rsid w:val="008D4B94"/>
    <w:rsid w:val="008D5110"/>
    <w:rsid w:val="008D5333"/>
    <w:rsid w:val="008D5BEB"/>
    <w:rsid w:val="008D5C4E"/>
    <w:rsid w:val="008D6613"/>
    <w:rsid w:val="008D7135"/>
    <w:rsid w:val="008D7656"/>
    <w:rsid w:val="008D7721"/>
    <w:rsid w:val="008D7F71"/>
    <w:rsid w:val="008E03B4"/>
    <w:rsid w:val="008E08C2"/>
    <w:rsid w:val="008E11BF"/>
    <w:rsid w:val="008E13E6"/>
    <w:rsid w:val="008E1D83"/>
    <w:rsid w:val="008E23B2"/>
    <w:rsid w:val="008E2536"/>
    <w:rsid w:val="008E27A7"/>
    <w:rsid w:val="008E2FEA"/>
    <w:rsid w:val="008E3432"/>
    <w:rsid w:val="008E3595"/>
    <w:rsid w:val="008E3B4F"/>
    <w:rsid w:val="008E475E"/>
    <w:rsid w:val="008E50F4"/>
    <w:rsid w:val="008E5693"/>
    <w:rsid w:val="008E74A1"/>
    <w:rsid w:val="008E763E"/>
    <w:rsid w:val="008E77C1"/>
    <w:rsid w:val="008E7C98"/>
    <w:rsid w:val="008F0117"/>
    <w:rsid w:val="008F0E94"/>
    <w:rsid w:val="008F2DD7"/>
    <w:rsid w:val="008F35A8"/>
    <w:rsid w:val="008F38F0"/>
    <w:rsid w:val="008F3ABB"/>
    <w:rsid w:val="008F3B3E"/>
    <w:rsid w:val="008F3CE3"/>
    <w:rsid w:val="008F41CC"/>
    <w:rsid w:val="008F43FB"/>
    <w:rsid w:val="008F4FCB"/>
    <w:rsid w:val="008F5154"/>
    <w:rsid w:val="008F5BD2"/>
    <w:rsid w:val="008F5DCE"/>
    <w:rsid w:val="008F63AD"/>
    <w:rsid w:val="008F64EA"/>
    <w:rsid w:val="008F6716"/>
    <w:rsid w:val="009004A3"/>
    <w:rsid w:val="00900973"/>
    <w:rsid w:val="00900A5E"/>
    <w:rsid w:val="00901048"/>
    <w:rsid w:val="009014B5"/>
    <w:rsid w:val="00902660"/>
    <w:rsid w:val="00902B71"/>
    <w:rsid w:val="009033C8"/>
    <w:rsid w:val="00903517"/>
    <w:rsid w:val="009038EA"/>
    <w:rsid w:val="00904CA1"/>
    <w:rsid w:val="009051BB"/>
    <w:rsid w:val="00905359"/>
    <w:rsid w:val="009069E4"/>
    <w:rsid w:val="0090751C"/>
    <w:rsid w:val="009079AE"/>
    <w:rsid w:val="009104FD"/>
    <w:rsid w:val="00910699"/>
    <w:rsid w:val="009106D6"/>
    <w:rsid w:val="00910713"/>
    <w:rsid w:val="009107A6"/>
    <w:rsid w:val="00911A77"/>
    <w:rsid w:val="00911BDF"/>
    <w:rsid w:val="00912282"/>
    <w:rsid w:val="009126F8"/>
    <w:rsid w:val="00912885"/>
    <w:rsid w:val="00912947"/>
    <w:rsid w:val="00912DF3"/>
    <w:rsid w:val="0091378E"/>
    <w:rsid w:val="009138E4"/>
    <w:rsid w:val="00913C7C"/>
    <w:rsid w:val="00913D36"/>
    <w:rsid w:val="00914018"/>
    <w:rsid w:val="009140AD"/>
    <w:rsid w:val="009143D8"/>
    <w:rsid w:val="00915167"/>
    <w:rsid w:val="00915365"/>
    <w:rsid w:val="0091587E"/>
    <w:rsid w:val="00916184"/>
    <w:rsid w:val="00916773"/>
    <w:rsid w:val="0091731A"/>
    <w:rsid w:val="00917D86"/>
    <w:rsid w:val="0092070A"/>
    <w:rsid w:val="00921677"/>
    <w:rsid w:val="00921E08"/>
    <w:rsid w:val="00921F1B"/>
    <w:rsid w:val="00924DCB"/>
    <w:rsid w:val="00924EF4"/>
    <w:rsid w:val="009258BF"/>
    <w:rsid w:val="0092682B"/>
    <w:rsid w:val="00926F84"/>
    <w:rsid w:val="0092735F"/>
    <w:rsid w:val="009278BC"/>
    <w:rsid w:val="00927F5F"/>
    <w:rsid w:val="009309F0"/>
    <w:rsid w:val="00930E0A"/>
    <w:rsid w:val="00931744"/>
    <w:rsid w:val="00931E7F"/>
    <w:rsid w:val="0093251A"/>
    <w:rsid w:val="00932BD3"/>
    <w:rsid w:val="00932C6E"/>
    <w:rsid w:val="009332FD"/>
    <w:rsid w:val="009335A0"/>
    <w:rsid w:val="00933807"/>
    <w:rsid w:val="00933E2F"/>
    <w:rsid w:val="00934032"/>
    <w:rsid w:val="009340B1"/>
    <w:rsid w:val="009341BB"/>
    <w:rsid w:val="00934F7B"/>
    <w:rsid w:val="009359BC"/>
    <w:rsid w:val="00936834"/>
    <w:rsid w:val="00936B54"/>
    <w:rsid w:val="00937ACD"/>
    <w:rsid w:val="009402BA"/>
    <w:rsid w:val="00940383"/>
    <w:rsid w:val="009403AD"/>
    <w:rsid w:val="0094066C"/>
    <w:rsid w:val="00940DE7"/>
    <w:rsid w:val="009426D8"/>
    <w:rsid w:val="0094281E"/>
    <w:rsid w:val="00942A3F"/>
    <w:rsid w:val="00942FFC"/>
    <w:rsid w:val="00943DB1"/>
    <w:rsid w:val="009452A4"/>
    <w:rsid w:val="00945F25"/>
    <w:rsid w:val="009463F8"/>
    <w:rsid w:val="00946704"/>
    <w:rsid w:val="009469AF"/>
    <w:rsid w:val="0094711E"/>
    <w:rsid w:val="00950469"/>
    <w:rsid w:val="00950586"/>
    <w:rsid w:val="00950893"/>
    <w:rsid w:val="00951077"/>
    <w:rsid w:val="00951713"/>
    <w:rsid w:val="00951B2B"/>
    <w:rsid w:val="00951B4B"/>
    <w:rsid w:val="009523F5"/>
    <w:rsid w:val="00952791"/>
    <w:rsid w:val="0095289F"/>
    <w:rsid w:val="009528A2"/>
    <w:rsid w:val="00952ACE"/>
    <w:rsid w:val="00952B22"/>
    <w:rsid w:val="00952BBF"/>
    <w:rsid w:val="00953700"/>
    <w:rsid w:val="00955B24"/>
    <w:rsid w:val="009563D3"/>
    <w:rsid w:val="00956434"/>
    <w:rsid w:val="00956764"/>
    <w:rsid w:val="00956E09"/>
    <w:rsid w:val="00957CAE"/>
    <w:rsid w:val="00957FD6"/>
    <w:rsid w:val="00960B82"/>
    <w:rsid w:val="00962870"/>
    <w:rsid w:val="00963467"/>
    <w:rsid w:val="009634D0"/>
    <w:rsid w:val="00963643"/>
    <w:rsid w:val="00963CE2"/>
    <w:rsid w:val="009646A0"/>
    <w:rsid w:val="00964739"/>
    <w:rsid w:val="00964BBF"/>
    <w:rsid w:val="00964E60"/>
    <w:rsid w:val="0096662A"/>
    <w:rsid w:val="009668D0"/>
    <w:rsid w:val="00966A29"/>
    <w:rsid w:val="00967105"/>
    <w:rsid w:val="009675DD"/>
    <w:rsid w:val="009678BA"/>
    <w:rsid w:val="00967CF4"/>
    <w:rsid w:val="00967E38"/>
    <w:rsid w:val="009701A9"/>
    <w:rsid w:val="009704E2"/>
    <w:rsid w:val="009705F9"/>
    <w:rsid w:val="009712AB"/>
    <w:rsid w:val="00971C65"/>
    <w:rsid w:val="00972149"/>
    <w:rsid w:val="00972435"/>
    <w:rsid w:val="00972492"/>
    <w:rsid w:val="00972626"/>
    <w:rsid w:val="00973800"/>
    <w:rsid w:val="00974372"/>
    <w:rsid w:val="009743E9"/>
    <w:rsid w:val="009749F6"/>
    <w:rsid w:val="00975220"/>
    <w:rsid w:val="009766DF"/>
    <w:rsid w:val="00976AE6"/>
    <w:rsid w:val="00977484"/>
    <w:rsid w:val="00977513"/>
    <w:rsid w:val="00977A3B"/>
    <w:rsid w:val="00977E2B"/>
    <w:rsid w:val="0098346B"/>
    <w:rsid w:val="00983625"/>
    <w:rsid w:val="00983DC6"/>
    <w:rsid w:val="009847C0"/>
    <w:rsid w:val="00984AD2"/>
    <w:rsid w:val="00984B50"/>
    <w:rsid w:val="009852FC"/>
    <w:rsid w:val="0098546D"/>
    <w:rsid w:val="00986A23"/>
    <w:rsid w:val="00987123"/>
    <w:rsid w:val="00987B50"/>
    <w:rsid w:val="00990E3D"/>
    <w:rsid w:val="0099165A"/>
    <w:rsid w:val="00991949"/>
    <w:rsid w:val="0099284F"/>
    <w:rsid w:val="00992D3E"/>
    <w:rsid w:val="00993131"/>
    <w:rsid w:val="00993D73"/>
    <w:rsid w:val="009940CA"/>
    <w:rsid w:val="0099440A"/>
    <w:rsid w:val="00995025"/>
    <w:rsid w:val="00995F7F"/>
    <w:rsid w:val="009972A9"/>
    <w:rsid w:val="009975EA"/>
    <w:rsid w:val="00997960"/>
    <w:rsid w:val="009A04D5"/>
    <w:rsid w:val="009A06CD"/>
    <w:rsid w:val="009A079C"/>
    <w:rsid w:val="009A0A64"/>
    <w:rsid w:val="009A0DE8"/>
    <w:rsid w:val="009A1460"/>
    <w:rsid w:val="009A185D"/>
    <w:rsid w:val="009A1F03"/>
    <w:rsid w:val="009A32C0"/>
    <w:rsid w:val="009A4049"/>
    <w:rsid w:val="009A4CFE"/>
    <w:rsid w:val="009A5CEC"/>
    <w:rsid w:val="009A5EFF"/>
    <w:rsid w:val="009A613B"/>
    <w:rsid w:val="009A620C"/>
    <w:rsid w:val="009A7451"/>
    <w:rsid w:val="009B11DB"/>
    <w:rsid w:val="009B12CA"/>
    <w:rsid w:val="009B13DE"/>
    <w:rsid w:val="009B1DA6"/>
    <w:rsid w:val="009B2718"/>
    <w:rsid w:val="009B31CC"/>
    <w:rsid w:val="009B34C9"/>
    <w:rsid w:val="009B38C6"/>
    <w:rsid w:val="009B4419"/>
    <w:rsid w:val="009B47DD"/>
    <w:rsid w:val="009B4CBF"/>
    <w:rsid w:val="009B5B71"/>
    <w:rsid w:val="009B5EEA"/>
    <w:rsid w:val="009B6C0A"/>
    <w:rsid w:val="009B7D80"/>
    <w:rsid w:val="009C0AD8"/>
    <w:rsid w:val="009C1AD5"/>
    <w:rsid w:val="009C2C87"/>
    <w:rsid w:val="009C386A"/>
    <w:rsid w:val="009C44BA"/>
    <w:rsid w:val="009C4D7F"/>
    <w:rsid w:val="009C545B"/>
    <w:rsid w:val="009C5A30"/>
    <w:rsid w:val="009C6096"/>
    <w:rsid w:val="009C61AF"/>
    <w:rsid w:val="009C65F4"/>
    <w:rsid w:val="009C6764"/>
    <w:rsid w:val="009C6FA9"/>
    <w:rsid w:val="009C79EA"/>
    <w:rsid w:val="009D0322"/>
    <w:rsid w:val="009D061E"/>
    <w:rsid w:val="009D0A40"/>
    <w:rsid w:val="009D0B54"/>
    <w:rsid w:val="009D255D"/>
    <w:rsid w:val="009D2DAA"/>
    <w:rsid w:val="009D2FEC"/>
    <w:rsid w:val="009D3D8C"/>
    <w:rsid w:val="009D3F45"/>
    <w:rsid w:val="009D40CA"/>
    <w:rsid w:val="009D6486"/>
    <w:rsid w:val="009D6578"/>
    <w:rsid w:val="009D7125"/>
    <w:rsid w:val="009D7539"/>
    <w:rsid w:val="009D7B4A"/>
    <w:rsid w:val="009D7D39"/>
    <w:rsid w:val="009D7E78"/>
    <w:rsid w:val="009E0A01"/>
    <w:rsid w:val="009E23EA"/>
    <w:rsid w:val="009E3145"/>
    <w:rsid w:val="009E43FB"/>
    <w:rsid w:val="009E5B33"/>
    <w:rsid w:val="009E5D4E"/>
    <w:rsid w:val="009E6EA4"/>
    <w:rsid w:val="009E769E"/>
    <w:rsid w:val="009F03EA"/>
    <w:rsid w:val="009F04E4"/>
    <w:rsid w:val="009F0D5F"/>
    <w:rsid w:val="009F185C"/>
    <w:rsid w:val="009F1AA8"/>
    <w:rsid w:val="009F272F"/>
    <w:rsid w:val="009F2B4B"/>
    <w:rsid w:val="009F40A7"/>
    <w:rsid w:val="009F4378"/>
    <w:rsid w:val="009F4EF4"/>
    <w:rsid w:val="009F593F"/>
    <w:rsid w:val="009F6CB3"/>
    <w:rsid w:val="009F75D8"/>
    <w:rsid w:val="009F7976"/>
    <w:rsid w:val="00A00DA3"/>
    <w:rsid w:val="00A01459"/>
    <w:rsid w:val="00A01824"/>
    <w:rsid w:val="00A01992"/>
    <w:rsid w:val="00A022B5"/>
    <w:rsid w:val="00A02777"/>
    <w:rsid w:val="00A040CC"/>
    <w:rsid w:val="00A05DD3"/>
    <w:rsid w:val="00A06644"/>
    <w:rsid w:val="00A11792"/>
    <w:rsid w:val="00A119EE"/>
    <w:rsid w:val="00A128E9"/>
    <w:rsid w:val="00A13299"/>
    <w:rsid w:val="00A138EE"/>
    <w:rsid w:val="00A13FDB"/>
    <w:rsid w:val="00A14560"/>
    <w:rsid w:val="00A147DC"/>
    <w:rsid w:val="00A15768"/>
    <w:rsid w:val="00A15D7F"/>
    <w:rsid w:val="00A1719B"/>
    <w:rsid w:val="00A17780"/>
    <w:rsid w:val="00A17F14"/>
    <w:rsid w:val="00A20EF8"/>
    <w:rsid w:val="00A21262"/>
    <w:rsid w:val="00A2200B"/>
    <w:rsid w:val="00A222D9"/>
    <w:rsid w:val="00A2275B"/>
    <w:rsid w:val="00A22AA9"/>
    <w:rsid w:val="00A2343D"/>
    <w:rsid w:val="00A2373E"/>
    <w:rsid w:val="00A23ED3"/>
    <w:rsid w:val="00A24E2D"/>
    <w:rsid w:val="00A25364"/>
    <w:rsid w:val="00A2548B"/>
    <w:rsid w:val="00A2574D"/>
    <w:rsid w:val="00A257F7"/>
    <w:rsid w:val="00A258BB"/>
    <w:rsid w:val="00A25931"/>
    <w:rsid w:val="00A259AD"/>
    <w:rsid w:val="00A26DA3"/>
    <w:rsid w:val="00A26EF6"/>
    <w:rsid w:val="00A27B68"/>
    <w:rsid w:val="00A30C96"/>
    <w:rsid w:val="00A31196"/>
    <w:rsid w:val="00A319A4"/>
    <w:rsid w:val="00A3200C"/>
    <w:rsid w:val="00A32B39"/>
    <w:rsid w:val="00A3440A"/>
    <w:rsid w:val="00A349C8"/>
    <w:rsid w:val="00A35039"/>
    <w:rsid w:val="00A3622B"/>
    <w:rsid w:val="00A36EBA"/>
    <w:rsid w:val="00A37AB9"/>
    <w:rsid w:val="00A40C98"/>
    <w:rsid w:val="00A41072"/>
    <w:rsid w:val="00A41F1F"/>
    <w:rsid w:val="00A4247C"/>
    <w:rsid w:val="00A425C5"/>
    <w:rsid w:val="00A42FE8"/>
    <w:rsid w:val="00A44CD7"/>
    <w:rsid w:val="00A46D79"/>
    <w:rsid w:val="00A46E52"/>
    <w:rsid w:val="00A47242"/>
    <w:rsid w:val="00A47BC4"/>
    <w:rsid w:val="00A51112"/>
    <w:rsid w:val="00A51753"/>
    <w:rsid w:val="00A533BF"/>
    <w:rsid w:val="00A536BE"/>
    <w:rsid w:val="00A53996"/>
    <w:rsid w:val="00A53DE2"/>
    <w:rsid w:val="00A541B8"/>
    <w:rsid w:val="00A54220"/>
    <w:rsid w:val="00A5422B"/>
    <w:rsid w:val="00A544F5"/>
    <w:rsid w:val="00A547D0"/>
    <w:rsid w:val="00A5497B"/>
    <w:rsid w:val="00A55501"/>
    <w:rsid w:val="00A55A1E"/>
    <w:rsid w:val="00A56AE2"/>
    <w:rsid w:val="00A60306"/>
    <w:rsid w:val="00A6094E"/>
    <w:rsid w:val="00A60DC7"/>
    <w:rsid w:val="00A61713"/>
    <w:rsid w:val="00A61807"/>
    <w:rsid w:val="00A62032"/>
    <w:rsid w:val="00A6243E"/>
    <w:rsid w:val="00A63057"/>
    <w:rsid w:val="00A63B14"/>
    <w:rsid w:val="00A64107"/>
    <w:rsid w:val="00A6583D"/>
    <w:rsid w:val="00A65AD1"/>
    <w:rsid w:val="00A66F6C"/>
    <w:rsid w:val="00A676E3"/>
    <w:rsid w:val="00A71F5C"/>
    <w:rsid w:val="00A723AF"/>
    <w:rsid w:val="00A72AC1"/>
    <w:rsid w:val="00A73AA6"/>
    <w:rsid w:val="00A73F3C"/>
    <w:rsid w:val="00A7488A"/>
    <w:rsid w:val="00A74BD9"/>
    <w:rsid w:val="00A75E22"/>
    <w:rsid w:val="00A76E70"/>
    <w:rsid w:val="00A77A68"/>
    <w:rsid w:val="00A80F82"/>
    <w:rsid w:val="00A83D4F"/>
    <w:rsid w:val="00A84120"/>
    <w:rsid w:val="00A8484A"/>
    <w:rsid w:val="00A84977"/>
    <w:rsid w:val="00A8565C"/>
    <w:rsid w:val="00A85C25"/>
    <w:rsid w:val="00A870B4"/>
    <w:rsid w:val="00A875F4"/>
    <w:rsid w:val="00A87999"/>
    <w:rsid w:val="00A87A1E"/>
    <w:rsid w:val="00A901AB"/>
    <w:rsid w:val="00A90DEA"/>
    <w:rsid w:val="00A90F3D"/>
    <w:rsid w:val="00A90FD0"/>
    <w:rsid w:val="00A9138E"/>
    <w:rsid w:val="00A91DBD"/>
    <w:rsid w:val="00A920B7"/>
    <w:rsid w:val="00A934E0"/>
    <w:rsid w:val="00A935C0"/>
    <w:rsid w:val="00A94625"/>
    <w:rsid w:val="00A959AF"/>
    <w:rsid w:val="00A967CC"/>
    <w:rsid w:val="00A96F3D"/>
    <w:rsid w:val="00A97453"/>
    <w:rsid w:val="00AA08A4"/>
    <w:rsid w:val="00AA0FA3"/>
    <w:rsid w:val="00AA1601"/>
    <w:rsid w:val="00AA1B1F"/>
    <w:rsid w:val="00AA20B6"/>
    <w:rsid w:val="00AA2342"/>
    <w:rsid w:val="00AA3407"/>
    <w:rsid w:val="00AA3741"/>
    <w:rsid w:val="00AA3978"/>
    <w:rsid w:val="00AA47D5"/>
    <w:rsid w:val="00AA4AE6"/>
    <w:rsid w:val="00AA5C9E"/>
    <w:rsid w:val="00AA5D5F"/>
    <w:rsid w:val="00AA705F"/>
    <w:rsid w:val="00AA72DB"/>
    <w:rsid w:val="00AA7547"/>
    <w:rsid w:val="00AA75D9"/>
    <w:rsid w:val="00AA775E"/>
    <w:rsid w:val="00AB045B"/>
    <w:rsid w:val="00AB094A"/>
    <w:rsid w:val="00AB21F1"/>
    <w:rsid w:val="00AB35B1"/>
    <w:rsid w:val="00AB4098"/>
    <w:rsid w:val="00AB4B32"/>
    <w:rsid w:val="00AB58B9"/>
    <w:rsid w:val="00AB6312"/>
    <w:rsid w:val="00AB637A"/>
    <w:rsid w:val="00AB68FF"/>
    <w:rsid w:val="00AB6F35"/>
    <w:rsid w:val="00AB7120"/>
    <w:rsid w:val="00AB7394"/>
    <w:rsid w:val="00AB7400"/>
    <w:rsid w:val="00AB7D15"/>
    <w:rsid w:val="00AC03C9"/>
    <w:rsid w:val="00AC0CF5"/>
    <w:rsid w:val="00AC0D1E"/>
    <w:rsid w:val="00AC0E96"/>
    <w:rsid w:val="00AC121E"/>
    <w:rsid w:val="00AC219A"/>
    <w:rsid w:val="00AC371B"/>
    <w:rsid w:val="00AC3BE2"/>
    <w:rsid w:val="00AC4F06"/>
    <w:rsid w:val="00AC5344"/>
    <w:rsid w:val="00AC5A43"/>
    <w:rsid w:val="00AC5A4B"/>
    <w:rsid w:val="00AC5BBB"/>
    <w:rsid w:val="00AC753A"/>
    <w:rsid w:val="00AC7975"/>
    <w:rsid w:val="00AD1099"/>
    <w:rsid w:val="00AD3791"/>
    <w:rsid w:val="00AD4752"/>
    <w:rsid w:val="00AD4AAC"/>
    <w:rsid w:val="00AD4EC1"/>
    <w:rsid w:val="00AD50E0"/>
    <w:rsid w:val="00AD5F48"/>
    <w:rsid w:val="00AD6460"/>
    <w:rsid w:val="00AD669B"/>
    <w:rsid w:val="00AD6BA0"/>
    <w:rsid w:val="00AD6E28"/>
    <w:rsid w:val="00AE0F76"/>
    <w:rsid w:val="00AE1875"/>
    <w:rsid w:val="00AE2A66"/>
    <w:rsid w:val="00AE2EBC"/>
    <w:rsid w:val="00AE2EFA"/>
    <w:rsid w:val="00AE3C9C"/>
    <w:rsid w:val="00AE4A2C"/>
    <w:rsid w:val="00AE4D99"/>
    <w:rsid w:val="00AE52C3"/>
    <w:rsid w:val="00AE57E5"/>
    <w:rsid w:val="00AE64D8"/>
    <w:rsid w:val="00AE64FB"/>
    <w:rsid w:val="00AE6C4E"/>
    <w:rsid w:val="00AE6C82"/>
    <w:rsid w:val="00AE76AC"/>
    <w:rsid w:val="00AE7E42"/>
    <w:rsid w:val="00AE7FDF"/>
    <w:rsid w:val="00AF01DD"/>
    <w:rsid w:val="00AF17DD"/>
    <w:rsid w:val="00AF18FF"/>
    <w:rsid w:val="00AF1F5B"/>
    <w:rsid w:val="00AF1FEE"/>
    <w:rsid w:val="00AF331D"/>
    <w:rsid w:val="00AF3844"/>
    <w:rsid w:val="00AF3B57"/>
    <w:rsid w:val="00AF3BEB"/>
    <w:rsid w:val="00AF4049"/>
    <w:rsid w:val="00AF41DD"/>
    <w:rsid w:val="00AF4D54"/>
    <w:rsid w:val="00AF4F38"/>
    <w:rsid w:val="00AF57C4"/>
    <w:rsid w:val="00AF5BB4"/>
    <w:rsid w:val="00AF5BC4"/>
    <w:rsid w:val="00AF6208"/>
    <w:rsid w:val="00AF76C9"/>
    <w:rsid w:val="00AF7CAF"/>
    <w:rsid w:val="00B00094"/>
    <w:rsid w:val="00B00AD5"/>
    <w:rsid w:val="00B01AFA"/>
    <w:rsid w:val="00B02C53"/>
    <w:rsid w:val="00B03BB1"/>
    <w:rsid w:val="00B042FB"/>
    <w:rsid w:val="00B05C25"/>
    <w:rsid w:val="00B061DC"/>
    <w:rsid w:val="00B06A36"/>
    <w:rsid w:val="00B077DA"/>
    <w:rsid w:val="00B07990"/>
    <w:rsid w:val="00B105F9"/>
    <w:rsid w:val="00B10FF9"/>
    <w:rsid w:val="00B11178"/>
    <w:rsid w:val="00B1163B"/>
    <w:rsid w:val="00B11FA1"/>
    <w:rsid w:val="00B1234E"/>
    <w:rsid w:val="00B13EB1"/>
    <w:rsid w:val="00B13F57"/>
    <w:rsid w:val="00B14124"/>
    <w:rsid w:val="00B149CF"/>
    <w:rsid w:val="00B153F7"/>
    <w:rsid w:val="00B15EB9"/>
    <w:rsid w:val="00B15F11"/>
    <w:rsid w:val="00B163A9"/>
    <w:rsid w:val="00B165F9"/>
    <w:rsid w:val="00B16E22"/>
    <w:rsid w:val="00B17613"/>
    <w:rsid w:val="00B17844"/>
    <w:rsid w:val="00B17BB3"/>
    <w:rsid w:val="00B202B0"/>
    <w:rsid w:val="00B20C04"/>
    <w:rsid w:val="00B21188"/>
    <w:rsid w:val="00B2119C"/>
    <w:rsid w:val="00B219CC"/>
    <w:rsid w:val="00B21A8B"/>
    <w:rsid w:val="00B21CE9"/>
    <w:rsid w:val="00B231E7"/>
    <w:rsid w:val="00B2351B"/>
    <w:rsid w:val="00B23B7C"/>
    <w:rsid w:val="00B2423B"/>
    <w:rsid w:val="00B2465D"/>
    <w:rsid w:val="00B24995"/>
    <w:rsid w:val="00B257D5"/>
    <w:rsid w:val="00B25E34"/>
    <w:rsid w:val="00B25F07"/>
    <w:rsid w:val="00B25F17"/>
    <w:rsid w:val="00B305C4"/>
    <w:rsid w:val="00B31751"/>
    <w:rsid w:val="00B31E70"/>
    <w:rsid w:val="00B328B1"/>
    <w:rsid w:val="00B33A7B"/>
    <w:rsid w:val="00B33A9F"/>
    <w:rsid w:val="00B33E40"/>
    <w:rsid w:val="00B33E5E"/>
    <w:rsid w:val="00B3406E"/>
    <w:rsid w:val="00B34953"/>
    <w:rsid w:val="00B35D1F"/>
    <w:rsid w:val="00B366DE"/>
    <w:rsid w:val="00B36D2D"/>
    <w:rsid w:val="00B3747E"/>
    <w:rsid w:val="00B37687"/>
    <w:rsid w:val="00B3797F"/>
    <w:rsid w:val="00B409D6"/>
    <w:rsid w:val="00B40A8D"/>
    <w:rsid w:val="00B40BF2"/>
    <w:rsid w:val="00B438BD"/>
    <w:rsid w:val="00B43A7E"/>
    <w:rsid w:val="00B43FCF"/>
    <w:rsid w:val="00B44C2C"/>
    <w:rsid w:val="00B45D2A"/>
    <w:rsid w:val="00B46531"/>
    <w:rsid w:val="00B4669F"/>
    <w:rsid w:val="00B467CE"/>
    <w:rsid w:val="00B46AEF"/>
    <w:rsid w:val="00B46DB5"/>
    <w:rsid w:val="00B47D50"/>
    <w:rsid w:val="00B50896"/>
    <w:rsid w:val="00B509D0"/>
    <w:rsid w:val="00B513FF"/>
    <w:rsid w:val="00B51DB9"/>
    <w:rsid w:val="00B521A7"/>
    <w:rsid w:val="00B52479"/>
    <w:rsid w:val="00B5286C"/>
    <w:rsid w:val="00B531EF"/>
    <w:rsid w:val="00B546A5"/>
    <w:rsid w:val="00B54B1E"/>
    <w:rsid w:val="00B55906"/>
    <w:rsid w:val="00B55E06"/>
    <w:rsid w:val="00B5641C"/>
    <w:rsid w:val="00B5642F"/>
    <w:rsid w:val="00B56A40"/>
    <w:rsid w:val="00B56BF2"/>
    <w:rsid w:val="00B56C26"/>
    <w:rsid w:val="00B56C76"/>
    <w:rsid w:val="00B56E2D"/>
    <w:rsid w:val="00B579ED"/>
    <w:rsid w:val="00B57B0B"/>
    <w:rsid w:val="00B57C7D"/>
    <w:rsid w:val="00B60091"/>
    <w:rsid w:val="00B60A33"/>
    <w:rsid w:val="00B60AAC"/>
    <w:rsid w:val="00B6110E"/>
    <w:rsid w:val="00B622D0"/>
    <w:rsid w:val="00B62660"/>
    <w:rsid w:val="00B62AF2"/>
    <w:rsid w:val="00B62B97"/>
    <w:rsid w:val="00B63501"/>
    <w:rsid w:val="00B63519"/>
    <w:rsid w:val="00B63A0A"/>
    <w:rsid w:val="00B64D04"/>
    <w:rsid w:val="00B64E72"/>
    <w:rsid w:val="00B652EF"/>
    <w:rsid w:val="00B65350"/>
    <w:rsid w:val="00B659ED"/>
    <w:rsid w:val="00B662BB"/>
    <w:rsid w:val="00B66DFE"/>
    <w:rsid w:val="00B66F86"/>
    <w:rsid w:val="00B6788D"/>
    <w:rsid w:val="00B67A1B"/>
    <w:rsid w:val="00B70364"/>
    <w:rsid w:val="00B70BD5"/>
    <w:rsid w:val="00B72D16"/>
    <w:rsid w:val="00B72DE3"/>
    <w:rsid w:val="00B73021"/>
    <w:rsid w:val="00B73435"/>
    <w:rsid w:val="00B73C87"/>
    <w:rsid w:val="00B7564B"/>
    <w:rsid w:val="00B760D6"/>
    <w:rsid w:val="00B76489"/>
    <w:rsid w:val="00B76BB6"/>
    <w:rsid w:val="00B770ED"/>
    <w:rsid w:val="00B806A2"/>
    <w:rsid w:val="00B806F8"/>
    <w:rsid w:val="00B80BAB"/>
    <w:rsid w:val="00B81E73"/>
    <w:rsid w:val="00B83985"/>
    <w:rsid w:val="00B85BB4"/>
    <w:rsid w:val="00B86E40"/>
    <w:rsid w:val="00B870D6"/>
    <w:rsid w:val="00B87899"/>
    <w:rsid w:val="00B90529"/>
    <w:rsid w:val="00B90C99"/>
    <w:rsid w:val="00B90DC7"/>
    <w:rsid w:val="00B90F16"/>
    <w:rsid w:val="00B910D4"/>
    <w:rsid w:val="00B917A3"/>
    <w:rsid w:val="00B91E84"/>
    <w:rsid w:val="00B92A2F"/>
    <w:rsid w:val="00B933E7"/>
    <w:rsid w:val="00B93959"/>
    <w:rsid w:val="00B93AD3"/>
    <w:rsid w:val="00B93CA7"/>
    <w:rsid w:val="00B94426"/>
    <w:rsid w:val="00B94A1C"/>
    <w:rsid w:val="00B94C3D"/>
    <w:rsid w:val="00B9559D"/>
    <w:rsid w:val="00B966A6"/>
    <w:rsid w:val="00B967A9"/>
    <w:rsid w:val="00B979D2"/>
    <w:rsid w:val="00BA0BAB"/>
    <w:rsid w:val="00BA127F"/>
    <w:rsid w:val="00BA2A3A"/>
    <w:rsid w:val="00BA2D6E"/>
    <w:rsid w:val="00BA364B"/>
    <w:rsid w:val="00BA3715"/>
    <w:rsid w:val="00BA3E58"/>
    <w:rsid w:val="00BA46E3"/>
    <w:rsid w:val="00BA49CC"/>
    <w:rsid w:val="00BA504D"/>
    <w:rsid w:val="00BA6313"/>
    <w:rsid w:val="00BA6345"/>
    <w:rsid w:val="00BA67BF"/>
    <w:rsid w:val="00BA67E7"/>
    <w:rsid w:val="00BA724B"/>
    <w:rsid w:val="00BA7568"/>
    <w:rsid w:val="00BA7762"/>
    <w:rsid w:val="00BA7790"/>
    <w:rsid w:val="00BA7C84"/>
    <w:rsid w:val="00BB0355"/>
    <w:rsid w:val="00BB155D"/>
    <w:rsid w:val="00BB1805"/>
    <w:rsid w:val="00BB1C04"/>
    <w:rsid w:val="00BB327B"/>
    <w:rsid w:val="00BB41C6"/>
    <w:rsid w:val="00BB4A91"/>
    <w:rsid w:val="00BB6A57"/>
    <w:rsid w:val="00BB7073"/>
    <w:rsid w:val="00BB7156"/>
    <w:rsid w:val="00BB7174"/>
    <w:rsid w:val="00BB78B5"/>
    <w:rsid w:val="00BC01ED"/>
    <w:rsid w:val="00BC0432"/>
    <w:rsid w:val="00BC0844"/>
    <w:rsid w:val="00BC0F2F"/>
    <w:rsid w:val="00BC13E2"/>
    <w:rsid w:val="00BC22F8"/>
    <w:rsid w:val="00BC27CA"/>
    <w:rsid w:val="00BC2929"/>
    <w:rsid w:val="00BC2F94"/>
    <w:rsid w:val="00BC37B0"/>
    <w:rsid w:val="00BC3807"/>
    <w:rsid w:val="00BC3C81"/>
    <w:rsid w:val="00BC4254"/>
    <w:rsid w:val="00BC5794"/>
    <w:rsid w:val="00BC6144"/>
    <w:rsid w:val="00BC6D17"/>
    <w:rsid w:val="00BD01C0"/>
    <w:rsid w:val="00BD0249"/>
    <w:rsid w:val="00BD0467"/>
    <w:rsid w:val="00BD0893"/>
    <w:rsid w:val="00BD090D"/>
    <w:rsid w:val="00BD0C59"/>
    <w:rsid w:val="00BD0F45"/>
    <w:rsid w:val="00BD2003"/>
    <w:rsid w:val="00BD3939"/>
    <w:rsid w:val="00BD3D01"/>
    <w:rsid w:val="00BD492D"/>
    <w:rsid w:val="00BD5BAB"/>
    <w:rsid w:val="00BD5F0F"/>
    <w:rsid w:val="00BD6E1E"/>
    <w:rsid w:val="00BD6E6C"/>
    <w:rsid w:val="00BD7700"/>
    <w:rsid w:val="00BD7CF0"/>
    <w:rsid w:val="00BE0120"/>
    <w:rsid w:val="00BE0853"/>
    <w:rsid w:val="00BE0B98"/>
    <w:rsid w:val="00BE0CE9"/>
    <w:rsid w:val="00BE1133"/>
    <w:rsid w:val="00BE19D0"/>
    <w:rsid w:val="00BE221D"/>
    <w:rsid w:val="00BE2256"/>
    <w:rsid w:val="00BE2649"/>
    <w:rsid w:val="00BE32CC"/>
    <w:rsid w:val="00BE3307"/>
    <w:rsid w:val="00BE33AB"/>
    <w:rsid w:val="00BE3E45"/>
    <w:rsid w:val="00BE44F3"/>
    <w:rsid w:val="00BE4CDC"/>
    <w:rsid w:val="00BE534A"/>
    <w:rsid w:val="00BE6629"/>
    <w:rsid w:val="00BE7945"/>
    <w:rsid w:val="00BE79DC"/>
    <w:rsid w:val="00BE7B01"/>
    <w:rsid w:val="00BF0513"/>
    <w:rsid w:val="00BF1368"/>
    <w:rsid w:val="00BF1800"/>
    <w:rsid w:val="00BF2240"/>
    <w:rsid w:val="00BF2BD8"/>
    <w:rsid w:val="00BF2BFE"/>
    <w:rsid w:val="00BF38F1"/>
    <w:rsid w:val="00BF3DE3"/>
    <w:rsid w:val="00BF4112"/>
    <w:rsid w:val="00BF48F0"/>
    <w:rsid w:val="00BF6176"/>
    <w:rsid w:val="00BF631D"/>
    <w:rsid w:val="00BF688C"/>
    <w:rsid w:val="00BF6D92"/>
    <w:rsid w:val="00BF6DEA"/>
    <w:rsid w:val="00BF7000"/>
    <w:rsid w:val="00BF7A7F"/>
    <w:rsid w:val="00C001E6"/>
    <w:rsid w:val="00C00776"/>
    <w:rsid w:val="00C0192C"/>
    <w:rsid w:val="00C01F59"/>
    <w:rsid w:val="00C02006"/>
    <w:rsid w:val="00C02B0F"/>
    <w:rsid w:val="00C02EEC"/>
    <w:rsid w:val="00C03488"/>
    <w:rsid w:val="00C03538"/>
    <w:rsid w:val="00C04168"/>
    <w:rsid w:val="00C0441A"/>
    <w:rsid w:val="00C048B0"/>
    <w:rsid w:val="00C04E09"/>
    <w:rsid w:val="00C04E99"/>
    <w:rsid w:val="00C06123"/>
    <w:rsid w:val="00C0618F"/>
    <w:rsid w:val="00C06FA3"/>
    <w:rsid w:val="00C078FE"/>
    <w:rsid w:val="00C10913"/>
    <w:rsid w:val="00C12017"/>
    <w:rsid w:val="00C1245F"/>
    <w:rsid w:val="00C13C90"/>
    <w:rsid w:val="00C144B1"/>
    <w:rsid w:val="00C14A60"/>
    <w:rsid w:val="00C14CBD"/>
    <w:rsid w:val="00C15498"/>
    <w:rsid w:val="00C1584D"/>
    <w:rsid w:val="00C17297"/>
    <w:rsid w:val="00C20877"/>
    <w:rsid w:val="00C20FB0"/>
    <w:rsid w:val="00C2179D"/>
    <w:rsid w:val="00C2189D"/>
    <w:rsid w:val="00C21A7E"/>
    <w:rsid w:val="00C21E78"/>
    <w:rsid w:val="00C2307C"/>
    <w:rsid w:val="00C23260"/>
    <w:rsid w:val="00C23379"/>
    <w:rsid w:val="00C23488"/>
    <w:rsid w:val="00C23DA0"/>
    <w:rsid w:val="00C23DF4"/>
    <w:rsid w:val="00C24484"/>
    <w:rsid w:val="00C2511F"/>
    <w:rsid w:val="00C258B6"/>
    <w:rsid w:val="00C261C9"/>
    <w:rsid w:val="00C261DC"/>
    <w:rsid w:val="00C266E2"/>
    <w:rsid w:val="00C27806"/>
    <w:rsid w:val="00C27904"/>
    <w:rsid w:val="00C306AC"/>
    <w:rsid w:val="00C313D6"/>
    <w:rsid w:val="00C31A92"/>
    <w:rsid w:val="00C33519"/>
    <w:rsid w:val="00C335FA"/>
    <w:rsid w:val="00C337D6"/>
    <w:rsid w:val="00C34891"/>
    <w:rsid w:val="00C34ACE"/>
    <w:rsid w:val="00C34C1D"/>
    <w:rsid w:val="00C35BC3"/>
    <w:rsid w:val="00C365A1"/>
    <w:rsid w:val="00C36733"/>
    <w:rsid w:val="00C370A5"/>
    <w:rsid w:val="00C37835"/>
    <w:rsid w:val="00C37939"/>
    <w:rsid w:val="00C37D37"/>
    <w:rsid w:val="00C37E22"/>
    <w:rsid w:val="00C37EE3"/>
    <w:rsid w:val="00C4059E"/>
    <w:rsid w:val="00C40C38"/>
    <w:rsid w:val="00C40F72"/>
    <w:rsid w:val="00C41524"/>
    <w:rsid w:val="00C41688"/>
    <w:rsid w:val="00C4227A"/>
    <w:rsid w:val="00C43039"/>
    <w:rsid w:val="00C4340C"/>
    <w:rsid w:val="00C4388C"/>
    <w:rsid w:val="00C4458A"/>
    <w:rsid w:val="00C44BF3"/>
    <w:rsid w:val="00C44EC6"/>
    <w:rsid w:val="00C44F3D"/>
    <w:rsid w:val="00C4500D"/>
    <w:rsid w:val="00C45590"/>
    <w:rsid w:val="00C4580A"/>
    <w:rsid w:val="00C45F31"/>
    <w:rsid w:val="00C45FAE"/>
    <w:rsid w:val="00C46E6E"/>
    <w:rsid w:val="00C4712A"/>
    <w:rsid w:val="00C4715A"/>
    <w:rsid w:val="00C47203"/>
    <w:rsid w:val="00C47279"/>
    <w:rsid w:val="00C47EDE"/>
    <w:rsid w:val="00C520BF"/>
    <w:rsid w:val="00C52CB2"/>
    <w:rsid w:val="00C52FDC"/>
    <w:rsid w:val="00C5301C"/>
    <w:rsid w:val="00C53D25"/>
    <w:rsid w:val="00C5460E"/>
    <w:rsid w:val="00C5505F"/>
    <w:rsid w:val="00C55360"/>
    <w:rsid w:val="00C55830"/>
    <w:rsid w:val="00C55FD3"/>
    <w:rsid w:val="00C5655F"/>
    <w:rsid w:val="00C56BC2"/>
    <w:rsid w:val="00C572DD"/>
    <w:rsid w:val="00C574FC"/>
    <w:rsid w:val="00C57BAA"/>
    <w:rsid w:val="00C57CF4"/>
    <w:rsid w:val="00C6069C"/>
    <w:rsid w:val="00C61441"/>
    <w:rsid w:val="00C625AD"/>
    <w:rsid w:val="00C62AF9"/>
    <w:rsid w:val="00C62EFD"/>
    <w:rsid w:val="00C63606"/>
    <w:rsid w:val="00C64CFF"/>
    <w:rsid w:val="00C65DCE"/>
    <w:rsid w:val="00C662F3"/>
    <w:rsid w:val="00C666AF"/>
    <w:rsid w:val="00C67FA4"/>
    <w:rsid w:val="00C702F1"/>
    <w:rsid w:val="00C7103F"/>
    <w:rsid w:val="00C7105A"/>
    <w:rsid w:val="00C725E6"/>
    <w:rsid w:val="00C7272F"/>
    <w:rsid w:val="00C72826"/>
    <w:rsid w:val="00C73634"/>
    <w:rsid w:val="00C73EBA"/>
    <w:rsid w:val="00C7406A"/>
    <w:rsid w:val="00C742A1"/>
    <w:rsid w:val="00C746B8"/>
    <w:rsid w:val="00C74956"/>
    <w:rsid w:val="00C74A6A"/>
    <w:rsid w:val="00C75624"/>
    <w:rsid w:val="00C75627"/>
    <w:rsid w:val="00C75988"/>
    <w:rsid w:val="00C75C5C"/>
    <w:rsid w:val="00C75C7D"/>
    <w:rsid w:val="00C7620D"/>
    <w:rsid w:val="00C76434"/>
    <w:rsid w:val="00C76491"/>
    <w:rsid w:val="00C765F1"/>
    <w:rsid w:val="00C76833"/>
    <w:rsid w:val="00C779D8"/>
    <w:rsid w:val="00C77BEE"/>
    <w:rsid w:val="00C77C7C"/>
    <w:rsid w:val="00C80048"/>
    <w:rsid w:val="00C804F5"/>
    <w:rsid w:val="00C80C7F"/>
    <w:rsid w:val="00C80FA8"/>
    <w:rsid w:val="00C80FE2"/>
    <w:rsid w:val="00C812A9"/>
    <w:rsid w:val="00C820C0"/>
    <w:rsid w:val="00C824BA"/>
    <w:rsid w:val="00C82F56"/>
    <w:rsid w:val="00C831B2"/>
    <w:rsid w:val="00C831CF"/>
    <w:rsid w:val="00C83551"/>
    <w:rsid w:val="00C835A4"/>
    <w:rsid w:val="00C83C68"/>
    <w:rsid w:val="00C8409A"/>
    <w:rsid w:val="00C8479D"/>
    <w:rsid w:val="00C84B62"/>
    <w:rsid w:val="00C8501D"/>
    <w:rsid w:val="00C850E3"/>
    <w:rsid w:val="00C8517A"/>
    <w:rsid w:val="00C8561E"/>
    <w:rsid w:val="00C85665"/>
    <w:rsid w:val="00C857B1"/>
    <w:rsid w:val="00C85C74"/>
    <w:rsid w:val="00C85E9D"/>
    <w:rsid w:val="00C860F9"/>
    <w:rsid w:val="00C86542"/>
    <w:rsid w:val="00C866AD"/>
    <w:rsid w:val="00C86E99"/>
    <w:rsid w:val="00C87AC1"/>
    <w:rsid w:val="00C90257"/>
    <w:rsid w:val="00C904AC"/>
    <w:rsid w:val="00C90D82"/>
    <w:rsid w:val="00C91548"/>
    <w:rsid w:val="00C915FF"/>
    <w:rsid w:val="00C9249D"/>
    <w:rsid w:val="00C926E9"/>
    <w:rsid w:val="00C92DD1"/>
    <w:rsid w:val="00C9341C"/>
    <w:rsid w:val="00C93B65"/>
    <w:rsid w:val="00C949BC"/>
    <w:rsid w:val="00C94C34"/>
    <w:rsid w:val="00C95628"/>
    <w:rsid w:val="00C958A1"/>
    <w:rsid w:val="00C95A64"/>
    <w:rsid w:val="00C97569"/>
    <w:rsid w:val="00CA04F5"/>
    <w:rsid w:val="00CA0A70"/>
    <w:rsid w:val="00CA1033"/>
    <w:rsid w:val="00CA12AB"/>
    <w:rsid w:val="00CA1523"/>
    <w:rsid w:val="00CA1D19"/>
    <w:rsid w:val="00CA2028"/>
    <w:rsid w:val="00CA285D"/>
    <w:rsid w:val="00CA292B"/>
    <w:rsid w:val="00CA4824"/>
    <w:rsid w:val="00CA4B14"/>
    <w:rsid w:val="00CA4C38"/>
    <w:rsid w:val="00CA4EBC"/>
    <w:rsid w:val="00CA4F2F"/>
    <w:rsid w:val="00CA5EC3"/>
    <w:rsid w:val="00CA64C7"/>
    <w:rsid w:val="00CA693E"/>
    <w:rsid w:val="00CA7B60"/>
    <w:rsid w:val="00CB09CE"/>
    <w:rsid w:val="00CB11C2"/>
    <w:rsid w:val="00CB13BA"/>
    <w:rsid w:val="00CB18CC"/>
    <w:rsid w:val="00CB1D40"/>
    <w:rsid w:val="00CB1F5D"/>
    <w:rsid w:val="00CB2533"/>
    <w:rsid w:val="00CB2ACA"/>
    <w:rsid w:val="00CB2B0A"/>
    <w:rsid w:val="00CB2E9A"/>
    <w:rsid w:val="00CB4C2F"/>
    <w:rsid w:val="00CB539A"/>
    <w:rsid w:val="00CB597C"/>
    <w:rsid w:val="00CB59B4"/>
    <w:rsid w:val="00CB5B65"/>
    <w:rsid w:val="00CB5D0F"/>
    <w:rsid w:val="00CB6100"/>
    <w:rsid w:val="00CB63F4"/>
    <w:rsid w:val="00CB65F4"/>
    <w:rsid w:val="00CB6A03"/>
    <w:rsid w:val="00CB7515"/>
    <w:rsid w:val="00CB76DB"/>
    <w:rsid w:val="00CB7A20"/>
    <w:rsid w:val="00CC0A5E"/>
    <w:rsid w:val="00CC1257"/>
    <w:rsid w:val="00CC12C6"/>
    <w:rsid w:val="00CC13B5"/>
    <w:rsid w:val="00CC2FB8"/>
    <w:rsid w:val="00CC373B"/>
    <w:rsid w:val="00CC3C11"/>
    <w:rsid w:val="00CC41BA"/>
    <w:rsid w:val="00CC42AF"/>
    <w:rsid w:val="00CC488A"/>
    <w:rsid w:val="00CC508C"/>
    <w:rsid w:val="00CC5144"/>
    <w:rsid w:val="00CC557B"/>
    <w:rsid w:val="00CC56A3"/>
    <w:rsid w:val="00CC630D"/>
    <w:rsid w:val="00CC67C4"/>
    <w:rsid w:val="00CC7DC4"/>
    <w:rsid w:val="00CC7F17"/>
    <w:rsid w:val="00CC7F62"/>
    <w:rsid w:val="00CD08C9"/>
    <w:rsid w:val="00CD0920"/>
    <w:rsid w:val="00CD0A46"/>
    <w:rsid w:val="00CD11A5"/>
    <w:rsid w:val="00CD2562"/>
    <w:rsid w:val="00CD4090"/>
    <w:rsid w:val="00CD4B5D"/>
    <w:rsid w:val="00CD5320"/>
    <w:rsid w:val="00CD6A62"/>
    <w:rsid w:val="00CD7A75"/>
    <w:rsid w:val="00CD7F07"/>
    <w:rsid w:val="00CE00CD"/>
    <w:rsid w:val="00CE09FF"/>
    <w:rsid w:val="00CE1952"/>
    <w:rsid w:val="00CE2BD6"/>
    <w:rsid w:val="00CE4D20"/>
    <w:rsid w:val="00CE5DF8"/>
    <w:rsid w:val="00CE61AB"/>
    <w:rsid w:val="00CE67C0"/>
    <w:rsid w:val="00CE7331"/>
    <w:rsid w:val="00CE7AEF"/>
    <w:rsid w:val="00CF0157"/>
    <w:rsid w:val="00CF0FF6"/>
    <w:rsid w:val="00CF1E92"/>
    <w:rsid w:val="00CF2004"/>
    <w:rsid w:val="00CF21EA"/>
    <w:rsid w:val="00CF25ED"/>
    <w:rsid w:val="00CF3D2D"/>
    <w:rsid w:val="00CF4121"/>
    <w:rsid w:val="00CF4970"/>
    <w:rsid w:val="00CF543E"/>
    <w:rsid w:val="00CF5C7C"/>
    <w:rsid w:val="00CF6D07"/>
    <w:rsid w:val="00CF70FF"/>
    <w:rsid w:val="00CF76AC"/>
    <w:rsid w:val="00CF78F3"/>
    <w:rsid w:val="00CF7ADD"/>
    <w:rsid w:val="00D00806"/>
    <w:rsid w:val="00D00FFA"/>
    <w:rsid w:val="00D02024"/>
    <w:rsid w:val="00D02255"/>
    <w:rsid w:val="00D026B9"/>
    <w:rsid w:val="00D0275D"/>
    <w:rsid w:val="00D029F9"/>
    <w:rsid w:val="00D030B5"/>
    <w:rsid w:val="00D03570"/>
    <w:rsid w:val="00D03DC9"/>
    <w:rsid w:val="00D042C5"/>
    <w:rsid w:val="00D05033"/>
    <w:rsid w:val="00D05094"/>
    <w:rsid w:val="00D053AD"/>
    <w:rsid w:val="00D054E1"/>
    <w:rsid w:val="00D05C13"/>
    <w:rsid w:val="00D066E1"/>
    <w:rsid w:val="00D067E5"/>
    <w:rsid w:val="00D068A1"/>
    <w:rsid w:val="00D06C59"/>
    <w:rsid w:val="00D07368"/>
    <w:rsid w:val="00D0784F"/>
    <w:rsid w:val="00D10912"/>
    <w:rsid w:val="00D115D2"/>
    <w:rsid w:val="00D11BFE"/>
    <w:rsid w:val="00D1338A"/>
    <w:rsid w:val="00D13A91"/>
    <w:rsid w:val="00D14D73"/>
    <w:rsid w:val="00D1501F"/>
    <w:rsid w:val="00D1558B"/>
    <w:rsid w:val="00D160C3"/>
    <w:rsid w:val="00D1660A"/>
    <w:rsid w:val="00D16CB0"/>
    <w:rsid w:val="00D17564"/>
    <w:rsid w:val="00D1769B"/>
    <w:rsid w:val="00D17F34"/>
    <w:rsid w:val="00D206CF"/>
    <w:rsid w:val="00D207EE"/>
    <w:rsid w:val="00D207FB"/>
    <w:rsid w:val="00D20FC4"/>
    <w:rsid w:val="00D210FC"/>
    <w:rsid w:val="00D2138A"/>
    <w:rsid w:val="00D218FF"/>
    <w:rsid w:val="00D2206C"/>
    <w:rsid w:val="00D22268"/>
    <w:rsid w:val="00D22DED"/>
    <w:rsid w:val="00D23499"/>
    <w:rsid w:val="00D240FE"/>
    <w:rsid w:val="00D24AD1"/>
    <w:rsid w:val="00D24C26"/>
    <w:rsid w:val="00D25124"/>
    <w:rsid w:val="00D2640E"/>
    <w:rsid w:val="00D2679A"/>
    <w:rsid w:val="00D304CC"/>
    <w:rsid w:val="00D3085E"/>
    <w:rsid w:val="00D31018"/>
    <w:rsid w:val="00D317EE"/>
    <w:rsid w:val="00D32B3C"/>
    <w:rsid w:val="00D32C1D"/>
    <w:rsid w:val="00D333C7"/>
    <w:rsid w:val="00D337D2"/>
    <w:rsid w:val="00D3384F"/>
    <w:rsid w:val="00D33BA0"/>
    <w:rsid w:val="00D33FC0"/>
    <w:rsid w:val="00D34092"/>
    <w:rsid w:val="00D340E9"/>
    <w:rsid w:val="00D35183"/>
    <w:rsid w:val="00D3597D"/>
    <w:rsid w:val="00D35A0E"/>
    <w:rsid w:val="00D36439"/>
    <w:rsid w:val="00D3700A"/>
    <w:rsid w:val="00D373CD"/>
    <w:rsid w:val="00D37BB4"/>
    <w:rsid w:val="00D40B40"/>
    <w:rsid w:val="00D41405"/>
    <w:rsid w:val="00D41710"/>
    <w:rsid w:val="00D418A1"/>
    <w:rsid w:val="00D41D1D"/>
    <w:rsid w:val="00D42054"/>
    <w:rsid w:val="00D4231A"/>
    <w:rsid w:val="00D43394"/>
    <w:rsid w:val="00D43FBA"/>
    <w:rsid w:val="00D448C7"/>
    <w:rsid w:val="00D452E0"/>
    <w:rsid w:val="00D45726"/>
    <w:rsid w:val="00D45C1D"/>
    <w:rsid w:val="00D4730D"/>
    <w:rsid w:val="00D47771"/>
    <w:rsid w:val="00D51340"/>
    <w:rsid w:val="00D52294"/>
    <w:rsid w:val="00D523A8"/>
    <w:rsid w:val="00D5258E"/>
    <w:rsid w:val="00D52604"/>
    <w:rsid w:val="00D5276C"/>
    <w:rsid w:val="00D534D6"/>
    <w:rsid w:val="00D53634"/>
    <w:rsid w:val="00D53E77"/>
    <w:rsid w:val="00D54554"/>
    <w:rsid w:val="00D54719"/>
    <w:rsid w:val="00D55098"/>
    <w:rsid w:val="00D55B26"/>
    <w:rsid w:val="00D56C6E"/>
    <w:rsid w:val="00D56F10"/>
    <w:rsid w:val="00D5785A"/>
    <w:rsid w:val="00D57EDD"/>
    <w:rsid w:val="00D6012A"/>
    <w:rsid w:val="00D60785"/>
    <w:rsid w:val="00D608D8"/>
    <w:rsid w:val="00D616F3"/>
    <w:rsid w:val="00D6187B"/>
    <w:rsid w:val="00D6204A"/>
    <w:rsid w:val="00D62235"/>
    <w:rsid w:val="00D638DB"/>
    <w:rsid w:val="00D63B13"/>
    <w:rsid w:val="00D63F6B"/>
    <w:rsid w:val="00D6405B"/>
    <w:rsid w:val="00D64D7D"/>
    <w:rsid w:val="00D64E5C"/>
    <w:rsid w:val="00D65231"/>
    <w:rsid w:val="00D662AF"/>
    <w:rsid w:val="00D66511"/>
    <w:rsid w:val="00D66865"/>
    <w:rsid w:val="00D6690C"/>
    <w:rsid w:val="00D66B7F"/>
    <w:rsid w:val="00D672A0"/>
    <w:rsid w:val="00D674FE"/>
    <w:rsid w:val="00D6794E"/>
    <w:rsid w:val="00D67F20"/>
    <w:rsid w:val="00D7007C"/>
    <w:rsid w:val="00D70634"/>
    <w:rsid w:val="00D7118C"/>
    <w:rsid w:val="00D71E24"/>
    <w:rsid w:val="00D72198"/>
    <w:rsid w:val="00D72608"/>
    <w:rsid w:val="00D735BC"/>
    <w:rsid w:val="00D73E5F"/>
    <w:rsid w:val="00D74F78"/>
    <w:rsid w:val="00D75FD6"/>
    <w:rsid w:val="00D7646F"/>
    <w:rsid w:val="00D77027"/>
    <w:rsid w:val="00D77261"/>
    <w:rsid w:val="00D773B7"/>
    <w:rsid w:val="00D77D7D"/>
    <w:rsid w:val="00D80087"/>
    <w:rsid w:val="00D801F1"/>
    <w:rsid w:val="00D8024C"/>
    <w:rsid w:val="00D8066B"/>
    <w:rsid w:val="00D80687"/>
    <w:rsid w:val="00D83DAC"/>
    <w:rsid w:val="00D8433D"/>
    <w:rsid w:val="00D8484F"/>
    <w:rsid w:val="00D858FB"/>
    <w:rsid w:val="00D85C59"/>
    <w:rsid w:val="00D85D8E"/>
    <w:rsid w:val="00D8693C"/>
    <w:rsid w:val="00D86D12"/>
    <w:rsid w:val="00D86D91"/>
    <w:rsid w:val="00D8748C"/>
    <w:rsid w:val="00D91BB4"/>
    <w:rsid w:val="00D92DE0"/>
    <w:rsid w:val="00D92E1F"/>
    <w:rsid w:val="00D94BB8"/>
    <w:rsid w:val="00D94BF9"/>
    <w:rsid w:val="00D94E6E"/>
    <w:rsid w:val="00D95056"/>
    <w:rsid w:val="00D9586F"/>
    <w:rsid w:val="00D95C18"/>
    <w:rsid w:val="00D9714D"/>
    <w:rsid w:val="00DA01EF"/>
    <w:rsid w:val="00DA0492"/>
    <w:rsid w:val="00DA0E30"/>
    <w:rsid w:val="00DA209F"/>
    <w:rsid w:val="00DA3222"/>
    <w:rsid w:val="00DA37ED"/>
    <w:rsid w:val="00DA3CBA"/>
    <w:rsid w:val="00DA42DC"/>
    <w:rsid w:val="00DA467B"/>
    <w:rsid w:val="00DA5179"/>
    <w:rsid w:val="00DA59CF"/>
    <w:rsid w:val="00DA687A"/>
    <w:rsid w:val="00DA6CA6"/>
    <w:rsid w:val="00DA7474"/>
    <w:rsid w:val="00DA747D"/>
    <w:rsid w:val="00DA7502"/>
    <w:rsid w:val="00DA775B"/>
    <w:rsid w:val="00DA7BE3"/>
    <w:rsid w:val="00DA7F3C"/>
    <w:rsid w:val="00DB0DF5"/>
    <w:rsid w:val="00DB10AB"/>
    <w:rsid w:val="00DB1C95"/>
    <w:rsid w:val="00DB2084"/>
    <w:rsid w:val="00DB34FC"/>
    <w:rsid w:val="00DB35F6"/>
    <w:rsid w:val="00DB3623"/>
    <w:rsid w:val="00DB3820"/>
    <w:rsid w:val="00DB3895"/>
    <w:rsid w:val="00DB60F9"/>
    <w:rsid w:val="00DB67F1"/>
    <w:rsid w:val="00DB68F9"/>
    <w:rsid w:val="00DB703E"/>
    <w:rsid w:val="00DB706B"/>
    <w:rsid w:val="00DB7245"/>
    <w:rsid w:val="00DB7BA2"/>
    <w:rsid w:val="00DC17B3"/>
    <w:rsid w:val="00DC22B3"/>
    <w:rsid w:val="00DC25F9"/>
    <w:rsid w:val="00DC264B"/>
    <w:rsid w:val="00DC2C28"/>
    <w:rsid w:val="00DC2F1F"/>
    <w:rsid w:val="00DC3A7C"/>
    <w:rsid w:val="00DC3D5D"/>
    <w:rsid w:val="00DC5390"/>
    <w:rsid w:val="00DC5820"/>
    <w:rsid w:val="00DC596E"/>
    <w:rsid w:val="00DC5BAA"/>
    <w:rsid w:val="00DC61FD"/>
    <w:rsid w:val="00DC75E4"/>
    <w:rsid w:val="00DC7A05"/>
    <w:rsid w:val="00DC7CA7"/>
    <w:rsid w:val="00DD00FC"/>
    <w:rsid w:val="00DD0301"/>
    <w:rsid w:val="00DD0772"/>
    <w:rsid w:val="00DD1919"/>
    <w:rsid w:val="00DD2181"/>
    <w:rsid w:val="00DD2846"/>
    <w:rsid w:val="00DD2A48"/>
    <w:rsid w:val="00DD30C3"/>
    <w:rsid w:val="00DD3DB7"/>
    <w:rsid w:val="00DD4209"/>
    <w:rsid w:val="00DD4B77"/>
    <w:rsid w:val="00DD56FC"/>
    <w:rsid w:val="00DD5D71"/>
    <w:rsid w:val="00DD5F6B"/>
    <w:rsid w:val="00DD615F"/>
    <w:rsid w:val="00DD69CE"/>
    <w:rsid w:val="00DD6E55"/>
    <w:rsid w:val="00DD70EB"/>
    <w:rsid w:val="00DD778E"/>
    <w:rsid w:val="00DD7DEF"/>
    <w:rsid w:val="00DE0D7E"/>
    <w:rsid w:val="00DE0E18"/>
    <w:rsid w:val="00DE14E6"/>
    <w:rsid w:val="00DE1CF1"/>
    <w:rsid w:val="00DE20B7"/>
    <w:rsid w:val="00DE2BE7"/>
    <w:rsid w:val="00DE35EA"/>
    <w:rsid w:val="00DE3876"/>
    <w:rsid w:val="00DE47ED"/>
    <w:rsid w:val="00DE4A07"/>
    <w:rsid w:val="00DE5956"/>
    <w:rsid w:val="00DE6434"/>
    <w:rsid w:val="00DE6C30"/>
    <w:rsid w:val="00DE6C9C"/>
    <w:rsid w:val="00DE6DE2"/>
    <w:rsid w:val="00DE7AE4"/>
    <w:rsid w:val="00DF02D6"/>
    <w:rsid w:val="00DF13CF"/>
    <w:rsid w:val="00DF14A4"/>
    <w:rsid w:val="00DF1BA7"/>
    <w:rsid w:val="00DF2A9B"/>
    <w:rsid w:val="00DF2CFE"/>
    <w:rsid w:val="00DF2D38"/>
    <w:rsid w:val="00DF2FB3"/>
    <w:rsid w:val="00DF32B7"/>
    <w:rsid w:val="00DF421E"/>
    <w:rsid w:val="00DF4EE5"/>
    <w:rsid w:val="00DF5AAE"/>
    <w:rsid w:val="00DF68E8"/>
    <w:rsid w:val="00DF71DA"/>
    <w:rsid w:val="00E00139"/>
    <w:rsid w:val="00E00451"/>
    <w:rsid w:val="00E00AAE"/>
    <w:rsid w:val="00E0247A"/>
    <w:rsid w:val="00E025B0"/>
    <w:rsid w:val="00E02AA5"/>
    <w:rsid w:val="00E03C98"/>
    <w:rsid w:val="00E041E7"/>
    <w:rsid w:val="00E04801"/>
    <w:rsid w:val="00E051BB"/>
    <w:rsid w:val="00E064ED"/>
    <w:rsid w:val="00E068DC"/>
    <w:rsid w:val="00E07437"/>
    <w:rsid w:val="00E103EA"/>
    <w:rsid w:val="00E110F4"/>
    <w:rsid w:val="00E11611"/>
    <w:rsid w:val="00E1179A"/>
    <w:rsid w:val="00E11A63"/>
    <w:rsid w:val="00E11B05"/>
    <w:rsid w:val="00E11D2E"/>
    <w:rsid w:val="00E124D1"/>
    <w:rsid w:val="00E133F6"/>
    <w:rsid w:val="00E13750"/>
    <w:rsid w:val="00E13C47"/>
    <w:rsid w:val="00E14162"/>
    <w:rsid w:val="00E14902"/>
    <w:rsid w:val="00E14C49"/>
    <w:rsid w:val="00E15A1F"/>
    <w:rsid w:val="00E160A3"/>
    <w:rsid w:val="00E1685D"/>
    <w:rsid w:val="00E16E9C"/>
    <w:rsid w:val="00E17796"/>
    <w:rsid w:val="00E21683"/>
    <w:rsid w:val="00E21775"/>
    <w:rsid w:val="00E22514"/>
    <w:rsid w:val="00E229CF"/>
    <w:rsid w:val="00E230FE"/>
    <w:rsid w:val="00E23D49"/>
    <w:rsid w:val="00E23E2C"/>
    <w:rsid w:val="00E2470B"/>
    <w:rsid w:val="00E25351"/>
    <w:rsid w:val="00E25AB0"/>
    <w:rsid w:val="00E26121"/>
    <w:rsid w:val="00E302A6"/>
    <w:rsid w:val="00E30303"/>
    <w:rsid w:val="00E3084B"/>
    <w:rsid w:val="00E30981"/>
    <w:rsid w:val="00E30D3D"/>
    <w:rsid w:val="00E31201"/>
    <w:rsid w:val="00E320A6"/>
    <w:rsid w:val="00E3266E"/>
    <w:rsid w:val="00E32A41"/>
    <w:rsid w:val="00E32A90"/>
    <w:rsid w:val="00E34ECB"/>
    <w:rsid w:val="00E350D4"/>
    <w:rsid w:val="00E357CC"/>
    <w:rsid w:val="00E3584C"/>
    <w:rsid w:val="00E37806"/>
    <w:rsid w:val="00E37B65"/>
    <w:rsid w:val="00E37F34"/>
    <w:rsid w:val="00E40C11"/>
    <w:rsid w:val="00E40F97"/>
    <w:rsid w:val="00E412D0"/>
    <w:rsid w:val="00E41473"/>
    <w:rsid w:val="00E41E7E"/>
    <w:rsid w:val="00E41E80"/>
    <w:rsid w:val="00E420A9"/>
    <w:rsid w:val="00E4266D"/>
    <w:rsid w:val="00E43007"/>
    <w:rsid w:val="00E43028"/>
    <w:rsid w:val="00E43372"/>
    <w:rsid w:val="00E433FA"/>
    <w:rsid w:val="00E43919"/>
    <w:rsid w:val="00E4484B"/>
    <w:rsid w:val="00E44C34"/>
    <w:rsid w:val="00E452DB"/>
    <w:rsid w:val="00E461B3"/>
    <w:rsid w:val="00E46AE3"/>
    <w:rsid w:val="00E4749C"/>
    <w:rsid w:val="00E50444"/>
    <w:rsid w:val="00E50585"/>
    <w:rsid w:val="00E50F53"/>
    <w:rsid w:val="00E513E9"/>
    <w:rsid w:val="00E5150B"/>
    <w:rsid w:val="00E51622"/>
    <w:rsid w:val="00E51926"/>
    <w:rsid w:val="00E52272"/>
    <w:rsid w:val="00E5240F"/>
    <w:rsid w:val="00E52621"/>
    <w:rsid w:val="00E5399C"/>
    <w:rsid w:val="00E53D06"/>
    <w:rsid w:val="00E54237"/>
    <w:rsid w:val="00E54A72"/>
    <w:rsid w:val="00E55EAB"/>
    <w:rsid w:val="00E56349"/>
    <w:rsid w:val="00E5650D"/>
    <w:rsid w:val="00E57A29"/>
    <w:rsid w:val="00E6024E"/>
    <w:rsid w:val="00E60BE0"/>
    <w:rsid w:val="00E60CFC"/>
    <w:rsid w:val="00E61169"/>
    <w:rsid w:val="00E612B0"/>
    <w:rsid w:val="00E61823"/>
    <w:rsid w:val="00E62610"/>
    <w:rsid w:val="00E636D9"/>
    <w:rsid w:val="00E63ADD"/>
    <w:rsid w:val="00E640A0"/>
    <w:rsid w:val="00E65528"/>
    <w:rsid w:val="00E66238"/>
    <w:rsid w:val="00E66458"/>
    <w:rsid w:val="00E6660C"/>
    <w:rsid w:val="00E66C01"/>
    <w:rsid w:val="00E66EF1"/>
    <w:rsid w:val="00E6718E"/>
    <w:rsid w:val="00E676EA"/>
    <w:rsid w:val="00E67DF1"/>
    <w:rsid w:val="00E67F38"/>
    <w:rsid w:val="00E70007"/>
    <w:rsid w:val="00E70041"/>
    <w:rsid w:val="00E700F1"/>
    <w:rsid w:val="00E703A7"/>
    <w:rsid w:val="00E707E3"/>
    <w:rsid w:val="00E70BB4"/>
    <w:rsid w:val="00E72683"/>
    <w:rsid w:val="00E7371C"/>
    <w:rsid w:val="00E73A21"/>
    <w:rsid w:val="00E73A69"/>
    <w:rsid w:val="00E73F28"/>
    <w:rsid w:val="00E741DF"/>
    <w:rsid w:val="00E74355"/>
    <w:rsid w:val="00E7525E"/>
    <w:rsid w:val="00E75267"/>
    <w:rsid w:val="00E752EC"/>
    <w:rsid w:val="00E75C3F"/>
    <w:rsid w:val="00E75FE9"/>
    <w:rsid w:val="00E77945"/>
    <w:rsid w:val="00E806F7"/>
    <w:rsid w:val="00E809B3"/>
    <w:rsid w:val="00E810D9"/>
    <w:rsid w:val="00E81495"/>
    <w:rsid w:val="00E833FA"/>
    <w:rsid w:val="00E83476"/>
    <w:rsid w:val="00E83A00"/>
    <w:rsid w:val="00E8407F"/>
    <w:rsid w:val="00E84814"/>
    <w:rsid w:val="00E84914"/>
    <w:rsid w:val="00E84C8F"/>
    <w:rsid w:val="00E84CC1"/>
    <w:rsid w:val="00E850E1"/>
    <w:rsid w:val="00E853F4"/>
    <w:rsid w:val="00E85703"/>
    <w:rsid w:val="00E8611F"/>
    <w:rsid w:val="00E863ED"/>
    <w:rsid w:val="00E86F74"/>
    <w:rsid w:val="00E87E8F"/>
    <w:rsid w:val="00E87F99"/>
    <w:rsid w:val="00E917D3"/>
    <w:rsid w:val="00E918CB"/>
    <w:rsid w:val="00E92CF3"/>
    <w:rsid w:val="00E935F5"/>
    <w:rsid w:val="00E9404E"/>
    <w:rsid w:val="00E9579F"/>
    <w:rsid w:val="00E95EBC"/>
    <w:rsid w:val="00E97F38"/>
    <w:rsid w:val="00EA0549"/>
    <w:rsid w:val="00EA1A28"/>
    <w:rsid w:val="00EA1F1B"/>
    <w:rsid w:val="00EA3018"/>
    <w:rsid w:val="00EA40EF"/>
    <w:rsid w:val="00EA4970"/>
    <w:rsid w:val="00EA4CF6"/>
    <w:rsid w:val="00EA55C0"/>
    <w:rsid w:val="00EA6BD8"/>
    <w:rsid w:val="00EA733B"/>
    <w:rsid w:val="00EA74B4"/>
    <w:rsid w:val="00EB04AA"/>
    <w:rsid w:val="00EB0504"/>
    <w:rsid w:val="00EB0A61"/>
    <w:rsid w:val="00EB0BC4"/>
    <w:rsid w:val="00EB2786"/>
    <w:rsid w:val="00EB33C7"/>
    <w:rsid w:val="00EB3FDF"/>
    <w:rsid w:val="00EB4224"/>
    <w:rsid w:val="00EB44EB"/>
    <w:rsid w:val="00EB499A"/>
    <w:rsid w:val="00EB4BAC"/>
    <w:rsid w:val="00EB4FED"/>
    <w:rsid w:val="00EB50E1"/>
    <w:rsid w:val="00EB5843"/>
    <w:rsid w:val="00EB598E"/>
    <w:rsid w:val="00EB5D11"/>
    <w:rsid w:val="00EB7B26"/>
    <w:rsid w:val="00EC241F"/>
    <w:rsid w:val="00EC274F"/>
    <w:rsid w:val="00EC293D"/>
    <w:rsid w:val="00EC382A"/>
    <w:rsid w:val="00EC3D36"/>
    <w:rsid w:val="00EC4E93"/>
    <w:rsid w:val="00EC58BA"/>
    <w:rsid w:val="00EC5AA5"/>
    <w:rsid w:val="00EC62C1"/>
    <w:rsid w:val="00EC6610"/>
    <w:rsid w:val="00ED0805"/>
    <w:rsid w:val="00ED1148"/>
    <w:rsid w:val="00ED12DB"/>
    <w:rsid w:val="00ED1302"/>
    <w:rsid w:val="00ED144A"/>
    <w:rsid w:val="00ED17E2"/>
    <w:rsid w:val="00ED1D44"/>
    <w:rsid w:val="00ED2144"/>
    <w:rsid w:val="00ED3A39"/>
    <w:rsid w:val="00ED3AE5"/>
    <w:rsid w:val="00ED3C0C"/>
    <w:rsid w:val="00ED3CF1"/>
    <w:rsid w:val="00ED40C8"/>
    <w:rsid w:val="00ED4188"/>
    <w:rsid w:val="00ED43AE"/>
    <w:rsid w:val="00ED49C2"/>
    <w:rsid w:val="00ED610D"/>
    <w:rsid w:val="00ED6576"/>
    <w:rsid w:val="00ED6BE2"/>
    <w:rsid w:val="00ED6D0E"/>
    <w:rsid w:val="00ED6ED8"/>
    <w:rsid w:val="00ED74F3"/>
    <w:rsid w:val="00ED782F"/>
    <w:rsid w:val="00EE1113"/>
    <w:rsid w:val="00EE12D3"/>
    <w:rsid w:val="00EE2629"/>
    <w:rsid w:val="00EE28D9"/>
    <w:rsid w:val="00EE2D3C"/>
    <w:rsid w:val="00EE32DD"/>
    <w:rsid w:val="00EE3517"/>
    <w:rsid w:val="00EE423A"/>
    <w:rsid w:val="00EE4FF3"/>
    <w:rsid w:val="00EE59ED"/>
    <w:rsid w:val="00EE69BC"/>
    <w:rsid w:val="00EE6B67"/>
    <w:rsid w:val="00EE7600"/>
    <w:rsid w:val="00EE7E64"/>
    <w:rsid w:val="00EF1963"/>
    <w:rsid w:val="00EF2A78"/>
    <w:rsid w:val="00EF2CDF"/>
    <w:rsid w:val="00EF35D8"/>
    <w:rsid w:val="00EF3674"/>
    <w:rsid w:val="00EF374C"/>
    <w:rsid w:val="00EF3A10"/>
    <w:rsid w:val="00EF621A"/>
    <w:rsid w:val="00EF65A5"/>
    <w:rsid w:val="00EF6631"/>
    <w:rsid w:val="00EF7FAB"/>
    <w:rsid w:val="00F009F7"/>
    <w:rsid w:val="00F01165"/>
    <w:rsid w:val="00F019C5"/>
    <w:rsid w:val="00F01F14"/>
    <w:rsid w:val="00F02CF3"/>
    <w:rsid w:val="00F02E60"/>
    <w:rsid w:val="00F03B23"/>
    <w:rsid w:val="00F04ACC"/>
    <w:rsid w:val="00F059D2"/>
    <w:rsid w:val="00F069D9"/>
    <w:rsid w:val="00F06C54"/>
    <w:rsid w:val="00F07837"/>
    <w:rsid w:val="00F0793F"/>
    <w:rsid w:val="00F12578"/>
    <w:rsid w:val="00F12861"/>
    <w:rsid w:val="00F12F97"/>
    <w:rsid w:val="00F13C4B"/>
    <w:rsid w:val="00F13C4C"/>
    <w:rsid w:val="00F14737"/>
    <w:rsid w:val="00F14E05"/>
    <w:rsid w:val="00F15437"/>
    <w:rsid w:val="00F15815"/>
    <w:rsid w:val="00F15A2D"/>
    <w:rsid w:val="00F16D83"/>
    <w:rsid w:val="00F178D0"/>
    <w:rsid w:val="00F17C72"/>
    <w:rsid w:val="00F202BC"/>
    <w:rsid w:val="00F20FB9"/>
    <w:rsid w:val="00F21695"/>
    <w:rsid w:val="00F21C74"/>
    <w:rsid w:val="00F2304B"/>
    <w:rsid w:val="00F23300"/>
    <w:rsid w:val="00F23424"/>
    <w:rsid w:val="00F23504"/>
    <w:rsid w:val="00F2394C"/>
    <w:rsid w:val="00F23D62"/>
    <w:rsid w:val="00F24195"/>
    <w:rsid w:val="00F242DB"/>
    <w:rsid w:val="00F24A4D"/>
    <w:rsid w:val="00F252BF"/>
    <w:rsid w:val="00F25A5B"/>
    <w:rsid w:val="00F27610"/>
    <w:rsid w:val="00F27B29"/>
    <w:rsid w:val="00F301E2"/>
    <w:rsid w:val="00F318AF"/>
    <w:rsid w:val="00F3207C"/>
    <w:rsid w:val="00F329BE"/>
    <w:rsid w:val="00F32B10"/>
    <w:rsid w:val="00F338B9"/>
    <w:rsid w:val="00F33A37"/>
    <w:rsid w:val="00F33C9C"/>
    <w:rsid w:val="00F33E3A"/>
    <w:rsid w:val="00F33F3C"/>
    <w:rsid w:val="00F34BBF"/>
    <w:rsid w:val="00F359B0"/>
    <w:rsid w:val="00F359B4"/>
    <w:rsid w:val="00F35BC4"/>
    <w:rsid w:val="00F35E33"/>
    <w:rsid w:val="00F36ABF"/>
    <w:rsid w:val="00F40FBA"/>
    <w:rsid w:val="00F4111D"/>
    <w:rsid w:val="00F41170"/>
    <w:rsid w:val="00F41251"/>
    <w:rsid w:val="00F41807"/>
    <w:rsid w:val="00F4292C"/>
    <w:rsid w:val="00F42C32"/>
    <w:rsid w:val="00F43BDB"/>
    <w:rsid w:val="00F43D15"/>
    <w:rsid w:val="00F43EB6"/>
    <w:rsid w:val="00F443F9"/>
    <w:rsid w:val="00F446CE"/>
    <w:rsid w:val="00F44AB7"/>
    <w:rsid w:val="00F451F3"/>
    <w:rsid w:val="00F45CF4"/>
    <w:rsid w:val="00F472B2"/>
    <w:rsid w:val="00F47B92"/>
    <w:rsid w:val="00F50075"/>
    <w:rsid w:val="00F5043E"/>
    <w:rsid w:val="00F52A53"/>
    <w:rsid w:val="00F52C6A"/>
    <w:rsid w:val="00F52CB3"/>
    <w:rsid w:val="00F535BE"/>
    <w:rsid w:val="00F54C05"/>
    <w:rsid w:val="00F554BD"/>
    <w:rsid w:val="00F556E5"/>
    <w:rsid w:val="00F55A68"/>
    <w:rsid w:val="00F55F86"/>
    <w:rsid w:val="00F5774E"/>
    <w:rsid w:val="00F57980"/>
    <w:rsid w:val="00F57C5E"/>
    <w:rsid w:val="00F57E58"/>
    <w:rsid w:val="00F60678"/>
    <w:rsid w:val="00F60ACB"/>
    <w:rsid w:val="00F619AD"/>
    <w:rsid w:val="00F6254A"/>
    <w:rsid w:val="00F62DE8"/>
    <w:rsid w:val="00F63A4F"/>
    <w:rsid w:val="00F63B42"/>
    <w:rsid w:val="00F63BE2"/>
    <w:rsid w:val="00F643E5"/>
    <w:rsid w:val="00F656C9"/>
    <w:rsid w:val="00F6575A"/>
    <w:rsid w:val="00F662E0"/>
    <w:rsid w:val="00F663E4"/>
    <w:rsid w:val="00F664DF"/>
    <w:rsid w:val="00F66FC0"/>
    <w:rsid w:val="00F70231"/>
    <w:rsid w:val="00F70861"/>
    <w:rsid w:val="00F70B84"/>
    <w:rsid w:val="00F718A6"/>
    <w:rsid w:val="00F724E7"/>
    <w:rsid w:val="00F731FB"/>
    <w:rsid w:val="00F73B21"/>
    <w:rsid w:val="00F753AF"/>
    <w:rsid w:val="00F753BC"/>
    <w:rsid w:val="00F753D4"/>
    <w:rsid w:val="00F75EAE"/>
    <w:rsid w:val="00F76ECB"/>
    <w:rsid w:val="00F7712B"/>
    <w:rsid w:val="00F808CC"/>
    <w:rsid w:val="00F82940"/>
    <w:rsid w:val="00F836C6"/>
    <w:rsid w:val="00F8381A"/>
    <w:rsid w:val="00F84D8B"/>
    <w:rsid w:val="00F8574A"/>
    <w:rsid w:val="00F85AA2"/>
    <w:rsid w:val="00F8601E"/>
    <w:rsid w:val="00F867EC"/>
    <w:rsid w:val="00F86C93"/>
    <w:rsid w:val="00F86E0D"/>
    <w:rsid w:val="00F8708D"/>
    <w:rsid w:val="00F87B6D"/>
    <w:rsid w:val="00F87C60"/>
    <w:rsid w:val="00F90077"/>
    <w:rsid w:val="00F90864"/>
    <w:rsid w:val="00F90E8C"/>
    <w:rsid w:val="00F90FF9"/>
    <w:rsid w:val="00F9126B"/>
    <w:rsid w:val="00F9165F"/>
    <w:rsid w:val="00F91F7E"/>
    <w:rsid w:val="00F92381"/>
    <w:rsid w:val="00F92469"/>
    <w:rsid w:val="00F944F1"/>
    <w:rsid w:val="00F94E8E"/>
    <w:rsid w:val="00F955BD"/>
    <w:rsid w:val="00F96518"/>
    <w:rsid w:val="00F96A46"/>
    <w:rsid w:val="00F971D8"/>
    <w:rsid w:val="00F97FA6"/>
    <w:rsid w:val="00FA0153"/>
    <w:rsid w:val="00FA03E7"/>
    <w:rsid w:val="00FA0678"/>
    <w:rsid w:val="00FA0701"/>
    <w:rsid w:val="00FA172D"/>
    <w:rsid w:val="00FA272F"/>
    <w:rsid w:val="00FA27E7"/>
    <w:rsid w:val="00FA2FFA"/>
    <w:rsid w:val="00FA3282"/>
    <w:rsid w:val="00FA3E3F"/>
    <w:rsid w:val="00FA4624"/>
    <w:rsid w:val="00FA4FE9"/>
    <w:rsid w:val="00FA5709"/>
    <w:rsid w:val="00FA5F12"/>
    <w:rsid w:val="00FA6754"/>
    <w:rsid w:val="00FA6FAB"/>
    <w:rsid w:val="00FB00BA"/>
    <w:rsid w:val="00FB22D6"/>
    <w:rsid w:val="00FB2E7A"/>
    <w:rsid w:val="00FB2FFD"/>
    <w:rsid w:val="00FB345F"/>
    <w:rsid w:val="00FB3A53"/>
    <w:rsid w:val="00FB4490"/>
    <w:rsid w:val="00FB522C"/>
    <w:rsid w:val="00FB59FF"/>
    <w:rsid w:val="00FB5C32"/>
    <w:rsid w:val="00FB6C0B"/>
    <w:rsid w:val="00FC0170"/>
    <w:rsid w:val="00FC09ED"/>
    <w:rsid w:val="00FC0AD7"/>
    <w:rsid w:val="00FC0D71"/>
    <w:rsid w:val="00FC1466"/>
    <w:rsid w:val="00FC1500"/>
    <w:rsid w:val="00FC1689"/>
    <w:rsid w:val="00FC191C"/>
    <w:rsid w:val="00FC2369"/>
    <w:rsid w:val="00FC293D"/>
    <w:rsid w:val="00FC3D7A"/>
    <w:rsid w:val="00FC5814"/>
    <w:rsid w:val="00FC6B59"/>
    <w:rsid w:val="00FC6BCD"/>
    <w:rsid w:val="00FC6E0B"/>
    <w:rsid w:val="00FC7AA3"/>
    <w:rsid w:val="00FC7B7E"/>
    <w:rsid w:val="00FD108C"/>
    <w:rsid w:val="00FD1392"/>
    <w:rsid w:val="00FD16A1"/>
    <w:rsid w:val="00FD19D1"/>
    <w:rsid w:val="00FD24DA"/>
    <w:rsid w:val="00FD2A67"/>
    <w:rsid w:val="00FD3C16"/>
    <w:rsid w:val="00FD4870"/>
    <w:rsid w:val="00FD4879"/>
    <w:rsid w:val="00FD4C30"/>
    <w:rsid w:val="00FD5C38"/>
    <w:rsid w:val="00FD5F16"/>
    <w:rsid w:val="00FD6341"/>
    <w:rsid w:val="00FD6882"/>
    <w:rsid w:val="00FD6A2D"/>
    <w:rsid w:val="00FD6AAC"/>
    <w:rsid w:val="00FD6C5A"/>
    <w:rsid w:val="00FE0608"/>
    <w:rsid w:val="00FE130B"/>
    <w:rsid w:val="00FE1335"/>
    <w:rsid w:val="00FE1575"/>
    <w:rsid w:val="00FE2D61"/>
    <w:rsid w:val="00FE3164"/>
    <w:rsid w:val="00FE5A97"/>
    <w:rsid w:val="00FE5C8C"/>
    <w:rsid w:val="00FE5E18"/>
    <w:rsid w:val="00FE7079"/>
    <w:rsid w:val="00FE70F9"/>
    <w:rsid w:val="00FE7BEA"/>
    <w:rsid w:val="00FE7FD7"/>
    <w:rsid w:val="00FF0733"/>
    <w:rsid w:val="00FF1885"/>
    <w:rsid w:val="00FF1A62"/>
    <w:rsid w:val="00FF3A87"/>
    <w:rsid w:val="00FF49E8"/>
    <w:rsid w:val="00FF4E6F"/>
    <w:rsid w:val="00FF57D2"/>
    <w:rsid w:val="00FF63A8"/>
    <w:rsid w:val="00FF68D8"/>
    <w:rsid w:val="00FF6A0E"/>
    <w:rsid w:val="015754F6"/>
    <w:rsid w:val="016C2D4F"/>
    <w:rsid w:val="018A07F4"/>
    <w:rsid w:val="01C5333F"/>
    <w:rsid w:val="02D1737B"/>
    <w:rsid w:val="02EC502B"/>
    <w:rsid w:val="02F6455B"/>
    <w:rsid w:val="03232F80"/>
    <w:rsid w:val="03321D76"/>
    <w:rsid w:val="03357A55"/>
    <w:rsid w:val="034C321E"/>
    <w:rsid w:val="03512A50"/>
    <w:rsid w:val="0382268C"/>
    <w:rsid w:val="03BF2912"/>
    <w:rsid w:val="03C86043"/>
    <w:rsid w:val="03C926DB"/>
    <w:rsid w:val="04C7510E"/>
    <w:rsid w:val="05236F65"/>
    <w:rsid w:val="052F1FC0"/>
    <w:rsid w:val="05940AC6"/>
    <w:rsid w:val="05C77DC7"/>
    <w:rsid w:val="05E24D8E"/>
    <w:rsid w:val="05EF22B2"/>
    <w:rsid w:val="05F04919"/>
    <w:rsid w:val="06080E4E"/>
    <w:rsid w:val="061E6B71"/>
    <w:rsid w:val="067958AE"/>
    <w:rsid w:val="067E5607"/>
    <w:rsid w:val="071C5217"/>
    <w:rsid w:val="07676C26"/>
    <w:rsid w:val="07AE0950"/>
    <w:rsid w:val="083662F5"/>
    <w:rsid w:val="083D3062"/>
    <w:rsid w:val="085207F8"/>
    <w:rsid w:val="08FB0273"/>
    <w:rsid w:val="09125088"/>
    <w:rsid w:val="09130389"/>
    <w:rsid w:val="096B5FE2"/>
    <w:rsid w:val="099C263F"/>
    <w:rsid w:val="09D03F1A"/>
    <w:rsid w:val="0A72563E"/>
    <w:rsid w:val="0AEC1579"/>
    <w:rsid w:val="0B155D29"/>
    <w:rsid w:val="0BD9445F"/>
    <w:rsid w:val="0C4F3999"/>
    <w:rsid w:val="0D93520B"/>
    <w:rsid w:val="0D9A1B1F"/>
    <w:rsid w:val="0DAF01F7"/>
    <w:rsid w:val="0DAF2D5D"/>
    <w:rsid w:val="0DB200BD"/>
    <w:rsid w:val="0E0A52D2"/>
    <w:rsid w:val="0E166570"/>
    <w:rsid w:val="0E39045D"/>
    <w:rsid w:val="0E5E029D"/>
    <w:rsid w:val="0E6A6868"/>
    <w:rsid w:val="0E792F4F"/>
    <w:rsid w:val="0E88298B"/>
    <w:rsid w:val="0E9E3F3B"/>
    <w:rsid w:val="0ECC3447"/>
    <w:rsid w:val="0EE97D09"/>
    <w:rsid w:val="0EEF73F5"/>
    <w:rsid w:val="0FB16E99"/>
    <w:rsid w:val="102407EC"/>
    <w:rsid w:val="10A03E8D"/>
    <w:rsid w:val="11EA32A5"/>
    <w:rsid w:val="137824C5"/>
    <w:rsid w:val="13D12EE6"/>
    <w:rsid w:val="13D22FDF"/>
    <w:rsid w:val="147C0C82"/>
    <w:rsid w:val="14974863"/>
    <w:rsid w:val="14F13156"/>
    <w:rsid w:val="15B077AB"/>
    <w:rsid w:val="15D07167"/>
    <w:rsid w:val="1621010F"/>
    <w:rsid w:val="169D5D0B"/>
    <w:rsid w:val="16A843D2"/>
    <w:rsid w:val="16BE1E47"/>
    <w:rsid w:val="16E80C7C"/>
    <w:rsid w:val="175A2917"/>
    <w:rsid w:val="17BF1A7B"/>
    <w:rsid w:val="17C27715"/>
    <w:rsid w:val="18D54236"/>
    <w:rsid w:val="197968B1"/>
    <w:rsid w:val="198F7ACB"/>
    <w:rsid w:val="19AC5F87"/>
    <w:rsid w:val="1A257AA3"/>
    <w:rsid w:val="1AF851FC"/>
    <w:rsid w:val="1B4F3786"/>
    <w:rsid w:val="1B8A74AD"/>
    <w:rsid w:val="1BE070D0"/>
    <w:rsid w:val="1C754A94"/>
    <w:rsid w:val="1C9773B8"/>
    <w:rsid w:val="1CBF2475"/>
    <w:rsid w:val="1DD84F8C"/>
    <w:rsid w:val="1DE06B47"/>
    <w:rsid w:val="1E1A4956"/>
    <w:rsid w:val="1E7B1F32"/>
    <w:rsid w:val="1EAB39B6"/>
    <w:rsid w:val="1EFA2CDA"/>
    <w:rsid w:val="1F006507"/>
    <w:rsid w:val="208E288A"/>
    <w:rsid w:val="20DD60EE"/>
    <w:rsid w:val="21615515"/>
    <w:rsid w:val="22091D62"/>
    <w:rsid w:val="227C46BD"/>
    <w:rsid w:val="22912A78"/>
    <w:rsid w:val="22A436F2"/>
    <w:rsid w:val="22DE6B1E"/>
    <w:rsid w:val="239A1546"/>
    <w:rsid w:val="23A5744D"/>
    <w:rsid w:val="242A369C"/>
    <w:rsid w:val="24B2466D"/>
    <w:rsid w:val="24CA422C"/>
    <w:rsid w:val="24ED71A1"/>
    <w:rsid w:val="25453733"/>
    <w:rsid w:val="264B7EB4"/>
    <w:rsid w:val="266B541C"/>
    <w:rsid w:val="2706643A"/>
    <w:rsid w:val="27524E0C"/>
    <w:rsid w:val="27EF7AEB"/>
    <w:rsid w:val="284408E7"/>
    <w:rsid w:val="28795DF7"/>
    <w:rsid w:val="289A2C5A"/>
    <w:rsid w:val="290A4C4F"/>
    <w:rsid w:val="29982084"/>
    <w:rsid w:val="299A22A0"/>
    <w:rsid w:val="29CC3ACE"/>
    <w:rsid w:val="29FB4F03"/>
    <w:rsid w:val="2A1D4DEE"/>
    <w:rsid w:val="2ABA40F9"/>
    <w:rsid w:val="2ADE7F6A"/>
    <w:rsid w:val="2AE17A5A"/>
    <w:rsid w:val="2BBB507C"/>
    <w:rsid w:val="2BBF26B7"/>
    <w:rsid w:val="2BF81500"/>
    <w:rsid w:val="2BFE7025"/>
    <w:rsid w:val="2C335DB4"/>
    <w:rsid w:val="2C51300C"/>
    <w:rsid w:val="2D740537"/>
    <w:rsid w:val="2D877338"/>
    <w:rsid w:val="2DEA61F6"/>
    <w:rsid w:val="2E36790A"/>
    <w:rsid w:val="2E541528"/>
    <w:rsid w:val="2E78034B"/>
    <w:rsid w:val="2ED65912"/>
    <w:rsid w:val="2F2F0AA7"/>
    <w:rsid w:val="2F492DD5"/>
    <w:rsid w:val="2F83693D"/>
    <w:rsid w:val="2FA5452C"/>
    <w:rsid w:val="2FC27A95"/>
    <w:rsid w:val="30257898"/>
    <w:rsid w:val="3040719A"/>
    <w:rsid w:val="3164262D"/>
    <w:rsid w:val="3193262F"/>
    <w:rsid w:val="31BD7659"/>
    <w:rsid w:val="322A7F39"/>
    <w:rsid w:val="3247507D"/>
    <w:rsid w:val="327415CA"/>
    <w:rsid w:val="32AD41DE"/>
    <w:rsid w:val="32DD31FD"/>
    <w:rsid w:val="33126849"/>
    <w:rsid w:val="332C6CE2"/>
    <w:rsid w:val="33581239"/>
    <w:rsid w:val="33F24D22"/>
    <w:rsid w:val="342D4EB0"/>
    <w:rsid w:val="34AD46A6"/>
    <w:rsid w:val="351D1FD7"/>
    <w:rsid w:val="353C3610"/>
    <w:rsid w:val="354A7E8A"/>
    <w:rsid w:val="357B2F0A"/>
    <w:rsid w:val="35B87585"/>
    <w:rsid w:val="35D929A8"/>
    <w:rsid w:val="35DE1766"/>
    <w:rsid w:val="3615687B"/>
    <w:rsid w:val="361E7A68"/>
    <w:rsid w:val="36CC00EC"/>
    <w:rsid w:val="36D13079"/>
    <w:rsid w:val="36DA06DA"/>
    <w:rsid w:val="370A0339"/>
    <w:rsid w:val="37E24613"/>
    <w:rsid w:val="394731E3"/>
    <w:rsid w:val="39B14EA9"/>
    <w:rsid w:val="3A0B320B"/>
    <w:rsid w:val="3A7C154E"/>
    <w:rsid w:val="3A822411"/>
    <w:rsid w:val="3AC3717D"/>
    <w:rsid w:val="3AC65066"/>
    <w:rsid w:val="3ADE03FD"/>
    <w:rsid w:val="3B042995"/>
    <w:rsid w:val="3B101C07"/>
    <w:rsid w:val="3B710328"/>
    <w:rsid w:val="3BD46449"/>
    <w:rsid w:val="3CA879CE"/>
    <w:rsid w:val="3CD378DC"/>
    <w:rsid w:val="3DF80F9D"/>
    <w:rsid w:val="3DF90392"/>
    <w:rsid w:val="3DFE55B6"/>
    <w:rsid w:val="3EB008A6"/>
    <w:rsid w:val="3EBD0B6F"/>
    <w:rsid w:val="3ED44A58"/>
    <w:rsid w:val="3ED96F6F"/>
    <w:rsid w:val="3F654088"/>
    <w:rsid w:val="404E74E8"/>
    <w:rsid w:val="40FC3093"/>
    <w:rsid w:val="41AA18AD"/>
    <w:rsid w:val="42937503"/>
    <w:rsid w:val="42DA5063"/>
    <w:rsid w:val="444F4C93"/>
    <w:rsid w:val="446E7487"/>
    <w:rsid w:val="45560224"/>
    <w:rsid w:val="45D03951"/>
    <w:rsid w:val="46393367"/>
    <w:rsid w:val="465E2E1A"/>
    <w:rsid w:val="46E84C02"/>
    <w:rsid w:val="46F93F5F"/>
    <w:rsid w:val="4729480B"/>
    <w:rsid w:val="47A43C0C"/>
    <w:rsid w:val="47B02B33"/>
    <w:rsid w:val="47B16D13"/>
    <w:rsid w:val="47DD593B"/>
    <w:rsid w:val="48C04CFB"/>
    <w:rsid w:val="48F36E7F"/>
    <w:rsid w:val="49BB32F4"/>
    <w:rsid w:val="49F42EAF"/>
    <w:rsid w:val="4A534079"/>
    <w:rsid w:val="4A985F30"/>
    <w:rsid w:val="4B0233A9"/>
    <w:rsid w:val="4B756755"/>
    <w:rsid w:val="4B8C4439"/>
    <w:rsid w:val="4BB776D0"/>
    <w:rsid w:val="4BFF2F0E"/>
    <w:rsid w:val="4C2745BC"/>
    <w:rsid w:val="4C8C0DCC"/>
    <w:rsid w:val="4CC052CA"/>
    <w:rsid w:val="4CEF281C"/>
    <w:rsid w:val="4CF00AA2"/>
    <w:rsid w:val="4D222D3F"/>
    <w:rsid w:val="4D284804"/>
    <w:rsid w:val="4D8B4C36"/>
    <w:rsid w:val="4DF27AD2"/>
    <w:rsid w:val="4E3E294A"/>
    <w:rsid w:val="4E8C7513"/>
    <w:rsid w:val="4EC3467B"/>
    <w:rsid w:val="4FD16CD2"/>
    <w:rsid w:val="50147B2A"/>
    <w:rsid w:val="50324731"/>
    <w:rsid w:val="50343DE1"/>
    <w:rsid w:val="50A9568D"/>
    <w:rsid w:val="50B4692D"/>
    <w:rsid w:val="50DD28EE"/>
    <w:rsid w:val="518D1CF7"/>
    <w:rsid w:val="51E101BC"/>
    <w:rsid w:val="51F30D50"/>
    <w:rsid w:val="52011D59"/>
    <w:rsid w:val="52735ADF"/>
    <w:rsid w:val="52B238A7"/>
    <w:rsid w:val="52F61872"/>
    <w:rsid w:val="53A42592"/>
    <w:rsid w:val="54D538DD"/>
    <w:rsid w:val="55A354C5"/>
    <w:rsid w:val="55D24D4B"/>
    <w:rsid w:val="55DC0B1A"/>
    <w:rsid w:val="560B5C31"/>
    <w:rsid w:val="56327239"/>
    <w:rsid w:val="56A143BE"/>
    <w:rsid w:val="5744385B"/>
    <w:rsid w:val="57680689"/>
    <w:rsid w:val="577A78B6"/>
    <w:rsid w:val="577D4A5B"/>
    <w:rsid w:val="578C1A30"/>
    <w:rsid w:val="57AF48B9"/>
    <w:rsid w:val="57B07884"/>
    <w:rsid w:val="58472D43"/>
    <w:rsid w:val="584B4864"/>
    <w:rsid w:val="58847598"/>
    <w:rsid w:val="58AE2DC2"/>
    <w:rsid w:val="58CC2585"/>
    <w:rsid w:val="58F702C5"/>
    <w:rsid w:val="59592CEA"/>
    <w:rsid w:val="597B50D5"/>
    <w:rsid w:val="598A4DA1"/>
    <w:rsid w:val="59CC117E"/>
    <w:rsid w:val="5AA303E3"/>
    <w:rsid w:val="5B266909"/>
    <w:rsid w:val="5B42168F"/>
    <w:rsid w:val="5B7E6A7C"/>
    <w:rsid w:val="5BC951A4"/>
    <w:rsid w:val="5C1A7397"/>
    <w:rsid w:val="5C3D4111"/>
    <w:rsid w:val="5CA67B84"/>
    <w:rsid w:val="5D312338"/>
    <w:rsid w:val="5D5B01F4"/>
    <w:rsid w:val="5DD70287"/>
    <w:rsid w:val="5E710B1A"/>
    <w:rsid w:val="5E804576"/>
    <w:rsid w:val="5E9D2A18"/>
    <w:rsid w:val="5FE924B9"/>
    <w:rsid w:val="60094B65"/>
    <w:rsid w:val="605424A1"/>
    <w:rsid w:val="60A60E06"/>
    <w:rsid w:val="60AA5ECB"/>
    <w:rsid w:val="60B116A2"/>
    <w:rsid w:val="612105D5"/>
    <w:rsid w:val="614224C8"/>
    <w:rsid w:val="61AE7F98"/>
    <w:rsid w:val="61E75C01"/>
    <w:rsid w:val="624F4CCE"/>
    <w:rsid w:val="62CB66DF"/>
    <w:rsid w:val="62F04086"/>
    <w:rsid w:val="63247F09"/>
    <w:rsid w:val="63D5465F"/>
    <w:rsid w:val="63F97CF8"/>
    <w:rsid w:val="640721A6"/>
    <w:rsid w:val="6408062D"/>
    <w:rsid w:val="65036DB8"/>
    <w:rsid w:val="65150451"/>
    <w:rsid w:val="652368F0"/>
    <w:rsid w:val="653F49A0"/>
    <w:rsid w:val="66B94F8D"/>
    <w:rsid w:val="66E037ED"/>
    <w:rsid w:val="67855CE0"/>
    <w:rsid w:val="6869164E"/>
    <w:rsid w:val="6893167C"/>
    <w:rsid w:val="689327D6"/>
    <w:rsid w:val="68E94DDF"/>
    <w:rsid w:val="695A39E6"/>
    <w:rsid w:val="69A61C4D"/>
    <w:rsid w:val="6A132A85"/>
    <w:rsid w:val="6A554309"/>
    <w:rsid w:val="6A5E4D61"/>
    <w:rsid w:val="6A7750E6"/>
    <w:rsid w:val="6B45179A"/>
    <w:rsid w:val="6BA926BB"/>
    <w:rsid w:val="6BFB39B9"/>
    <w:rsid w:val="6C701902"/>
    <w:rsid w:val="6CB25EF9"/>
    <w:rsid w:val="6D834B63"/>
    <w:rsid w:val="6D8C5028"/>
    <w:rsid w:val="6E0E372A"/>
    <w:rsid w:val="6E2F6B5F"/>
    <w:rsid w:val="6E3A6CA9"/>
    <w:rsid w:val="6EE36C1B"/>
    <w:rsid w:val="6F247D1E"/>
    <w:rsid w:val="6FCA02E3"/>
    <w:rsid w:val="6FE62AB8"/>
    <w:rsid w:val="70626DDC"/>
    <w:rsid w:val="70A00DEB"/>
    <w:rsid w:val="70FD6A5B"/>
    <w:rsid w:val="716B2535"/>
    <w:rsid w:val="716B764B"/>
    <w:rsid w:val="7183637C"/>
    <w:rsid w:val="71A93C5C"/>
    <w:rsid w:val="73575B07"/>
    <w:rsid w:val="7416674F"/>
    <w:rsid w:val="74366893"/>
    <w:rsid w:val="744C7E55"/>
    <w:rsid w:val="744F5002"/>
    <w:rsid w:val="74746816"/>
    <w:rsid w:val="7479389C"/>
    <w:rsid w:val="75693039"/>
    <w:rsid w:val="75B7726A"/>
    <w:rsid w:val="75D92DD5"/>
    <w:rsid w:val="75E36C2D"/>
    <w:rsid w:val="7660778B"/>
    <w:rsid w:val="76710881"/>
    <w:rsid w:val="776C2788"/>
    <w:rsid w:val="776F7EA6"/>
    <w:rsid w:val="77821C15"/>
    <w:rsid w:val="77C43611"/>
    <w:rsid w:val="78485FF0"/>
    <w:rsid w:val="786C2EC6"/>
    <w:rsid w:val="789E5CA1"/>
    <w:rsid w:val="78F10436"/>
    <w:rsid w:val="79C0195D"/>
    <w:rsid w:val="7ABA4368"/>
    <w:rsid w:val="7AFC1ACC"/>
    <w:rsid w:val="7B3976C0"/>
    <w:rsid w:val="7B4E7DC1"/>
    <w:rsid w:val="7BCC00A3"/>
    <w:rsid w:val="7D0557BC"/>
    <w:rsid w:val="7D924ED4"/>
    <w:rsid w:val="7DA32088"/>
    <w:rsid w:val="7E2D0CF4"/>
    <w:rsid w:val="7E6309A7"/>
    <w:rsid w:val="7F0402D9"/>
    <w:rsid w:val="7F2F1CB8"/>
    <w:rsid w:val="7F7840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40"/>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4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footer"/>
    <w:basedOn w:val="1"/>
    <w:next w:val="1"/>
    <w:link w:val="45"/>
    <w:qFormat/>
    <w:uiPriority w:val="99"/>
    <w:pPr>
      <w:tabs>
        <w:tab w:val="center" w:pos="4153"/>
        <w:tab w:val="right" w:pos="8306"/>
      </w:tabs>
      <w:adjustRightInd w:val="0"/>
      <w:snapToGrid w:val="0"/>
      <w:spacing w:line="240" w:lineRule="atLeast"/>
      <w:jc w:val="left"/>
      <w:textAlignment w:val="baseline"/>
    </w:pPr>
    <w:rPr>
      <w:kern w:val="0"/>
      <w:sz w:val="18"/>
      <w:szCs w:val="18"/>
    </w:rPr>
  </w:style>
  <w:style w:type="paragraph" w:styleId="12">
    <w:name w:val="table of authorities"/>
    <w:basedOn w:val="1"/>
    <w:next w:val="1"/>
    <w:qFormat/>
    <w:uiPriority w:val="0"/>
    <w:pPr>
      <w:ind w:left="420" w:leftChars="200"/>
    </w:pPr>
    <w:rPr>
      <w:rFonts w:ascii="Calibri" w:hAnsi="Calibri"/>
      <w:sz w:val="24"/>
      <w:szCs w:val="22"/>
    </w:rPr>
  </w:style>
  <w:style w:type="paragraph" w:styleId="13">
    <w:name w:val="Normal Indent"/>
    <w:basedOn w:val="1"/>
    <w:qFormat/>
    <w:uiPriority w:val="0"/>
    <w:pPr>
      <w:ind w:firstLine="425"/>
    </w:pPr>
    <w:rPr>
      <w:szCs w:val="20"/>
    </w:rPr>
  </w:style>
  <w:style w:type="paragraph" w:styleId="14">
    <w:name w:val="toa heading"/>
    <w:basedOn w:val="1"/>
    <w:next w:val="1"/>
    <w:qFormat/>
    <w:uiPriority w:val="0"/>
    <w:pPr>
      <w:spacing w:before="120"/>
    </w:pPr>
    <w:rPr>
      <w:rFonts w:ascii="Arial" w:hAnsi="Arial" w:eastAsia="宋体" w:cs="Arial"/>
      <w:sz w:val="24"/>
    </w:rPr>
  </w:style>
  <w:style w:type="paragraph" w:styleId="15">
    <w:name w:val="annotation text"/>
    <w:basedOn w:val="1"/>
    <w:link w:val="42"/>
    <w:qFormat/>
    <w:uiPriority w:val="0"/>
    <w:pPr>
      <w:jc w:val="left"/>
    </w:pPr>
  </w:style>
  <w:style w:type="paragraph" w:styleId="16">
    <w:name w:val="Body Text"/>
    <w:basedOn w:val="1"/>
    <w:link w:val="39"/>
    <w:qFormat/>
    <w:uiPriority w:val="0"/>
    <w:pPr>
      <w:spacing w:after="120"/>
    </w:pPr>
  </w:style>
  <w:style w:type="paragraph" w:styleId="17">
    <w:name w:val="Body Text Indent"/>
    <w:basedOn w:val="1"/>
    <w:qFormat/>
    <w:uiPriority w:val="0"/>
    <w:pPr>
      <w:adjustRightInd w:val="0"/>
      <w:spacing w:after="120" w:line="360" w:lineRule="atLeast"/>
      <w:ind w:left="420" w:leftChars="200"/>
      <w:jc w:val="left"/>
      <w:textAlignment w:val="baseline"/>
    </w:pPr>
    <w:rPr>
      <w:kern w:val="0"/>
      <w:sz w:val="24"/>
      <w:szCs w:val="20"/>
    </w:rPr>
  </w:style>
  <w:style w:type="paragraph" w:styleId="18">
    <w:name w:val="Plain Text"/>
    <w:basedOn w:val="1"/>
    <w:qFormat/>
    <w:uiPriority w:val="0"/>
    <w:rPr>
      <w:rFonts w:ascii="宋体" w:hAnsi="Courier New"/>
      <w:szCs w:val="21"/>
    </w:rPr>
  </w:style>
  <w:style w:type="paragraph" w:styleId="19">
    <w:name w:val="Date"/>
    <w:basedOn w:val="1"/>
    <w:next w:val="1"/>
    <w:link w:val="43"/>
    <w:qFormat/>
    <w:uiPriority w:val="0"/>
    <w:pPr>
      <w:ind w:left="100" w:leftChars="2500"/>
    </w:pPr>
  </w:style>
  <w:style w:type="paragraph" w:styleId="20">
    <w:name w:val="Balloon Text"/>
    <w:basedOn w:val="1"/>
    <w:link w:val="44"/>
    <w:qFormat/>
    <w:uiPriority w:val="0"/>
    <w:rPr>
      <w:sz w:val="18"/>
      <w:szCs w:val="18"/>
    </w:rPr>
  </w:style>
  <w:style w:type="paragraph" w:styleId="21">
    <w:name w:val="header"/>
    <w:basedOn w:val="1"/>
    <w:link w:val="46"/>
    <w:qFormat/>
    <w:uiPriority w:val="99"/>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22">
    <w:name w:val="toc 1"/>
    <w:basedOn w:val="1"/>
    <w:next w:val="1"/>
    <w:qFormat/>
    <w:uiPriority w:val="39"/>
  </w:style>
  <w:style w:type="paragraph" w:styleId="2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4">
    <w:name w:val="toc 2"/>
    <w:basedOn w:val="1"/>
    <w:next w:val="1"/>
    <w:qFormat/>
    <w:uiPriority w:val="39"/>
    <w:pPr>
      <w:ind w:left="420" w:leftChars="200"/>
    </w:pPr>
  </w:style>
  <w:style w:type="paragraph" w:styleId="25">
    <w:name w:val="HTML Preformatted"/>
    <w:basedOn w:val="1"/>
    <w:link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26">
    <w:name w:val="Normal (Web)"/>
    <w:basedOn w:val="1"/>
    <w:qFormat/>
    <w:uiPriority w:val="0"/>
    <w:pPr>
      <w:widowControl/>
      <w:spacing w:before="100" w:beforeAutospacing="1" w:after="100" w:afterAutospacing="1"/>
      <w:jc w:val="left"/>
    </w:pPr>
    <w:rPr>
      <w:rFonts w:ascii="宋体" w:hAnsi="宋体"/>
      <w:kern w:val="0"/>
      <w:sz w:val="24"/>
    </w:rPr>
  </w:style>
  <w:style w:type="paragraph" w:styleId="27">
    <w:name w:val="Title"/>
    <w:basedOn w:val="28"/>
    <w:next w:val="1"/>
    <w:qFormat/>
    <w:uiPriority w:val="0"/>
    <w:pPr>
      <w:numPr>
        <w:ilvl w:val="0"/>
        <w:numId w:val="2"/>
      </w:numPr>
      <w:ind w:firstLine="0"/>
    </w:pPr>
    <w:rPr>
      <w:rFonts w:ascii="宋体" w:hAnsi="宋体" w:cs="宋体"/>
      <w:b/>
      <w:sz w:val="32"/>
      <w:szCs w:val="32"/>
    </w:rPr>
  </w:style>
  <w:style w:type="paragraph" w:customStyle="1" w:styleId="28">
    <w:name w:val="List Paragraph1"/>
    <w:basedOn w:val="1"/>
    <w:qFormat/>
    <w:uiPriority w:val="34"/>
    <w:pPr>
      <w:ind w:firstLine="420"/>
    </w:pPr>
    <w:rPr>
      <w:szCs w:val="22"/>
    </w:rPr>
  </w:style>
  <w:style w:type="paragraph" w:styleId="29">
    <w:name w:val="annotation subject"/>
    <w:basedOn w:val="15"/>
    <w:next w:val="15"/>
    <w:link w:val="48"/>
    <w:qFormat/>
    <w:uiPriority w:val="0"/>
    <w:rPr>
      <w:b/>
      <w:bCs/>
    </w:rPr>
  </w:style>
  <w:style w:type="paragraph" w:styleId="30">
    <w:name w:val="Body Text First Indent 2"/>
    <w:basedOn w:val="17"/>
    <w:unhideWhenUsed/>
    <w:qFormat/>
    <w:uiPriority w:val="99"/>
    <w:pPr>
      <w:keepNext/>
      <w:keepLines/>
      <w:spacing w:after="0" w:line="380" w:lineRule="exact"/>
      <w:ind w:firstLine="480"/>
      <w:outlineLvl w:val="3"/>
    </w:pPr>
    <w:rPr>
      <w:rFonts w:eastAsia="方正书宋简体"/>
      <w:b/>
      <w:bCs/>
      <w:sz w:val="28"/>
      <w:szCs w:val="28"/>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qFormat/>
    <w:uiPriority w:val="0"/>
    <w:rPr>
      <w:sz w:val="21"/>
      <w:szCs w:val="21"/>
    </w:rPr>
  </w:style>
  <w:style w:type="paragraph" w:customStyle="1" w:styleId="3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9">
    <w:name w:val="正文文本 字符"/>
    <w:link w:val="16"/>
    <w:qFormat/>
    <w:uiPriority w:val="0"/>
    <w:rPr>
      <w:kern w:val="2"/>
      <w:sz w:val="21"/>
      <w:szCs w:val="24"/>
    </w:rPr>
  </w:style>
  <w:style w:type="character" w:customStyle="1" w:styleId="40">
    <w:name w:val="标题 4 字符"/>
    <w:link w:val="6"/>
    <w:qFormat/>
    <w:uiPriority w:val="0"/>
    <w:rPr>
      <w:rFonts w:ascii="Arial" w:hAnsi="Arial" w:eastAsia="黑体"/>
      <w:b/>
      <w:bCs/>
      <w:sz w:val="28"/>
      <w:szCs w:val="28"/>
    </w:rPr>
  </w:style>
  <w:style w:type="character" w:customStyle="1" w:styleId="41">
    <w:name w:val="标题 7 字符"/>
    <w:link w:val="9"/>
    <w:qFormat/>
    <w:uiPriority w:val="0"/>
    <w:rPr>
      <w:b/>
      <w:bCs/>
      <w:sz w:val="24"/>
      <w:szCs w:val="24"/>
    </w:rPr>
  </w:style>
  <w:style w:type="character" w:customStyle="1" w:styleId="42">
    <w:name w:val="批注文字 字符"/>
    <w:link w:val="15"/>
    <w:qFormat/>
    <w:uiPriority w:val="0"/>
    <w:rPr>
      <w:kern w:val="2"/>
      <w:sz w:val="21"/>
      <w:szCs w:val="24"/>
    </w:rPr>
  </w:style>
  <w:style w:type="character" w:customStyle="1" w:styleId="43">
    <w:name w:val="日期 字符"/>
    <w:link w:val="19"/>
    <w:qFormat/>
    <w:uiPriority w:val="0"/>
    <w:rPr>
      <w:kern w:val="2"/>
      <w:sz w:val="21"/>
      <w:szCs w:val="24"/>
    </w:rPr>
  </w:style>
  <w:style w:type="character" w:customStyle="1" w:styleId="44">
    <w:name w:val="批注框文本 字符"/>
    <w:link w:val="20"/>
    <w:qFormat/>
    <w:uiPriority w:val="0"/>
    <w:rPr>
      <w:kern w:val="2"/>
      <w:sz w:val="18"/>
      <w:szCs w:val="18"/>
    </w:rPr>
  </w:style>
  <w:style w:type="character" w:customStyle="1" w:styleId="45">
    <w:name w:val="页脚 字符1"/>
    <w:link w:val="2"/>
    <w:qFormat/>
    <w:uiPriority w:val="99"/>
    <w:rPr>
      <w:sz w:val="18"/>
      <w:szCs w:val="18"/>
    </w:rPr>
  </w:style>
  <w:style w:type="character" w:customStyle="1" w:styleId="46">
    <w:name w:val="页眉 字符"/>
    <w:link w:val="21"/>
    <w:qFormat/>
    <w:uiPriority w:val="99"/>
    <w:rPr>
      <w:sz w:val="18"/>
      <w:szCs w:val="18"/>
    </w:rPr>
  </w:style>
  <w:style w:type="character" w:customStyle="1" w:styleId="47">
    <w:name w:val="HTML 预设格式 字符"/>
    <w:link w:val="25"/>
    <w:qFormat/>
    <w:uiPriority w:val="0"/>
    <w:rPr>
      <w:rFonts w:ascii="Arial" w:hAnsi="Arial" w:cs="Arial"/>
      <w:sz w:val="21"/>
      <w:szCs w:val="21"/>
    </w:rPr>
  </w:style>
  <w:style w:type="character" w:customStyle="1" w:styleId="48">
    <w:name w:val="批注主题 字符"/>
    <w:link w:val="29"/>
    <w:qFormat/>
    <w:uiPriority w:val="0"/>
    <w:rPr>
      <w:b/>
      <w:bCs/>
      <w:kern w:val="2"/>
      <w:sz w:val="21"/>
      <w:szCs w:val="24"/>
    </w:rPr>
  </w:style>
  <w:style w:type="character" w:customStyle="1" w:styleId="49">
    <w:name w:val="px_10"/>
    <w:qFormat/>
    <w:uiPriority w:val="0"/>
  </w:style>
  <w:style w:type="character" w:customStyle="1" w:styleId="50">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51">
    <w:name w:val="apple-converted-space"/>
    <w:qFormat/>
    <w:uiPriority w:val="0"/>
  </w:style>
  <w:style w:type="character" w:customStyle="1" w:styleId="52">
    <w:name w:val="font31"/>
    <w:qFormat/>
    <w:uiPriority w:val="0"/>
    <w:rPr>
      <w:rFonts w:hint="eastAsia" w:ascii="宋体" w:hAnsi="宋体" w:eastAsia="宋体" w:cs="宋体"/>
      <w:color w:val="000000"/>
      <w:sz w:val="20"/>
      <w:szCs w:val="20"/>
      <w:u w:val="none"/>
    </w:rPr>
  </w:style>
  <w:style w:type="character" w:customStyle="1" w:styleId="53">
    <w:name w:val="样式1 Char"/>
    <w:link w:val="54"/>
    <w:qFormat/>
    <w:uiPriority w:val="99"/>
    <w:rPr>
      <w:rFonts w:ascii="宋体" w:hAnsi="宋体"/>
      <w:sz w:val="21"/>
      <w:szCs w:val="21"/>
    </w:rPr>
  </w:style>
  <w:style w:type="paragraph" w:customStyle="1" w:styleId="54">
    <w:name w:val="样式1"/>
    <w:basedOn w:val="1"/>
    <w:link w:val="53"/>
    <w:qFormat/>
    <w:uiPriority w:val="99"/>
    <w:pPr>
      <w:adjustRightInd w:val="0"/>
      <w:textAlignment w:val="baseline"/>
    </w:pPr>
    <w:rPr>
      <w:rFonts w:ascii="宋体" w:hAnsi="宋体"/>
      <w:kern w:val="0"/>
      <w:szCs w:val="21"/>
    </w:rPr>
  </w:style>
  <w:style w:type="character" w:customStyle="1" w:styleId="55">
    <w:name w:val="页脚 字符"/>
    <w:qFormat/>
    <w:uiPriority w:val="99"/>
  </w:style>
  <w:style w:type="character" w:customStyle="1" w:styleId="56">
    <w:name w:val="font11"/>
    <w:qFormat/>
    <w:uiPriority w:val="0"/>
    <w:rPr>
      <w:rFonts w:ascii="宋体" w:hAnsi="宋体" w:eastAsia="宋体" w:cs="宋体"/>
      <w:color w:val="000000"/>
      <w:sz w:val="20"/>
      <w:szCs w:val="20"/>
      <w:u w:val="none"/>
    </w:rPr>
  </w:style>
  <w:style w:type="paragraph" w:customStyle="1" w:styleId="57">
    <w:name w:val="Char Char Char"/>
    <w:basedOn w:val="1"/>
    <w:qFormat/>
    <w:uiPriority w:val="0"/>
    <w:rPr>
      <w:rFonts w:ascii="Tahoma" w:hAnsi="Tahoma"/>
      <w:sz w:val="24"/>
      <w:szCs w:val="20"/>
    </w:rPr>
  </w:style>
  <w:style w:type="paragraph" w:customStyle="1" w:styleId="58">
    <w:name w:val=" Char Char Char"/>
    <w:basedOn w:val="1"/>
    <w:qFormat/>
    <w:uiPriority w:val="0"/>
    <w:rPr>
      <w:rFonts w:ascii="Tahoma" w:hAnsi="Tahoma"/>
      <w:sz w:val="24"/>
      <w:szCs w:val="20"/>
    </w:rPr>
  </w:style>
  <w:style w:type="paragraph" w:customStyle="1" w:styleId="59">
    <w:name w:val="样式 标题 4 + 段前: 5 磅 段后: 5 磅 行距: 单倍行距"/>
    <w:basedOn w:val="6"/>
    <w:qFormat/>
    <w:uiPriority w:val="0"/>
    <w:pPr>
      <w:numPr>
        <w:ilvl w:val="3"/>
        <w:numId w:val="3"/>
      </w:numPr>
      <w:spacing w:before="100" w:after="100" w:line="240" w:lineRule="auto"/>
    </w:pPr>
    <w:rPr>
      <w:rFonts w:cs="宋体"/>
      <w:szCs w:val="20"/>
    </w:rPr>
  </w:style>
  <w:style w:type="paragraph" w:styleId="60">
    <w:name w:val="List Paragraph"/>
    <w:basedOn w:val="1"/>
    <w:qFormat/>
    <w:uiPriority w:val="34"/>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61">
    <w:name w:val="样式 标题 3h3H3sect1.2.3 + 五号 段前: 6 磅 段后: 6 磅 行距: 单倍行距"/>
    <w:basedOn w:val="5"/>
    <w:qFormat/>
    <w:uiPriority w:val="0"/>
    <w:pPr>
      <w:spacing w:before="120" w:after="120" w:line="240" w:lineRule="auto"/>
      <w:ind w:left="0"/>
    </w:pPr>
    <w:rPr>
      <w:sz w:val="21"/>
      <w:szCs w:val="20"/>
    </w:rPr>
  </w:style>
  <w:style w:type="paragraph" w:customStyle="1" w:styleId="62">
    <w:name w:val="tabbedpanelstabhov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列出段落1"/>
    <w:basedOn w:val="1"/>
    <w:qFormat/>
    <w:uiPriority w:val="34"/>
    <w:pPr>
      <w:ind w:firstLine="420"/>
    </w:pPr>
  </w:style>
  <w:style w:type="paragraph" w:customStyle="1" w:styleId="64">
    <w:name w:val="文档正文"/>
    <w:basedOn w:val="1"/>
    <w:qFormat/>
    <w:uiPriority w:val="0"/>
    <w:rPr>
      <w:rFonts w:ascii="Arial" w:hAnsi="Arial" w:cs="Arial"/>
      <w:bCs/>
      <w:sz w:val="24"/>
    </w:rPr>
  </w:style>
  <w:style w:type="paragraph" w:customStyle="1" w:styleId="65">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66">
    <w:name w:val="样式 样式 样式 样式 标题 2 + 宋体 五号 非加粗 黑色 + 段前: 6 磅 段后: 0 磅 行距: 单倍行距 + 段前:..."/>
    <w:basedOn w:val="1"/>
    <w:qFormat/>
    <w:uiPriority w:val="0"/>
    <w:pPr>
      <w:keepNext/>
      <w:keepLines/>
      <w:numPr>
        <w:ilvl w:val="1"/>
        <w:numId w:val="1"/>
      </w:numPr>
      <w:adjustRightInd w:val="0"/>
      <w:spacing w:before="240"/>
      <w:jc w:val="left"/>
      <w:textAlignment w:val="baseline"/>
      <w:outlineLvl w:val="1"/>
    </w:pPr>
    <w:rPr>
      <w:rFonts w:ascii="宋体" w:hAnsi="宋体" w:cs="宋体"/>
      <w:b/>
      <w:bCs/>
      <w:color w:val="000000"/>
      <w:kern w:val="0"/>
      <w:szCs w:val="20"/>
    </w:rPr>
  </w:style>
  <w:style w:type="character" w:customStyle="1" w:styleId="67">
    <w:name w:val="_Style 62"/>
    <w:unhideWhenUsed/>
    <w:qFormat/>
    <w:uiPriority w:val="99"/>
    <w:rPr>
      <w:color w:val="605E5C"/>
      <w:shd w:val="clear" w:color="auto" w:fill="E1DFDD"/>
    </w:rPr>
  </w:style>
  <w:style w:type="character" w:customStyle="1" w:styleId="68">
    <w:name w:val="HTML 预设格式 字符1"/>
    <w:qFormat/>
    <w:uiPriority w:val="0"/>
    <w:rPr>
      <w:rFonts w:ascii="Courier New" w:hAnsi="Courier New" w:eastAsia="仿宋" w:cs="Courier New"/>
      <w:kern w:val="2"/>
    </w:rPr>
  </w:style>
  <w:style w:type="paragraph" w:customStyle="1" w:styleId="69">
    <w:name w:val="第二"/>
    <w:basedOn w:val="1"/>
    <w:qFormat/>
    <w:uiPriority w:val="0"/>
    <w:pPr>
      <w:spacing w:line="360" w:lineRule="atLeast"/>
      <w:ind w:left="540" w:leftChars="225"/>
    </w:pPr>
    <w:rPr>
      <w:rFonts w:ascii="宋体" w:hAnsi="宋体"/>
    </w:rPr>
  </w:style>
  <w:style w:type="paragraph" w:customStyle="1" w:styleId="70">
    <w:name w:val="样式"/>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71">
    <w:name w:val="无间隔1"/>
    <w:basedOn w:val="1"/>
    <w:qFormat/>
    <w:uiPriority w:val="1"/>
    <w:pPr>
      <w:spacing w:line="400" w:lineRule="exact"/>
    </w:pPr>
    <w:rPr>
      <w:sz w:val="24"/>
    </w:rPr>
  </w:style>
  <w:style w:type="paragraph" w:customStyle="1" w:styleId="7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17397</Words>
  <Characters>18440</Characters>
  <Lines>312</Lines>
  <Paragraphs>88</Paragraphs>
  <TotalTime>53</TotalTime>
  <ScaleCrop>false</ScaleCrop>
  <LinksUpToDate>false</LinksUpToDate>
  <CharactersWithSpaces>18716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2021-09-19T06:49:00Z</dcterms:created>
  <dc:creator>采购一处</dc:creator>
  <cp:lastModifiedBy>乔东</cp:lastModifiedBy>
  <cp:lastPrinted>2026-05-15T01:28:00Z</cp:lastPrinted>
  <dcterms:modified xsi:type="dcterms:W3CDTF">2026-05-22T01:20:32Z</dcterms:modified>
  <dc:title>序号：13                                编码：A-2013-1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185CD8041A9E4170A0FAAF08113B7DA5_13</vt:lpwstr>
  </property>
  <property fmtid="{D5CDD505-2E9C-101B-9397-08002B2CF9AE}" pid="4" name="KSOTemplateDocerSaveRecord">
    <vt:lpwstr>eyJoZGlkIjoiYzFiYjJlNWZlZTk5ZmM4ZmVkYWNkNWEwZDFhYzA4YmEiLCJ1c2VySWQiOiI4MDYwMDM3OTcifQ==</vt:lpwstr>
  </property>
</Properties>
</file>